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190500</wp:posOffset>
            </wp:positionH>
            <wp:positionV relativeFrom="page">
              <wp:posOffset>165100</wp:posOffset>
            </wp:positionV>
            <wp:extent cx="71678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page">
              <wp:posOffset>190500</wp:posOffset>
            </wp:positionH>
            <wp:positionV relativeFrom="page">
              <wp:posOffset>177800</wp:posOffset>
            </wp:positionV>
            <wp:extent cx="71678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880" cy="6350"/>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2596515</wp:posOffset>
            </wp:positionH>
            <wp:positionV relativeFrom="paragraph">
              <wp:posOffset>43815</wp:posOffset>
            </wp:positionV>
            <wp:extent cx="19742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2596515</wp:posOffset>
            </wp:positionH>
            <wp:positionV relativeFrom="paragraph">
              <wp:posOffset>57150</wp:posOffset>
            </wp:positionV>
            <wp:extent cx="19742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ind w:left="540" w:hanging="540"/>
        <w:spacing w:after="0"/>
        <w:tabs>
          <w:tab w:leader="none" w:pos="54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REGISTRATION STATEMENT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57785" cy="58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785" cy="5842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30" w:lineRule="exact"/>
        <w:rPr>
          <w:sz w:val="24"/>
          <w:szCs w:val="24"/>
          <w:color w:val="auto"/>
        </w:rPr>
      </w:pPr>
    </w:p>
    <w:p>
      <w:pPr>
        <w:ind w:left="540" w:hanging="540"/>
        <w:spacing w:after="0"/>
        <w:tabs>
          <w:tab w:leader="none" w:pos="54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785" cy="58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5842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30" w:lineRule="exact"/>
        <w:rPr>
          <w:sz w:val="24"/>
          <w:szCs w:val="24"/>
          <w:color w:val="auto"/>
        </w:rPr>
      </w:pPr>
    </w:p>
    <w:p>
      <w:pPr>
        <w:ind w:left="540" w:hanging="540"/>
        <w:spacing w:after="0"/>
        <w:tabs>
          <w:tab w:leader="none" w:pos="540" w:val="left"/>
        </w:tabs>
        <w:numPr>
          <w:ilvl w:val="0"/>
          <w:numId w:val="3"/>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785" cy="584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5842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30" w:lineRule="exact"/>
        <w:rPr>
          <w:sz w:val="24"/>
          <w:szCs w:val="24"/>
          <w:color w:val="auto"/>
        </w:rPr>
      </w:pPr>
    </w:p>
    <w:p>
      <w:pPr>
        <w:ind w:left="540" w:hanging="540"/>
        <w:spacing w:after="0"/>
        <w:tabs>
          <w:tab w:leader="none" w:pos="540" w:val="left"/>
        </w:tabs>
        <w:numPr>
          <w:ilvl w:val="0"/>
          <w:numId w:val="4"/>
        </w:numPr>
        <w:rPr>
          <w:rFonts w:ascii="MS PGothic" w:cs="MS PGothic" w:eastAsia="MS PGothic" w:hAnsi="MS PGothic"/>
          <w:sz w:val="12"/>
          <w:szCs w:val="12"/>
          <w:color w:val="auto"/>
        </w:rPr>
      </w:pPr>
      <w:r>
        <w:rPr>
          <w:rFonts w:ascii="Arial" w:cs="Arial" w:eastAsia="Arial" w:hAnsi="Arial"/>
          <w:sz w:val="12"/>
          <w:szCs w:val="12"/>
          <w:b w:val="1"/>
          <w:bCs w:val="1"/>
          <w:color w:val="auto"/>
        </w:rPr>
        <w:t>SHELL COMPANY REPORT PURSUANT TO SECTION 13 OR 15(d) OF THE SECURITIES EXCHANGE ACT OF 1934</w:t>
      </w:r>
    </w:p>
    <w:p>
      <w:pPr>
        <w:spacing w:after="0" w:line="45" w:lineRule="exact"/>
        <w:rPr>
          <w:rFonts w:ascii="MS PGothic" w:cs="MS PGothic" w:eastAsia="MS PGothic" w:hAnsi="MS PGothic"/>
          <w:sz w:val="12"/>
          <w:szCs w:val="12"/>
          <w:color w:val="auto"/>
        </w:rPr>
      </w:pPr>
    </w:p>
    <w:p>
      <w:pPr>
        <w:ind w:left="4820"/>
        <w:spacing w:after="0"/>
        <w:rPr>
          <w:rFonts w:ascii="MS PGothic" w:cs="MS PGothic" w:eastAsia="MS PGothic" w:hAnsi="MS PGothic"/>
          <w:sz w:val="12"/>
          <w:szCs w:val="12"/>
          <w:color w:val="auto"/>
        </w:rPr>
      </w:pPr>
      <w:r>
        <w:rPr>
          <w:rFonts w:ascii="Arial" w:cs="Arial" w:eastAsia="Arial" w:hAnsi="Arial"/>
          <w:sz w:val="11"/>
          <w:szCs w:val="11"/>
          <w:b w:val="1"/>
          <w:bCs w:val="1"/>
          <w:color w:val="auto"/>
        </w:rPr>
        <w:t>Commission file number: 001-39081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57785" cy="58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785" cy="584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BioNTech SE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Federal Republic of Germany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(Jurisdiction of incorporation or organization)</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An der Goldgrube 12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D-55131 Mainz</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Germany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173" w:lineRule="exact"/>
        <w:rPr>
          <w:sz w:val="24"/>
          <w:szCs w:val="24"/>
          <w:color w:val="auto"/>
        </w:rPr>
      </w:pPr>
    </w:p>
    <w:p>
      <w:pPr>
        <w:ind w:left="5100"/>
        <w:spacing w:after="0"/>
        <w:rPr>
          <w:sz w:val="20"/>
          <w:szCs w:val="20"/>
          <w:color w:val="auto"/>
        </w:rPr>
      </w:pPr>
      <w:r>
        <w:rPr>
          <w:rFonts w:ascii="Arial" w:cs="Arial" w:eastAsia="Arial" w:hAnsi="Arial"/>
          <w:sz w:val="11"/>
          <w:szCs w:val="11"/>
          <w:b w:val="1"/>
          <w:bCs w:val="1"/>
          <w:color w:val="auto"/>
        </w:rPr>
        <w:t>Prof. Ugur Sahin, M.D.,</w:t>
      </w:r>
    </w:p>
    <w:p>
      <w:pPr>
        <w:spacing w:after="0" w:line="23" w:lineRule="exact"/>
        <w:rPr>
          <w:sz w:val="24"/>
          <w:szCs w:val="24"/>
          <w:color w:val="auto"/>
        </w:rPr>
      </w:pPr>
    </w:p>
    <w:p>
      <w:pPr>
        <w:ind w:left="5260"/>
        <w:spacing w:after="0"/>
        <w:rPr>
          <w:sz w:val="20"/>
          <w:szCs w:val="20"/>
          <w:color w:val="auto"/>
        </w:rPr>
      </w:pPr>
      <w:r>
        <w:rPr>
          <w:rFonts w:ascii="Arial" w:cs="Arial" w:eastAsia="Arial" w:hAnsi="Arial"/>
          <w:sz w:val="11"/>
          <w:szCs w:val="11"/>
          <w:b w:val="1"/>
          <w:bCs w:val="1"/>
          <w:color w:val="auto"/>
        </w:rPr>
        <w:t>c/o BioNTech SE</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1"/>
          <w:szCs w:val="11"/>
          <w:b w:val="1"/>
          <w:bCs w:val="1"/>
          <w:color w:val="auto"/>
        </w:rPr>
        <w:t>An der Goldgrube 12</w:t>
      </w:r>
    </w:p>
    <w:p>
      <w:pPr>
        <w:spacing w:after="0" w:line="23" w:lineRule="exact"/>
        <w:rPr>
          <w:sz w:val="24"/>
          <w:szCs w:val="24"/>
          <w:color w:val="auto"/>
        </w:rPr>
      </w:pPr>
    </w:p>
    <w:p>
      <w:pPr>
        <w:ind w:left="5300"/>
        <w:spacing w:after="0"/>
        <w:rPr>
          <w:sz w:val="20"/>
          <w:szCs w:val="20"/>
          <w:color w:val="auto"/>
        </w:rPr>
      </w:pPr>
      <w:r>
        <w:rPr>
          <w:rFonts w:ascii="Arial" w:cs="Arial" w:eastAsia="Arial" w:hAnsi="Arial"/>
          <w:sz w:val="11"/>
          <w:szCs w:val="11"/>
          <w:b w:val="1"/>
          <w:bCs w:val="1"/>
          <w:color w:val="auto"/>
        </w:rPr>
        <w:t>D-55131 Mainz</w:t>
      </w:r>
    </w:p>
    <w:p>
      <w:pPr>
        <w:spacing w:after="0" w:line="23" w:lineRule="exact"/>
        <w:rPr>
          <w:sz w:val="24"/>
          <w:szCs w:val="24"/>
          <w:color w:val="auto"/>
        </w:rPr>
      </w:pPr>
    </w:p>
    <w:p>
      <w:pPr>
        <w:ind w:left="5420"/>
        <w:spacing w:after="0"/>
        <w:rPr>
          <w:sz w:val="20"/>
          <w:szCs w:val="20"/>
          <w:color w:val="auto"/>
        </w:rPr>
      </w:pPr>
      <w:r>
        <w:rPr>
          <w:rFonts w:ascii="Arial" w:cs="Arial" w:eastAsia="Arial" w:hAnsi="Arial"/>
          <w:sz w:val="11"/>
          <w:szCs w:val="11"/>
          <w:b w:val="1"/>
          <w:bCs w:val="1"/>
          <w:color w:val="auto"/>
        </w:rPr>
        <w:t>Germany</w:t>
      </w:r>
    </w:p>
    <w:p>
      <w:pPr>
        <w:spacing w:after="0" w:line="19" w:lineRule="exact"/>
        <w:rPr>
          <w:sz w:val="24"/>
          <w:szCs w:val="24"/>
          <w:color w:val="auto"/>
        </w:rPr>
      </w:pPr>
    </w:p>
    <w:p>
      <w:pPr>
        <w:ind w:left="3940"/>
        <w:spacing w:after="0"/>
        <w:rPr>
          <w:sz w:val="20"/>
          <w:szCs w:val="20"/>
          <w:color w:val="auto"/>
        </w:rPr>
      </w:pPr>
      <w:r>
        <w:rPr>
          <w:rFonts w:ascii="Arial" w:cs="Arial" w:eastAsia="Arial" w:hAnsi="Arial"/>
          <w:sz w:val="11"/>
          <w:szCs w:val="11"/>
          <w:b w:val="1"/>
          <w:bCs w:val="1"/>
          <w:color w:val="auto"/>
        </w:rPr>
        <w:t>+49 6131-9084-0 (Tel), +49 6131 9084-390 (Fax), info@biontech.de (E-mail)</w:t>
      </w:r>
    </w:p>
    <w:p>
      <w:pPr>
        <w:jc w:val="center"/>
        <w:spacing w:after="0"/>
        <w:rPr>
          <w:sz w:val="20"/>
          <w:szCs w:val="20"/>
          <w:color w:val="auto"/>
        </w:rPr>
      </w:pPr>
      <w:r>
        <w:rPr>
          <w:rFonts w:ascii="Arial" w:cs="Arial" w:eastAsia="Arial" w:hAnsi="Arial"/>
          <w:sz w:val="11"/>
          <w:szCs w:val="11"/>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2596515</wp:posOffset>
            </wp:positionH>
            <wp:positionV relativeFrom="paragraph">
              <wp:posOffset>30480</wp:posOffset>
            </wp:positionV>
            <wp:extent cx="197421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39"/>
        </w:trPr>
        <w:tc>
          <w:tcPr>
            <w:tcW w:w="5060" w:type="dxa"/>
            <w:vAlign w:val="bottom"/>
          </w:tcPr>
          <w:p>
            <w:pPr>
              <w:spacing w:after="0"/>
              <w:rPr>
                <w:sz w:val="20"/>
                <w:szCs w:val="20"/>
                <w:color w:val="auto"/>
              </w:rPr>
            </w:pPr>
            <w:r>
              <w:rPr>
                <w:rFonts w:ascii="Arial" w:cs="Arial" w:eastAsia="Arial" w:hAnsi="Arial"/>
                <w:sz w:val="11"/>
                <w:szCs w:val="11"/>
                <w:b w:val="1"/>
                <w:bCs w:val="1"/>
                <w:color w:val="auto"/>
              </w:rPr>
              <w:t>Securities registered or to be registered, pursuant to Section 12(b) of the Act</w:t>
            </w:r>
          </w:p>
        </w:tc>
        <w:tc>
          <w:tcPr>
            <w:tcW w:w="29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060" w:type="dxa"/>
            <w:vAlign w:val="bottom"/>
            <w:vMerge w:val="restart"/>
          </w:tcPr>
          <w:p>
            <w:pPr>
              <w:ind w:left="1860"/>
              <w:spacing w:after="0"/>
              <w:rPr>
                <w:sz w:val="20"/>
                <w:szCs w:val="20"/>
                <w:color w:val="auto"/>
              </w:rPr>
            </w:pPr>
            <w:r>
              <w:rPr>
                <w:rFonts w:ascii="Arial" w:cs="Arial" w:eastAsia="Arial" w:hAnsi="Arial"/>
                <w:sz w:val="11"/>
                <w:szCs w:val="11"/>
                <w:b w:val="1"/>
                <w:bCs w:val="1"/>
                <w:color w:val="auto"/>
              </w:rPr>
              <w:t>Title of each class</w:t>
            </w:r>
          </w:p>
        </w:tc>
        <w:tc>
          <w:tcPr>
            <w:tcW w:w="2940" w:type="dxa"/>
            <w:vAlign w:val="bottom"/>
          </w:tcPr>
          <w:p>
            <w:pPr>
              <w:jc w:val="center"/>
              <w:ind w:right="1688"/>
              <w:spacing w:after="0"/>
              <w:rPr>
                <w:sz w:val="20"/>
                <w:szCs w:val="20"/>
                <w:color w:val="auto"/>
              </w:rPr>
            </w:pPr>
            <w:r>
              <w:rPr>
                <w:rFonts w:ascii="Arial" w:cs="Arial" w:eastAsia="Arial" w:hAnsi="Arial"/>
                <w:sz w:val="11"/>
                <w:szCs w:val="11"/>
                <w:b w:val="1"/>
                <w:bCs w:val="1"/>
                <w:color w:val="auto"/>
                <w:w w:val="89"/>
              </w:rPr>
              <w:t>Trading</w:t>
            </w:r>
          </w:p>
        </w:tc>
        <w:tc>
          <w:tcPr>
            <w:tcW w:w="3280" w:type="dxa"/>
            <w:vAlign w:val="bottom"/>
            <w:vMerge w:val="restart"/>
          </w:tcPr>
          <w:p>
            <w:pPr>
              <w:jc w:val="center"/>
              <w:ind w:right="1168"/>
              <w:spacing w:after="0"/>
              <w:rPr>
                <w:sz w:val="20"/>
                <w:szCs w:val="20"/>
                <w:color w:val="auto"/>
              </w:rPr>
            </w:pPr>
            <w:r>
              <w:rPr>
                <w:rFonts w:ascii="Arial" w:cs="Arial" w:eastAsia="Arial" w:hAnsi="Arial"/>
                <w:sz w:val="11"/>
                <w:szCs w:val="11"/>
                <w:b w:val="1"/>
                <w:bCs w:val="1"/>
                <w:color w:val="auto"/>
                <w:w w:val="85"/>
              </w:rPr>
              <w:t>Name of each exchange on which registered</w:t>
            </w:r>
          </w:p>
        </w:tc>
        <w:tc>
          <w:tcPr>
            <w:tcW w:w="0" w:type="dxa"/>
            <w:vAlign w:val="bottom"/>
          </w:tcPr>
          <w:p>
            <w:pPr>
              <w:spacing w:after="0"/>
              <w:rPr>
                <w:sz w:val="1"/>
                <w:szCs w:val="1"/>
                <w:color w:val="auto"/>
              </w:rPr>
            </w:pPr>
          </w:p>
        </w:tc>
      </w:tr>
      <w:tr>
        <w:trPr>
          <w:trHeight w:val="127"/>
        </w:trPr>
        <w:tc>
          <w:tcPr>
            <w:tcW w:w="5060" w:type="dxa"/>
            <w:vAlign w:val="bottom"/>
            <w:tcBorders>
              <w:bottom w:val="single" w:sz="8" w:color="auto"/>
            </w:tcBorders>
            <w:vMerge w:val="continue"/>
          </w:tcPr>
          <w:p>
            <w:pPr>
              <w:spacing w:after="0"/>
              <w:rPr>
                <w:sz w:val="11"/>
                <w:szCs w:val="11"/>
                <w:color w:val="auto"/>
              </w:rPr>
            </w:pPr>
          </w:p>
        </w:tc>
        <w:tc>
          <w:tcPr>
            <w:tcW w:w="2940" w:type="dxa"/>
            <w:vAlign w:val="bottom"/>
            <w:tcBorders>
              <w:bottom w:val="single" w:sz="8" w:color="auto"/>
            </w:tcBorders>
          </w:tcPr>
          <w:p>
            <w:pPr>
              <w:jc w:val="center"/>
              <w:ind w:right="1708"/>
              <w:spacing w:after="0"/>
              <w:rPr>
                <w:sz w:val="20"/>
                <w:szCs w:val="20"/>
                <w:color w:val="auto"/>
              </w:rPr>
            </w:pPr>
            <w:r>
              <w:rPr>
                <w:rFonts w:ascii="Arial" w:cs="Arial" w:eastAsia="Arial" w:hAnsi="Arial"/>
                <w:sz w:val="11"/>
                <w:szCs w:val="11"/>
                <w:b w:val="1"/>
                <w:bCs w:val="1"/>
                <w:color w:val="auto"/>
                <w:w w:val="86"/>
              </w:rPr>
              <w:t>Symbol(s)</w:t>
            </w:r>
          </w:p>
        </w:tc>
        <w:tc>
          <w:tcPr>
            <w:tcW w:w="32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060" w:type="dxa"/>
            <w:vAlign w:val="bottom"/>
          </w:tcPr>
          <w:p>
            <w:pPr>
              <w:spacing w:after="0" w:line="87" w:lineRule="exact"/>
              <w:rPr>
                <w:sz w:val="20"/>
                <w:szCs w:val="20"/>
                <w:color w:val="auto"/>
              </w:rPr>
            </w:pPr>
            <w:r>
              <w:rPr>
                <w:rFonts w:ascii="Arial" w:cs="Arial" w:eastAsia="Arial" w:hAnsi="Arial"/>
                <w:sz w:val="10"/>
                <w:szCs w:val="10"/>
                <w:color w:val="auto"/>
              </w:rPr>
              <w:t>American Depositary Shares, each Representing one ordinary share</w:t>
            </w:r>
          </w:p>
        </w:tc>
        <w:tc>
          <w:tcPr>
            <w:tcW w:w="2940" w:type="dxa"/>
            <w:vAlign w:val="bottom"/>
          </w:tcPr>
          <w:p>
            <w:pPr>
              <w:jc w:val="center"/>
              <w:ind w:right="1708"/>
              <w:spacing w:after="0" w:line="87" w:lineRule="exact"/>
              <w:rPr>
                <w:sz w:val="20"/>
                <w:szCs w:val="20"/>
                <w:color w:val="auto"/>
              </w:rPr>
            </w:pPr>
            <w:r>
              <w:rPr>
                <w:rFonts w:ascii="Arial" w:cs="Arial" w:eastAsia="Arial" w:hAnsi="Arial"/>
                <w:sz w:val="10"/>
                <w:szCs w:val="10"/>
                <w:color w:val="auto"/>
              </w:rPr>
              <w:t>BNTX</w:t>
            </w:r>
          </w:p>
        </w:tc>
        <w:tc>
          <w:tcPr>
            <w:tcW w:w="3280" w:type="dxa"/>
            <w:vAlign w:val="bottom"/>
          </w:tcPr>
          <w:p>
            <w:pPr>
              <w:jc w:val="center"/>
              <w:ind w:right="1168"/>
              <w:spacing w:after="0" w:line="87" w:lineRule="exact"/>
              <w:rPr>
                <w:sz w:val="20"/>
                <w:szCs w:val="20"/>
                <w:color w:val="auto"/>
              </w:rPr>
            </w:pPr>
            <w:r>
              <w:rPr>
                <w:rFonts w:ascii="Arial" w:cs="Arial" w:eastAsia="Arial" w:hAnsi="Arial"/>
                <w:sz w:val="10"/>
                <w:szCs w:val="10"/>
                <w:color w:val="auto"/>
                <w:w w:val="97"/>
              </w:rPr>
              <w:t>The Nasdaq Stock Market LLC</w:t>
            </w:r>
          </w:p>
        </w:tc>
        <w:tc>
          <w:tcPr>
            <w:tcW w:w="0" w:type="dxa"/>
            <w:vAlign w:val="bottom"/>
          </w:tcPr>
          <w:p>
            <w:pPr>
              <w:spacing w:after="0"/>
              <w:rPr>
                <w:sz w:val="1"/>
                <w:szCs w:val="1"/>
                <w:color w:val="auto"/>
              </w:rPr>
            </w:pPr>
          </w:p>
        </w:tc>
      </w:tr>
      <w:tr>
        <w:trPr>
          <w:trHeight w:val="123"/>
        </w:trPr>
        <w:tc>
          <w:tcPr>
            <w:tcW w:w="5060" w:type="dxa"/>
            <w:vAlign w:val="bottom"/>
            <w:tcBorders>
              <w:bottom w:val="single" w:sz="8" w:color="auto"/>
            </w:tcBorders>
          </w:tcPr>
          <w:p>
            <w:pPr>
              <w:spacing w:after="0" w:line="123" w:lineRule="exact"/>
              <w:rPr>
                <w:sz w:val="20"/>
                <w:szCs w:val="20"/>
                <w:color w:val="auto"/>
              </w:rPr>
            </w:pPr>
            <w:r>
              <w:rPr>
                <w:rFonts w:ascii="Arial" w:cs="Arial" w:eastAsia="Arial" w:hAnsi="Arial"/>
                <w:sz w:val="11"/>
                <w:szCs w:val="11"/>
                <w:color w:val="auto"/>
              </w:rPr>
              <w:t>Ordinary shares, no par value, with a notional amount attributable to each ordinary share of €1*</w:t>
            </w:r>
          </w:p>
        </w:tc>
        <w:tc>
          <w:tcPr>
            <w:tcW w:w="2940" w:type="dxa"/>
            <w:vAlign w:val="bottom"/>
            <w:tcBorders>
              <w:bottom w:val="single" w:sz="8" w:color="auto"/>
            </w:tcBorders>
          </w:tcPr>
          <w:p>
            <w:pPr>
              <w:jc w:val="center"/>
              <w:ind w:right="1708"/>
              <w:spacing w:after="0" w:line="123" w:lineRule="exact"/>
              <w:rPr>
                <w:sz w:val="20"/>
                <w:szCs w:val="20"/>
                <w:color w:val="auto"/>
              </w:rPr>
            </w:pPr>
            <w:r>
              <w:rPr>
                <w:rFonts w:ascii="Arial" w:cs="Arial" w:eastAsia="Arial" w:hAnsi="Arial"/>
                <w:sz w:val="11"/>
                <w:szCs w:val="11"/>
                <w:color w:val="auto"/>
                <w:w w:val="90"/>
              </w:rPr>
              <w:t>—</w:t>
            </w:r>
          </w:p>
        </w:tc>
        <w:tc>
          <w:tcPr>
            <w:tcW w:w="3280" w:type="dxa"/>
            <w:vAlign w:val="bottom"/>
            <w:tcBorders>
              <w:bottom w:val="single" w:sz="8" w:color="auto"/>
            </w:tcBorders>
          </w:tcPr>
          <w:p>
            <w:pPr>
              <w:jc w:val="center"/>
              <w:ind w:right="1148"/>
              <w:spacing w:after="0" w:line="123" w:lineRule="exact"/>
              <w:rPr>
                <w:sz w:val="20"/>
                <w:szCs w:val="20"/>
                <w:color w:val="auto"/>
              </w:rPr>
            </w:pPr>
            <w:r>
              <w:rPr>
                <w:rFonts w:ascii="Arial" w:cs="Arial" w:eastAsia="Arial" w:hAnsi="Arial"/>
                <w:sz w:val="11"/>
                <w:szCs w:val="11"/>
                <w:color w:val="auto"/>
                <w:w w:val="90"/>
              </w:rPr>
              <w:t>The Nasdaq Stock Market LLC*</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20"/>
                <w:szCs w:val="20"/>
                <w:color w:val="auto"/>
              </w:rPr>
            </w:pPr>
            <w:r>
              <w:rPr>
                <w:rFonts w:ascii="Arial" w:cs="Arial" w:eastAsia="Arial" w:hAnsi="Arial"/>
                <w:sz w:val="11"/>
                <w:szCs w:val="11"/>
                <w:color w:val="auto"/>
              </w:rPr>
              <w:t xml:space="preserve">Securities registered or to be registered pursuant to Section 12(g) of the Act: </w:t>
            </w:r>
            <w:r>
              <w:rPr>
                <w:rFonts w:ascii="Arial" w:cs="Arial" w:eastAsia="Arial" w:hAnsi="Arial"/>
                <w:sz w:val="11"/>
                <w:szCs w:val="11"/>
                <w:b w:val="1"/>
                <w:bCs w:val="1"/>
                <w:color w:val="auto"/>
              </w:rPr>
              <w:t>None</w:t>
            </w:r>
          </w:p>
        </w:tc>
        <w:tc>
          <w:tcPr>
            <w:tcW w:w="29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060" w:type="dxa"/>
            <w:vAlign w:val="bottom"/>
          </w:tcPr>
          <w:p>
            <w:pPr>
              <w:spacing w:after="0"/>
              <w:rPr>
                <w:sz w:val="20"/>
                <w:szCs w:val="20"/>
                <w:color w:val="auto"/>
              </w:rPr>
            </w:pPr>
            <w:r>
              <w:rPr>
                <w:rFonts w:ascii="Arial" w:cs="Arial" w:eastAsia="Arial" w:hAnsi="Arial"/>
                <w:sz w:val="11"/>
                <w:szCs w:val="11"/>
                <w:color w:val="auto"/>
              </w:rPr>
              <w:t xml:space="preserve">Securities for which there is a reporting obligation pursuant to Section 15(d) of the Act: </w:t>
            </w:r>
            <w:r>
              <w:rPr>
                <w:rFonts w:ascii="Arial" w:cs="Arial" w:eastAsia="Arial" w:hAnsi="Arial"/>
                <w:sz w:val="11"/>
                <w:szCs w:val="11"/>
                <w:b w:val="1"/>
                <w:bCs w:val="1"/>
                <w:color w:val="auto"/>
              </w:rPr>
              <w:t>None</w:t>
            </w:r>
          </w:p>
        </w:tc>
        <w:tc>
          <w:tcPr>
            <w:tcW w:w="29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00" w:type="dxa"/>
            <w:vAlign w:val="bottom"/>
            <w:gridSpan w:val="2"/>
          </w:tcPr>
          <w:p>
            <w:pPr>
              <w:spacing w:after="0"/>
              <w:rPr>
                <w:sz w:val="20"/>
                <w:szCs w:val="20"/>
                <w:color w:val="auto"/>
              </w:rPr>
            </w:pPr>
            <w:r>
              <w:rPr>
                <w:rFonts w:ascii="Arial" w:cs="Arial" w:eastAsia="Arial" w:hAnsi="Arial"/>
                <w:sz w:val="11"/>
                <w:szCs w:val="11"/>
                <w:color w:val="auto"/>
              </w:rPr>
              <w:t>Indicate the number of outstanding shares of each of the issuer’s classes of capital stock or common stock as of the close of business covered by the annual report.</w:t>
            </w: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00" w:type="dxa"/>
            <w:vAlign w:val="bottom"/>
            <w:gridSpan w:val="2"/>
          </w:tcPr>
          <w:p>
            <w:pPr>
              <w:ind w:left="560"/>
              <w:spacing w:after="0"/>
              <w:rPr>
                <w:sz w:val="20"/>
                <w:szCs w:val="20"/>
                <w:color w:val="auto"/>
              </w:rPr>
            </w:pPr>
            <w:r>
              <w:rPr>
                <w:rFonts w:ascii="Arial" w:cs="Arial" w:eastAsia="Arial" w:hAnsi="Arial"/>
                <w:sz w:val="11"/>
                <w:szCs w:val="11"/>
                <w:color w:val="auto"/>
              </w:rPr>
              <w:t>Ordinary shares, no par value, with a notional amount attributable to each share of €1 outstanding as of March 31, 2020, no par value: 226,779,744</w:t>
            </w: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60" w:type="dxa"/>
            <w:vAlign w:val="bottom"/>
          </w:tcPr>
          <w:p>
            <w:pPr>
              <w:spacing w:after="0"/>
              <w:rPr>
                <w:sz w:val="20"/>
                <w:szCs w:val="20"/>
                <w:color w:val="auto"/>
              </w:rPr>
            </w:pPr>
            <w:r>
              <w:rPr>
                <w:rFonts w:ascii="Arial" w:cs="Arial" w:eastAsia="Arial" w:hAnsi="Arial"/>
                <w:sz w:val="11"/>
                <w:szCs w:val="11"/>
                <w:color w:val="auto"/>
                <w:w w:val="88"/>
              </w:rPr>
              <w:t>Indicate by check mark if the registrant is a well-known seasoned issuer, as defined in Rule 405 of the Securities Act.</w:t>
            </w:r>
          </w:p>
        </w:tc>
        <w:tc>
          <w:tcPr>
            <w:tcW w:w="2940" w:type="dxa"/>
            <w:vAlign w:val="bottom"/>
          </w:tcPr>
          <w:p>
            <w:pPr>
              <w:ind w:left="40"/>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00" w:type="dxa"/>
            <w:vAlign w:val="bottom"/>
            <w:gridSpan w:val="2"/>
          </w:tcPr>
          <w:p>
            <w:pPr>
              <w:spacing w:after="0"/>
              <w:rPr>
                <w:sz w:val="20"/>
                <w:szCs w:val="20"/>
                <w:color w:val="auto"/>
              </w:rPr>
            </w:pPr>
            <w:r>
              <w:rPr>
                <w:rFonts w:ascii="Arial" w:cs="Arial" w:eastAsia="Arial" w:hAnsi="Arial"/>
                <w:sz w:val="11"/>
                <w:szCs w:val="11"/>
                <w:color w:val="auto"/>
                <w:w w:val="89"/>
              </w:rPr>
              <w:t>If this report is an annual or transition report, indicate by check mark if the registrant is not required to file reports pursuant to Section 13 or 15(d) of the Securities Exchange Act of 1934.</w:t>
            </w:r>
          </w:p>
        </w:tc>
        <w:tc>
          <w:tcPr>
            <w:tcW w:w="3280" w:type="dxa"/>
            <w:vAlign w:val="bottom"/>
          </w:tcPr>
          <w:p>
            <w:pPr>
              <w:ind w:left="40"/>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right="40"/>
        <w:spacing w:after="0" w:line="13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3" w:lineRule="exact"/>
        <w:rPr>
          <w:sz w:val="24"/>
          <w:szCs w:val="24"/>
          <w:color w:val="auto"/>
        </w:rPr>
      </w:pPr>
    </w:p>
    <w:p>
      <w:pPr>
        <w:ind w:right="160"/>
        <w:spacing w:after="0" w:line="13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3" w:lineRule="exact"/>
        <w:rPr>
          <w:sz w:val="24"/>
          <w:szCs w:val="24"/>
          <w:color w:val="auto"/>
        </w:rPr>
      </w:pPr>
    </w:p>
    <w:p>
      <w:pPr>
        <w:spacing w:after="0" w:line="23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5" w:lineRule="exact"/>
        <w:rPr>
          <w:sz w:val="24"/>
          <w:szCs w:val="24"/>
          <w:color w:val="auto"/>
        </w:rPr>
      </w:pPr>
    </w:p>
    <w:p>
      <w:pPr>
        <w:spacing w:after="0" w:line="127" w:lineRule="exact"/>
        <w:tabs>
          <w:tab w:leader="none" w:pos="1880" w:val="left"/>
          <w:tab w:leader="none" w:pos="2820" w:val="left"/>
          <w:tab w:leader="none" w:pos="4360" w:val="left"/>
          <w:tab w:leader="none" w:pos="5720" w:val="left"/>
          <w:tab w:leader="none" w:pos="7620" w:val="left"/>
          <w:tab w:leader="none" w:pos="8540" w:val="left"/>
          <w:tab w:leader="none" w:pos="1088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8058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 w:name="page2"/>
    <w:bookmarkEnd w:id="1"/>
    <w:p>
      <w:pPr>
        <w:spacing w:after="0" w:line="134" w:lineRule="exact"/>
        <w:rPr>
          <w:sz w:val="20"/>
          <w:szCs w:val="20"/>
          <w:color w:val="auto"/>
        </w:rPr>
      </w:pPr>
      <w:r>
        <w:rPr>
          <w:rFonts w:ascii="Arial" w:cs="Arial" w:eastAsia="Arial" w:hAnsi="Arial"/>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1"/>
          <w:szCs w:val="11"/>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Indicate by check mark which basis of accounting the registrant has used to prepare the financial statements included in this filing: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ind w:left="800"/>
              <w:spacing w:after="0" w:line="127" w:lineRule="exact"/>
              <w:rPr>
                <w:sz w:val="20"/>
                <w:szCs w:val="20"/>
                <w:color w:val="auto"/>
              </w:rPr>
            </w:pPr>
            <w:r>
              <w:rPr>
                <w:rFonts w:ascii="Arial" w:cs="Arial" w:eastAsia="Arial" w:hAnsi="Arial"/>
                <w:sz w:val="11"/>
                <w:szCs w:val="11"/>
                <w:color w:val="auto"/>
              </w:rPr>
              <w:t xml:space="preserve">U.S. GAAP </w:t>
            </w:r>
            <w:r>
              <w:rPr>
                <w:rFonts w:ascii="MS PGothic" w:cs="MS PGothic" w:eastAsia="MS PGothic" w:hAnsi="MS PGothic"/>
                <w:sz w:val="11"/>
                <w:szCs w:val="11"/>
                <w:color w:val="auto"/>
              </w:rPr>
              <w:t>☐</w:t>
            </w:r>
          </w:p>
        </w:tc>
        <w:tc>
          <w:tcPr>
            <w:tcW w:w="4300" w:type="dxa"/>
            <w:vAlign w:val="bottom"/>
            <w:gridSpan w:val="2"/>
          </w:tcPr>
          <w:p>
            <w:pPr>
              <w:ind w:left="1540"/>
              <w:spacing w:after="0"/>
              <w:rPr>
                <w:sz w:val="20"/>
                <w:szCs w:val="20"/>
                <w:color w:val="auto"/>
              </w:rPr>
            </w:pPr>
            <w:r>
              <w:rPr>
                <w:rFonts w:ascii="Arial" w:cs="Arial" w:eastAsia="Arial" w:hAnsi="Arial"/>
                <w:sz w:val="11"/>
                <w:szCs w:val="11"/>
                <w:color w:val="auto"/>
              </w:rPr>
              <w:t>International Financial Reporting Standards as issued</w:t>
            </w:r>
          </w:p>
        </w:tc>
        <w:tc>
          <w:tcPr>
            <w:tcW w:w="3080" w:type="dxa"/>
            <w:vAlign w:val="bottom"/>
          </w:tcPr>
          <w:p>
            <w:pPr>
              <w:ind w:left="2680"/>
              <w:spacing w:after="0" w:line="127" w:lineRule="exact"/>
              <w:rPr>
                <w:sz w:val="20"/>
                <w:szCs w:val="20"/>
                <w:color w:val="auto"/>
              </w:rPr>
            </w:pPr>
            <w:r>
              <w:rPr>
                <w:rFonts w:ascii="Arial" w:cs="Arial" w:eastAsia="Arial" w:hAnsi="Arial"/>
                <w:sz w:val="11"/>
                <w:szCs w:val="11"/>
                <w:color w:val="auto"/>
                <w:w w:val="91"/>
              </w:rPr>
              <w:t xml:space="preserve">Other </w:t>
            </w:r>
            <w:r>
              <w:rPr>
                <w:rFonts w:ascii="MS PGothic" w:cs="MS PGothic" w:eastAsia="MS PGothic" w:hAnsi="MS PGothic"/>
                <w:sz w:val="11"/>
                <w:szCs w:val="11"/>
                <w:color w:val="auto"/>
                <w:w w:val="91"/>
              </w:rPr>
              <w:t>☐</w:t>
            </w:r>
          </w:p>
        </w:tc>
      </w:tr>
      <w:tr>
        <w:trPr>
          <w:trHeight w:val="157"/>
        </w:trPr>
        <w:tc>
          <w:tcPr>
            <w:tcW w:w="2980" w:type="dxa"/>
            <w:vAlign w:val="bottom"/>
          </w:tcPr>
          <w:p>
            <w:pPr>
              <w:spacing w:after="0"/>
              <w:rPr>
                <w:sz w:val="13"/>
                <w:szCs w:val="13"/>
                <w:color w:val="auto"/>
              </w:rPr>
            </w:pPr>
          </w:p>
        </w:tc>
        <w:tc>
          <w:tcPr>
            <w:tcW w:w="3680" w:type="dxa"/>
            <w:vAlign w:val="bottom"/>
          </w:tcPr>
          <w:p>
            <w:pPr>
              <w:ind w:left="1560"/>
              <w:spacing w:after="0"/>
              <w:rPr>
                <w:sz w:val="20"/>
                <w:szCs w:val="20"/>
                <w:color w:val="auto"/>
              </w:rPr>
            </w:pPr>
            <w:r>
              <w:rPr>
                <w:rFonts w:ascii="Arial" w:cs="Arial" w:eastAsia="Arial" w:hAnsi="Arial"/>
                <w:sz w:val="11"/>
                <w:szCs w:val="11"/>
                <w:color w:val="auto"/>
                <w:w w:val="88"/>
              </w:rPr>
              <w:t>by the International Accounting Standards Board</w:t>
            </w:r>
          </w:p>
        </w:tc>
        <w:tc>
          <w:tcPr>
            <w:tcW w:w="62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080" w:type="dxa"/>
            <w:vAlign w:val="bottom"/>
          </w:tcPr>
          <w:p>
            <w:pPr>
              <w:spacing w:after="0"/>
              <w:rPr>
                <w:sz w:val="13"/>
                <w:szCs w:val="13"/>
                <w:color w:val="auto"/>
              </w:rPr>
            </w:pPr>
          </w:p>
        </w:tc>
      </w:tr>
      <w:tr>
        <w:trPr>
          <w:trHeight w:val="167"/>
        </w:trPr>
        <w:tc>
          <w:tcPr>
            <w:tcW w:w="6660" w:type="dxa"/>
            <w:vAlign w:val="bottom"/>
            <w:gridSpan w:val="2"/>
          </w:tcPr>
          <w:p>
            <w:pPr>
              <w:spacing w:after="0"/>
              <w:rPr>
                <w:sz w:val="20"/>
                <w:szCs w:val="20"/>
                <w:color w:val="auto"/>
              </w:rPr>
            </w:pPr>
            <w:r>
              <w:rPr>
                <w:rFonts w:ascii="Arial" w:cs="Arial" w:eastAsia="Arial" w:hAnsi="Arial"/>
                <w:sz w:val="11"/>
                <w:szCs w:val="11"/>
                <w:color w:val="auto"/>
                <w:w w:val="88"/>
              </w:rPr>
              <w:t>If “Other” has been checked in response to the previous question indicate by check mark which financial statement item the registrant has elected to follow.</w:t>
            </w:r>
          </w:p>
        </w:tc>
        <w:tc>
          <w:tcPr>
            <w:tcW w:w="620" w:type="dxa"/>
            <w:vAlign w:val="bottom"/>
          </w:tcPr>
          <w:p>
            <w:pPr>
              <w:ind w:left="80"/>
              <w:spacing w:after="0" w:line="127" w:lineRule="exact"/>
              <w:rPr>
                <w:sz w:val="20"/>
                <w:szCs w:val="20"/>
                <w:color w:val="auto"/>
              </w:rPr>
            </w:pPr>
            <w:r>
              <w:rPr>
                <w:rFonts w:ascii="Arial" w:cs="Arial" w:eastAsia="Arial" w:hAnsi="Arial"/>
                <w:sz w:val="11"/>
                <w:szCs w:val="11"/>
                <w:color w:val="auto"/>
              </w:rPr>
              <w:t xml:space="preserve">Item 17 </w:t>
            </w:r>
            <w:r>
              <w:rPr>
                <w:rFonts w:ascii="MS PGothic" w:cs="MS PGothic" w:eastAsia="MS PGothic" w:hAnsi="MS PGothic"/>
                <w:sz w:val="11"/>
                <w:szCs w:val="11"/>
                <w:color w:val="auto"/>
              </w:rPr>
              <w:t>☐</w:t>
            </w:r>
          </w:p>
        </w:tc>
        <w:tc>
          <w:tcPr>
            <w:tcW w:w="3080" w:type="dxa"/>
            <w:vAlign w:val="bottom"/>
          </w:tcPr>
          <w:p>
            <w:pPr>
              <w:ind w:left="40"/>
              <w:spacing w:after="0" w:line="127" w:lineRule="exact"/>
              <w:rPr>
                <w:sz w:val="20"/>
                <w:szCs w:val="20"/>
                <w:color w:val="auto"/>
              </w:rPr>
            </w:pPr>
            <w:r>
              <w:rPr>
                <w:rFonts w:ascii="Arial" w:cs="Arial" w:eastAsia="Arial" w:hAnsi="Arial"/>
                <w:sz w:val="11"/>
                <w:szCs w:val="11"/>
                <w:color w:val="auto"/>
              </w:rPr>
              <w:t xml:space="preserve">Item 18 </w:t>
            </w:r>
            <w:r>
              <w:rPr>
                <w:rFonts w:ascii="MS PGothic" w:cs="MS PGothic" w:eastAsia="MS PGothic" w:hAnsi="MS PGothic"/>
                <w:sz w:val="11"/>
                <w:szCs w:val="11"/>
                <w:color w:val="auto"/>
              </w:rPr>
              <w:t>☐</w:t>
            </w:r>
          </w:p>
        </w:tc>
      </w:tr>
      <w:tr>
        <w:trPr>
          <w:trHeight w:val="170"/>
        </w:trPr>
        <w:tc>
          <w:tcPr>
            <w:tcW w:w="6660" w:type="dxa"/>
            <w:vAlign w:val="bottom"/>
            <w:gridSpan w:val="2"/>
          </w:tcPr>
          <w:p>
            <w:pPr>
              <w:spacing w:after="0" w:line="127" w:lineRule="exact"/>
              <w:rPr>
                <w:sz w:val="20"/>
                <w:szCs w:val="20"/>
                <w:color w:val="auto"/>
              </w:rPr>
            </w:pPr>
            <w:r>
              <w:rPr>
                <w:rFonts w:ascii="Arial" w:cs="Arial" w:eastAsia="Arial" w:hAnsi="Arial"/>
                <w:sz w:val="11"/>
                <w:szCs w:val="11"/>
                <w:color w:val="auto"/>
                <w:w w:val="89"/>
              </w:rPr>
              <w:t xml:space="preserve">If this is an annual report, indicate by check mark whether the registrant is a shell company (as defined in Rule 12b-2 of the Exchange Act).   Yes </w:t>
            </w:r>
            <w:r>
              <w:rPr>
                <w:rFonts w:ascii="MS PGothic" w:cs="MS PGothic" w:eastAsia="MS PGothic" w:hAnsi="MS PGothic"/>
                <w:sz w:val="11"/>
                <w:szCs w:val="11"/>
                <w:color w:val="auto"/>
                <w:w w:val="89"/>
              </w:rPr>
              <w:t>☐</w:t>
            </w:r>
            <w:r>
              <w:rPr>
                <w:rFonts w:ascii="Arial" w:cs="Arial" w:eastAsia="Arial" w:hAnsi="Arial"/>
                <w:sz w:val="11"/>
                <w:szCs w:val="11"/>
                <w:color w:val="auto"/>
                <w:w w:val="89"/>
              </w:rPr>
              <w:t xml:space="preserve">  No</w:t>
            </w:r>
          </w:p>
        </w:tc>
        <w:tc>
          <w:tcPr>
            <w:tcW w:w="62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080" w:type="dxa"/>
            <w:vAlign w:val="bottom"/>
          </w:tcPr>
          <w:p>
            <w:pPr>
              <w:spacing w:after="0"/>
              <w:rPr>
                <w:sz w:val="14"/>
                <w:szCs w:val="14"/>
                <w:color w:val="auto"/>
              </w:rPr>
            </w:pPr>
          </w:p>
        </w:tc>
      </w:tr>
    </w:tbl>
    <w:p>
      <w:pPr>
        <w:spacing w:after="0" w:line="15" w:lineRule="exact"/>
        <w:rPr>
          <w:sz w:val="20"/>
          <w:szCs w:val="20"/>
          <w:color w:val="auto"/>
        </w:rPr>
      </w:pPr>
    </w:p>
    <w:p>
      <w:pPr>
        <w:ind w:right="100"/>
        <w:spacing w:after="0" w:line="268" w:lineRule="auto"/>
        <w:tabs>
          <w:tab w:leader="none" w:pos="70" w:val="left"/>
        </w:tabs>
        <w:numPr>
          <w:ilvl w:val="0"/>
          <w:numId w:val="5"/>
        </w:numPr>
        <w:rPr>
          <w:rFonts w:ascii="Arial" w:cs="Arial" w:eastAsia="Arial" w:hAnsi="Arial"/>
          <w:sz w:val="9"/>
          <w:szCs w:val="9"/>
          <w:color w:val="auto"/>
        </w:rPr>
      </w:pPr>
      <w:r>
        <w:rPr>
          <w:rFonts w:ascii="Arial" w:cs="Arial" w:eastAsia="Arial" w:hAnsi="Arial"/>
          <w:sz w:val="9"/>
          <w:szCs w:val="9"/>
          <w:color w:val="auto"/>
        </w:rPr>
        <w:t>Listed not for trading or quotation purposes, but only in connection with the registration of American Depositary Shares representing such ordinary shares pursuant to the requirements of the Securities and Exchange Commission. The American Depositary Shares are registered under the Securities Act of 1933, as amended, pursuant to a separate registration statement on Form F-6 (File No. 333-233898).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678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716788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196850</wp:posOffset>
            </wp:positionV>
            <wp:extent cx="718058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60" w:type="dxa"/>
            <w:vAlign w:val="bottom"/>
            <w:gridSpan w:val="3"/>
          </w:tcPr>
          <w:p>
            <w:pPr>
              <w:jc w:val="center"/>
              <w:ind w:right="3440"/>
              <w:spacing w:after="0"/>
              <w:rPr>
                <w:sz w:val="20"/>
                <w:szCs w:val="20"/>
                <w:color w:val="auto"/>
              </w:rPr>
            </w:pPr>
            <w:r>
              <w:rPr>
                <w:rFonts w:ascii="Arial" w:cs="Arial" w:eastAsia="Arial" w:hAnsi="Arial"/>
                <w:sz w:val="13"/>
                <w:szCs w:val="13"/>
                <w:b w:val="1"/>
                <w:bCs w:val="1"/>
                <w:color w:val="auto"/>
              </w:rPr>
              <w:t>TABLE OF CONTENTS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0"/>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24"/>
                <w:szCs w:val="24"/>
                <w:color w:val="auto"/>
              </w:rPr>
            </w:pPr>
          </w:p>
        </w:tc>
      </w:tr>
      <w:tr>
        <w:trPr>
          <w:trHeight w:val="210"/>
        </w:trPr>
        <w:tc>
          <w:tcPr>
            <w:tcW w:w="1580" w:type="dxa"/>
            <w:vAlign w:val="bottom"/>
            <w:tcBorders>
              <w:bottom w:val="single" w:sz="8" w:color="0000EE"/>
            </w:tcBorders>
            <w:gridSpan w:val="2"/>
          </w:tcPr>
          <w:p>
            <w:pPr>
              <w:spacing w:after="0"/>
              <w:rPr>
                <w:rFonts w:ascii="Arial" w:cs="Arial" w:eastAsia="Arial" w:hAnsi="Arial"/>
                <w:sz w:val="13"/>
                <w:szCs w:val="13"/>
                <w:color w:val="0000EE"/>
                <w:w w:val="99"/>
              </w:rPr>
            </w:pPr>
            <w:hyperlink w:anchor="page5">
              <w:r>
                <w:rPr>
                  <w:rFonts w:ascii="Arial" w:cs="Arial" w:eastAsia="Arial" w:hAnsi="Arial"/>
                  <w:sz w:val="13"/>
                  <w:szCs w:val="13"/>
                  <w:color w:val="0000EE"/>
                  <w:w w:val="99"/>
                </w:rPr>
                <w:t>GENERAL INFORMATION</w:t>
              </w:r>
            </w:hyperlink>
          </w:p>
        </w:tc>
        <w:tc>
          <w:tcPr>
            <w:tcW w:w="8420" w:type="dxa"/>
            <w:vAlign w:val="bottom"/>
            <w:gridSpan w:val="34"/>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8"/>
                <w:szCs w:val="18"/>
                <w:color w:val="auto"/>
              </w:rPr>
            </w:pPr>
          </w:p>
        </w:tc>
      </w:tr>
      <w:tr>
        <w:trPr>
          <w:trHeight w:val="140"/>
        </w:trPr>
        <w:tc>
          <w:tcPr>
            <w:tcW w:w="10000" w:type="dxa"/>
            <w:vAlign w:val="bottom"/>
            <w:gridSpan w:val="36"/>
          </w:tcPr>
          <w:p>
            <w:pPr>
              <w:spacing w:after="0" w:line="140" w:lineRule="exact"/>
              <w:rPr>
                <w:rFonts w:ascii="Arial" w:cs="Arial" w:eastAsia="Arial" w:hAnsi="Arial"/>
                <w:sz w:val="13"/>
                <w:szCs w:val="13"/>
                <w:color w:val="0000EE"/>
              </w:rPr>
            </w:pPr>
            <w:hyperlink w:anchor="page6">
              <w:r>
                <w:rPr>
                  <w:rFonts w:ascii="Arial" w:cs="Arial" w:eastAsia="Arial" w:hAnsi="Arial"/>
                  <w:sz w:val="13"/>
                  <w:szCs w:val="13"/>
                  <w:color w:val="0000EE"/>
                </w:rPr>
                <w:t>CAUTIONARY STATEMENT REGARDING FORWARD-LOOKING STATEMENTS</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2"/>
                <w:szCs w:val="12"/>
                <w:color w:val="auto"/>
              </w:rPr>
            </w:pPr>
          </w:p>
        </w:tc>
      </w:tr>
      <w:tr>
        <w:trPr>
          <w:trHeight w:val="260"/>
        </w:trPr>
        <w:tc>
          <w:tcPr>
            <w:tcW w:w="1280" w:type="dxa"/>
            <w:vAlign w:val="bottom"/>
            <w:tcBorders>
              <w:top w:val="single" w:sz="8" w:color="0000EE"/>
            </w:tcBorders>
          </w:tcPr>
          <w:p>
            <w:pPr>
              <w:spacing w:after="0"/>
              <w:rPr>
                <w:sz w:val="20"/>
                <w:szCs w:val="20"/>
                <w:color w:val="auto"/>
              </w:rPr>
            </w:pPr>
            <w:r>
              <w:rPr>
                <w:rFonts w:ascii="Arial" w:cs="Arial" w:eastAsia="Arial" w:hAnsi="Arial"/>
                <w:sz w:val="13"/>
                <w:szCs w:val="13"/>
                <w:b w:val="1"/>
                <w:bCs w:val="1"/>
                <w:color w:val="auto"/>
              </w:rPr>
              <w:t>PART I</w:t>
            </w:r>
          </w:p>
        </w:tc>
        <w:tc>
          <w:tcPr>
            <w:tcW w:w="3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3"/>
                <w:szCs w:val="13"/>
                <w:color w:val="auto"/>
              </w:rPr>
              <w:t>ITEM 1.</w:t>
            </w:r>
          </w:p>
        </w:tc>
        <w:tc>
          <w:tcPr>
            <w:tcW w:w="8720" w:type="dxa"/>
            <w:vAlign w:val="bottom"/>
            <w:gridSpan w:val="35"/>
          </w:tcPr>
          <w:p>
            <w:pPr>
              <w:spacing w:after="0"/>
              <w:rPr>
                <w:rFonts w:ascii="Arial" w:cs="Arial" w:eastAsia="Arial" w:hAnsi="Arial"/>
                <w:sz w:val="13"/>
                <w:szCs w:val="13"/>
                <w:color w:val="0000EE"/>
              </w:rPr>
            </w:pPr>
            <w:hyperlink w:anchor="page8">
              <w:r>
                <w:rPr>
                  <w:rFonts w:ascii="Arial" w:cs="Arial" w:eastAsia="Arial" w:hAnsi="Arial"/>
                  <w:sz w:val="13"/>
                  <w:szCs w:val="13"/>
                  <w:color w:val="0000EE"/>
                </w:rPr>
                <w:t>IDENTITY OF DIRECTORS, SENIOR MANAGEMENT AND ADVISERS</w:t>
              </w:r>
            </w:hyperlink>
          </w:p>
        </w:tc>
        <w:tc>
          <w:tcPr>
            <w:tcW w:w="128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2.</w:t>
            </w:r>
          </w:p>
        </w:tc>
        <w:tc>
          <w:tcPr>
            <w:tcW w:w="2980" w:type="dxa"/>
            <w:vAlign w:val="bottom"/>
            <w:tcBorders>
              <w:top w:val="single" w:sz="8" w:color="0000EE"/>
              <w:bottom w:val="single" w:sz="8" w:color="0000EE"/>
            </w:tcBorders>
            <w:gridSpan w:val="28"/>
          </w:tcPr>
          <w:p>
            <w:pPr>
              <w:spacing w:after="0"/>
              <w:rPr>
                <w:rFonts w:ascii="Arial" w:cs="Arial" w:eastAsia="Arial" w:hAnsi="Arial"/>
                <w:sz w:val="13"/>
                <w:szCs w:val="13"/>
                <w:color w:val="0000EE"/>
                <w:w w:val="97"/>
              </w:rPr>
            </w:pPr>
            <w:hyperlink w:anchor="page8">
              <w:r>
                <w:rPr>
                  <w:rFonts w:ascii="Arial" w:cs="Arial" w:eastAsia="Arial" w:hAnsi="Arial"/>
                  <w:sz w:val="13"/>
                  <w:szCs w:val="13"/>
                  <w:color w:val="0000EE"/>
                  <w:w w:val="97"/>
                </w:rPr>
                <w:t>OFFER STATISTICS AND EXPECTED TIMETABLE</w:t>
              </w:r>
            </w:hyperlink>
          </w:p>
        </w:tc>
        <w:tc>
          <w:tcPr>
            <w:tcW w:w="1160" w:type="dxa"/>
            <w:vAlign w:val="bottom"/>
            <w:tcBorders>
              <w:top w:val="single" w:sz="8" w:color="0000EE"/>
            </w:tcBorders>
            <w:gridSpan w:val="6"/>
          </w:tcPr>
          <w:p>
            <w:pPr>
              <w:spacing w:after="0"/>
              <w:rPr>
                <w:sz w:val="19"/>
                <w:szCs w:val="19"/>
                <w:color w:val="auto"/>
              </w:rPr>
            </w:pPr>
          </w:p>
        </w:tc>
        <w:tc>
          <w:tcPr>
            <w:tcW w:w="45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2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3.</w:t>
            </w:r>
          </w:p>
        </w:tc>
        <w:tc>
          <w:tcPr>
            <w:tcW w:w="1240" w:type="dxa"/>
            <w:vAlign w:val="bottom"/>
            <w:tcBorders>
              <w:bottom w:val="single" w:sz="8" w:color="0000EE"/>
            </w:tcBorders>
            <w:gridSpan w:val="11"/>
          </w:tcPr>
          <w:p>
            <w:pPr>
              <w:spacing w:after="0"/>
              <w:rPr>
                <w:rFonts w:ascii="Arial" w:cs="Arial" w:eastAsia="Arial" w:hAnsi="Arial"/>
                <w:sz w:val="13"/>
                <w:szCs w:val="13"/>
                <w:color w:val="0000EE"/>
              </w:rPr>
            </w:pPr>
            <w:hyperlink w:anchor="page8">
              <w:r>
                <w:rPr>
                  <w:rFonts w:ascii="Arial" w:cs="Arial" w:eastAsia="Arial" w:hAnsi="Arial"/>
                  <w:sz w:val="13"/>
                  <w:szCs w:val="13"/>
                  <w:color w:val="0000EE"/>
                </w:rPr>
                <w:t>KEY INFORMATION</w:t>
              </w:r>
            </w:hyperlink>
          </w:p>
        </w:tc>
        <w:tc>
          <w:tcPr>
            <w:tcW w:w="7480" w:type="dxa"/>
            <w:vAlign w:val="bottom"/>
            <w:gridSpan w:val="24"/>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20" w:type="dxa"/>
            <w:vAlign w:val="bottom"/>
          </w:tcPr>
          <w:p>
            <w:pPr>
              <w:spacing w:after="0"/>
              <w:rPr>
                <w:sz w:val="19"/>
                <w:szCs w:val="19"/>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8">
              <w:r>
                <w:rPr>
                  <w:rFonts w:ascii="Arial" w:cs="Arial" w:eastAsia="Arial" w:hAnsi="Arial"/>
                  <w:sz w:val="13"/>
                  <w:szCs w:val="13"/>
                  <w:color w:val="0000EE"/>
                </w:rPr>
                <w:t>A. Selected Consolidated Financial Data</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82"/>
              </w:rPr>
              <w:t>6</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1860" w:type="dxa"/>
            <w:vAlign w:val="bottom"/>
            <w:tcBorders>
              <w:top w:val="single" w:sz="8" w:color="0000EE"/>
              <w:bottom w:val="single" w:sz="8" w:color="0000EE"/>
            </w:tcBorders>
            <w:gridSpan w:val="20"/>
          </w:tcPr>
          <w:p>
            <w:pPr>
              <w:spacing w:after="0" w:line="140" w:lineRule="exact"/>
              <w:rPr>
                <w:rFonts w:ascii="Arial" w:cs="Arial" w:eastAsia="Arial" w:hAnsi="Arial"/>
                <w:sz w:val="13"/>
                <w:szCs w:val="13"/>
                <w:color w:val="0000EE"/>
                <w:w w:val="91"/>
              </w:rPr>
            </w:pPr>
            <w:hyperlink w:anchor="page10">
              <w:r>
                <w:rPr>
                  <w:rFonts w:ascii="Arial" w:cs="Arial" w:eastAsia="Arial" w:hAnsi="Arial"/>
                  <w:sz w:val="13"/>
                  <w:szCs w:val="13"/>
                  <w:color w:val="0000EE"/>
                  <w:w w:val="91"/>
                </w:rPr>
                <w:t>B. Capitalization and Indebtedness</w:t>
              </w:r>
            </w:hyperlink>
          </w:p>
        </w:tc>
        <w:tc>
          <w:tcPr>
            <w:tcW w:w="300" w:type="dxa"/>
            <w:vAlign w:val="bottom"/>
            <w:tcBorders>
              <w:top w:val="single" w:sz="8" w:color="0000EE"/>
            </w:tcBorders>
            <w:gridSpan w:val="4"/>
          </w:tcPr>
          <w:p>
            <w:pPr>
              <w:spacing w:after="0"/>
              <w:rPr>
                <w:sz w:val="12"/>
                <w:szCs w:val="12"/>
                <w:color w:val="auto"/>
              </w:rPr>
            </w:pPr>
          </w:p>
        </w:tc>
        <w:tc>
          <w:tcPr>
            <w:tcW w:w="6560" w:type="dxa"/>
            <w:vAlign w:val="bottom"/>
            <w:gridSpan w:val="11"/>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82"/>
              </w:rPr>
              <w:t>8</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10">
              <w:r>
                <w:rPr>
                  <w:rFonts w:ascii="Arial" w:cs="Arial" w:eastAsia="Arial" w:hAnsi="Arial"/>
                  <w:sz w:val="13"/>
                  <w:szCs w:val="13"/>
                  <w:color w:val="0000EE"/>
                </w:rPr>
                <w:t>C. Reasons for the Offer and Use of Proceeds</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82"/>
              </w:rPr>
              <w:t>8</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40" w:type="dxa"/>
            <w:vAlign w:val="bottom"/>
            <w:tcBorders>
              <w:top w:val="single" w:sz="8" w:color="0000EE"/>
              <w:bottom w:val="single" w:sz="8" w:color="0000EE"/>
            </w:tcBorders>
            <w:gridSpan w:val="5"/>
          </w:tcPr>
          <w:p>
            <w:pPr>
              <w:spacing w:after="0" w:line="140" w:lineRule="exact"/>
              <w:rPr>
                <w:rFonts w:ascii="Arial" w:cs="Arial" w:eastAsia="Arial" w:hAnsi="Arial"/>
                <w:sz w:val="13"/>
                <w:szCs w:val="13"/>
                <w:color w:val="0000EE"/>
                <w:w w:val="92"/>
              </w:rPr>
            </w:pPr>
            <w:hyperlink w:anchor="page10">
              <w:r>
                <w:rPr>
                  <w:rFonts w:ascii="Arial" w:cs="Arial" w:eastAsia="Arial" w:hAnsi="Arial"/>
                  <w:sz w:val="13"/>
                  <w:szCs w:val="13"/>
                  <w:color w:val="0000EE"/>
                  <w:w w:val="92"/>
                </w:rPr>
                <w:t>D. Risk Factors</w:t>
              </w:r>
            </w:hyperlink>
          </w:p>
        </w:tc>
        <w:tc>
          <w:tcPr>
            <w:tcW w:w="1580" w:type="dxa"/>
            <w:vAlign w:val="bottom"/>
            <w:tcBorders>
              <w:top w:val="single" w:sz="8" w:color="0000EE"/>
            </w:tcBorders>
            <w:gridSpan w:val="20"/>
          </w:tcPr>
          <w:p>
            <w:pPr>
              <w:spacing w:after="0"/>
              <w:rPr>
                <w:sz w:val="12"/>
                <w:szCs w:val="12"/>
                <w:color w:val="auto"/>
              </w:rPr>
            </w:pPr>
          </w:p>
        </w:tc>
        <w:tc>
          <w:tcPr>
            <w:tcW w:w="6300" w:type="dxa"/>
            <w:vAlign w:val="bottom"/>
            <w:gridSpan w:val="10"/>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82"/>
              </w:rPr>
              <w:t>8</w:t>
            </w:r>
          </w:p>
        </w:tc>
        <w:tc>
          <w:tcPr>
            <w:tcW w:w="20" w:type="dxa"/>
            <w:vAlign w:val="bottom"/>
          </w:tcPr>
          <w:p>
            <w:pPr>
              <w:spacing w:after="0"/>
              <w:rPr>
                <w:sz w:val="12"/>
                <w:szCs w:val="12"/>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4.</w:t>
            </w:r>
          </w:p>
        </w:tc>
        <w:tc>
          <w:tcPr>
            <w:tcW w:w="8720" w:type="dxa"/>
            <w:vAlign w:val="bottom"/>
            <w:gridSpan w:val="35"/>
          </w:tcPr>
          <w:p>
            <w:pPr>
              <w:spacing w:after="0"/>
              <w:rPr>
                <w:rFonts w:ascii="Arial" w:cs="Arial" w:eastAsia="Arial" w:hAnsi="Arial"/>
                <w:sz w:val="13"/>
                <w:szCs w:val="13"/>
                <w:color w:val="0000EE"/>
              </w:rPr>
            </w:pPr>
            <w:hyperlink w:anchor="page83">
              <w:r>
                <w:rPr>
                  <w:rFonts w:ascii="Arial" w:cs="Arial" w:eastAsia="Arial" w:hAnsi="Arial"/>
                  <w:sz w:val="13"/>
                  <w:szCs w:val="13"/>
                  <w:color w:val="0000EE"/>
                </w:rPr>
                <w:t>INFORMATION ON THE COMPANY</w:t>
              </w:r>
            </w:hyperlink>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81</w:t>
            </w:r>
          </w:p>
        </w:tc>
        <w:tc>
          <w:tcPr>
            <w:tcW w:w="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2440" w:type="dxa"/>
            <w:vAlign w:val="bottom"/>
            <w:tcBorders>
              <w:bottom w:val="single" w:sz="8" w:color="0000EE"/>
            </w:tcBorders>
            <w:gridSpan w:val="26"/>
          </w:tcPr>
          <w:p>
            <w:pPr>
              <w:spacing w:after="0" w:line="140" w:lineRule="exact"/>
              <w:rPr>
                <w:rFonts w:ascii="Arial" w:cs="Arial" w:eastAsia="Arial" w:hAnsi="Arial"/>
                <w:sz w:val="13"/>
                <w:szCs w:val="13"/>
                <w:color w:val="0000EE"/>
                <w:w w:val="94"/>
              </w:rPr>
            </w:pPr>
            <w:hyperlink w:anchor="page83">
              <w:r>
                <w:rPr>
                  <w:rFonts w:ascii="Arial" w:cs="Arial" w:eastAsia="Arial" w:hAnsi="Arial"/>
                  <w:sz w:val="13"/>
                  <w:szCs w:val="13"/>
                  <w:color w:val="0000EE"/>
                  <w:w w:val="94"/>
                </w:rPr>
                <w:t>A. History and Development of the Company</w:t>
              </w:r>
            </w:hyperlink>
          </w:p>
        </w:tc>
        <w:tc>
          <w:tcPr>
            <w:tcW w:w="6280" w:type="dxa"/>
            <w:vAlign w:val="bottom"/>
            <w:gridSpan w:val="9"/>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6"/>
              </w:rPr>
              <w:t>81</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83">
              <w:r>
                <w:rPr>
                  <w:rFonts w:ascii="Arial" w:cs="Arial" w:eastAsia="Arial" w:hAnsi="Arial"/>
                  <w:sz w:val="13"/>
                  <w:szCs w:val="13"/>
                  <w:color w:val="0000EE"/>
                </w:rPr>
                <w:t>B. Business Overview</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6"/>
              </w:rPr>
              <w:t>81</w:t>
            </w: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193">
              <w:r>
                <w:rPr>
                  <w:rFonts w:ascii="Arial" w:cs="Arial" w:eastAsia="Arial" w:hAnsi="Arial"/>
                  <w:sz w:val="13"/>
                  <w:szCs w:val="13"/>
                  <w:color w:val="0000EE"/>
                </w:rPr>
                <w:t>C. Organizational Structure</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191</w:t>
            </w: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1800" w:type="dxa"/>
            <w:vAlign w:val="bottom"/>
            <w:tcBorders>
              <w:bottom w:val="single" w:sz="8" w:color="0000EE"/>
            </w:tcBorders>
            <w:gridSpan w:val="19"/>
          </w:tcPr>
          <w:p>
            <w:pPr>
              <w:spacing w:after="0" w:line="140" w:lineRule="exact"/>
              <w:rPr>
                <w:rFonts w:ascii="Arial" w:cs="Arial" w:eastAsia="Arial" w:hAnsi="Arial"/>
                <w:sz w:val="13"/>
                <w:szCs w:val="13"/>
                <w:color w:val="0000EE"/>
                <w:w w:val="91"/>
              </w:rPr>
            </w:pPr>
            <w:hyperlink w:anchor="page193">
              <w:r>
                <w:rPr>
                  <w:rFonts w:ascii="Arial" w:cs="Arial" w:eastAsia="Arial" w:hAnsi="Arial"/>
                  <w:sz w:val="13"/>
                  <w:szCs w:val="13"/>
                  <w:color w:val="0000EE"/>
                  <w:w w:val="91"/>
                </w:rPr>
                <w:t>D. Property, Plant and Equipment</w:t>
              </w:r>
            </w:hyperlink>
          </w:p>
        </w:tc>
        <w:tc>
          <w:tcPr>
            <w:tcW w:w="6920" w:type="dxa"/>
            <w:vAlign w:val="bottom"/>
            <w:gridSpan w:val="16"/>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191</w:t>
            </w:r>
          </w:p>
        </w:tc>
        <w:tc>
          <w:tcPr>
            <w:tcW w:w="20" w:type="dxa"/>
            <w:vAlign w:val="bottom"/>
          </w:tcPr>
          <w:p>
            <w:pPr>
              <w:spacing w:after="0"/>
              <w:rPr>
                <w:sz w:val="12"/>
                <w:szCs w:val="12"/>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4A.</w:t>
            </w:r>
          </w:p>
        </w:tc>
        <w:tc>
          <w:tcPr>
            <w:tcW w:w="8720" w:type="dxa"/>
            <w:vAlign w:val="bottom"/>
            <w:gridSpan w:val="35"/>
          </w:tcPr>
          <w:p>
            <w:pPr>
              <w:spacing w:after="0"/>
              <w:rPr>
                <w:rFonts w:ascii="Arial" w:cs="Arial" w:eastAsia="Arial" w:hAnsi="Arial"/>
                <w:sz w:val="13"/>
                <w:szCs w:val="13"/>
                <w:color w:val="0000EE"/>
              </w:rPr>
            </w:pPr>
            <w:hyperlink w:anchor="page194">
              <w:r>
                <w:rPr>
                  <w:rFonts w:ascii="Arial" w:cs="Arial" w:eastAsia="Arial" w:hAnsi="Arial"/>
                  <w:sz w:val="13"/>
                  <w:szCs w:val="13"/>
                  <w:color w:val="0000EE"/>
                </w:rPr>
                <w:t>UNRESOLVED STAFF COMMENTS</w:t>
              </w:r>
            </w:hyperlink>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192</w:t>
            </w:r>
          </w:p>
        </w:tc>
        <w:tc>
          <w:tcPr>
            <w:tcW w:w="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1280" w:type="dxa"/>
            <w:vAlign w:val="bottom"/>
          </w:tcPr>
          <w:p>
            <w:pPr>
              <w:spacing w:after="0"/>
              <w:rPr>
                <w:sz w:val="20"/>
                <w:szCs w:val="20"/>
                <w:color w:val="auto"/>
              </w:rPr>
            </w:pPr>
            <w:r>
              <w:rPr>
                <w:rFonts w:ascii="Arial" w:cs="Arial" w:eastAsia="Arial" w:hAnsi="Arial"/>
                <w:sz w:val="13"/>
                <w:szCs w:val="13"/>
                <w:color w:val="auto"/>
              </w:rPr>
              <w:t>ITEM 5.</w:t>
            </w:r>
          </w:p>
        </w:tc>
        <w:tc>
          <w:tcPr>
            <w:tcW w:w="3460" w:type="dxa"/>
            <w:vAlign w:val="bottom"/>
            <w:tcBorders>
              <w:bottom w:val="single" w:sz="8" w:color="0000EE"/>
            </w:tcBorders>
            <w:gridSpan w:val="32"/>
          </w:tcPr>
          <w:p>
            <w:pPr>
              <w:spacing w:after="0"/>
              <w:rPr>
                <w:rFonts w:ascii="Arial" w:cs="Arial" w:eastAsia="Arial" w:hAnsi="Arial"/>
                <w:sz w:val="13"/>
                <w:szCs w:val="13"/>
                <w:color w:val="0000EE"/>
                <w:w w:val="98"/>
              </w:rPr>
            </w:pPr>
            <w:hyperlink w:anchor="page195">
              <w:r>
                <w:rPr>
                  <w:rFonts w:ascii="Arial" w:cs="Arial" w:eastAsia="Arial" w:hAnsi="Arial"/>
                  <w:sz w:val="13"/>
                  <w:szCs w:val="13"/>
                  <w:color w:val="0000EE"/>
                  <w:w w:val="98"/>
                </w:rPr>
                <w:t>OPERATING AND FINANCIAL REVIEW AND PROSPECTS</w:t>
              </w:r>
            </w:hyperlink>
          </w:p>
        </w:tc>
        <w:tc>
          <w:tcPr>
            <w:tcW w:w="5260" w:type="dxa"/>
            <w:vAlign w:val="bottom"/>
            <w:gridSpan w:val="3"/>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193</w:t>
            </w:r>
          </w:p>
        </w:tc>
        <w:tc>
          <w:tcPr>
            <w:tcW w:w="20" w:type="dxa"/>
            <w:vAlign w:val="bottom"/>
          </w:tcPr>
          <w:p>
            <w:pPr>
              <w:spacing w:after="0"/>
              <w:rPr>
                <w:sz w:val="24"/>
                <w:szCs w:val="24"/>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195">
              <w:r>
                <w:rPr>
                  <w:rFonts w:ascii="Arial" w:cs="Arial" w:eastAsia="Arial" w:hAnsi="Arial"/>
                  <w:sz w:val="13"/>
                  <w:szCs w:val="13"/>
                  <w:color w:val="0000EE"/>
                </w:rPr>
                <w:t>A. Operating Results</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193</w:t>
            </w: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09">
              <w:r>
                <w:rPr>
                  <w:rFonts w:ascii="Arial" w:cs="Arial" w:eastAsia="Arial" w:hAnsi="Arial"/>
                  <w:sz w:val="13"/>
                  <w:szCs w:val="13"/>
                  <w:color w:val="0000EE"/>
                </w:rPr>
                <w:t>B. Research and Development, Patents and Licenses, etc</w:t>
              </w:r>
            </w:hyperlink>
            <w:r>
              <w:rPr>
                <w:rFonts w:ascii="Arial" w:cs="Arial" w:eastAsia="Arial" w:hAnsi="Arial"/>
                <w:sz w:val="13"/>
                <w:szCs w:val="13"/>
                <w:u w:val="single" w:color="auto"/>
                <w:color w:val="000000"/>
              </w:rPr>
              <w:t>.</w:t>
            </w: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207</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9"/>
          </w:tcPr>
          <w:p>
            <w:pPr>
              <w:spacing w:after="0" w:line="140" w:lineRule="exact"/>
              <w:rPr>
                <w:rFonts w:ascii="Arial" w:cs="Arial" w:eastAsia="Arial" w:hAnsi="Arial"/>
                <w:sz w:val="13"/>
                <w:szCs w:val="13"/>
                <w:color w:val="0000EE"/>
                <w:w w:val="95"/>
              </w:rPr>
            </w:pPr>
            <w:hyperlink w:anchor="page209">
              <w:r>
                <w:rPr>
                  <w:rFonts w:ascii="Arial" w:cs="Arial" w:eastAsia="Arial" w:hAnsi="Arial"/>
                  <w:sz w:val="13"/>
                  <w:szCs w:val="13"/>
                  <w:color w:val="0000EE"/>
                  <w:w w:val="95"/>
                </w:rPr>
                <w:t>C. Trend Information</w:t>
              </w:r>
            </w:hyperlink>
          </w:p>
        </w:tc>
        <w:tc>
          <w:tcPr>
            <w:tcW w:w="1840" w:type="dxa"/>
            <w:vAlign w:val="bottom"/>
            <w:tcBorders>
              <w:top w:val="single" w:sz="8" w:color="0000EE"/>
            </w:tcBorders>
            <w:gridSpan w:val="20"/>
          </w:tcPr>
          <w:p>
            <w:pPr>
              <w:spacing w:after="0"/>
              <w:rPr>
                <w:sz w:val="12"/>
                <w:szCs w:val="12"/>
                <w:color w:val="auto"/>
              </w:rPr>
            </w:pPr>
          </w:p>
        </w:tc>
        <w:tc>
          <w:tcPr>
            <w:tcW w:w="5700" w:type="dxa"/>
            <w:vAlign w:val="bottom"/>
            <w:gridSpan w:val="6"/>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207</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09">
              <w:r>
                <w:rPr>
                  <w:rFonts w:ascii="Arial" w:cs="Arial" w:eastAsia="Arial" w:hAnsi="Arial"/>
                  <w:sz w:val="13"/>
                  <w:szCs w:val="13"/>
                  <w:color w:val="0000EE"/>
                </w:rPr>
                <w:t>D. Liquidity and Capital Resources</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207</w:t>
            </w: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12">
              <w:r>
                <w:rPr>
                  <w:rFonts w:ascii="Arial" w:cs="Arial" w:eastAsia="Arial" w:hAnsi="Arial"/>
                  <w:sz w:val="13"/>
                  <w:szCs w:val="13"/>
                  <w:color w:val="0000EE"/>
                </w:rPr>
                <w:t>E. Off-Balance Sheet Arrangements</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210</w:t>
            </w: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2600" w:type="dxa"/>
            <w:vAlign w:val="bottom"/>
            <w:tcBorders>
              <w:bottom w:val="single" w:sz="8" w:color="0000EE"/>
            </w:tcBorders>
            <w:gridSpan w:val="27"/>
          </w:tcPr>
          <w:p>
            <w:pPr>
              <w:spacing w:after="0" w:line="140" w:lineRule="exact"/>
              <w:rPr>
                <w:rFonts w:ascii="Arial" w:cs="Arial" w:eastAsia="Arial" w:hAnsi="Arial"/>
                <w:sz w:val="13"/>
                <w:szCs w:val="13"/>
                <w:color w:val="0000EE"/>
                <w:w w:val="93"/>
              </w:rPr>
            </w:pPr>
            <w:hyperlink w:anchor="page213">
              <w:r>
                <w:rPr>
                  <w:rFonts w:ascii="Arial" w:cs="Arial" w:eastAsia="Arial" w:hAnsi="Arial"/>
                  <w:sz w:val="13"/>
                  <w:szCs w:val="13"/>
                  <w:color w:val="0000EE"/>
                  <w:w w:val="93"/>
                </w:rPr>
                <w:t>F. Tabular Disclosure of Contractual Obligations</w:t>
              </w:r>
            </w:hyperlink>
          </w:p>
        </w:tc>
        <w:tc>
          <w:tcPr>
            <w:tcW w:w="6120" w:type="dxa"/>
            <w:vAlign w:val="bottom"/>
            <w:gridSpan w:val="8"/>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82"/>
              </w:rPr>
              <w:t>211</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20" w:type="dxa"/>
            <w:vAlign w:val="bottom"/>
            <w:tcBorders>
              <w:bottom w:val="single" w:sz="8" w:color="0000EE"/>
            </w:tcBorders>
            <w:gridSpan w:val="4"/>
          </w:tcPr>
          <w:p>
            <w:pPr>
              <w:spacing w:after="0" w:line="140" w:lineRule="exact"/>
              <w:rPr>
                <w:rFonts w:ascii="Arial" w:cs="Arial" w:eastAsia="Arial" w:hAnsi="Arial"/>
                <w:sz w:val="13"/>
                <w:szCs w:val="13"/>
                <w:color w:val="0000EE"/>
                <w:w w:val="91"/>
              </w:rPr>
            </w:pPr>
            <w:hyperlink w:anchor="page213">
              <w:r>
                <w:rPr>
                  <w:rFonts w:ascii="Arial" w:cs="Arial" w:eastAsia="Arial" w:hAnsi="Arial"/>
                  <w:sz w:val="13"/>
                  <w:szCs w:val="13"/>
                  <w:color w:val="0000EE"/>
                  <w:w w:val="91"/>
                </w:rPr>
                <w:t>G. Safe Harbor</w:t>
              </w:r>
            </w:hyperlink>
          </w:p>
        </w:tc>
        <w:tc>
          <w:tcPr>
            <w:tcW w:w="7900" w:type="dxa"/>
            <w:vAlign w:val="bottom"/>
            <w:gridSpan w:val="31"/>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82"/>
              </w:rPr>
              <w:t>211</w:t>
            </w:r>
          </w:p>
        </w:tc>
        <w:tc>
          <w:tcPr>
            <w:tcW w:w="20" w:type="dxa"/>
            <w:vAlign w:val="bottom"/>
          </w:tcPr>
          <w:p>
            <w:pPr>
              <w:spacing w:after="0"/>
              <w:rPr>
                <w:sz w:val="12"/>
                <w:szCs w:val="12"/>
                <w:color w:val="auto"/>
              </w:rPr>
            </w:pPr>
          </w:p>
        </w:tc>
      </w:tr>
      <w:tr>
        <w:trPr>
          <w:trHeight w:val="390"/>
        </w:trPr>
        <w:tc>
          <w:tcPr>
            <w:tcW w:w="1280" w:type="dxa"/>
            <w:vAlign w:val="bottom"/>
          </w:tcPr>
          <w:p>
            <w:pPr>
              <w:spacing w:after="0"/>
              <w:rPr>
                <w:sz w:val="20"/>
                <w:szCs w:val="20"/>
                <w:color w:val="auto"/>
              </w:rPr>
            </w:pPr>
            <w:r>
              <w:rPr>
                <w:rFonts w:ascii="Arial" w:cs="Arial" w:eastAsia="Arial" w:hAnsi="Arial"/>
                <w:sz w:val="13"/>
                <w:szCs w:val="13"/>
                <w:color w:val="auto"/>
              </w:rPr>
              <w:t>ITEM 6.</w:t>
            </w:r>
          </w:p>
        </w:tc>
        <w:tc>
          <w:tcPr>
            <w:tcW w:w="8720" w:type="dxa"/>
            <w:vAlign w:val="bottom"/>
            <w:gridSpan w:val="35"/>
          </w:tcPr>
          <w:p>
            <w:pPr>
              <w:spacing w:after="0"/>
              <w:rPr>
                <w:rFonts w:ascii="Arial" w:cs="Arial" w:eastAsia="Arial" w:hAnsi="Arial"/>
                <w:sz w:val="13"/>
                <w:szCs w:val="13"/>
                <w:color w:val="0000EE"/>
              </w:rPr>
            </w:pPr>
            <w:hyperlink w:anchor="page214">
              <w:r>
                <w:rPr>
                  <w:rFonts w:ascii="Arial" w:cs="Arial" w:eastAsia="Arial" w:hAnsi="Arial"/>
                  <w:sz w:val="13"/>
                  <w:szCs w:val="13"/>
                  <w:color w:val="0000EE"/>
                </w:rPr>
                <w:t>DIRECTORS, SENIOR MANAGEMENT AND EMPLOYEES</w:t>
              </w:r>
            </w:hyperlink>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212</w:t>
            </w:r>
          </w:p>
        </w:tc>
        <w:tc>
          <w:tcPr>
            <w:tcW w:w="20" w:type="dxa"/>
            <w:vAlign w:val="bottom"/>
          </w:tcPr>
          <w:p>
            <w:pPr>
              <w:spacing w:after="0"/>
              <w:rPr>
                <w:sz w:val="24"/>
                <w:szCs w:val="24"/>
                <w:color w:val="auto"/>
              </w:rPr>
            </w:pPr>
          </w:p>
        </w:tc>
      </w:tr>
      <w:tr>
        <w:trPr>
          <w:trHeight w:val="140"/>
        </w:trPr>
        <w:tc>
          <w:tcPr>
            <w:tcW w:w="128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22"/>
          </w:tcPr>
          <w:p>
            <w:pPr>
              <w:spacing w:after="0" w:line="140" w:lineRule="exact"/>
              <w:rPr>
                <w:rFonts w:ascii="Arial" w:cs="Arial" w:eastAsia="Arial" w:hAnsi="Arial"/>
                <w:sz w:val="13"/>
                <w:szCs w:val="13"/>
                <w:color w:val="0000EE"/>
                <w:w w:val="92"/>
              </w:rPr>
            </w:pPr>
            <w:hyperlink w:anchor="page214">
              <w:r>
                <w:rPr>
                  <w:rFonts w:ascii="Arial" w:cs="Arial" w:eastAsia="Arial" w:hAnsi="Arial"/>
                  <w:sz w:val="13"/>
                  <w:szCs w:val="13"/>
                  <w:color w:val="0000EE"/>
                  <w:w w:val="92"/>
                </w:rPr>
                <w:t>A. Directors and Senior Management</w:t>
              </w:r>
            </w:hyperlink>
          </w:p>
        </w:tc>
        <w:tc>
          <w:tcPr>
            <w:tcW w:w="1420" w:type="dxa"/>
            <w:vAlign w:val="bottom"/>
            <w:tcBorders>
              <w:top w:val="single" w:sz="8" w:color="0000EE"/>
            </w:tcBorders>
            <w:gridSpan w:val="9"/>
          </w:tcPr>
          <w:p>
            <w:pPr>
              <w:spacing w:after="0"/>
              <w:rPr>
                <w:sz w:val="12"/>
                <w:szCs w:val="12"/>
                <w:color w:val="auto"/>
              </w:rPr>
            </w:pPr>
          </w:p>
        </w:tc>
        <w:tc>
          <w:tcPr>
            <w:tcW w:w="5300" w:type="dxa"/>
            <w:vAlign w:val="bottom"/>
            <w:gridSpan w:val="4"/>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212</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16">
              <w:r>
                <w:rPr>
                  <w:rFonts w:ascii="Arial" w:cs="Arial" w:eastAsia="Arial" w:hAnsi="Arial"/>
                  <w:sz w:val="13"/>
                  <w:szCs w:val="13"/>
                  <w:color w:val="0000EE"/>
                </w:rPr>
                <w:t>B. Compensation</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214</w:t>
            </w: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1000" w:type="dxa"/>
            <w:vAlign w:val="bottom"/>
            <w:tcBorders>
              <w:bottom w:val="single" w:sz="8" w:color="0000EE"/>
            </w:tcBorders>
            <w:gridSpan w:val="7"/>
          </w:tcPr>
          <w:p>
            <w:pPr>
              <w:spacing w:after="0" w:line="140" w:lineRule="exact"/>
              <w:rPr>
                <w:rFonts w:ascii="Arial" w:cs="Arial" w:eastAsia="Arial" w:hAnsi="Arial"/>
                <w:sz w:val="13"/>
                <w:szCs w:val="13"/>
                <w:color w:val="0000EE"/>
                <w:w w:val="90"/>
              </w:rPr>
            </w:pPr>
            <w:hyperlink w:anchor="page219">
              <w:r>
                <w:rPr>
                  <w:rFonts w:ascii="Arial" w:cs="Arial" w:eastAsia="Arial" w:hAnsi="Arial"/>
                  <w:sz w:val="13"/>
                  <w:szCs w:val="13"/>
                  <w:color w:val="0000EE"/>
                  <w:w w:val="90"/>
                </w:rPr>
                <w:t>C. Board Practices</w:t>
              </w:r>
            </w:hyperlink>
          </w:p>
        </w:tc>
        <w:tc>
          <w:tcPr>
            <w:tcW w:w="7720" w:type="dxa"/>
            <w:vAlign w:val="bottom"/>
            <w:gridSpan w:val="28"/>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217</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760" w:type="dxa"/>
            <w:vAlign w:val="bottom"/>
            <w:tcBorders>
              <w:bottom w:val="single" w:sz="8" w:color="0000EE"/>
            </w:tcBorders>
            <w:gridSpan w:val="3"/>
          </w:tcPr>
          <w:p>
            <w:pPr>
              <w:spacing w:after="0" w:line="140" w:lineRule="exact"/>
              <w:rPr>
                <w:rFonts w:ascii="Arial" w:cs="Arial" w:eastAsia="Arial" w:hAnsi="Arial"/>
                <w:sz w:val="13"/>
                <w:szCs w:val="13"/>
                <w:color w:val="0000EE"/>
                <w:w w:val="91"/>
              </w:rPr>
            </w:pPr>
            <w:hyperlink w:anchor="page224">
              <w:r>
                <w:rPr>
                  <w:rFonts w:ascii="Arial" w:cs="Arial" w:eastAsia="Arial" w:hAnsi="Arial"/>
                  <w:sz w:val="13"/>
                  <w:szCs w:val="13"/>
                  <w:color w:val="0000EE"/>
                  <w:w w:val="91"/>
                </w:rPr>
                <w:t>D. Employees</w:t>
              </w:r>
            </w:hyperlink>
          </w:p>
        </w:tc>
        <w:tc>
          <w:tcPr>
            <w:tcW w:w="7960" w:type="dxa"/>
            <w:vAlign w:val="bottom"/>
            <w:gridSpan w:val="32"/>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222</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24">
              <w:r>
                <w:rPr>
                  <w:rFonts w:ascii="Arial" w:cs="Arial" w:eastAsia="Arial" w:hAnsi="Arial"/>
                  <w:sz w:val="13"/>
                  <w:szCs w:val="13"/>
                  <w:color w:val="0000EE"/>
                </w:rPr>
                <w:t>E. Share Ownership</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222</w:t>
            </w:r>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7.</w:t>
            </w:r>
          </w:p>
        </w:tc>
        <w:tc>
          <w:tcPr>
            <w:tcW w:w="8720" w:type="dxa"/>
            <w:vAlign w:val="bottom"/>
            <w:gridSpan w:val="35"/>
          </w:tcPr>
          <w:p>
            <w:pPr>
              <w:spacing w:after="0"/>
              <w:rPr>
                <w:rFonts w:ascii="Arial" w:cs="Arial" w:eastAsia="Arial" w:hAnsi="Arial"/>
                <w:sz w:val="13"/>
                <w:szCs w:val="13"/>
                <w:color w:val="0000EE"/>
              </w:rPr>
            </w:pPr>
            <w:hyperlink w:anchor="page225">
              <w:r>
                <w:rPr>
                  <w:rFonts w:ascii="Arial" w:cs="Arial" w:eastAsia="Arial" w:hAnsi="Arial"/>
                  <w:sz w:val="13"/>
                  <w:szCs w:val="13"/>
                  <w:color w:val="0000EE"/>
                </w:rPr>
                <w:t>MAJOR SHAREHOLDERS AND RELATED PARTY TRANSACTIONS</w:t>
              </w:r>
            </w:hyperlink>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223</w:t>
            </w:r>
          </w:p>
        </w:tc>
        <w:tc>
          <w:tcPr>
            <w:tcW w:w="20" w:type="dxa"/>
            <w:vAlign w:val="bottom"/>
          </w:tcPr>
          <w:p>
            <w:pPr>
              <w:spacing w:after="0"/>
              <w:rPr>
                <w:sz w:val="19"/>
                <w:szCs w:val="19"/>
                <w:color w:val="auto"/>
              </w:rPr>
            </w:pPr>
          </w:p>
        </w:tc>
      </w:tr>
      <w:tr>
        <w:trPr>
          <w:trHeight w:val="140"/>
        </w:trPr>
        <w:tc>
          <w:tcPr>
            <w:tcW w:w="1280" w:type="dxa"/>
            <w:vAlign w:val="bottom"/>
          </w:tcPr>
          <w:p>
            <w:pPr>
              <w:spacing w:after="0"/>
              <w:rPr>
                <w:sz w:val="12"/>
                <w:szCs w:val="12"/>
                <w:color w:val="auto"/>
              </w:rPr>
            </w:pPr>
          </w:p>
        </w:tc>
        <w:tc>
          <w:tcPr>
            <w:tcW w:w="1220" w:type="dxa"/>
            <w:vAlign w:val="bottom"/>
            <w:tcBorders>
              <w:top w:val="single" w:sz="8" w:color="0000EE"/>
              <w:bottom w:val="single" w:sz="8" w:color="0000EE"/>
            </w:tcBorders>
            <w:gridSpan w:val="10"/>
          </w:tcPr>
          <w:p>
            <w:pPr>
              <w:spacing w:after="0" w:line="140" w:lineRule="exact"/>
              <w:rPr>
                <w:rFonts w:ascii="Arial" w:cs="Arial" w:eastAsia="Arial" w:hAnsi="Arial"/>
                <w:sz w:val="13"/>
                <w:szCs w:val="13"/>
                <w:color w:val="0000EE"/>
                <w:w w:val="92"/>
              </w:rPr>
            </w:pPr>
            <w:hyperlink w:anchor="page225">
              <w:r>
                <w:rPr>
                  <w:rFonts w:ascii="Arial" w:cs="Arial" w:eastAsia="Arial" w:hAnsi="Arial"/>
                  <w:sz w:val="13"/>
                  <w:szCs w:val="13"/>
                  <w:color w:val="0000EE"/>
                  <w:w w:val="92"/>
                </w:rPr>
                <w:t>A. Major Shareholders</w:t>
              </w:r>
            </w:hyperlink>
          </w:p>
        </w:tc>
        <w:tc>
          <w:tcPr>
            <w:tcW w:w="2760" w:type="dxa"/>
            <w:vAlign w:val="bottom"/>
            <w:tcBorders>
              <w:top w:val="single" w:sz="8" w:color="0000EE"/>
            </w:tcBorders>
            <w:gridSpan w:val="23"/>
          </w:tcPr>
          <w:p>
            <w:pPr>
              <w:spacing w:after="0"/>
              <w:rPr>
                <w:sz w:val="12"/>
                <w:szCs w:val="12"/>
                <w:color w:val="auto"/>
              </w:rPr>
            </w:pPr>
          </w:p>
        </w:tc>
        <w:tc>
          <w:tcPr>
            <w:tcW w:w="4740" w:type="dxa"/>
            <w:vAlign w:val="bottom"/>
            <w:gridSpan w:val="2"/>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223</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1600" w:type="dxa"/>
            <w:vAlign w:val="bottom"/>
            <w:tcBorders>
              <w:bottom w:val="single" w:sz="8" w:color="0000EE"/>
            </w:tcBorders>
            <w:gridSpan w:val="17"/>
          </w:tcPr>
          <w:p>
            <w:pPr>
              <w:spacing w:after="0" w:line="140" w:lineRule="exact"/>
              <w:rPr>
                <w:rFonts w:ascii="Arial" w:cs="Arial" w:eastAsia="Arial" w:hAnsi="Arial"/>
                <w:sz w:val="13"/>
                <w:szCs w:val="13"/>
                <w:color w:val="0000EE"/>
                <w:w w:val="91"/>
              </w:rPr>
            </w:pPr>
            <w:hyperlink w:anchor="page226">
              <w:r>
                <w:rPr>
                  <w:rFonts w:ascii="Arial" w:cs="Arial" w:eastAsia="Arial" w:hAnsi="Arial"/>
                  <w:sz w:val="13"/>
                  <w:szCs w:val="13"/>
                  <w:color w:val="0000EE"/>
                  <w:w w:val="91"/>
                </w:rPr>
                <w:t>B. Related Party Transactions</w:t>
              </w:r>
            </w:hyperlink>
          </w:p>
        </w:tc>
        <w:tc>
          <w:tcPr>
            <w:tcW w:w="7120" w:type="dxa"/>
            <w:vAlign w:val="bottom"/>
            <w:gridSpan w:val="18"/>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224</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28">
              <w:r>
                <w:rPr>
                  <w:rFonts w:ascii="Arial" w:cs="Arial" w:eastAsia="Arial" w:hAnsi="Arial"/>
                  <w:sz w:val="13"/>
                  <w:szCs w:val="13"/>
                  <w:color w:val="0000EE"/>
                </w:rPr>
                <w:t>C. Interests of Experts and Counsel</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8.</w:t>
            </w:r>
          </w:p>
        </w:tc>
        <w:tc>
          <w:tcPr>
            <w:tcW w:w="1880" w:type="dxa"/>
            <w:vAlign w:val="bottom"/>
            <w:tcBorders>
              <w:top w:val="single" w:sz="8" w:color="0000EE"/>
            </w:tcBorders>
            <w:gridSpan w:val="21"/>
          </w:tcPr>
          <w:p>
            <w:pPr>
              <w:spacing w:after="0"/>
              <w:rPr>
                <w:rFonts w:ascii="Arial" w:cs="Arial" w:eastAsia="Arial" w:hAnsi="Arial"/>
                <w:sz w:val="13"/>
                <w:szCs w:val="13"/>
                <w:color w:val="0000EE"/>
              </w:rPr>
            </w:pPr>
            <w:hyperlink w:anchor="page228">
              <w:r>
                <w:rPr>
                  <w:rFonts w:ascii="Arial" w:cs="Arial" w:eastAsia="Arial" w:hAnsi="Arial"/>
                  <w:sz w:val="13"/>
                  <w:szCs w:val="13"/>
                  <w:color w:val="0000EE"/>
                </w:rPr>
                <w:t>FINANCIAL INFORMATION</w:t>
              </w:r>
            </w:hyperlink>
          </w:p>
        </w:tc>
        <w:tc>
          <w:tcPr>
            <w:tcW w:w="6840" w:type="dxa"/>
            <w:vAlign w:val="bottom"/>
            <w:gridSpan w:val="14"/>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28">
              <w:r>
                <w:rPr>
                  <w:rFonts w:ascii="Arial" w:cs="Arial" w:eastAsia="Arial" w:hAnsi="Arial"/>
                  <w:sz w:val="13"/>
                  <w:szCs w:val="13"/>
                  <w:color w:val="0000EE"/>
                </w:rPr>
                <w:t>A. Consolidated Statements and Other Financial Information</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1240" w:type="dxa"/>
            <w:vAlign w:val="bottom"/>
            <w:tcBorders>
              <w:top w:val="single" w:sz="8" w:color="0000EE"/>
              <w:bottom w:val="single" w:sz="8" w:color="0000EE"/>
            </w:tcBorders>
            <w:gridSpan w:val="11"/>
          </w:tcPr>
          <w:p>
            <w:pPr>
              <w:spacing w:after="0" w:line="140" w:lineRule="exact"/>
              <w:rPr>
                <w:rFonts w:ascii="Arial" w:cs="Arial" w:eastAsia="Arial" w:hAnsi="Arial"/>
                <w:sz w:val="13"/>
                <w:szCs w:val="13"/>
                <w:color w:val="0000EE"/>
                <w:w w:val="92"/>
              </w:rPr>
            </w:pPr>
            <w:hyperlink w:anchor="page228">
              <w:r>
                <w:rPr>
                  <w:rFonts w:ascii="Arial" w:cs="Arial" w:eastAsia="Arial" w:hAnsi="Arial"/>
                  <w:sz w:val="13"/>
                  <w:szCs w:val="13"/>
                  <w:color w:val="0000EE"/>
                  <w:w w:val="92"/>
                </w:rPr>
                <w:t>B. Significant Changes</w:t>
              </w:r>
            </w:hyperlink>
          </w:p>
        </w:tc>
        <w:tc>
          <w:tcPr>
            <w:tcW w:w="2000" w:type="dxa"/>
            <w:vAlign w:val="bottom"/>
            <w:tcBorders>
              <w:top w:val="single" w:sz="8" w:color="0000EE"/>
            </w:tcBorders>
            <w:gridSpan w:val="19"/>
          </w:tcPr>
          <w:p>
            <w:pPr>
              <w:spacing w:after="0"/>
              <w:rPr>
                <w:sz w:val="12"/>
                <w:szCs w:val="12"/>
                <w:color w:val="auto"/>
              </w:rPr>
            </w:pPr>
          </w:p>
        </w:tc>
        <w:tc>
          <w:tcPr>
            <w:tcW w:w="5480" w:type="dxa"/>
            <w:vAlign w:val="bottom"/>
            <w:gridSpan w:val="5"/>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9.</w:t>
            </w:r>
          </w:p>
        </w:tc>
        <w:tc>
          <w:tcPr>
            <w:tcW w:w="8720" w:type="dxa"/>
            <w:vAlign w:val="bottom"/>
            <w:gridSpan w:val="35"/>
          </w:tcPr>
          <w:p>
            <w:pPr>
              <w:spacing w:after="0"/>
              <w:rPr>
                <w:rFonts w:ascii="Arial" w:cs="Arial" w:eastAsia="Arial" w:hAnsi="Arial"/>
                <w:sz w:val="13"/>
                <w:szCs w:val="13"/>
                <w:color w:val="0000EE"/>
              </w:rPr>
            </w:pPr>
            <w:hyperlink w:anchor="page228">
              <w:r>
                <w:rPr>
                  <w:rFonts w:ascii="Arial" w:cs="Arial" w:eastAsia="Arial" w:hAnsi="Arial"/>
                  <w:sz w:val="13"/>
                  <w:szCs w:val="13"/>
                  <w:color w:val="0000EE"/>
                </w:rPr>
                <w:t>THE OFFER AND LISTING</w:t>
              </w:r>
            </w:hyperlink>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9"/>
                <w:szCs w:val="19"/>
                <w:color w:val="auto"/>
              </w:rPr>
            </w:pPr>
          </w:p>
        </w:tc>
      </w:tr>
      <w:tr>
        <w:trPr>
          <w:trHeight w:val="140"/>
        </w:trPr>
        <w:tc>
          <w:tcPr>
            <w:tcW w:w="1280" w:type="dxa"/>
            <w:vAlign w:val="bottom"/>
          </w:tcPr>
          <w:p>
            <w:pPr>
              <w:spacing w:after="0"/>
              <w:rPr>
                <w:sz w:val="12"/>
                <w:szCs w:val="12"/>
                <w:color w:val="auto"/>
              </w:rPr>
            </w:pPr>
          </w:p>
        </w:tc>
        <w:tc>
          <w:tcPr>
            <w:tcW w:w="1500" w:type="dxa"/>
            <w:vAlign w:val="bottom"/>
            <w:tcBorders>
              <w:top w:val="single" w:sz="8" w:color="0000EE"/>
              <w:bottom w:val="single" w:sz="8" w:color="0000EE"/>
            </w:tcBorders>
            <w:gridSpan w:val="15"/>
          </w:tcPr>
          <w:p>
            <w:pPr>
              <w:spacing w:after="0" w:line="140" w:lineRule="exact"/>
              <w:rPr>
                <w:rFonts w:ascii="Arial" w:cs="Arial" w:eastAsia="Arial" w:hAnsi="Arial"/>
                <w:sz w:val="13"/>
                <w:szCs w:val="13"/>
                <w:color w:val="0000EE"/>
                <w:w w:val="95"/>
              </w:rPr>
            </w:pPr>
            <w:hyperlink w:anchor="page228">
              <w:r>
                <w:rPr>
                  <w:rFonts w:ascii="Arial" w:cs="Arial" w:eastAsia="Arial" w:hAnsi="Arial"/>
                  <w:sz w:val="13"/>
                  <w:szCs w:val="13"/>
                  <w:color w:val="0000EE"/>
                  <w:w w:val="95"/>
                </w:rPr>
                <w:t>A. Offer and Listing Details</w:t>
              </w:r>
            </w:hyperlink>
          </w:p>
        </w:tc>
        <w:tc>
          <w:tcPr>
            <w:tcW w:w="80" w:type="dxa"/>
            <w:vAlign w:val="bottom"/>
            <w:tcBorders>
              <w:top w:val="single" w:sz="8" w:color="0000EE"/>
            </w:tcBorders>
          </w:tcPr>
          <w:p>
            <w:pPr>
              <w:spacing w:after="0"/>
              <w:rPr>
                <w:sz w:val="12"/>
                <w:szCs w:val="12"/>
                <w:color w:val="auto"/>
              </w:rPr>
            </w:pPr>
          </w:p>
        </w:tc>
        <w:tc>
          <w:tcPr>
            <w:tcW w:w="7140" w:type="dxa"/>
            <w:vAlign w:val="bottom"/>
            <w:gridSpan w:val="19"/>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28">
              <w:r>
                <w:rPr>
                  <w:rFonts w:ascii="Arial" w:cs="Arial" w:eastAsia="Arial" w:hAnsi="Arial"/>
                  <w:sz w:val="13"/>
                  <w:szCs w:val="13"/>
                  <w:color w:val="0000EE"/>
                </w:rPr>
                <w:t>B. Plan Of Distribution</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600" w:type="dxa"/>
            <w:vAlign w:val="bottom"/>
            <w:tcBorders>
              <w:top w:val="single" w:sz="8" w:color="0000EE"/>
              <w:bottom w:val="single" w:sz="8" w:color="0000EE"/>
            </w:tcBorders>
            <w:gridSpan w:val="2"/>
          </w:tcPr>
          <w:p>
            <w:pPr>
              <w:spacing w:after="0" w:line="140" w:lineRule="exact"/>
              <w:rPr>
                <w:rFonts w:ascii="Arial" w:cs="Arial" w:eastAsia="Arial" w:hAnsi="Arial"/>
                <w:sz w:val="13"/>
                <w:szCs w:val="13"/>
                <w:color w:val="0000EE"/>
                <w:w w:val="92"/>
              </w:rPr>
            </w:pPr>
            <w:hyperlink w:anchor="page228">
              <w:r>
                <w:rPr>
                  <w:rFonts w:ascii="Arial" w:cs="Arial" w:eastAsia="Arial" w:hAnsi="Arial"/>
                  <w:sz w:val="13"/>
                  <w:szCs w:val="13"/>
                  <w:color w:val="0000EE"/>
                  <w:w w:val="92"/>
                </w:rPr>
                <w:t>C. Markets</w:t>
              </w:r>
            </w:hyperlink>
          </w:p>
        </w:tc>
        <w:tc>
          <w:tcPr>
            <w:tcW w:w="640" w:type="dxa"/>
            <w:vAlign w:val="bottom"/>
            <w:tcBorders>
              <w:top w:val="single" w:sz="8" w:color="0000EE"/>
            </w:tcBorders>
            <w:gridSpan w:val="9"/>
          </w:tcPr>
          <w:p>
            <w:pPr>
              <w:spacing w:after="0"/>
              <w:rPr>
                <w:sz w:val="12"/>
                <w:szCs w:val="12"/>
                <w:color w:val="auto"/>
              </w:rPr>
            </w:pPr>
          </w:p>
        </w:tc>
        <w:tc>
          <w:tcPr>
            <w:tcW w:w="7480" w:type="dxa"/>
            <w:vAlign w:val="bottom"/>
            <w:gridSpan w:val="24"/>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28">
              <w:r>
                <w:rPr>
                  <w:rFonts w:ascii="Arial" w:cs="Arial" w:eastAsia="Arial" w:hAnsi="Arial"/>
                  <w:sz w:val="13"/>
                  <w:szCs w:val="13"/>
                  <w:color w:val="0000EE"/>
                </w:rPr>
                <w:t>D. Selling Shareholders</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600" w:type="dxa"/>
            <w:vAlign w:val="bottom"/>
            <w:tcBorders>
              <w:top w:val="single" w:sz="8" w:color="0000EE"/>
              <w:bottom w:val="single" w:sz="8" w:color="0000EE"/>
            </w:tcBorders>
            <w:gridSpan w:val="2"/>
          </w:tcPr>
          <w:p>
            <w:pPr>
              <w:spacing w:after="0" w:line="140" w:lineRule="exact"/>
              <w:rPr>
                <w:rFonts w:ascii="Arial" w:cs="Arial" w:eastAsia="Arial" w:hAnsi="Arial"/>
                <w:sz w:val="13"/>
                <w:szCs w:val="13"/>
                <w:color w:val="0000EE"/>
                <w:w w:val="97"/>
              </w:rPr>
            </w:pPr>
            <w:hyperlink w:anchor="page228">
              <w:r>
                <w:rPr>
                  <w:rFonts w:ascii="Arial" w:cs="Arial" w:eastAsia="Arial" w:hAnsi="Arial"/>
                  <w:sz w:val="13"/>
                  <w:szCs w:val="13"/>
                  <w:color w:val="0000EE"/>
                  <w:w w:val="97"/>
                </w:rPr>
                <w:t>E. Dilution</w:t>
              </w:r>
            </w:hyperlink>
          </w:p>
        </w:tc>
        <w:tc>
          <w:tcPr>
            <w:tcW w:w="660" w:type="dxa"/>
            <w:vAlign w:val="bottom"/>
            <w:tcBorders>
              <w:top w:val="single" w:sz="8" w:color="0000EE"/>
            </w:tcBorders>
            <w:gridSpan w:val="10"/>
          </w:tcPr>
          <w:p>
            <w:pPr>
              <w:spacing w:after="0"/>
              <w:rPr>
                <w:sz w:val="12"/>
                <w:szCs w:val="12"/>
                <w:color w:val="auto"/>
              </w:rPr>
            </w:pPr>
          </w:p>
        </w:tc>
        <w:tc>
          <w:tcPr>
            <w:tcW w:w="7460" w:type="dxa"/>
            <w:vAlign w:val="bottom"/>
            <w:gridSpan w:val="23"/>
          </w:tcPr>
          <w:p>
            <w:pPr>
              <w:spacing w:after="0"/>
              <w:rPr>
                <w:sz w:val="12"/>
                <w:szCs w:val="12"/>
                <w:color w:val="auto"/>
              </w:rPr>
            </w:pPr>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140"/>
        </w:trPr>
        <w:tc>
          <w:tcPr>
            <w:tcW w:w="1280" w:type="dxa"/>
            <w:vAlign w:val="bottom"/>
          </w:tcPr>
          <w:p>
            <w:pPr>
              <w:spacing w:after="0"/>
              <w:rPr>
                <w:sz w:val="12"/>
                <w:szCs w:val="12"/>
                <w:color w:val="auto"/>
              </w:rPr>
            </w:pPr>
          </w:p>
        </w:tc>
        <w:tc>
          <w:tcPr>
            <w:tcW w:w="8720" w:type="dxa"/>
            <w:vAlign w:val="bottom"/>
            <w:gridSpan w:val="35"/>
          </w:tcPr>
          <w:p>
            <w:pPr>
              <w:spacing w:after="0" w:line="140" w:lineRule="exact"/>
              <w:rPr>
                <w:rFonts w:ascii="Arial" w:cs="Arial" w:eastAsia="Arial" w:hAnsi="Arial"/>
                <w:sz w:val="13"/>
                <w:szCs w:val="13"/>
                <w:color w:val="0000EE"/>
              </w:rPr>
            </w:pPr>
            <w:hyperlink w:anchor="page228">
              <w:r>
                <w:rPr>
                  <w:rFonts w:ascii="Arial" w:cs="Arial" w:eastAsia="Arial" w:hAnsi="Arial"/>
                  <w:sz w:val="13"/>
                  <w:szCs w:val="13"/>
                  <w:color w:val="0000EE"/>
                </w:rPr>
                <w:t>F. Expenses of the Issue</w:t>
              </w:r>
            </w:hyperlink>
          </w:p>
        </w:tc>
        <w:tc>
          <w:tcPr>
            <w:tcW w:w="1280" w:type="dxa"/>
            <w:vAlign w:val="bottom"/>
          </w:tcPr>
          <w:p>
            <w:pPr>
              <w:jc w:val="center"/>
              <w:spacing w:after="0" w:line="140" w:lineRule="exact"/>
              <w:rPr>
                <w:sz w:val="20"/>
                <w:szCs w:val="20"/>
                <w:color w:val="auto"/>
              </w:rPr>
            </w:pPr>
            <w:r>
              <w:rPr>
                <w:rFonts w:ascii="Arial" w:cs="Arial" w:eastAsia="Arial" w:hAnsi="Arial"/>
                <w:sz w:val="13"/>
                <w:szCs w:val="13"/>
                <w:color w:val="auto"/>
                <w:w w:val="92"/>
              </w:rPr>
              <w:t>226</w:t>
            </w:r>
          </w:p>
        </w:tc>
        <w:tc>
          <w:tcPr>
            <w:tcW w:w="20" w:type="dxa"/>
            <w:vAlign w:val="bottom"/>
          </w:tcPr>
          <w:p>
            <w:pPr>
              <w:spacing w:after="0"/>
              <w:rPr>
                <w:sz w:val="12"/>
                <w:szCs w:val="12"/>
                <w:color w:val="auto"/>
              </w:rPr>
            </w:pPr>
          </w:p>
        </w:tc>
      </w:tr>
      <w:tr>
        <w:trPr>
          <w:trHeight w:val="420"/>
        </w:trPr>
        <w:tc>
          <w:tcPr>
            <w:tcW w:w="1280" w:type="dxa"/>
            <w:vAlign w:val="bottom"/>
          </w:tcPr>
          <w:p>
            <w:pPr>
              <w:spacing w:after="0"/>
              <w:rPr>
                <w:sz w:val="24"/>
                <w:szCs w:val="24"/>
                <w:color w:val="auto"/>
              </w:rPr>
            </w:pPr>
          </w:p>
        </w:tc>
        <w:tc>
          <w:tcPr>
            <w:tcW w:w="1280" w:type="dxa"/>
            <w:vAlign w:val="bottom"/>
            <w:tcBorders>
              <w:top w:val="single" w:sz="8" w:color="0000EE"/>
            </w:tcBorders>
            <w:gridSpan w:val="13"/>
          </w:tcPr>
          <w:p>
            <w:pPr>
              <w:spacing w:after="0"/>
              <w:rPr>
                <w:sz w:val="24"/>
                <w:szCs w:val="24"/>
                <w:color w:val="auto"/>
              </w:rPr>
            </w:pPr>
          </w:p>
        </w:tc>
        <w:tc>
          <w:tcPr>
            <w:tcW w:w="7440" w:type="dxa"/>
            <w:vAlign w:val="bottom"/>
            <w:gridSpan w:val="22"/>
          </w:tcPr>
          <w:p>
            <w:pPr>
              <w:jc w:val="right"/>
              <w:ind w:right="4320"/>
              <w:spacing w:after="0"/>
              <w:rPr>
                <w:sz w:val="20"/>
                <w:szCs w:val="20"/>
                <w:color w:val="auto"/>
              </w:rPr>
            </w:pPr>
            <w:r>
              <w:rPr>
                <w:rFonts w:ascii="Arial" w:cs="Arial" w:eastAsia="Arial" w:hAnsi="Arial"/>
                <w:sz w:val="13"/>
                <w:szCs w:val="13"/>
                <w:color w:val="auto"/>
              </w:rPr>
              <w:t>1</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12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5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Arial" w:cs="Arial" w:eastAsia="Arial" w:hAnsi="Arial"/>
                <w:sz w:val="13"/>
                <w:szCs w:val="13"/>
                <w:color w:val="auto"/>
              </w:rPr>
              <w:t>ITEM 10.</w:t>
            </w:r>
          </w:p>
        </w:tc>
        <w:tc>
          <w:tcPr>
            <w:tcW w:w="1780" w:type="dxa"/>
            <w:vAlign w:val="bottom"/>
            <w:tcBorders>
              <w:bottom w:val="single" w:sz="8" w:color="0000EE"/>
            </w:tcBorders>
            <w:gridSpan w:val="16"/>
          </w:tcPr>
          <w:p>
            <w:pPr>
              <w:spacing w:after="0"/>
              <w:rPr>
                <w:rFonts w:ascii="Arial" w:cs="Arial" w:eastAsia="Arial" w:hAnsi="Arial"/>
                <w:sz w:val="13"/>
                <w:szCs w:val="13"/>
                <w:color w:val="0000EE"/>
              </w:rPr>
            </w:pPr>
            <w:hyperlink w:anchor="page228">
              <w:r>
                <w:rPr>
                  <w:rFonts w:ascii="Arial" w:cs="Arial" w:eastAsia="Arial" w:hAnsi="Arial"/>
                  <w:sz w:val="13"/>
                  <w:szCs w:val="13"/>
                  <w:color w:val="0000EE"/>
                </w:rPr>
                <w:t>ADDITIONAL INFORMATION</w:t>
              </w:r>
            </w:hyperlink>
          </w:p>
        </w:tc>
        <w:tc>
          <w:tcPr>
            <w:tcW w:w="5760" w:type="dxa"/>
            <w:vAlign w:val="bottom"/>
            <w:gridSpan w:val="12"/>
          </w:tcPr>
          <w:p>
            <w:pPr>
              <w:spacing w:after="0"/>
              <w:rPr>
                <w:sz w:val="13"/>
                <w:szCs w:val="13"/>
                <w:color w:val="auto"/>
              </w:rPr>
            </w:pPr>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226</w:t>
            </w:r>
          </w:p>
        </w:tc>
      </w:tr>
      <w:tr>
        <w:trPr>
          <w:trHeight w:val="140"/>
        </w:trPr>
        <w:tc>
          <w:tcPr>
            <w:tcW w:w="1280" w:type="dxa"/>
            <w:vAlign w:val="bottom"/>
          </w:tcPr>
          <w:p>
            <w:pPr>
              <w:spacing w:after="0"/>
              <w:rPr>
                <w:sz w:val="12"/>
                <w:szCs w:val="12"/>
                <w:color w:val="auto"/>
              </w:rPr>
            </w:pPr>
          </w:p>
        </w:tc>
        <w:tc>
          <w:tcPr>
            <w:tcW w:w="860" w:type="dxa"/>
            <w:vAlign w:val="bottom"/>
            <w:tcBorders>
              <w:bottom w:val="single" w:sz="8" w:color="0000EE"/>
            </w:tcBorders>
            <w:gridSpan w:val="3"/>
          </w:tcPr>
          <w:p>
            <w:pPr>
              <w:spacing w:after="0" w:line="140" w:lineRule="exact"/>
              <w:rPr>
                <w:rFonts w:ascii="Arial" w:cs="Arial" w:eastAsia="Arial" w:hAnsi="Arial"/>
                <w:sz w:val="13"/>
                <w:szCs w:val="13"/>
                <w:color w:val="0000EE"/>
                <w:w w:val="91"/>
              </w:rPr>
            </w:pPr>
            <w:hyperlink w:anchor="page228">
              <w:r>
                <w:rPr>
                  <w:rFonts w:ascii="Arial" w:cs="Arial" w:eastAsia="Arial" w:hAnsi="Arial"/>
                  <w:sz w:val="13"/>
                  <w:szCs w:val="13"/>
                  <w:color w:val="0000EE"/>
                  <w:w w:val="91"/>
                </w:rPr>
                <w:t>A. Share capital</w:t>
              </w:r>
            </w:hyperlink>
          </w:p>
        </w:tc>
        <w:tc>
          <w:tcPr>
            <w:tcW w:w="6680" w:type="dxa"/>
            <w:vAlign w:val="bottom"/>
            <w:gridSpan w:val="25"/>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226</w:t>
            </w:r>
          </w:p>
        </w:tc>
      </w:tr>
      <w:tr>
        <w:trPr>
          <w:trHeight w:val="140"/>
        </w:trPr>
        <w:tc>
          <w:tcPr>
            <w:tcW w:w="1280" w:type="dxa"/>
            <w:vAlign w:val="bottom"/>
          </w:tcPr>
          <w:p>
            <w:pPr>
              <w:spacing w:after="0"/>
              <w:rPr>
                <w:sz w:val="12"/>
                <w:szCs w:val="12"/>
                <w:color w:val="auto"/>
              </w:rPr>
            </w:pPr>
          </w:p>
        </w:tc>
        <w:tc>
          <w:tcPr>
            <w:tcW w:w="2400" w:type="dxa"/>
            <w:vAlign w:val="bottom"/>
            <w:tcBorders>
              <w:bottom w:val="single" w:sz="8" w:color="0000EE"/>
            </w:tcBorders>
            <w:gridSpan w:val="20"/>
          </w:tcPr>
          <w:p>
            <w:pPr>
              <w:spacing w:after="0" w:line="140" w:lineRule="exact"/>
              <w:rPr>
                <w:rFonts w:ascii="Arial" w:cs="Arial" w:eastAsia="Arial" w:hAnsi="Arial"/>
                <w:sz w:val="13"/>
                <w:szCs w:val="13"/>
                <w:color w:val="0000EE"/>
                <w:w w:val="94"/>
              </w:rPr>
            </w:pPr>
            <w:hyperlink w:anchor="page228">
              <w:r>
                <w:rPr>
                  <w:rFonts w:ascii="Arial" w:cs="Arial" w:eastAsia="Arial" w:hAnsi="Arial"/>
                  <w:sz w:val="13"/>
                  <w:szCs w:val="13"/>
                  <w:color w:val="0000EE"/>
                  <w:w w:val="94"/>
                </w:rPr>
                <w:t>B. Memorandum and Articles of Association</w:t>
              </w:r>
            </w:hyperlink>
          </w:p>
        </w:tc>
        <w:tc>
          <w:tcPr>
            <w:tcW w:w="5140" w:type="dxa"/>
            <w:vAlign w:val="bottom"/>
            <w:gridSpan w:val="8"/>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226</w:t>
            </w:r>
          </w:p>
        </w:tc>
      </w:tr>
      <w:tr>
        <w:trPr>
          <w:trHeight w:val="140"/>
        </w:trPr>
        <w:tc>
          <w:tcPr>
            <w:tcW w:w="1280" w:type="dxa"/>
            <w:vAlign w:val="bottom"/>
          </w:tcPr>
          <w:p>
            <w:pPr>
              <w:spacing w:after="0"/>
              <w:rPr>
                <w:sz w:val="12"/>
                <w:szCs w:val="12"/>
                <w:color w:val="auto"/>
              </w:rPr>
            </w:pPr>
          </w:p>
        </w:tc>
        <w:tc>
          <w:tcPr>
            <w:tcW w:w="1160" w:type="dxa"/>
            <w:vAlign w:val="bottom"/>
            <w:tcBorders>
              <w:bottom w:val="single" w:sz="8" w:color="0000EE"/>
            </w:tcBorders>
            <w:gridSpan w:val="6"/>
          </w:tcPr>
          <w:p>
            <w:pPr>
              <w:spacing w:after="0" w:line="140" w:lineRule="exact"/>
              <w:rPr>
                <w:rFonts w:ascii="Arial" w:cs="Arial" w:eastAsia="Arial" w:hAnsi="Arial"/>
                <w:sz w:val="13"/>
                <w:szCs w:val="13"/>
                <w:color w:val="0000EE"/>
                <w:w w:val="93"/>
              </w:rPr>
            </w:pPr>
            <w:hyperlink w:anchor="page234">
              <w:r>
                <w:rPr>
                  <w:rFonts w:ascii="Arial" w:cs="Arial" w:eastAsia="Arial" w:hAnsi="Arial"/>
                  <w:sz w:val="13"/>
                  <w:szCs w:val="13"/>
                  <w:color w:val="0000EE"/>
                  <w:w w:val="93"/>
                </w:rPr>
                <w:t>C. Material Contracts</w:t>
              </w:r>
            </w:hyperlink>
          </w:p>
        </w:tc>
        <w:tc>
          <w:tcPr>
            <w:tcW w:w="6380" w:type="dxa"/>
            <w:vAlign w:val="bottom"/>
            <w:gridSpan w:val="22"/>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232</w:t>
            </w:r>
          </w:p>
        </w:tc>
      </w:tr>
      <w:tr>
        <w:trPr>
          <w:trHeight w:val="140"/>
        </w:trPr>
        <w:tc>
          <w:tcPr>
            <w:tcW w:w="1280" w:type="dxa"/>
            <w:vAlign w:val="bottom"/>
          </w:tcPr>
          <w:p>
            <w:pPr>
              <w:spacing w:after="0"/>
              <w:rPr>
                <w:sz w:val="12"/>
                <w:szCs w:val="12"/>
                <w:color w:val="auto"/>
              </w:rPr>
            </w:pPr>
          </w:p>
        </w:tc>
        <w:tc>
          <w:tcPr>
            <w:tcW w:w="7540" w:type="dxa"/>
            <w:vAlign w:val="bottom"/>
            <w:gridSpan w:val="28"/>
          </w:tcPr>
          <w:p>
            <w:pPr>
              <w:spacing w:after="0" w:line="140" w:lineRule="exact"/>
              <w:rPr>
                <w:rFonts w:ascii="Arial" w:cs="Arial" w:eastAsia="Arial" w:hAnsi="Arial"/>
                <w:sz w:val="13"/>
                <w:szCs w:val="13"/>
                <w:color w:val="0000EE"/>
              </w:rPr>
            </w:pPr>
            <w:hyperlink w:anchor="page234">
              <w:r>
                <w:rPr>
                  <w:rFonts w:ascii="Arial" w:cs="Arial" w:eastAsia="Arial" w:hAnsi="Arial"/>
                  <w:sz w:val="13"/>
                  <w:szCs w:val="13"/>
                  <w:color w:val="0000EE"/>
                </w:rPr>
                <w:t>D. Exchange Controls</w:t>
              </w:r>
            </w:hyperlink>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232</w:t>
            </w:r>
          </w:p>
        </w:tc>
      </w:tr>
      <w:tr>
        <w:trPr>
          <w:trHeight w:val="140"/>
        </w:trPr>
        <w:tc>
          <w:tcPr>
            <w:tcW w:w="1280" w:type="dxa"/>
            <w:vAlign w:val="bottom"/>
          </w:tcPr>
          <w:p>
            <w:pPr>
              <w:spacing w:after="0"/>
              <w:rPr>
                <w:sz w:val="12"/>
                <w:szCs w:val="12"/>
                <w:color w:val="auto"/>
              </w:rPr>
            </w:pPr>
          </w:p>
        </w:tc>
        <w:tc>
          <w:tcPr>
            <w:tcW w:w="620" w:type="dxa"/>
            <w:vAlign w:val="bottom"/>
            <w:tcBorders>
              <w:top w:val="single" w:sz="8" w:color="0000EE"/>
              <w:bottom w:val="single" w:sz="8" w:color="0000EE"/>
            </w:tcBorders>
            <w:gridSpan w:val="2"/>
          </w:tcPr>
          <w:p>
            <w:pPr>
              <w:spacing w:after="0" w:line="140" w:lineRule="exact"/>
              <w:rPr>
                <w:rFonts w:ascii="Arial" w:cs="Arial" w:eastAsia="Arial" w:hAnsi="Arial"/>
                <w:sz w:val="13"/>
                <w:szCs w:val="13"/>
                <w:color w:val="0000EE"/>
                <w:w w:val="91"/>
              </w:rPr>
            </w:pPr>
            <w:hyperlink w:anchor="page234">
              <w:r>
                <w:rPr>
                  <w:rFonts w:ascii="Arial" w:cs="Arial" w:eastAsia="Arial" w:hAnsi="Arial"/>
                  <w:sz w:val="13"/>
                  <w:szCs w:val="13"/>
                  <w:color w:val="0000EE"/>
                  <w:w w:val="91"/>
                </w:rPr>
                <w:t>E. Taxation</w:t>
              </w:r>
            </w:hyperlink>
          </w:p>
        </w:tc>
        <w:tc>
          <w:tcPr>
            <w:tcW w:w="560" w:type="dxa"/>
            <w:vAlign w:val="bottom"/>
            <w:tcBorders>
              <w:top w:val="single" w:sz="8" w:color="0000EE"/>
            </w:tcBorders>
            <w:gridSpan w:val="5"/>
          </w:tcPr>
          <w:p>
            <w:pPr>
              <w:spacing w:after="0"/>
              <w:rPr>
                <w:sz w:val="12"/>
                <w:szCs w:val="12"/>
                <w:color w:val="auto"/>
              </w:rPr>
            </w:pPr>
          </w:p>
        </w:tc>
        <w:tc>
          <w:tcPr>
            <w:tcW w:w="6360" w:type="dxa"/>
            <w:vAlign w:val="bottom"/>
            <w:gridSpan w:val="21"/>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232</w:t>
            </w:r>
          </w:p>
        </w:tc>
      </w:tr>
      <w:tr>
        <w:trPr>
          <w:trHeight w:val="140"/>
        </w:trPr>
        <w:tc>
          <w:tcPr>
            <w:tcW w:w="1280" w:type="dxa"/>
            <w:vAlign w:val="bottom"/>
          </w:tcPr>
          <w:p>
            <w:pPr>
              <w:spacing w:after="0"/>
              <w:rPr>
                <w:sz w:val="12"/>
                <w:szCs w:val="12"/>
                <w:color w:val="auto"/>
              </w:rPr>
            </w:pPr>
          </w:p>
        </w:tc>
        <w:tc>
          <w:tcPr>
            <w:tcW w:w="1720" w:type="dxa"/>
            <w:vAlign w:val="bottom"/>
            <w:tcBorders>
              <w:bottom w:val="single" w:sz="8" w:color="0000EE"/>
            </w:tcBorders>
            <w:gridSpan w:val="15"/>
          </w:tcPr>
          <w:p>
            <w:pPr>
              <w:spacing w:after="0" w:line="140" w:lineRule="exact"/>
              <w:rPr>
                <w:rFonts w:ascii="Arial" w:cs="Arial" w:eastAsia="Arial" w:hAnsi="Arial"/>
                <w:sz w:val="13"/>
                <w:szCs w:val="13"/>
                <w:color w:val="0000EE"/>
                <w:w w:val="91"/>
              </w:rPr>
            </w:pPr>
            <w:hyperlink w:anchor="page243">
              <w:r>
                <w:rPr>
                  <w:rFonts w:ascii="Arial" w:cs="Arial" w:eastAsia="Arial" w:hAnsi="Arial"/>
                  <w:sz w:val="13"/>
                  <w:szCs w:val="13"/>
                  <w:color w:val="0000EE"/>
                  <w:w w:val="91"/>
                </w:rPr>
                <w:t>F. Dividends and Paying Agents</w:t>
              </w:r>
            </w:hyperlink>
          </w:p>
        </w:tc>
        <w:tc>
          <w:tcPr>
            <w:tcW w:w="5820" w:type="dxa"/>
            <w:vAlign w:val="bottom"/>
            <w:gridSpan w:val="13"/>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241</w:t>
            </w:r>
          </w:p>
        </w:tc>
      </w:tr>
      <w:tr>
        <w:trPr>
          <w:trHeight w:val="140"/>
        </w:trPr>
        <w:tc>
          <w:tcPr>
            <w:tcW w:w="1280" w:type="dxa"/>
            <w:vAlign w:val="bottom"/>
          </w:tcPr>
          <w:p>
            <w:pPr>
              <w:spacing w:after="0"/>
              <w:rPr>
                <w:sz w:val="12"/>
                <w:szCs w:val="12"/>
                <w:color w:val="auto"/>
              </w:rPr>
            </w:pPr>
          </w:p>
        </w:tc>
        <w:tc>
          <w:tcPr>
            <w:tcW w:w="7540" w:type="dxa"/>
            <w:vAlign w:val="bottom"/>
            <w:gridSpan w:val="28"/>
          </w:tcPr>
          <w:p>
            <w:pPr>
              <w:spacing w:after="0" w:line="140" w:lineRule="exact"/>
              <w:rPr>
                <w:rFonts w:ascii="Arial" w:cs="Arial" w:eastAsia="Arial" w:hAnsi="Arial"/>
                <w:sz w:val="13"/>
                <w:szCs w:val="13"/>
                <w:color w:val="0000EE"/>
              </w:rPr>
            </w:pPr>
            <w:hyperlink w:anchor="page244">
              <w:r>
                <w:rPr>
                  <w:rFonts w:ascii="Arial" w:cs="Arial" w:eastAsia="Arial" w:hAnsi="Arial"/>
                  <w:sz w:val="13"/>
                  <w:szCs w:val="13"/>
                  <w:color w:val="0000EE"/>
                </w:rPr>
                <w:t>G. Statement by Experts</w:t>
              </w:r>
            </w:hyperlink>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242</w:t>
            </w: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1400" w:type="dxa"/>
            <w:vAlign w:val="bottom"/>
            <w:tcBorders>
              <w:bottom w:val="single" w:sz="8" w:color="0000EE"/>
            </w:tcBorders>
            <w:gridSpan w:val="11"/>
          </w:tcPr>
          <w:p>
            <w:pPr>
              <w:spacing w:after="0" w:line="140" w:lineRule="exact"/>
              <w:rPr>
                <w:rFonts w:ascii="Arial" w:cs="Arial" w:eastAsia="Arial" w:hAnsi="Arial"/>
                <w:sz w:val="13"/>
                <w:szCs w:val="13"/>
                <w:color w:val="0000EE"/>
                <w:w w:val="94"/>
              </w:rPr>
            </w:pPr>
            <w:hyperlink w:anchor="page244">
              <w:r>
                <w:rPr>
                  <w:rFonts w:ascii="Arial" w:cs="Arial" w:eastAsia="Arial" w:hAnsi="Arial"/>
                  <w:sz w:val="13"/>
                  <w:szCs w:val="13"/>
                  <w:color w:val="0000EE"/>
                  <w:w w:val="94"/>
                </w:rPr>
                <w:t>H. Documents on Display</w:t>
              </w:r>
            </w:hyperlink>
          </w:p>
        </w:tc>
        <w:tc>
          <w:tcPr>
            <w:tcW w:w="6140" w:type="dxa"/>
            <w:vAlign w:val="bottom"/>
            <w:gridSpan w:val="17"/>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242</w:t>
            </w:r>
          </w:p>
        </w:tc>
      </w:tr>
      <w:tr>
        <w:trPr>
          <w:trHeight w:val="140"/>
        </w:trPr>
        <w:tc>
          <w:tcPr>
            <w:tcW w:w="1280" w:type="dxa"/>
            <w:vAlign w:val="bottom"/>
          </w:tcPr>
          <w:p>
            <w:pPr>
              <w:spacing w:after="0"/>
              <w:rPr>
                <w:sz w:val="12"/>
                <w:szCs w:val="12"/>
                <w:color w:val="auto"/>
              </w:rPr>
            </w:pPr>
          </w:p>
        </w:tc>
        <w:tc>
          <w:tcPr>
            <w:tcW w:w="1360" w:type="dxa"/>
            <w:vAlign w:val="bottom"/>
            <w:tcBorders>
              <w:bottom w:val="single" w:sz="8" w:color="0000EE"/>
            </w:tcBorders>
            <w:gridSpan w:val="9"/>
          </w:tcPr>
          <w:p>
            <w:pPr>
              <w:spacing w:after="0" w:line="140" w:lineRule="exact"/>
              <w:rPr>
                <w:rFonts w:ascii="Arial" w:cs="Arial" w:eastAsia="Arial" w:hAnsi="Arial"/>
                <w:sz w:val="13"/>
                <w:szCs w:val="13"/>
                <w:color w:val="0000EE"/>
                <w:w w:val="95"/>
              </w:rPr>
            </w:pPr>
            <w:hyperlink w:anchor="page244">
              <w:r>
                <w:rPr>
                  <w:rFonts w:ascii="Arial" w:cs="Arial" w:eastAsia="Arial" w:hAnsi="Arial"/>
                  <w:sz w:val="13"/>
                  <w:szCs w:val="13"/>
                  <w:color w:val="0000EE"/>
                  <w:w w:val="95"/>
                </w:rPr>
                <w:t>I. Subsidiary Information</w:t>
              </w:r>
            </w:hyperlink>
          </w:p>
        </w:tc>
        <w:tc>
          <w:tcPr>
            <w:tcW w:w="6180" w:type="dxa"/>
            <w:vAlign w:val="bottom"/>
            <w:gridSpan w:val="19"/>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242</w:t>
            </w: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11.</w:t>
            </w:r>
          </w:p>
        </w:tc>
        <w:tc>
          <w:tcPr>
            <w:tcW w:w="7540" w:type="dxa"/>
            <w:vAlign w:val="bottom"/>
            <w:gridSpan w:val="28"/>
          </w:tcPr>
          <w:p>
            <w:pPr>
              <w:spacing w:after="0"/>
              <w:rPr>
                <w:rFonts w:ascii="Arial" w:cs="Arial" w:eastAsia="Arial" w:hAnsi="Arial"/>
                <w:sz w:val="13"/>
                <w:szCs w:val="13"/>
                <w:color w:val="0000EE"/>
              </w:rPr>
            </w:pPr>
            <w:hyperlink w:anchor="page244">
              <w:r>
                <w:rPr>
                  <w:rFonts w:ascii="Arial" w:cs="Arial" w:eastAsia="Arial" w:hAnsi="Arial"/>
                  <w:sz w:val="13"/>
                  <w:szCs w:val="13"/>
                  <w:color w:val="0000EE"/>
                </w:rPr>
                <w:t>QUANTITATIVE AND QUALITATIVE DISCLOSURES ABOUT MARKET RISK</w:t>
              </w:r>
            </w:hyperlink>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242</w:t>
            </w:r>
          </w:p>
        </w:tc>
      </w:tr>
      <w:tr>
        <w:trPr>
          <w:trHeight w:val="300"/>
        </w:trPr>
        <w:tc>
          <w:tcPr>
            <w:tcW w:w="1280" w:type="dxa"/>
            <w:vAlign w:val="bottom"/>
          </w:tcPr>
          <w:p>
            <w:pPr>
              <w:spacing w:after="0"/>
              <w:rPr>
                <w:sz w:val="20"/>
                <w:szCs w:val="20"/>
                <w:color w:val="auto"/>
              </w:rPr>
            </w:pPr>
            <w:r>
              <w:rPr>
                <w:rFonts w:ascii="Arial" w:cs="Arial" w:eastAsia="Arial" w:hAnsi="Arial"/>
                <w:sz w:val="13"/>
                <w:szCs w:val="13"/>
                <w:color w:val="auto"/>
              </w:rPr>
              <w:t>ITEM 12.</w:t>
            </w:r>
          </w:p>
        </w:tc>
        <w:tc>
          <w:tcPr>
            <w:tcW w:w="4060" w:type="dxa"/>
            <w:vAlign w:val="bottom"/>
            <w:tcBorders>
              <w:top w:val="single" w:sz="8" w:color="0000EE"/>
              <w:bottom w:val="single" w:sz="8" w:color="0000EE"/>
            </w:tcBorders>
            <w:gridSpan w:val="25"/>
          </w:tcPr>
          <w:p>
            <w:pPr>
              <w:spacing w:after="0"/>
              <w:rPr>
                <w:rFonts w:ascii="Arial" w:cs="Arial" w:eastAsia="Arial" w:hAnsi="Arial"/>
                <w:sz w:val="13"/>
                <w:szCs w:val="13"/>
                <w:color w:val="0000EE"/>
                <w:w w:val="97"/>
              </w:rPr>
            </w:pPr>
            <w:hyperlink w:anchor="page244">
              <w:r>
                <w:rPr>
                  <w:rFonts w:ascii="Arial" w:cs="Arial" w:eastAsia="Arial" w:hAnsi="Arial"/>
                  <w:sz w:val="13"/>
                  <w:szCs w:val="13"/>
                  <w:color w:val="0000EE"/>
                  <w:w w:val="97"/>
                </w:rPr>
                <w:t>DESCRIPTION OF SECURITIES OTHER THAN EQUITY SECURITIES</w:t>
              </w:r>
            </w:hyperlink>
          </w:p>
        </w:tc>
        <w:tc>
          <w:tcPr>
            <w:tcW w:w="480" w:type="dxa"/>
            <w:vAlign w:val="bottom"/>
            <w:tcBorders>
              <w:top w:val="single" w:sz="8" w:color="0000EE"/>
            </w:tcBorders>
          </w:tcPr>
          <w:p>
            <w:pPr>
              <w:spacing w:after="0"/>
              <w:rPr>
                <w:sz w:val="24"/>
                <w:szCs w:val="24"/>
                <w:color w:val="auto"/>
              </w:rPr>
            </w:pPr>
          </w:p>
        </w:tc>
        <w:tc>
          <w:tcPr>
            <w:tcW w:w="3000" w:type="dxa"/>
            <w:vAlign w:val="bottom"/>
            <w:gridSpan w:val="2"/>
          </w:tcPr>
          <w:p>
            <w:pPr>
              <w:spacing w:after="0"/>
              <w:rPr>
                <w:sz w:val="24"/>
                <w:szCs w:val="24"/>
                <w:color w:val="auto"/>
              </w:rPr>
            </w:pPr>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242</w:t>
            </w:r>
          </w:p>
        </w:tc>
      </w:tr>
      <w:tr>
        <w:trPr>
          <w:trHeight w:val="140"/>
        </w:trPr>
        <w:tc>
          <w:tcPr>
            <w:tcW w:w="1280" w:type="dxa"/>
            <w:vAlign w:val="bottom"/>
          </w:tcPr>
          <w:p>
            <w:pPr>
              <w:spacing w:after="0"/>
              <w:rPr>
                <w:sz w:val="12"/>
                <w:szCs w:val="12"/>
                <w:color w:val="auto"/>
              </w:rPr>
            </w:pPr>
          </w:p>
        </w:tc>
        <w:tc>
          <w:tcPr>
            <w:tcW w:w="7540" w:type="dxa"/>
            <w:vAlign w:val="bottom"/>
            <w:gridSpan w:val="28"/>
          </w:tcPr>
          <w:p>
            <w:pPr>
              <w:spacing w:after="0" w:line="140" w:lineRule="exact"/>
              <w:rPr>
                <w:rFonts w:ascii="Arial" w:cs="Arial" w:eastAsia="Arial" w:hAnsi="Arial"/>
                <w:sz w:val="13"/>
                <w:szCs w:val="13"/>
                <w:color w:val="0000EE"/>
              </w:rPr>
            </w:pPr>
            <w:hyperlink w:anchor="page244">
              <w:r>
                <w:rPr>
                  <w:rFonts w:ascii="Arial" w:cs="Arial" w:eastAsia="Arial" w:hAnsi="Arial"/>
                  <w:sz w:val="13"/>
                  <w:szCs w:val="13"/>
                  <w:color w:val="0000EE"/>
                </w:rPr>
                <w:t>A. Debt Securities</w:t>
              </w:r>
            </w:hyperlink>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242</w:t>
            </w: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1300" w:type="dxa"/>
            <w:vAlign w:val="bottom"/>
            <w:tcBorders>
              <w:bottom w:val="single" w:sz="8" w:color="0000EE"/>
            </w:tcBorders>
            <w:gridSpan w:val="8"/>
          </w:tcPr>
          <w:p>
            <w:pPr>
              <w:spacing w:after="0" w:line="140" w:lineRule="exact"/>
              <w:rPr>
                <w:rFonts w:ascii="Arial" w:cs="Arial" w:eastAsia="Arial" w:hAnsi="Arial"/>
                <w:sz w:val="13"/>
                <w:szCs w:val="13"/>
                <w:color w:val="0000EE"/>
                <w:w w:val="93"/>
              </w:rPr>
            </w:pPr>
            <w:hyperlink w:anchor="page244">
              <w:r>
                <w:rPr>
                  <w:rFonts w:ascii="Arial" w:cs="Arial" w:eastAsia="Arial" w:hAnsi="Arial"/>
                  <w:sz w:val="13"/>
                  <w:szCs w:val="13"/>
                  <w:color w:val="0000EE"/>
                  <w:w w:val="93"/>
                </w:rPr>
                <w:t>B. Warrants and Rights</w:t>
              </w:r>
            </w:hyperlink>
          </w:p>
        </w:tc>
        <w:tc>
          <w:tcPr>
            <w:tcW w:w="6240" w:type="dxa"/>
            <w:vAlign w:val="bottom"/>
            <w:gridSpan w:val="20"/>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242</w:t>
            </w:r>
          </w:p>
        </w:tc>
      </w:tr>
      <w:tr>
        <w:trPr>
          <w:trHeight w:val="140"/>
        </w:trPr>
        <w:tc>
          <w:tcPr>
            <w:tcW w:w="1280" w:type="dxa"/>
            <w:vAlign w:val="bottom"/>
          </w:tcPr>
          <w:p>
            <w:pPr>
              <w:spacing w:after="0"/>
              <w:rPr>
                <w:sz w:val="12"/>
                <w:szCs w:val="12"/>
                <w:color w:val="auto"/>
              </w:rPr>
            </w:pPr>
          </w:p>
        </w:tc>
        <w:tc>
          <w:tcPr>
            <w:tcW w:w="1020" w:type="dxa"/>
            <w:vAlign w:val="bottom"/>
            <w:tcBorders>
              <w:bottom w:val="single" w:sz="8" w:color="0000EE"/>
            </w:tcBorders>
            <w:gridSpan w:val="5"/>
          </w:tcPr>
          <w:p>
            <w:pPr>
              <w:spacing w:after="0" w:line="140" w:lineRule="exact"/>
              <w:rPr>
                <w:rFonts w:ascii="Arial" w:cs="Arial" w:eastAsia="Arial" w:hAnsi="Arial"/>
                <w:sz w:val="13"/>
                <w:szCs w:val="13"/>
                <w:color w:val="0000EE"/>
                <w:w w:val="91"/>
              </w:rPr>
            </w:pPr>
            <w:hyperlink w:anchor="page245">
              <w:r>
                <w:rPr>
                  <w:rFonts w:ascii="Arial" w:cs="Arial" w:eastAsia="Arial" w:hAnsi="Arial"/>
                  <w:sz w:val="13"/>
                  <w:szCs w:val="13"/>
                  <w:color w:val="0000EE"/>
                  <w:w w:val="91"/>
                </w:rPr>
                <w:t>C. Other Securities</w:t>
              </w:r>
            </w:hyperlink>
          </w:p>
        </w:tc>
        <w:tc>
          <w:tcPr>
            <w:tcW w:w="6520" w:type="dxa"/>
            <w:vAlign w:val="bottom"/>
            <w:gridSpan w:val="23"/>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243</w:t>
            </w:r>
          </w:p>
        </w:tc>
      </w:tr>
      <w:tr>
        <w:trPr>
          <w:trHeight w:val="140"/>
        </w:trPr>
        <w:tc>
          <w:tcPr>
            <w:tcW w:w="1280" w:type="dxa"/>
            <w:vAlign w:val="bottom"/>
          </w:tcPr>
          <w:p>
            <w:pPr>
              <w:spacing w:after="0"/>
              <w:rPr>
                <w:sz w:val="12"/>
                <w:szCs w:val="12"/>
                <w:color w:val="auto"/>
              </w:rPr>
            </w:pPr>
          </w:p>
        </w:tc>
        <w:tc>
          <w:tcPr>
            <w:tcW w:w="7540" w:type="dxa"/>
            <w:vAlign w:val="bottom"/>
            <w:gridSpan w:val="28"/>
          </w:tcPr>
          <w:p>
            <w:pPr>
              <w:spacing w:after="0" w:line="140" w:lineRule="exact"/>
              <w:rPr>
                <w:rFonts w:ascii="Arial" w:cs="Arial" w:eastAsia="Arial" w:hAnsi="Arial"/>
                <w:sz w:val="13"/>
                <w:szCs w:val="13"/>
                <w:color w:val="0000EE"/>
              </w:rPr>
            </w:pPr>
            <w:hyperlink w:anchor="page245">
              <w:r>
                <w:rPr>
                  <w:rFonts w:ascii="Arial" w:cs="Arial" w:eastAsia="Arial" w:hAnsi="Arial"/>
                  <w:sz w:val="13"/>
                  <w:szCs w:val="13"/>
                  <w:color w:val="0000EE"/>
                </w:rPr>
                <w:t>D. American Depositary Shares</w:t>
              </w:r>
            </w:hyperlink>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243</w:t>
            </w:r>
          </w:p>
        </w:tc>
      </w:tr>
      <w:tr>
        <w:trPr>
          <w:trHeight w:val="260"/>
        </w:trPr>
        <w:tc>
          <w:tcPr>
            <w:tcW w:w="1280" w:type="dxa"/>
            <w:vAlign w:val="bottom"/>
          </w:tcPr>
          <w:p>
            <w:pPr>
              <w:spacing w:after="0"/>
              <w:rPr>
                <w:sz w:val="20"/>
                <w:szCs w:val="20"/>
                <w:color w:val="auto"/>
              </w:rPr>
            </w:pPr>
            <w:r>
              <w:rPr>
                <w:rFonts w:ascii="Arial" w:cs="Arial" w:eastAsia="Arial" w:hAnsi="Arial"/>
                <w:sz w:val="13"/>
                <w:szCs w:val="13"/>
                <w:b w:val="1"/>
                <w:bCs w:val="1"/>
                <w:color w:val="auto"/>
              </w:rPr>
              <w:t>PART II</w:t>
            </w:r>
          </w:p>
        </w:tc>
        <w:tc>
          <w:tcPr>
            <w:tcW w:w="6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3"/>
                <w:szCs w:val="13"/>
                <w:color w:val="auto"/>
              </w:rPr>
              <w:t>ITEM 13.</w:t>
            </w:r>
          </w:p>
        </w:tc>
        <w:tc>
          <w:tcPr>
            <w:tcW w:w="3720" w:type="dxa"/>
            <w:vAlign w:val="bottom"/>
            <w:tcBorders>
              <w:bottom w:val="single" w:sz="8" w:color="0000EE"/>
            </w:tcBorders>
            <w:gridSpan w:val="23"/>
          </w:tcPr>
          <w:p>
            <w:pPr>
              <w:spacing w:after="0"/>
              <w:rPr>
                <w:rFonts w:ascii="Arial" w:cs="Arial" w:eastAsia="Arial" w:hAnsi="Arial"/>
                <w:sz w:val="13"/>
                <w:szCs w:val="13"/>
                <w:color w:val="0000EE"/>
                <w:w w:val="99"/>
              </w:rPr>
            </w:pPr>
            <w:hyperlink w:anchor="page247">
              <w:r>
                <w:rPr>
                  <w:rFonts w:ascii="Arial" w:cs="Arial" w:eastAsia="Arial" w:hAnsi="Arial"/>
                  <w:sz w:val="13"/>
                  <w:szCs w:val="13"/>
                  <w:color w:val="0000EE"/>
                  <w:w w:val="99"/>
                </w:rPr>
                <w:t>DEFAULTS, DIVIDEND ARREARAGES AND DELINQUENCIES</w:t>
              </w:r>
            </w:hyperlink>
          </w:p>
        </w:tc>
        <w:tc>
          <w:tcPr>
            <w:tcW w:w="3820" w:type="dxa"/>
            <w:vAlign w:val="bottom"/>
            <w:gridSpan w:val="5"/>
          </w:tcPr>
          <w:p>
            <w:pPr>
              <w:spacing w:after="0"/>
              <w:rPr>
                <w:sz w:val="24"/>
                <w:szCs w:val="24"/>
                <w:color w:val="auto"/>
              </w:rPr>
            </w:pPr>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245</w:t>
            </w: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14.</w:t>
            </w:r>
          </w:p>
        </w:tc>
        <w:tc>
          <w:tcPr>
            <w:tcW w:w="7540" w:type="dxa"/>
            <w:vAlign w:val="bottom"/>
            <w:gridSpan w:val="28"/>
          </w:tcPr>
          <w:p>
            <w:pPr>
              <w:spacing w:after="0"/>
              <w:rPr>
                <w:rFonts w:ascii="Arial" w:cs="Arial" w:eastAsia="Arial" w:hAnsi="Arial"/>
                <w:sz w:val="13"/>
                <w:szCs w:val="13"/>
                <w:color w:val="0000EE"/>
              </w:rPr>
            </w:pPr>
            <w:hyperlink w:anchor="page247">
              <w:r>
                <w:rPr>
                  <w:rFonts w:ascii="Arial" w:cs="Arial" w:eastAsia="Arial" w:hAnsi="Arial"/>
                  <w:sz w:val="13"/>
                  <w:szCs w:val="13"/>
                  <w:color w:val="0000EE"/>
                </w:rPr>
                <w:t>MATERIAL MODIFICATIONS TO THE RIGHTS OF SECURITY HOLDERS AND USE OF PROCEEDS</w:t>
              </w:r>
            </w:hyperlink>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245</w:t>
            </w: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15.</w:t>
            </w:r>
          </w:p>
        </w:tc>
        <w:tc>
          <w:tcPr>
            <w:tcW w:w="5820" w:type="dxa"/>
            <w:vAlign w:val="bottom"/>
            <w:tcBorders>
              <w:top w:val="single" w:sz="8" w:color="0000EE"/>
            </w:tcBorders>
            <w:gridSpan w:val="27"/>
          </w:tcPr>
          <w:p>
            <w:pPr>
              <w:spacing w:after="0"/>
              <w:rPr>
                <w:rFonts w:ascii="Arial" w:cs="Arial" w:eastAsia="Arial" w:hAnsi="Arial"/>
                <w:sz w:val="13"/>
                <w:szCs w:val="13"/>
                <w:color w:val="0000EE"/>
              </w:rPr>
            </w:pPr>
            <w:hyperlink w:anchor="page247">
              <w:r>
                <w:rPr>
                  <w:rFonts w:ascii="Arial" w:cs="Arial" w:eastAsia="Arial" w:hAnsi="Arial"/>
                  <w:sz w:val="13"/>
                  <w:szCs w:val="13"/>
                  <w:color w:val="0000EE"/>
                </w:rPr>
                <w:t>CONTROLS AND PROCEDURES</w:t>
              </w:r>
            </w:hyperlink>
          </w:p>
        </w:tc>
        <w:tc>
          <w:tcPr>
            <w:tcW w:w="1720" w:type="dxa"/>
            <w:vAlign w:val="bottom"/>
          </w:tcPr>
          <w:p>
            <w:pPr>
              <w:spacing w:after="0"/>
              <w:rPr>
                <w:sz w:val="19"/>
                <w:szCs w:val="19"/>
                <w:color w:val="auto"/>
              </w:rPr>
            </w:pPr>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245</w:t>
            </w: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16</w:t>
            </w:r>
          </w:p>
        </w:tc>
        <w:tc>
          <w:tcPr>
            <w:tcW w:w="7540" w:type="dxa"/>
            <w:vAlign w:val="bottom"/>
            <w:gridSpan w:val="28"/>
          </w:tcPr>
          <w:p>
            <w:pPr>
              <w:spacing w:after="0"/>
              <w:rPr>
                <w:rFonts w:ascii="Arial" w:cs="Arial" w:eastAsia="Arial" w:hAnsi="Arial"/>
                <w:sz w:val="13"/>
                <w:szCs w:val="13"/>
                <w:color w:val="0000EE"/>
              </w:rPr>
            </w:pPr>
            <w:hyperlink w:anchor="page247">
              <w:r>
                <w:rPr>
                  <w:rFonts w:ascii="Arial" w:cs="Arial" w:eastAsia="Arial" w:hAnsi="Arial"/>
                  <w:sz w:val="13"/>
                  <w:szCs w:val="13"/>
                  <w:color w:val="0000EE"/>
                </w:rPr>
                <w:t>A. Audit Committee Financial Expert</w:t>
              </w:r>
            </w:hyperlink>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245</w:t>
            </w:r>
          </w:p>
        </w:tc>
      </w:tr>
      <w:tr>
        <w:trPr>
          <w:trHeight w:val="140"/>
        </w:trPr>
        <w:tc>
          <w:tcPr>
            <w:tcW w:w="1280" w:type="dxa"/>
            <w:vAlign w:val="bottom"/>
          </w:tcPr>
          <w:p>
            <w:pPr>
              <w:spacing w:after="0"/>
              <w:rPr>
                <w:sz w:val="12"/>
                <w:szCs w:val="12"/>
                <w:color w:val="auto"/>
              </w:rPr>
            </w:pPr>
          </w:p>
        </w:tc>
        <w:tc>
          <w:tcPr>
            <w:tcW w:w="2000" w:type="dxa"/>
            <w:vAlign w:val="bottom"/>
            <w:tcBorders>
              <w:top w:val="single" w:sz="8" w:color="0000EE"/>
            </w:tcBorders>
            <w:gridSpan w:val="18"/>
          </w:tcPr>
          <w:p>
            <w:pPr>
              <w:spacing w:after="0" w:line="140" w:lineRule="exact"/>
              <w:rPr>
                <w:rFonts w:ascii="Arial" w:cs="Arial" w:eastAsia="Arial" w:hAnsi="Arial"/>
                <w:sz w:val="13"/>
                <w:szCs w:val="13"/>
                <w:color w:val="0000EE"/>
              </w:rPr>
            </w:pPr>
            <w:hyperlink w:anchor="page248">
              <w:r>
                <w:rPr>
                  <w:rFonts w:ascii="Arial" w:cs="Arial" w:eastAsia="Arial" w:hAnsi="Arial"/>
                  <w:sz w:val="13"/>
                  <w:szCs w:val="13"/>
                  <w:color w:val="0000EE"/>
                </w:rPr>
                <w:t>B. Code of Ethics</w:t>
              </w:r>
            </w:hyperlink>
          </w:p>
        </w:tc>
        <w:tc>
          <w:tcPr>
            <w:tcW w:w="5540" w:type="dxa"/>
            <w:vAlign w:val="bottom"/>
            <w:gridSpan w:val="10"/>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246</w:t>
            </w: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2280" w:type="dxa"/>
            <w:vAlign w:val="bottom"/>
            <w:tcBorders>
              <w:bottom w:val="single" w:sz="8" w:color="0000EE"/>
            </w:tcBorders>
            <w:gridSpan w:val="19"/>
          </w:tcPr>
          <w:p>
            <w:pPr>
              <w:spacing w:after="0" w:line="140" w:lineRule="exact"/>
              <w:rPr>
                <w:rFonts w:ascii="Arial" w:cs="Arial" w:eastAsia="Arial" w:hAnsi="Arial"/>
                <w:sz w:val="13"/>
                <w:szCs w:val="13"/>
                <w:color w:val="0000EE"/>
                <w:w w:val="91"/>
              </w:rPr>
            </w:pPr>
            <w:hyperlink w:anchor="page248">
              <w:r>
                <w:rPr>
                  <w:rFonts w:ascii="Arial" w:cs="Arial" w:eastAsia="Arial" w:hAnsi="Arial"/>
                  <w:sz w:val="13"/>
                  <w:szCs w:val="13"/>
                  <w:color w:val="0000EE"/>
                  <w:w w:val="91"/>
                </w:rPr>
                <w:t>C. Principal Accountant Fees and Services</w:t>
              </w:r>
            </w:hyperlink>
          </w:p>
        </w:tc>
        <w:tc>
          <w:tcPr>
            <w:tcW w:w="5260" w:type="dxa"/>
            <w:vAlign w:val="bottom"/>
            <w:gridSpan w:val="9"/>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246</w:t>
            </w:r>
          </w:p>
        </w:tc>
      </w:tr>
      <w:tr>
        <w:trPr>
          <w:trHeight w:val="140"/>
        </w:trPr>
        <w:tc>
          <w:tcPr>
            <w:tcW w:w="1280" w:type="dxa"/>
            <w:vAlign w:val="bottom"/>
          </w:tcPr>
          <w:p>
            <w:pPr>
              <w:spacing w:after="0"/>
              <w:rPr>
                <w:sz w:val="12"/>
                <w:szCs w:val="12"/>
                <w:color w:val="auto"/>
              </w:rPr>
            </w:pPr>
          </w:p>
        </w:tc>
        <w:tc>
          <w:tcPr>
            <w:tcW w:w="7540" w:type="dxa"/>
            <w:vAlign w:val="bottom"/>
            <w:gridSpan w:val="28"/>
          </w:tcPr>
          <w:p>
            <w:pPr>
              <w:spacing w:after="0" w:line="140" w:lineRule="exact"/>
              <w:rPr>
                <w:rFonts w:ascii="Arial" w:cs="Arial" w:eastAsia="Arial" w:hAnsi="Arial"/>
                <w:sz w:val="13"/>
                <w:szCs w:val="13"/>
                <w:color w:val="0000EE"/>
              </w:rPr>
            </w:pPr>
            <w:hyperlink w:anchor="page248">
              <w:r>
                <w:rPr>
                  <w:rFonts w:ascii="Arial" w:cs="Arial" w:eastAsia="Arial" w:hAnsi="Arial"/>
                  <w:sz w:val="13"/>
                  <w:szCs w:val="13"/>
                  <w:color w:val="0000EE"/>
                </w:rPr>
                <w:t>D. Exemptions from the Listing Standards for Audit Committees</w:t>
              </w:r>
            </w:hyperlink>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246</w:t>
            </w: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9"/>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40"/>
        </w:trPr>
        <w:tc>
          <w:tcPr>
            <w:tcW w:w="1280" w:type="dxa"/>
            <w:vAlign w:val="bottom"/>
          </w:tcPr>
          <w:p>
            <w:pPr>
              <w:spacing w:after="0"/>
              <w:rPr>
                <w:sz w:val="12"/>
                <w:szCs w:val="12"/>
                <w:color w:val="auto"/>
              </w:rPr>
            </w:pPr>
          </w:p>
        </w:tc>
        <w:tc>
          <w:tcPr>
            <w:tcW w:w="3880" w:type="dxa"/>
            <w:vAlign w:val="bottom"/>
            <w:tcBorders>
              <w:bottom w:val="single" w:sz="8" w:color="0000EE"/>
            </w:tcBorders>
            <w:gridSpan w:val="24"/>
          </w:tcPr>
          <w:p>
            <w:pPr>
              <w:spacing w:after="0" w:line="140" w:lineRule="exact"/>
              <w:rPr>
                <w:rFonts w:ascii="Arial" w:cs="Arial" w:eastAsia="Arial" w:hAnsi="Arial"/>
                <w:sz w:val="13"/>
                <w:szCs w:val="13"/>
                <w:color w:val="0000EE"/>
                <w:w w:val="92"/>
              </w:rPr>
            </w:pPr>
            <w:hyperlink w:anchor="page248">
              <w:r>
                <w:rPr>
                  <w:rFonts w:ascii="Arial" w:cs="Arial" w:eastAsia="Arial" w:hAnsi="Arial"/>
                  <w:sz w:val="13"/>
                  <w:szCs w:val="13"/>
                  <w:color w:val="0000EE"/>
                  <w:w w:val="92"/>
                </w:rPr>
                <w:t>E. Purchases of Equity Securities by the Issuer and Affiliated Purchasers</w:t>
              </w:r>
            </w:hyperlink>
          </w:p>
        </w:tc>
        <w:tc>
          <w:tcPr>
            <w:tcW w:w="3660" w:type="dxa"/>
            <w:vAlign w:val="bottom"/>
            <w:gridSpan w:val="4"/>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246</w:t>
            </w:r>
          </w:p>
        </w:tc>
      </w:tr>
      <w:tr>
        <w:trPr>
          <w:trHeight w:val="140"/>
        </w:trPr>
        <w:tc>
          <w:tcPr>
            <w:tcW w:w="1280" w:type="dxa"/>
            <w:vAlign w:val="bottom"/>
          </w:tcPr>
          <w:p>
            <w:pPr>
              <w:spacing w:after="0"/>
              <w:rPr>
                <w:sz w:val="12"/>
                <w:szCs w:val="12"/>
                <w:color w:val="auto"/>
              </w:rPr>
            </w:pPr>
          </w:p>
        </w:tc>
        <w:tc>
          <w:tcPr>
            <w:tcW w:w="7540" w:type="dxa"/>
            <w:vAlign w:val="bottom"/>
            <w:gridSpan w:val="28"/>
          </w:tcPr>
          <w:p>
            <w:pPr>
              <w:spacing w:after="0" w:line="140" w:lineRule="exact"/>
              <w:rPr>
                <w:rFonts w:ascii="Arial" w:cs="Arial" w:eastAsia="Arial" w:hAnsi="Arial"/>
                <w:sz w:val="13"/>
                <w:szCs w:val="13"/>
                <w:color w:val="0000EE"/>
              </w:rPr>
            </w:pPr>
            <w:hyperlink w:anchor="page249">
              <w:r>
                <w:rPr>
                  <w:rFonts w:ascii="Arial" w:cs="Arial" w:eastAsia="Arial" w:hAnsi="Arial"/>
                  <w:sz w:val="13"/>
                  <w:szCs w:val="13"/>
                  <w:color w:val="0000EE"/>
                </w:rPr>
                <w:t>F. Changes in Registrant’s Certifying Accountant</w:t>
              </w:r>
            </w:hyperlink>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247</w:t>
            </w:r>
          </w:p>
        </w:tc>
      </w:tr>
      <w:tr>
        <w:trPr>
          <w:trHeight w:val="140"/>
        </w:trPr>
        <w:tc>
          <w:tcPr>
            <w:tcW w:w="1280" w:type="dxa"/>
            <w:vAlign w:val="bottom"/>
          </w:tcPr>
          <w:p>
            <w:pPr>
              <w:spacing w:after="0"/>
              <w:rPr>
                <w:sz w:val="12"/>
                <w:szCs w:val="12"/>
                <w:color w:val="auto"/>
              </w:rPr>
            </w:pPr>
          </w:p>
        </w:tc>
        <w:tc>
          <w:tcPr>
            <w:tcW w:w="1380" w:type="dxa"/>
            <w:vAlign w:val="bottom"/>
            <w:tcBorders>
              <w:top w:val="single" w:sz="8" w:color="0000EE"/>
              <w:bottom w:val="single" w:sz="8" w:color="0000EE"/>
            </w:tcBorders>
            <w:gridSpan w:val="10"/>
          </w:tcPr>
          <w:p>
            <w:pPr>
              <w:spacing w:after="0" w:line="140" w:lineRule="exact"/>
              <w:rPr>
                <w:rFonts w:ascii="Arial" w:cs="Arial" w:eastAsia="Arial" w:hAnsi="Arial"/>
                <w:sz w:val="13"/>
                <w:szCs w:val="13"/>
                <w:color w:val="0000EE"/>
                <w:w w:val="90"/>
              </w:rPr>
            </w:pPr>
            <w:hyperlink w:anchor="page249">
              <w:r>
                <w:rPr>
                  <w:rFonts w:ascii="Arial" w:cs="Arial" w:eastAsia="Arial" w:hAnsi="Arial"/>
                  <w:sz w:val="13"/>
                  <w:szCs w:val="13"/>
                  <w:color w:val="0000EE"/>
                  <w:w w:val="90"/>
                </w:rPr>
                <w:t>G. Corporate Governance</w:t>
              </w:r>
            </w:hyperlink>
          </w:p>
        </w:tc>
        <w:tc>
          <w:tcPr>
            <w:tcW w:w="1240" w:type="dxa"/>
            <w:vAlign w:val="bottom"/>
            <w:tcBorders>
              <w:top w:val="single" w:sz="8" w:color="0000EE"/>
            </w:tcBorders>
            <w:gridSpan w:val="11"/>
          </w:tcPr>
          <w:p>
            <w:pPr>
              <w:spacing w:after="0"/>
              <w:rPr>
                <w:sz w:val="12"/>
                <w:szCs w:val="12"/>
                <w:color w:val="auto"/>
              </w:rPr>
            </w:pPr>
          </w:p>
        </w:tc>
        <w:tc>
          <w:tcPr>
            <w:tcW w:w="4920" w:type="dxa"/>
            <w:vAlign w:val="bottom"/>
            <w:gridSpan w:val="7"/>
          </w:tcPr>
          <w:p>
            <w:pPr>
              <w:spacing w:after="0"/>
              <w:rPr>
                <w:sz w:val="12"/>
                <w:szCs w:val="12"/>
                <w:color w:val="auto"/>
              </w:rPr>
            </w:pPr>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247</w:t>
            </w:r>
          </w:p>
        </w:tc>
      </w:tr>
      <w:tr>
        <w:trPr>
          <w:trHeight w:val="140"/>
        </w:trPr>
        <w:tc>
          <w:tcPr>
            <w:tcW w:w="1280" w:type="dxa"/>
            <w:vAlign w:val="bottom"/>
          </w:tcPr>
          <w:p>
            <w:pPr>
              <w:spacing w:after="0"/>
              <w:rPr>
                <w:sz w:val="12"/>
                <w:szCs w:val="12"/>
                <w:color w:val="auto"/>
              </w:rPr>
            </w:pPr>
          </w:p>
        </w:tc>
        <w:tc>
          <w:tcPr>
            <w:tcW w:w="7540" w:type="dxa"/>
            <w:vAlign w:val="bottom"/>
            <w:gridSpan w:val="28"/>
          </w:tcPr>
          <w:p>
            <w:pPr>
              <w:spacing w:after="0" w:line="140" w:lineRule="exact"/>
              <w:rPr>
                <w:rFonts w:ascii="Arial" w:cs="Arial" w:eastAsia="Arial" w:hAnsi="Arial"/>
                <w:sz w:val="13"/>
                <w:szCs w:val="13"/>
                <w:color w:val="0000EE"/>
              </w:rPr>
            </w:pPr>
            <w:hyperlink w:anchor="page257">
              <w:r>
                <w:rPr>
                  <w:rFonts w:ascii="Arial" w:cs="Arial" w:eastAsia="Arial" w:hAnsi="Arial"/>
                  <w:sz w:val="13"/>
                  <w:szCs w:val="13"/>
                  <w:color w:val="0000EE"/>
                </w:rPr>
                <w:t>H. Mine Safety Disclosure</w:t>
              </w:r>
            </w:hyperlink>
          </w:p>
        </w:tc>
        <w:tc>
          <w:tcPr>
            <w:tcW w:w="2480" w:type="dxa"/>
            <w:vAlign w:val="bottom"/>
          </w:tcPr>
          <w:p>
            <w:pPr>
              <w:jc w:val="right"/>
              <w:ind w:right="493"/>
              <w:spacing w:after="0" w:line="140" w:lineRule="exact"/>
              <w:rPr>
                <w:sz w:val="20"/>
                <w:szCs w:val="20"/>
                <w:color w:val="auto"/>
              </w:rPr>
            </w:pPr>
            <w:r>
              <w:rPr>
                <w:rFonts w:ascii="Arial" w:cs="Arial" w:eastAsia="Arial" w:hAnsi="Arial"/>
                <w:sz w:val="13"/>
                <w:szCs w:val="13"/>
                <w:color w:val="auto"/>
              </w:rPr>
              <w:t>255</w:t>
            </w:r>
          </w:p>
        </w:tc>
      </w:tr>
      <w:tr>
        <w:trPr>
          <w:trHeight w:val="260"/>
        </w:trPr>
        <w:tc>
          <w:tcPr>
            <w:tcW w:w="1280" w:type="dxa"/>
            <w:vAlign w:val="bottom"/>
          </w:tcPr>
          <w:p>
            <w:pPr>
              <w:spacing w:after="0"/>
              <w:rPr>
                <w:sz w:val="20"/>
                <w:szCs w:val="20"/>
                <w:color w:val="auto"/>
              </w:rPr>
            </w:pPr>
            <w:r>
              <w:rPr>
                <w:rFonts w:ascii="Arial" w:cs="Arial" w:eastAsia="Arial" w:hAnsi="Arial"/>
                <w:sz w:val="13"/>
                <w:szCs w:val="13"/>
                <w:b w:val="1"/>
                <w:bCs w:val="1"/>
                <w:color w:val="auto"/>
              </w:rPr>
              <w:t>PART III</w:t>
            </w:r>
          </w:p>
        </w:tc>
        <w:tc>
          <w:tcPr>
            <w:tcW w:w="6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20"/>
        </w:trPr>
        <w:tc>
          <w:tcPr>
            <w:tcW w:w="1280" w:type="dxa"/>
            <w:vAlign w:val="bottom"/>
          </w:tcPr>
          <w:p>
            <w:pPr>
              <w:spacing w:after="0"/>
              <w:rPr>
                <w:sz w:val="20"/>
                <w:szCs w:val="20"/>
                <w:color w:val="auto"/>
              </w:rPr>
            </w:pPr>
            <w:r>
              <w:rPr>
                <w:rFonts w:ascii="Arial" w:cs="Arial" w:eastAsia="Arial" w:hAnsi="Arial"/>
                <w:sz w:val="13"/>
                <w:szCs w:val="13"/>
                <w:color w:val="auto"/>
              </w:rPr>
              <w:t>ITEM 17.</w:t>
            </w:r>
          </w:p>
        </w:tc>
        <w:tc>
          <w:tcPr>
            <w:tcW w:w="1600" w:type="dxa"/>
            <w:vAlign w:val="bottom"/>
            <w:tcBorders>
              <w:bottom w:val="single" w:sz="8" w:color="0000EE"/>
            </w:tcBorders>
            <w:gridSpan w:val="13"/>
          </w:tcPr>
          <w:p>
            <w:pPr>
              <w:spacing w:after="0"/>
              <w:rPr>
                <w:rFonts w:ascii="Arial" w:cs="Arial" w:eastAsia="Arial" w:hAnsi="Arial"/>
                <w:sz w:val="13"/>
                <w:szCs w:val="13"/>
                <w:color w:val="0000EE"/>
                <w:w w:val="99"/>
              </w:rPr>
            </w:pPr>
            <w:hyperlink w:anchor="page258">
              <w:r>
                <w:rPr>
                  <w:rFonts w:ascii="Arial" w:cs="Arial" w:eastAsia="Arial" w:hAnsi="Arial"/>
                  <w:sz w:val="13"/>
                  <w:szCs w:val="13"/>
                  <w:color w:val="0000EE"/>
                  <w:w w:val="99"/>
                </w:rPr>
                <w:t>FINANCIAL STATEMENTS</w:t>
              </w:r>
            </w:hyperlink>
          </w:p>
        </w:tc>
        <w:tc>
          <w:tcPr>
            <w:tcW w:w="5940" w:type="dxa"/>
            <w:vAlign w:val="bottom"/>
            <w:gridSpan w:val="15"/>
          </w:tcPr>
          <w:p>
            <w:pPr>
              <w:spacing w:after="0"/>
              <w:rPr>
                <w:sz w:val="19"/>
                <w:szCs w:val="19"/>
                <w:color w:val="auto"/>
              </w:rPr>
            </w:pPr>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256</w:t>
            </w: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18.</w:t>
            </w:r>
          </w:p>
        </w:tc>
        <w:tc>
          <w:tcPr>
            <w:tcW w:w="1600" w:type="dxa"/>
            <w:vAlign w:val="bottom"/>
            <w:tcBorders>
              <w:bottom w:val="single" w:sz="8" w:color="0000EE"/>
            </w:tcBorders>
            <w:gridSpan w:val="13"/>
          </w:tcPr>
          <w:p>
            <w:pPr>
              <w:spacing w:after="0"/>
              <w:rPr>
                <w:rFonts w:ascii="Arial" w:cs="Arial" w:eastAsia="Arial" w:hAnsi="Arial"/>
                <w:sz w:val="13"/>
                <w:szCs w:val="13"/>
                <w:color w:val="0000EE"/>
                <w:w w:val="99"/>
              </w:rPr>
            </w:pPr>
            <w:hyperlink w:anchor="page258">
              <w:r>
                <w:rPr>
                  <w:rFonts w:ascii="Arial" w:cs="Arial" w:eastAsia="Arial" w:hAnsi="Arial"/>
                  <w:sz w:val="13"/>
                  <w:szCs w:val="13"/>
                  <w:color w:val="0000EE"/>
                  <w:w w:val="99"/>
                </w:rPr>
                <w:t>FINANCIAL STATEMENTS</w:t>
              </w:r>
            </w:hyperlink>
          </w:p>
        </w:tc>
        <w:tc>
          <w:tcPr>
            <w:tcW w:w="5940" w:type="dxa"/>
            <w:vAlign w:val="bottom"/>
            <w:gridSpan w:val="15"/>
          </w:tcPr>
          <w:p>
            <w:pPr>
              <w:spacing w:after="0"/>
              <w:rPr>
                <w:sz w:val="19"/>
                <w:szCs w:val="19"/>
                <w:color w:val="auto"/>
              </w:rPr>
            </w:pPr>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256</w:t>
            </w:r>
          </w:p>
        </w:tc>
      </w:tr>
      <w:tr>
        <w:trPr>
          <w:trHeight w:val="230"/>
        </w:trPr>
        <w:tc>
          <w:tcPr>
            <w:tcW w:w="1280" w:type="dxa"/>
            <w:vAlign w:val="bottom"/>
          </w:tcPr>
          <w:p>
            <w:pPr>
              <w:spacing w:after="0"/>
              <w:rPr>
                <w:sz w:val="20"/>
                <w:szCs w:val="20"/>
                <w:color w:val="auto"/>
              </w:rPr>
            </w:pPr>
            <w:r>
              <w:rPr>
                <w:rFonts w:ascii="Arial" w:cs="Arial" w:eastAsia="Arial" w:hAnsi="Arial"/>
                <w:sz w:val="13"/>
                <w:szCs w:val="13"/>
                <w:color w:val="auto"/>
              </w:rPr>
              <w:t>ITEM 19.</w:t>
            </w:r>
          </w:p>
        </w:tc>
        <w:tc>
          <w:tcPr>
            <w:tcW w:w="7540" w:type="dxa"/>
            <w:vAlign w:val="bottom"/>
            <w:gridSpan w:val="28"/>
          </w:tcPr>
          <w:p>
            <w:pPr>
              <w:spacing w:after="0"/>
              <w:rPr>
                <w:rFonts w:ascii="Arial" w:cs="Arial" w:eastAsia="Arial" w:hAnsi="Arial"/>
                <w:sz w:val="13"/>
                <w:szCs w:val="13"/>
                <w:color w:val="0000EE"/>
              </w:rPr>
            </w:pPr>
            <w:hyperlink w:anchor="page259">
              <w:r>
                <w:rPr>
                  <w:rFonts w:ascii="Arial" w:cs="Arial" w:eastAsia="Arial" w:hAnsi="Arial"/>
                  <w:sz w:val="13"/>
                  <w:szCs w:val="13"/>
                  <w:color w:val="0000EE"/>
                </w:rPr>
                <w:t>EXHIBITS</w:t>
              </w:r>
            </w:hyperlink>
          </w:p>
        </w:tc>
        <w:tc>
          <w:tcPr>
            <w:tcW w:w="2480" w:type="dxa"/>
            <w:vAlign w:val="bottom"/>
          </w:tcPr>
          <w:p>
            <w:pPr>
              <w:jc w:val="right"/>
              <w:ind w:right="493"/>
              <w:spacing w:after="0"/>
              <w:rPr>
                <w:sz w:val="20"/>
                <w:szCs w:val="20"/>
                <w:color w:val="auto"/>
              </w:rPr>
            </w:pPr>
            <w:r>
              <w:rPr>
                <w:rFonts w:ascii="Arial" w:cs="Arial" w:eastAsia="Arial" w:hAnsi="Arial"/>
                <w:sz w:val="13"/>
                <w:szCs w:val="13"/>
                <w:color w:val="auto"/>
              </w:rPr>
              <w:t>257</w:t>
            </w:r>
          </w:p>
        </w:tc>
      </w:tr>
      <w:tr>
        <w:trPr>
          <w:trHeight w:val="650"/>
        </w:trPr>
        <w:tc>
          <w:tcPr>
            <w:tcW w:w="1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40" w:type="dxa"/>
            <w:vAlign w:val="bottom"/>
            <w:gridSpan w:val="25"/>
          </w:tcPr>
          <w:p>
            <w:pPr>
              <w:jc w:val="right"/>
              <w:ind w:right="140"/>
              <w:spacing w:after="0"/>
              <w:rPr>
                <w:sz w:val="20"/>
                <w:szCs w:val="20"/>
                <w:color w:val="auto"/>
              </w:rPr>
            </w:pPr>
            <w:r>
              <w:rPr>
                <w:rFonts w:ascii="Arial" w:cs="Arial" w:eastAsia="Arial" w:hAnsi="Arial"/>
                <w:sz w:val="13"/>
                <w:szCs w:val="13"/>
                <w:color w:val="auto"/>
              </w:rPr>
              <w:t>2</w:t>
            </w:r>
          </w:p>
        </w:tc>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80"/>
        </w:trPr>
        <w:tc>
          <w:tcPr>
            <w:tcW w:w="12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GENERAL INFORMATION</w:t>
      </w:r>
    </w:p>
    <w:p>
      <w:pPr>
        <w:spacing w:after="0" w:line="94" w:lineRule="exact"/>
        <w:rPr>
          <w:sz w:val="20"/>
          <w:szCs w:val="20"/>
          <w:color w:val="auto"/>
        </w:rPr>
      </w:pPr>
    </w:p>
    <w:p>
      <w:pPr>
        <w:ind w:right="180" w:firstLine="556"/>
        <w:spacing w:after="0" w:line="287" w:lineRule="auto"/>
        <w:rPr>
          <w:sz w:val="20"/>
          <w:szCs w:val="20"/>
          <w:color w:val="auto"/>
        </w:rPr>
      </w:pPr>
      <w:r>
        <w:rPr>
          <w:rFonts w:ascii="Arial" w:cs="Arial" w:eastAsia="Arial" w:hAnsi="Arial"/>
          <w:sz w:val="13"/>
          <w:szCs w:val="13"/>
          <w:color w:val="auto"/>
        </w:rPr>
        <w:t>In this annual report on Form 20-F (“Annual Report”), “BioNTech,” the “Group,” the “Company,” “we,” “us,” and “our” refer to BioNTech SE and its consolidated subsidiaries, except where the context otherwise requires.</w:t>
      </w:r>
    </w:p>
    <w:p>
      <w:pPr>
        <w:spacing w:after="0" w:line="122"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In response to the fact that our consolidated financial statements are published in Euro, the selected consolidated financial data is presented in Euro as well. Amounts in U.S. dollar are translated into Euro using the exchange rates as per period end or average exchange rates for the periods indicated as published by the German Central Bank (</w:t>
      </w:r>
      <w:r>
        <w:rPr>
          <w:rFonts w:ascii="Arial" w:cs="Arial" w:eastAsia="Arial" w:hAnsi="Arial"/>
          <w:sz w:val="13"/>
          <w:szCs w:val="13"/>
          <w:i w:val="1"/>
          <w:iCs w:val="1"/>
          <w:color w:val="auto"/>
        </w:rPr>
        <w:t>Deutsche Bundesbank</w:t>
      </w:r>
      <w:r>
        <w:rPr>
          <w:rFonts w:ascii="Arial" w:cs="Arial" w:eastAsia="Arial" w:hAnsi="Arial"/>
          <w:sz w:val="13"/>
          <w:szCs w:val="13"/>
          <w:color w:val="auto"/>
        </w:rPr>
        <w:t>).</w:t>
      </w:r>
    </w:p>
    <w:p>
      <w:pPr>
        <w:spacing w:after="0" w:line="122"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auto"/>
        </w:rPr>
        <w:t>All references in this Annual Report to “$” mean U.S. dollars and all references to “€” mean Euros and all references in this Annual Report to “k$” and “k€” refer to thousands of U.S. dollars and thousands of Euros,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100"/>
          </w:cols>
          <w:pgMar w:left="300" w:top="127" w:right="49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94"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that are not of historical facts may be deemed to be forward-looking statements. Many of the forward-looking statements contained in this Annual Report can be identified by the use of forward-looking words such as “believes”, “estimates”, “anticipates”, “expects”, “plans”, “intends”, “may”, “could”, “might”, “will”, “should”, “aims” or other similar expressions that convey uncertainty of future events or outcomes.</w:t>
      </w:r>
    </w:p>
    <w:p>
      <w:pPr>
        <w:spacing w:after="0" w:line="135" w:lineRule="exact"/>
        <w:rPr>
          <w:sz w:val="20"/>
          <w:szCs w:val="20"/>
          <w:color w:val="auto"/>
        </w:rPr>
      </w:pPr>
    </w:p>
    <w:p>
      <w:pPr>
        <w:ind w:right="80" w:firstLine="556"/>
        <w:spacing w:after="0" w:line="267" w:lineRule="auto"/>
        <w:rPr>
          <w:sz w:val="20"/>
          <w:szCs w:val="20"/>
          <w:color w:val="auto"/>
        </w:rPr>
      </w:pPr>
      <w:r>
        <w:rPr>
          <w:rFonts w:ascii="Arial" w:cs="Arial" w:eastAsia="Arial" w:hAnsi="Arial"/>
          <w:sz w:val="13"/>
          <w:szCs w:val="13"/>
          <w:color w:val="auto"/>
        </w:rPr>
        <w:t>These forward-looking statements are subject to known and unknown risks, uncertainties, assumptions and other factors that could cause our actual results of operations, financial condition, liquidity, performance, prospects, opportunities, achievements or industry results, as well as those of the markets we serve or intend to serve, to differ materially from those expressed in, or suggested by, these forward-looking statements. These forward-looking statements are based on assumptions regarding our present and future business strategies and the environment in which we expect to operate in the future. Important factors that could cause those differences include, but are not limited to:</w:t>
      </w:r>
    </w:p>
    <w:p>
      <w:pPr>
        <w:spacing w:after="0" w:line="45" w:lineRule="exact"/>
        <w:rPr>
          <w:sz w:val="20"/>
          <w:szCs w:val="20"/>
          <w:color w:val="auto"/>
        </w:rPr>
      </w:pPr>
    </w:p>
    <w:p>
      <w:pPr>
        <w:ind w:left="1020" w:right="80" w:hanging="340"/>
        <w:spacing w:after="0" w:line="272" w:lineRule="auto"/>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1"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timing of and our ability to obtain and maintain regulatory approval for our product candidates;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our ability to identify research opportunities and discover and develop investigational medicines;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ability and willingness of our third-party collaborators to continue research and development activities relating to our development candidates and investigational medicines;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our expectations regarding the size of the patient populations for our product candidates, if approved for commercial use;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impact of the COVID-19 pandemic on our development programs, supply chain, collaborators and financial performance;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claims for personal injury or death arising from the use of products and product candidates produced by us;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our estimates of our expenses, ongoing losses, future revenue and capital requirements and our needs for or ability to obtain additional financing;</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our ability to identify, recruit and retain key personnel;</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2"/>
          <w:szCs w:val="12"/>
          <w:color w:val="231F20"/>
        </w:rPr>
      </w:pPr>
      <w:r>
        <w:rPr>
          <w:rFonts w:ascii="Arial" w:cs="Arial" w:eastAsia="Arial" w:hAnsi="Arial"/>
          <w:sz w:val="12"/>
          <w:szCs w:val="12"/>
          <w:color w:val="231F20"/>
        </w:rPr>
        <w:t>our and our collaborators’ ability to protect and enforce our intellectual property protection for our proprietary and collaborative product candidates, and the scope of such protection;</w:t>
      </w:r>
    </w:p>
    <w:p>
      <w:pPr>
        <w:spacing w:after="0" w:line="101" w:lineRule="exact"/>
        <w:rPr>
          <w:rFonts w:ascii="Arial" w:cs="Arial" w:eastAsia="Arial" w:hAnsi="Arial"/>
          <w:sz w:val="12"/>
          <w:szCs w:val="12"/>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development of and projections relating to our competitors or our industry;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our ability to commercialize our product candidates, if approved;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pricing and reimbursement of our investigational medicines, if approved;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rate and degree of market acceptance of our investigational medicines;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amount of and our ability to use net operating losses and research and development credits to offset future taxable income;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our ability to manage our development and expansion;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regulatory developments in the United States and foreign countries;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our ability to manufacture our product candidates with advantages in turnaround times or manufacturing cost;</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our ability to implement, maintain and improve effective internal controls;</w:t>
      </w:r>
    </w:p>
    <w:p>
      <w:pPr>
        <w:spacing w:after="0" w:line="90" w:lineRule="exact"/>
        <w:rPr>
          <w:rFonts w:ascii="Arial" w:cs="Arial" w:eastAsia="Arial" w:hAnsi="Arial"/>
          <w:sz w:val="13"/>
          <w:szCs w:val="13"/>
          <w:color w:val="231F20"/>
        </w:rPr>
      </w:pPr>
    </w:p>
    <w:p>
      <w:pPr>
        <w:ind w:left="1020" w:right="240" w:hanging="340"/>
        <w:spacing w:after="0" w:line="287" w:lineRule="auto"/>
        <w:tabs>
          <w:tab w:leader="none" w:pos="102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the ability to satisfy the conditions to the merger of Endor Lights, Inc., our wholly owned subsidiary, with Neon Therapeutics, Inc., in an all-stock transaction, or the Merger, including the ability to obtain the shareholder approval, on the proposed terms and timeframe;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6" w:name="page7"/>
    <w:bookmarkEnd w:id="6"/>
    <w:p>
      <w:pPr>
        <w:ind w:left="1020" w:hanging="340"/>
        <w:spacing w:after="0" w:line="287" w:lineRule="auto"/>
        <w:tabs>
          <w:tab w:leader="none" w:pos="1020" w:val="left"/>
        </w:tabs>
        <w:numPr>
          <w:ilvl w:val="0"/>
          <w:numId w:val="7"/>
        </w:numPr>
        <w:rPr>
          <w:rFonts w:ascii="Arial" w:cs="Arial" w:eastAsia="Arial" w:hAnsi="Arial"/>
          <w:sz w:val="13"/>
          <w:szCs w:val="13"/>
          <w:color w:val="231F20"/>
        </w:rPr>
      </w:pPr>
      <w:r>
        <w:rPr>
          <w:rFonts w:ascii="Arial" w:cs="Arial" w:eastAsia="Arial" w:hAnsi="Arial"/>
          <w:sz w:val="13"/>
          <w:szCs w:val="13"/>
          <w:color w:val="231F20"/>
        </w:rPr>
        <w:t>the ability to realize the anticipated benefits of transactions related to the Merger and other acquisitions, restructuring activities, including in connection with the Merger, or other initiatives in a timely manner or at all;</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7"/>
        </w:numPr>
        <w:rPr>
          <w:rFonts w:ascii="Arial" w:cs="Arial" w:eastAsia="Arial" w:hAnsi="Arial"/>
          <w:sz w:val="13"/>
          <w:szCs w:val="13"/>
          <w:color w:val="231F20"/>
        </w:rPr>
      </w:pPr>
      <w:r>
        <w:rPr>
          <w:rFonts w:ascii="Arial" w:cs="Arial" w:eastAsia="Arial" w:hAnsi="Arial"/>
          <w:sz w:val="13"/>
          <w:szCs w:val="13"/>
          <w:color w:val="231F20"/>
        </w:rPr>
        <w:t>the risk of unanticipated costs, liabilities or delays relating to the Merger, including the outcome of any legal proceedings relating to the Merger;</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7"/>
        </w:numPr>
        <w:rPr>
          <w:rFonts w:ascii="Arial" w:cs="Arial" w:eastAsia="Arial" w:hAnsi="Arial"/>
          <w:sz w:val="13"/>
          <w:szCs w:val="13"/>
          <w:color w:val="231F20"/>
        </w:rPr>
      </w:pPr>
      <w:r>
        <w:rPr>
          <w:rFonts w:ascii="Arial" w:cs="Arial" w:eastAsia="Arial" w:hAnsi="Arial"/>
          <w:sz w:val="13"/>
          <w:szCs w:val="13"/>
          <w:color w:val="231F20"/>
        </w:rPr>
        <w:t>risks relating to expectations regarding the capitalization, resources and ownership of the consolidated company;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7"/>
        </w:numPr>
        <w:rPr>
          <w:rFonts w:ascii="Arial" w:cs="Arial" w:eastAsia="Arial" w:hAnsi="Arial"/>
          <w:sz w:val="13"/>
          <w:szCs w:val="13"/>
          <w:color w:val="231F20"/>
        </w:rPr>
      </w:pPr>
      <w:r>
        <w:rPr>
          <w:rFonts w:ascii="Arial" w:cs="Arial" w:eastAsia="Arial" w:hAnsi="Arial"/>
          <w:sz w:val="13"/>
          <w:szCs w:val="13"/>
          <w:color w:val="231F20"/>
        </w:rPr>
        <w:t>our expectations regarding the time during which we will be an emerging growth company under the JOBS Act and a foreign private issuer;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7"/>
        </w:numPr>
        <w:rPr>
          <w:rFonts w:ascii="Arial" w:cs="Arial" w:eastAsia="Arial" w:hAnsi="Arial"/>
          <w:sz w:val="13"/>
          <w:szCs w:val="13"/>
          <w:color w:val="231F20"/>
        </w:rPr>
      </w:pPr>
      <w:r>
        <w:rPr>
          <w:rFonts w:ascii="Arial" w:cs="Arial" w:eastAsia="Arial" w:hAnsi="Arial"/>
          <w:sz w:val="13"/>
          <w:szCs w:val="13"/>
          <w:color w:val="231F20"/>
        </w:rPr>
        <w:t>other factors not known to us at this time.</w:t>
      </w:r>
    </w:p>
    <w:p>
      <w:pPr>
        <w:spacing w:after="0" w:line="170"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The preceding list is not intended to be an exhaustive list of all of our forward-looking statements. The forward-looking statements contained in this Annual Report speak only as of the date of this report, and unless otherwise 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Identity of Directors, Senior Management and Advisers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Not </w:t>
      </w:r>
      <w:r>
        <w:rPr>
          <w:rFonts w:ascii="Arial" w:cs="Arial" w:eastAsia="Arial" w:hAnsi="Arial"/>
          <w:sz w:val="13"/>
          <w:szCs w:val="13"/>
          <w:color w:val="231F20"/>
        </w:rPr>
        <w:t>applicable</w:t>
      </w:r>
      <w:r>
        <w:rPr>
          <w:rFonts w:ascii="Arial" w:cs="Arial" w:eastAsia="Arial" w:hAnsi="Arial"/>
          <w:sz w:val="13"/>
          <w:szCs w:val="13"/>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Offer Statistics and Expected Timetable</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Key Information</w:t>
      </w:r>
    </w:p>
    <w:p>
      <w:pPr>
        <w:spacing w:after="0" w:line="90" w:lineRule="exact"/>
        <w:rPr>
          <w:sz w:val="20"/>
          <w:szCs w:val="20"/>
          <w:color w:val="auto"/>
        </w:rPr>
      </w:pPr>
    </w:p>
    <w:p>
      <w:pPr>
        <w:ind w:left="1100" w:hanging="550"/>
        <w:spacing w:after="0"/>
        <w:tabs>
          <w:tab w:leader="none" w:pos="11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Selected Consolidated Financial Data</w:t>
      </w:r>
    </w:p>
    <w:p>
      <w:pPr>
        <w:spacing w:after="0" w:line="94"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auto"/>
        </w:rPr>
        <w:t>The tables below present the selected consolidated financial data as of the dates and for the periods indicated. The selected consolidated financial data as of December 31, 2019 and December 31, 2018 as well as for the years ended December 31, 2019, December 31, 2018 and December 31, 2017 have been derived from our audited consolidated financial statements presented elsewhere in this Annual Report. Our audited consolidated financial statements have been prepared in accordance with the International Financial Reporting Standards, or IFRS, as issued by the International Accounting Standards Board, or IASB, and have been audited by our independent registered public accounting firm. The selected consolidated financial data as of December 31, 2017 is derived from audited consolidated financial statements not included in this Annual Report. As an emerging growth company, the presentation of selected historic financial data is limited to periods for which audited financial statements have been presented in connection with our first registration statement that became effective under the Securities Act of 1933, or the Securities Act.</w:t>
      </w:r>
    </w:p>
    <w:p>
      <w:pPr>
        <w:spacing w:after="0" w:line="126" w:lineRule="exact"/>
        <w:rPr>
          <w:sz w:val="20"/>
          <w:szCs w:val="20"/>
          <w:color w:val="auto"/>
        </w:rPr>
      </w:pPr>
    </w:p>
    <w:p>
      <w:pPr>
        <w:ind w:right="420" w:firstLine="556"/>
        <w:spacing w:after="0" w:line="287" w:lineRule="auto"/>
        <w:rPr>
          <w:sz w:val="20"/>
          <w:szCs w:val="20"/>
          <w:color w:val="auto"/>
        </w:rPr>
      </w:pPr>
      <w:r>
        <w:rPr>
          <w:rFonts w:ascii="Arial" w:cs="Arial" w:eastAsia="Arial" w:hAnsi="Arial"/>
          <w:sz w:val="13"/>
          <w:szCs w:val="13"/>
          <w:color w:val="auto"/>
        </w:rPr>
        <w:t>Our historical results are not necessarily indicative of results that may be expected in the future. The information should be read in conjunction with the information provided in the consolidated financial statements and the related notes to these statements as well as the information described within the section “Operating and Financial Review and Prospects”.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0"/>
        </w:trPr>
        <w:tc>
          <w:tcPr>
            <w:tcW w:w="5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5320" w:type="dxa"/>
            <w:vAlign w:val="bottom"/>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5320" w:type="dxa"/>
            <w:vAlign w:val="bottom"/>
          </w:tcPr>
          <w:p>
            <w:pPr>
              <w:spacing w:after="0"/>
              <w:rPr>
                <w:sz w:val="14"/>
                <w:szCs w:val="14"/>
                <w:color w:val="auto"/>
              </w:rPr>
            </w:pPr>
          </w:p>
        </w:tc>
        <w:tc>
          <w:tcPr>
            <w:tcW w:w="12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r>
      <w:tr>
        <w:trPr>
          <w:trHeight w:val="20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200" w:type="dxa"/>
            <w:vAlign w:val="bottom"/>
            <w:tcBorders>
              <w:bottom w:val="single" w:sz="8" w:color="70AD47"/>
              <w:right w:val="single" w:sz="8" w:color="70AD47"/>
            </w:tcBorders>
          </w:tcPr>
          <w:p>
            <w:pPr>
              <w:spacing w:after="0"/>
              <w:rPr>
                <w:sz w:val="17"/>
                <w:szCs w:val="17"/>
                <w:color w:val="auto"/>
              </w:rPr>
            </w:pPr>
          </w:p>
        </w:tc>
        <w:tc>
          <w:tcPr>
            <w:tcW w:w="1600" w:type="dxa"/>
            <w:vAlign w:val="bottom"/>
            <w:tcBorders>
              <w:bottom w:val="single" w:sz="8" w:color="70AD47"/>
              <w:right w:val="single" w:sz="8" w:color="70AD47"/>
            </w:tcBorders>
            <w:shd w:val="clear" w:color="auto" w:fill="C5E0B3"/>
          </w:tcPr>
          <w:p>
            <w:pPr>
              <w:spacing w:after="0"/>
              <w:rPr>
                <w:sz w:val="17"/>
                <w:szCs w:val="17"/>
                <w:color w:val="auto"/>
              </w:rPr>
            </w:pPr>
          </w:p>
        </w:tc>
        <w:tc>
          <w:tcPr>
            <w:tcW w:w="1600" w:type="dxa"/>
            <w:vAlign w:val="bottom"/>
            <w:tcBorders>
              <w:bottom w:val="single" w:sz="8" w:color="70AD47"/>
              <w:right w:val="single" w:sz="8" w:color="70AD47"/>
            </w:tcBorders>
          </w:tcPr>
          <w:p>
            <w:pPr>
              <w:spacing w:after="0"/>
              <w:rPr>
                <w:sz w:val="17"/>
                <w:szCs w:val="17"/>
                <w:color w:val="auto"/>
              </w:rPr>
            </w:pPr>
          </w:p>
        </w:tc>
        <w:tc>
          <w:tcPr>
            <w:tcW w:w="1560" w:type="dxa"/>
            <w:vAlign w:val="bottom"/>
            <w:tcBorders>
              <w:bottom w:val="single" w:sz="8" w:color="70AD47"/>
            </w:tcBorders>
          </w:tcPr>
          <w:p>
            <w:pPr>
              <w:spacing w:after="0"/>
              <w:rPr>
                <w:sz w:val="17"/>
                <w:szCs w:val="17"/>
                <w:color w:val="auto"/>
              </w:rPr>
            </w:pPr>
          </w:p>
        </w:tc>
        <w:tc>
          <w:tcPr>
            <w:tcW w:w="20" w:type="dxa"/>
            <w:vAlign w:val="bottom"/>
          </w:tcPr>
          <w:p>
            <w:pPr>
              <w:spacing w:after="0"/>
              <w:rPr>
                <w:sz w:val="17"/>
                <w:szCs w:val="17"/>
                <w:color w:val="auto"/>
              </w:rPr>
            </w:pPr>
          </w:p>
        </w:tc>
      </w:tr>
      <w:tr>
        <w:trPr>
          <w:trHeight w:val="400"/>
        </w:trPr>
        <w:tc>
          <w:tcPr>
            <w:tcW w:w="5320" w:type="dxa"/>
            <w:vAlign w:val="bottom"/>
          </w:tcPr>
          <w:p>
            <w:pPr>
              <w:spacing w:after="0"/>
              <w:rPr>
                <w:sz w:val="20"/>
                <w:szCs w:val="20"/>
                <w:color w:val="auto"/>
              </w:rPr>
            </w:pPr>
            <w:r>
              <w:rPr>
                <w:rFonts w:ascii="Arial" w:cs="Arial" w:eastAsia="Arial" w:hAnsi="Arial"/>
                <w:sz w:val="13"/>
                <w:szCs w:val="13"/>
                <w:color w:val="auto"/>
              </w:rPr>
              <w:t>Revenues from contracts with customers</w:t>
            </w:r>
          </w:p>
        </w:tc>
        <w:tc>
          <w:tcPr>
            <w:tcW w:w="120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€108,589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€127,575</w:t>
            </w:r>
          </w:p>
        </w:tc>
        <w:tc>
          <w:tcPr>
            <w:tcW w:w="1560" w:type="dxa"/>
            <w:vAlign w:val="bottom"/>
          </w:tcPr>
          <w:p>
            <w:pPr>
              <w:jc w:val="right"/>
              <w:spacing w:after="0"/>
              <w:rPr>
                <w:sz w:val="20"/>
                <w:szCs w:val="20"/>
                <w:color w:val="auto"/>
              </w:rPr>
            </w:pPr>
            <w:r>
              <w:rPr>
                <w:rFonts w:ascii="Arial" w:cs="Arial" w:eastAsia="Arial" w:hAnsi="Arial"/>
                <w:sz w:val="13"/>
                <w:szCs w:val="13"/>
                <w:color w:val="auto"/>
              </w:rPr>
              <w:t>€61,598</w:t>
            </w:r>
          </w:p>
        </w:tc>
        <w:tc>
          <w:tcPr>
            <w:tcW w:w="20" w:type="dxa"/>
            <w:vAlign w:val="bottom"/>
          </w:tcPr>
          <w:p>
            <w:pPr>
              <w:spacing w:after="0"/>
              <w:rPr>
                <w:sz w:val="24"/>
                <w:szCs w:val="24"/>
                <w:color w:val="auto"/>
              </w:rPr>
            </w:pPr>
          </w:p>
        </w:tc>
      </w:tr>
      <w:tr>
        <w:trPr>
          <w:trHeight w:val="22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Cost of sales</w:t>
            </w:r>
          </w:p>
        </w:tc>
        <w:tc>
          <w:tcPr>
            <w:tcW w:w="1200" w:type="dxa"/>
            <w:vAlign w:val="bottom"/>
            <w:tcBorders>
              <w:bottom w:val="single" w:sz="8" w:color="70AD47"/>
              <w:right w:val="single" w:sz="8" w:color="70AD47"/>
            </w:tcBorders>
          </w:tcPr>
          <w:p>
            <w:pPr>
              <w:spacing w:after="0"/>
              <w:rPr>
                <w:sz w:val="19"/>
                <w:szCs w:val="19"/>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(17,361)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(13,690)</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(9,318)</w:t>
            </w:r>
          </w:p>
        </w:tc>
        <w:tc>
          <w:tcPr>
            <w:tcW w:w="20" w:type="dxa"/>
            <w:vAlign w:val="bottom"/>
          </w:tcPr>
          <w:p>
            <w:pPr>
              <w:spacing w:after="0"/>
              <w:rPr>
                <w:sz w:val="19"/>
                <w:szCs w:val="19"/>
                <w:color w:val="auto"/>
              </w:rPr>
            </w:pPr>
          </w:p>
        </w:tc>
      </w:tr>
      <w:tr>
        <w:trPr>
          <w:trHeight w:val="20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Gross profit</w:t>
            </w:r>
          </w:p>
        </w:tc>
        <w:tc>
          <w:tcPr>
            <w:tcW w:w="1200" w:type="dxa"/>
            <w:vAlign w:val="bottom"/>
            <w:tcBorders>
              <w:bottom w:val="single" w:sz="8" w:color="70AD47"/>
              <w:right w:val="single" w:sz="8" w:color="70AD47"/>
            </w:tcBorders>
          </w:tcPr>
          <w:p>
            <w:pPr>
              <w:spacing w:after="0"/>
              <w:rPr>
                <w:sz w:val="17"/>
                <w:szCs w:val="17"/>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€91,228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€113,885</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€52,280</w:t>
            </w:r>
          </w:p>
        </w:tc>
        <w:tc>
          <w:tcPr>
            <w:tcW w:w="20" w:type="dxa"/>
            <w:vAlign w:val="bottom"/>
          </w:tcPr>
          <w:p>
            <w:pPr>
              <w:spacing w:after="0"/>
              <w:rPr>
                <w:sz w:val="17"/>
                <w:szCs w:val="17"/>
                <w:color w:val="auto"/>
              </w:rPr>
            </w:pPr>
          </w:p>
        </w:tc>
      </w:tr>
      <w:tr>
        <w:trPr>
          <w:trHeight w:val="400"/>
        </w:trPr>
        <w:tc>
          <w:tcPr>
            <w:tcW w:w="532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120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(226,466)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(143,040)</w:t>
            </w:r>
          </w:p>
        </w:tc>
        <w:tc>
          <w:tcPr>
            <w:tcW w:w="1560" w:type="dxa"/>
            <w:vAlign w:val="bottom"/>
          </w:tcPr>
          <w:p>
            <w:pPr>
              <w:jc w:val="right"/>
              <w:spacing w:after="0"/>
              <w:rPr>
                <w:sz w:val="20"/>
                <w:szCs w:val="20"/>
                <w:color w:val="auto"/>
              </w:rPr>
            </w:pPr>
            <w:r>
              <w:rPr>
                <w:rFonts w:ascii="Arial" w:cs="Arial" w:eastAsia="Arial" w:hAnsi="Arial"/>
                <w:sz w:val="13"/>
                <w:szCs w:val="13"/>
                <w:color w:val="auto"/>
              </w:rPr>
              <w:t>(85,496)</w:t>
            </w:r>
          </w:p>
        </w:tc>
        <w:tc>
          <w:tcPr>
            <w:tcW w:w="20" w:type="dxa"/>
            <w:vAlign w:val="bottom"/>
          </w:tcPr>
          <w:p>
            <w:pPr>
              <w:spacing w:after="0"/>
              <w:rPr>
                <w:sz w:val="24"/>
                <w:szCs w:val="24"/>
                <w:color w:val="auto"/>
              </w:rPr>
            </w:pPr>
          </w:p>
        </w:tc>
      </w:tr>
      <w:tr>
        <w:trPr>
          <w:trHeight w:val="230"/>
        </w:trPr>
        <w:tc>
          <w:tcPr>
            <w:tcW w:w="5320" w:type="dxa"/>
            <w:vAlign w:val="bottom"/>
            <w:tcBorders>
              <w:bottom w:val="single" w:sz="8" w:color="70AD47"/>
            </w:tcBorders>
          </w:tcPr>
          <w:p>
            <w:pPr>
              <w:spacing w:after="0"/>
              <w:rPr>
                <w:sz w:val="19"/>
                <w:szCs w:val="19"/>
                <w:color w:val="auto"/>
              </w:rPr>
            </w:pPr>
          </w:p>
        </w:tc>
        <w:tc>
          <w:tcPr>
            <w:tcW w:w="1200" w:type="dxa"/>
            <w:vAlign w:val="bottom"/>
            <w:tcBorders>
              <w:bottom w:val="single" w:sz="8" w:color="70AD47"/>
              <w:right w:val="single" w:sz="8" w:color="70AD47"/>
            </w:tcBorders>
          </w:tcPr>
          <w:p>
            <w:pPr>
              <w:spacing w:after="0"/>
              <w:rPr>
                <w:sz w:val="19"/>
                <w:szCs w:val="19"/>
                <w:color w:val="auto"/>
              </w:rPr>
            </w:pPr>
          </w:p>
        </w:tc>
        <w:tc>
          <w:tcPr>
            <w:tcW w:w="1600" w:type="dxa"/>
            <w:vAlign w:val="bottom"/>
            <w:tcBorders>
              <w:bottom w:val="single" w:sz="8" w:color="70AD47"/>
              <w:right w:val="single" w:sz="8" w:color="70AD47"/>
            </w:tcBorders>
            <w:shd w:val="clear" w:color="auto" w:fill="C6E0B4"/>
          </w:tcPr>
          <w:p>
            <w:pPr>
              <w:spacing w:after="0"/>
              <w:rPr>
                <w:sz w:val="19"/>
                <w:szCs w:val="19"/>
                <w:color w:val="auto"/>
              </w:rPr>
            </w:pPr>
          </w:p>
        </w:tc>
        <w:tc>
          <w:tcPr>
            <w:tcW w:w="1600" w:type="dxa"/>
            <w:vAlign w:val="bottom"/>
            <w:tcBorders>
              <w:bottom w:val="single" w:sz="8" w:color="70AD47"/>
              <w:right w:val="single" w:sz="8" w:color="70AD47"/>
            </w:tcBorders>
          </w:tcPr>
          <w:p>
            <w:pPr>
              <w:spacing w:after="0"/>
              <w:rPr>
                <w:sz w:val="19"/>
                <w:szCs w:val="19"/>
                <w:color w:val="auto"/>
              </w:rPr>
            </w:pPr>
          </w:p>
        </w:tc>
        <w:tc>
          <w:tcPr>
            <w:tcW w:w="1560" w:type="dxa"/>
            <w:vAlign w:val="bottom"/>
            <w:tcBorders>
              <w:bottom w:val="single" w:sz="8" w:color="70AD47"/>
            </w:tcBorders>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Operating loss</w:t>
            </w:r>
          </w:p>
        </w:tc>
        <w:tc>
          <w:tcPr>
            <w:tcW w:w="1200" w:type="dxa"/>
            <w:vAlign w:val="bottom"/>
            <w:tcBorders>
              <w:bottom w:val="single" w:sz="8" w:color="70AD47"/>
              <w:right w:val="single" w:sz="8" w:color="70AD47"/>
            </w:tcBorders>
          </w:tcPr>
          <w:p>
            <w:pPr>
              <w:spacing w:after="0"/>
              <w:rPr>
                <w:sz w:val="16"/>
                <w:szCs w:val="16"/>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€(181,518)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€(53,854)</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€(61,277)</w:t>
            </w:r>
          </w:p>
        </w:tc>
        <w:tc>
          <w:tcPr>
            <w:tcW w:w="20" w:type="dxa"/>
            <w:vAlign w:val="bottom"/>
          </w:tcPr>
          <w:p>
            <w:pPr>
              <w:spacing w:after="0"/>
              <w:rPr>
                <w:sz w:val="16"/>
                <w:szCs w:val="16"/>
                <w:color w:val="auto"/>
              </w:rPr>
            </w:pPr>
          </w:p>
        </w:tc>
      </w:tr>
      <w:tr>
        <w:trPr>
          <w:trHeight w:val="210"/>
        </w:trPr>
        <w:tc>
          <w:tcPr>
            <w:tcW w:w="5320" w:type="dxa"/>
            <w:vAlign w:val="bottom"/>
            <w:tcBorders>
              <w:bottom w:val="single" w:sz="8" w:color="70AD47"/>
            </w:tcBorders>
          </w:tcPr>
          <w:p>
            <w:pPr>
              <w:spacing w:after="0"/>
              <w:rPr>
                <w:sz w:val="18"/>
                <w:szCs w:val="18"/>
                <w:color w:val="auto"/>
              </w:rPr>
            </w:pPr>
          </w:p>
        </w:tc>
        <w:tc>
          <w:tcPr>
            <w:tcW w:w="1200" w:type="dxa"/>
            <w:vAlign w:val="bottom"/>
            <w:tcBorders>
              <w:bottom w:val="single" w:sz="8" w:color="70AD47"/>
              <w:right w:val="single" w:sz="8" w:color="70AD47"/>
            </w:tcBorders>
          </w:tcPr>
          <w:p>
            <w:pPr>
              <w:spacing w:after="0"/>
              <w:rPr>
                <w:sz w:val="18"/>
                <w:szCs w:val="18"/>
                <w:color w:val="auto"/>
              </w:rPr>
            </w:pPr>
          </w:p>
        </w:tc>
        <w:tc>
          <w:tcPr>
            <w:tcW w:w="1600" w:type="dxa"/>
            <w:vAlign w:val="bottom"/>
            <w:tcBorders>
              <w:bottom w:val="single" w:sz="8" w:color="70AD47"/>
              <w:right w:val="single" w:sz="8" w:color="70AD47"/>
            </w:tcBorders>
            <w:shd w:val="clear" w:color="auto" w:fill="C6E0B4"/>
          </w:tcPr>
          <w:p>
            <w:pPr>
              <w:spacing w:after="0"/>
              <w:rPr>
                <w:sz w:val="18"/>
                <w:szCs w:val="18"/>
                <w:color w:val="auto"/>
              </w:rPr>
            </w:pPr>
          </w:p>
        </w:tc>
        <w:tc>
          <w:tcPr>
            <w:tcW w:w="1600" w:type="dxa"/>
            <w:vAlign w:val="bottom"/>
            <w:tcBorders>
              <w:bottom w:val="single" w:sz="8" w:color="70AD47"/>
              <w:right w:val="single" w:sz="8" w:color="70AD47"/>
            </w:tcBorders>
          </w:tcPr>
          <w:p>
            <w:pPr>
              <w:spacing w:after="0"/>
              <w:rPr>
                <w:sz w:val="18"/>
                <w:szCs w:val="18"/>
                <w:color w:val="auto"/>
              </w:rPr>
            </w:pPr>
          </w:p>
        </w:tc>
        <w:tc>
          <w:tcPr>
            <w:tcW w:w="1560" w:type="dxa"/>
            <w:vAlign w:val="bottom"/>
            <w:tcBorders>
              <w:bottom w:val="single" w:sz="8" w:color="70AD47"/>
            </w:tcBorders>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Loss before tax</w:t>
            </w:r>
          </w:p>
        </w:tc>
        <w:tc>
          <w:tcPr>
            <w:tcW w:w="1200" w:type="dxa"/>
            <w:vAlign w:val="bottom"/>
            <w:tcBorders>
              <w:bottom w:val="single" w:sz="8" w:color="70AD47"/>
              <w:right w:val="single" w:sz="8" w:color="70AD47"/>
            </w:tcBorders>
          </w:tcPr>
          <w:p>
            <w:pPr>
              <w:spacing w:after="0"/>
              <w:rPr>
                <w:sz w:val="16"/>
                <w:szCs w:val="16"/>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€(179,440)</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€(47,662)</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€(85,905)</w:t>
            </w:r>
          </w:p>
        </w:tc>
        <w:tc>
          <w:tcPr>
            <w:tcW w:w="20" w:type="dxa"/>
            <w:vAlign w:val="bottom"/>
          </w:tcPr>
          <w:p>
            <w:pPr>
              <w:spacing w:after="0"/>
              <w:rPr>
                <w:sz w:val="16"/>
                <w:szCs w:val="16"/>
                <w:color w:val="auto"/>
              </w:rPr>
            </w:pPr>
          </w:p>
        </w:tc>
      </w:tr>
      <w:tr>
        <w:trPr>
          <w:trHeight w:val="41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Income taxes</w:t>
            </w:r>
          </w:p>
        </w:tc>
        <w:tc>
          <w:tcPr>
            <w:tcW w:w="1200" w:type="dxa"/>
            <w:vAlign w:val="bottom"/>
            <w:tcBorders>
              <w:bottom w:val="single" w:sz="8" w:color="70AD47"/>
              <w:right w:val="single" w:sz="8" w:color="70AD47"/>
            </w:tcBorders>
          </w:tcPr>
          <w:p>
            <w:pPr>
              <w:spacing w:after="0"/>
              <w:rPr>
                <w:sz w:val="24"/>
                <w:szCs w:val="2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268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(600)</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(45)</w:t>
            </w:r>
          </w:p>
        </w:tc>
        <w:tc>
          <w:tcPr>
            <w:tcW w:w="20" w:type="dxa"/>
            <w:vAlign w:val="bottom"/>
          </w:tcPr>
          <w:p>
            <w:pPr>
              <w:spacing w:after="0"/>
              <w:rPr>
                <w:sz w:val="24"/>
                <w:szCs w:val="24"/>
                <w:color w:val="auto"/>
              </w:rPr>
            </w:pPr>
          </w:p>
        </w:tc>
      </w:tr>
      <w:tr>
        <w:trPr>
          <w:trHeight w:val="20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Loss for the period</w:t>
            </w:r>
          </w:p>
        </w:tc>
        <w:tc>
          <w:tcPr>
            <w:tcW w:w="1200" w:type="dxa"/>
            <w:vAlign w:val="bottom"/>
            <w:tcBorders>
              <w:bottom w:val="single" w:sz="8" w:color="70AD47"/>
              <w:right w:val="single" w:sz="8" w:color="70AD47"/>
            </w:tcBorders>
          </w:tcPr>
          <w:p>
            <w:pPr>
              <w:spacing w:after="0"/>
              <w:rPr>
                <w:sz w:val="17"/>
                <w:szCs w:val="17"/>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€(179,172)</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€(48,262)</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€(85,950)</w:t>
            </w:r>
          </w:p>
        </w:tc>
        <w:tc>
          <w:tcPr>
            <w:tcW w:w="20" w:type="dxa"/>
            <w:vAlign w:val="bottom"/>
          </w:tcPr>
          <w:p>
            <w:pPr>
              <w:spacing w:after="0"/>
              <w:rPr>
                <w:sz w:val="17"/>
                <w:szCs w:val="17"/>
                <w:color w:val="auto"/>
              </w:rPr>
            </w:pPr>
          </w:p>
        </w:tc>
      </w:tr>
      <w:tr>
        <w:trPr>
          <w:trHeight w:val="400"/>
        </w:trPr>
        <w:tc>
          <w:tcPr>
            <w:tcW w:w="5320" w:type="dxa"/>
            <w:vAlign w:val="bottom"/>
          </w:tcPr>
          <w:p>
            <w:pPr>
              <w:spacing w:after="0"/>
              <w:rPr>
                <w:sz w:val="20"/>
                <w:szCs w:val="20"/>
                <w:color w:val="auto"/>
              </w:rPr>
            </w:pPr>
            <w:r>
              <w:rPr>
                <w:rFonts w:ascii="Arial" w:cs="Arial" w:eastAsia="Arial" w:hAnsi="Arial"/>
                <w:sz w:val="13"/>
                <w:szCs w:val="13"/>
                <w:color w:val="auto"/>
              </w:rPr>
              <w:t>Attributable to:</w:t>
            </w:r>
          </w:p>
        </w:tc>
        <w:tc>
          <w:tcPr>
            <w:tcW w:w="120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3"/>
                <w:szCs w:val="13"/>
                <w:color w:val="auto"/>
              </w:rPr>
              <w:t>Equity holders of the parent</w:t>
            </w:r>
          </w:p>
        </w:tc>
        <w:tc>
          <w:tcPr>
            <w:tcW w:w="1200" w:type="dxa"/>
            <w:vAlign w:val="bottom"/>
            <w:tcBorders>
              <w:right w:val="single" w:sz="8" w:color="70AD47"/>
            </w:tcBorders>
          </w:tcPr>
          <w:p>
            <w:pPr>
              <w:spacing w:after="0"/>
              <w:rPr>
                <w:sz w:val="18"/>
                <w:szCs w:val="18"/>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(179,056)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(48,019)</w:t>
            </w:r>
          </w:p>
        </w:tc>
        <w:tc>
          <w:tcPr>
            <w:tcW w:w="1560" w:type="dxa"/>
            <w:vAlign w:val="bottom"/>
          </w:tcPr>
          <w:p>
            <w:pPr>
              <w:jc w:val="right"/>
              <w:spacing w:after="0"/>
              <w:rPr>
                <w:sz w:val="20"/>
                <w:szCs w:val="20"/>
                <w:color w:val="auto"/>
              </w:rPr>
            </w:pPr>
            <w:r>
              <w:rPr>
                <w:rFonts w:ascii="Arial" w:cs="Arial" w:eastAsia="Arial" w:hAnsi="Arial"/>
                <w:sz w:val="13"/>
                <w:szCs w:val="13"/>
                <w:color w:val="auto"/>
              </w:rPr>
              <w:t>(85,653)</w:t>
            </w:r>
          </w:p>
        </w:tc>
        <w:tc>
          <w:tcPr>
            <w:tcW w:w="20" w:type="dxa"/>
            <w:vAlign w:val="bottom"/>
          </w:tcPr>
          <w:p>
            <w:pPr>
              <w:spacing w:after="0"/>
              <w:rPr>
                <w:sz w:val="18"/>
                <w:szCs w:val="18"/>
                <w:color w:val="auto"/>
              </w:rPr>
            </w:pPr>
          </w:p>
        </w:tc>
      </w:tr>
      <w:tr>
        <w:trPr>
          <w:trHeight w:val="22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Non-controlling interests</w:t>
            </w:r>
          </w:p>
        </w:tc>
        <w:tc>
          <w:tcPr>
            <w:tcW w:w="1200" w:type="dxa"/>
            <w:vAlign w:val="bottom"/>
            <w:tcBorders>
              <w:bottom w:val="single" w:sz="8" w:color="70AD47"/>
              <w:right w:val="single" w:sz="8" w:color="70AD47"/>
            </w:tcBorders>
          </w:tcPr>
          <w:p>
            <w:pPr>
              <w:spacing w:after="0"/>
              <w:rPr>
                <w:sz w:val="19"/>
                <w:szCs w:val="19"/>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(243)</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(297)</w:t>
            </w:r>
          </w:p>
        </w:tc>
        <w:tc>
          <w:tcPr>
            <w:tcW w:w="20" w:type="dxa"/>
            <w:vAlign w:val="bottom"/>
          </w:tcPr>
          <w:p>
            <w:pPr>
              <w:spacing w:after="0"/>
              <w:rPr>
                <w:sz w:val="19"/>
                <w:szCs w:val="19"/>
                <w:color w:val="auto"/>
              </w:rPr>
            </w:pPr>
          </w:p>
        </w:tc>
      </w:tr>
      <w:tr>
        <w:trPr>
          <w:trHeight w:val="190"/>
        </w:trPr>
        <w:tc>
          <w:tcPr>
            <w:tcW w:w="5320" w:type="dxa"/>
            <w:vAlign w:val="bottom"/>
          </w:tcPr>
          <w:p>
            <w:pPr>
              <w:spacing w:after="0"/>
              <w:rPr>
                <w:sz w:val="16"/>
                <w:szCs w:val="16"/>
                <w:color w:val="auto"/>
              </w:rPr>
            </w:pPr>
          </w:p>
        </w:tc>
        <w:tc>
          <w:tcPr>
            <w:tcW w:w="1200" w:type="dxa"/>
            <w:vAlign w:val="bottom"/>
            <w:tcBorders>
              <w:right w:val="single" w:sz="8" w:color="70AD47"/>
            </w:tcBorders>
          </w:tcPr>
          <w:p>
            <w:pPr>
              <w:spacing w:after="0"/>
              <w:rPr>
                <w:sz w:val="16"/>
                <w:szCs w:val="16"/>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€(179,172)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€(48,262)</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€(85,950)</w:t>
            </w:r>
          </w:p>
        </w:tc>
        <w:tc>
          <w:tcPr>
            <w:tcW w:w="20" w:type="dxa"/>
            <w:vAlign w:val="bottom"/>
          </w:tcPr>
          <w:p>
            <w:pPr>
              <w:spacing w:after="0"/>
              <w:rPr>
                <w:sz w:val="16"/>
                <w:szCs w:val="16"/>
                <w:color w:val="auto"/>
              </w:rPr>
            </w:pPr>
          </w:p>
        </w:tc>
      </w:tr>
      <w:tr>
        <w:trPr>
          <w:trHeight w:val="420"/>
        </w:trPr>
        <w:tc>
          <w:tcPr>
            <w:tcW w:w="5320" w:type="dxa"/>
            <w:vAlign w:val="bottom"/>
          </w:tcPr>
          <w:p>
            <w:pPr>
              <w:spacing w:after="0"/>
              <w:rPr>
                <w:sz w:val="20"/>
                <w:szCs w:val="20"/>
                <w:color w:val="auto"/>
              </w:rPr>
            </w:pPr>
            <w:r>
              <w:rPr>
                <w:rFonts w:ascii="Arial" w:cs="Arial" w:eastAsia="Arial" w:hAnsi="Arial"/>
                <w:sz w:val="13"/>
                <w:szCs w:val="13"/>
                <w:b w:val="1"/>
                <w:bCs w:val="1"/>
                <w:color w:val="auto"/>
              </w:rPr>
              <w:t>Earnings per share</w:t>
            </w:r>
          </w:p>
        </w:tc>
        <w:tc>
          <w:tcPr>
            <w:tcW w:w="120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3"/>
                <w:szCs w:val="13"/>
                <w:i w:val="1"/>
                <w:iCs w:val="1"/>
                <w:color w:val="auto"/>
              </w:rPr>
              <w:t>in EUR</w:t>
            </w:r>
          </w:p>
        </w:tc>
        <w:tc>
          <w:tcPr>
            <w:tcW w:w="1200" w:type="dxa"/>
            <w:vAlign w:val="bottom"/>
            <w:tcBorders>
              <w:right w:val="single" w:sz="8" w:color="70AD47"/>
            </w:tcBorders>
          </w:tcPr>
          <w:p>
            <w:pPr>
              <w:spacing w:after="0"/>
              <w:rPr>
                <w:sz w:val="18"/>
                <w:szCs w:val="18"/>
                <w:color w:val="auto"/>
              </w:rPr>
            </w:pPr>
          </w:p>
        </w:tc>
        <w:tc>
          <w:tcPr>
            <w:tcW w:w="1600" w:type="dxa"/>
            <w:vAlign w:val="bottom"/>
            <w:tcBorders>
              <w:right w:val="single" w:sz="8" w:color="70AD47"/>
            </w:tcBorders>
            <w:shd w:val="clear" w:color="auto" w:fill="C6E0B4"/>
          </w:tcPr>
          <w:p>
            <w:pPr>
              <w:spacing w:after="0"/>
              <w:rPr>
                <w:sz w:val="18"/>
                <w:szCs w:val="18"/>
                <w:color w:val="auto"/>
              </w:rPr>
            </w:pPr>
          </w:p>
        </w:tc>
        <w:tc>
          <w:tcPr>
            <w:tcW w:w="1600" w:type="dxa"/>
            <w:vAlign w:val="bottom"/>
            <w:tcBorders>
              <w:right w:val="single" w:sz="8" w:color="70AD47"/>
            </w:tcBorders>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3"/>
                <w:szCs w:val="13"/>
                <w:color w:val="auto"/>
                <w:w w:val="98"/>
              </w:rPr>
              <w:t>Basic &amp; diluted, loss per share for the year attributable to ordinary equity holders of the parent</w:t>
            </w:r>
          </w:p>
        </w:tc>
        <w:tc>
          <w:tcPr>
            <w:tcW w:w="1200" w:type="dxa"/>
            <w:vAlign w:val="bottom"/>
            <w:tcBorders>
              <w:right w:val="single" w:sz="8" w:color="70AD47"/>
            </w:tcBorders>
          </w:tcPr>
          <w:p>
            <w:pPr>
              <w:spacing w:after="0"/>
              <w:rPr>
                <w:sz w:val="18"/>
                <w:szCs w:val="18"/>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€(0.85)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€(0.25)</w:t>
            </w:r>
          </w:p>
        </w:tc>
        <w:tc>
          <w:tcPr>
            <w:tcW w:w="1560" w:type="dxa"/>
            <w:vAlign w:val="bottom"/>
          </w:tcPr>
          <w:p>
            <w:pPr>
              <w:jc w:val="right"/>
              <w:spacing w:after="0"/>
              <w:rPr>
                <w:sz w:val="20"/>
                <w:szCs w:val="20"/>
                <w:color w:val="auto"/>
              </w:rPr>
            </w:pPr>
            <w:r>
              <w:rPr>
                <w:rFonts w:ascii="Arial" w:cs="Arial" w:eastAsia="Arial" w:hAnsi="Arial"/>
                <w:sz w:val="13"/>
                <w:szCs w:val="13"/>
                <w:color w:val="auto"/>
              </w:rPr>
              <w:t>€(0.51)</w:t>
            </w:r>
          </w:p>
        </w:tc>
        <w:tc>
          <w:tcPr>
            <w:tcW w:w="20" w:type="dxa"/>
            <w:vAlign w:val="bottom"/>
          </w:tcPr>
          <w:p>
            <w:pPr>
              <w:spacing w:after="0"/>
              <w:rPr>
                <w:sz w:val="18"/>
                <w:szCs w:val="18"/>
                <w:color w:val="auto"/>
              </w:rPr>
            </w:pPr>
          </w:p>
        </w:tc>
      </w:tr>
      <w:tr>
        <w:trPr>
          <w:trHeight w:val="420"/>
        </w:trPr>
        <w:tc>
          <w:tcPr>
            <w:tcW w:w="5320" w:type="dxa"/>
            <w:vAlign w:val="bottom"/>
          </w:tcPr>
          <w:p>
            <w:pPr>
              <w:spacing w:after="0"/>
              <w:rPr>
                <w:sz w:val="20"/>
                <w:szCs w:val="20"/>
                <w:color w:val="auto"/>
              </w:rPr>
            </w:pPr>
            <w:r>
              <w:rPr>
                <w:rFonts w:ascii="Arial" w:cs="Arial" w:eastAsia="Arial" w:hAnsi="Arial"/>
                <w:sz w:val="13"/>
                <w:szCs w:val="13"/>
                <w:color w:val="auto"/>
              </w:rPr>
              <w:t>Weighted average number of ordinary shares</w:t>
            </w:r>
          </w:p>
        </w:tc>
        <w:tc>
          <w:tcPr>
            <w:tcW w:w="120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3"/>
                <w:szCs w:val="13"/>
                <w:color w:val="auto"/>
              </w:rPr>
              <w:t>Basic</w:t>
            </w:r>
          </w:p>
        </w:tc>
        <w:tc>
          <w:tcPr>
            <w:tcW w:w="1200" w:type="dxa"/>
            <w:vAlign w:val="bottom"/>
            <w:tcBorders>
              <w:right w:val="single" w:sz="8" w:color="70AD47"/>
            </w:tcBorders>
          </w:tcPr>
          <w:p>
            <w:pPr>
              <w:spacing w:after="0"/>
              <w:rPr>
                <w:sz w:val="18"/>
                <w:szCs w:val="18"/>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211,499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190,710</w:t>
            </w:r>
          </w:p>
        </w:tc>
        <w:tc>
          <w:tcPr>
            <w:tcW w:w="1560" w:type="dxa"/>
            <w:vAlign w:val="bottom"/>
          </w:tcPr>
          <w:p>
            <w:pPr>
              <w:jc w:val="right"/>
              <w:spacing w:after="0"/>
              <w:rPr>
                <w:sz w:val="20"/>
                <w:szCs w:val="20"/>
                <w:color w:val="auto"/>
              </w:rPr>
            </w:pPr>
            <w:r>
              <w:rPr>
                <w:rFonts w:ascii="Arial" w:cs="Arial" w:eastAsia="Arial" w:hAnsi="Arial"/>
                <w:sz w:val="13"/>
                <w:szCs w:val="13"/>
                <w:color w:val="auto"/>
              </w:rPr>
              <w:t>166,764</w:t>
            </w:r>
          </w:p>
        </w:tc>
        <w:tc>
          <w:tcPr>
            <w:tcW w:w="20" w:type="dxa"/>
            <w:vAlign w:val="bottom"/>
          </w:tcPr>
          <w:p>
            <w:pPr>
              <w:spacing w:after="0"/>
              <w:rPr>
                <w:sz w:val="18"/>
                <w:szCs w:val="18"/>
                <w:color w:val="auto"/>
              </w:rPr>
            </w:pPr>
          </w:p>
        </w:tc>
      </w:tr>
      <w:tr>
        <w:trPr>
          <w:trHeight w:val="220"/>
        </w:trPr>
        <w:tc>
          <w:tcPr>
            <w:tcW w:w="532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Diluted</w:t>
            </w:r>
          </w:p>
        </w:tc>
        <w:tc>
          <w:tcPr>
            <w:tcW w:w="1200" w:type="dxa"/>
            <w:vAlign w:val="bottom"/>
            <w:tcBorders>
              <w:bottom w:val="single" w:sz="8" w:color="70AD47"/>
              <w:right w:val="single" w:sz="8" w:color="70AD47"/>
            </w:tcBorders>
          </w:tcPr>
          <w:p>
            <w:pPr>
              <w:spacing w:after="0"/>
              <w:rPr>
                <w:sz w:val="19"/>
                <w:szCs w:val="19"/>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211,499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190,710</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166,764</w:t>
            </w:r>
          </w:p>
        </w:tc>
        <w:tc>
          <w:tcPr>
            <w:tcW w:w="20" w:type="dxa"/>
            <w:vAlign w:val="bottom"/>
          </w:tcPr>
          <w:p>
            <w:pPr>
              <w:spacing w:after="0"/>
              <w:rPr>
                <w:sz w:val="19"/>
                <w:szCs w:val="19"/>
                <w:color w:val="auto"/>
              </w:rPr>
            </w:pPr>
          </w:p>
        </w:tc>
      </w:tr>
      <w:tr>
        <w:trPr>
          <w:trHeight w:val="640"/>
        </w:trPr>
        <w:tc>
          <w:tcPr>
            <w:tcW w:w="5320" w:type="dxa"/>
            <w:vAlign w:val="bottom"/>
          </w:tcPr>
          <w:p>
            <w:pPr>
              <w:spacing w:after="0"/>
              <w:rPr>
                <w:sz w:val="24"/>
                <w:szCs w:val="24"/>
                <w:color w:val="auto"/>
              </w:rPr>
            </w:pPr>
          </w:p>
        </w:tc>
        <w:tc>
          <w:tcPr>
            <w:tcW w:w="1200" w:type="dxa"/>
            <w:vAlign w:val="bottom"/>
          </w:tcPr>
          <w:p>
            <w:pPr>
              <w:jc w:val="right"/>
              <w:ind w:right="773"/>
              <w:spacing w:after="0"/>
              <w:rPr>
                <w:sz w:val="20"/>
                <w:szCs w:val="20"/>
                <w:color w:val="auto"/>
              </w:rPr>
            </w:pPr>
            <w:r>
              <w:rPr>
                <w:rFonts w:ascii="Arial" w:cs="Arial" w:eastAsia="Arial" w:hAnsi="Arial"/>
                <w:sz w:val="13"/>
                <w:szCs w:val="13"/>
                <w:color w:val="auto"/>
              </w:rPr>
              <w:t>7</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53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137"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3"/>
        </w:trPr>
        <w:tc>
          <w:tcPr>
            <w:tcW w:w="652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Statements of Financial Position Data</w:t>
            </w:r>
          </w:p>
        </w:tc>
        <w:tc>
          <w:tcPr>
            <w:tcW w:w="15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1"/>
              </w:rPr>
              <w:t>As of December 31,</w:t>
            </w:r>
          </w:p>
        </w:tc>
      </w:tr>
      <w:tr>
        <w:trPr>
          <w:trHeight w:val="170"/>
        </w:trPr>
        <w:tc>
          <w:tcPr>
            <w:tcW w:w="940" w:type="dxa"/>
            <w:vAlign w:val="bottom"/>
          </w:tcPr>
          <w:p>
            <w:pPr>
              <w:spacing w:after="0"/>
              <w:rPr>
                <w:sz w:val="14"/>
                <w:szCs w:val="14"/>
                <w:color w:val="auto"/>
              </w:rPr>
            </w:pPr>
          </w:p>
        </w:tc>
        <w:tc>
          <w:tcPr>
            <w:tcW w:w="5580" w:type="dxa"/>
            <w:vAlign w:val="bottom"/>
            <w:tcBorders>
              <w:right w:val="single" w:sz="8" w:color="70AD47"/>
            </w:tcBorders>
          </w:tcPr>
          <w:p>
            <w:pPr>
              <w:spacing w:after="0"/>
              <w:rPr>
                <w:sz w:val="14"/>
                <w:szCs w:val="14"/>
                <w:color w:val="auto"/>
              </w:rPr>
            </w:pP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r>
      <w:tr>
        <w:trPr>
          <w:trHeight w:val="21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i w:val="1"/>
                <w:iCs w:val="1"/>
                <w:color w:val="auto"/>
              </w:rPr>
              <w:t>(in thousands, except number of shares)</w:t>
            </w:r>
          </w:p>
        </w:tc>
        <w:tc>
          <w:tcPr>
            <w:tcW w:w="1580" w:type="dxa"/>
            <w:vAlign w:val="bottom"/>
            <w:tcBorders>
              <w:right w:val="single" w:sz="8" w:color="C5E0B3"/>
            </w:tcBorders>
            <w:shd w:val="clear" w:color="auto" w:fill="C5E0B3"/>
          </w:tcPr>
          <w:p>
            <w:pPr>
              <w:spacing w:after="0"/>
              <w:rPr>
                <w:sz w:val="18"/>
                <w:szCs w:val="18"/>
                <w:color w:val="auto"/>
              </w:rPr>
            </w:pPr>
          </w:p>
        </w:tc>
        <w:tc>
          <w:tcPr>
            <w:tcW w:w="1600" w:type="dxa"/>
            <w:vAlign w:val="bottom"/>
            <w:tcBorders>
              <w:left w:val="single" w:sz="8" w:color="70AD47"/>
            </w:tcBorders>
          </w:tcPr>
          <w:p>
            <w:pPr>
              <w:spacing w:after="0"/>
              <w:rPr>
                <w:sz w:val="18"/>
                <w:szCs w:val="18"/>
                <w:color w:val="auto"/>
              </w:rPr>
            </w:pPr>
          </w:p>
        </w:tc>
      </w:tr>
      <w:tr>
        <w:trPr>
          <w:trHeight w:val="41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Cash and cash equivalents</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€519,149</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€411,495</w:t>
            </w:r>
          </w:p>
        </w:tc>
      </w:tr>
      <w:tr>
        <w:trPr>
          <w:trHeight w:val="210"/>
        </w:trPr>
        <w:tc>
          <w:tcPr>
            <w:tcW w:w="940" w:type="dxa"/>
            <w:vAlign w:val="bottom"/>
          </w:tcPr>
          <w:p>
            <w:pPr>
              <w:spacing w:after="0"/>
              <w:rPr>
                <w:sz w:val="20"/>
                <w:szCs w:val="20"/>
                <w:color w:val="auto"/>
              </w:rPr>
            </w:pPr>
            <w:r>
              <w:rPr>
                <w:rFonts w:ascii="Arial" w:cs="Arial" w:eastAsia="Arial" w:hAnsi="Arial"/>
                <w:sz w:val="13"/>
                <w:szCs w:val="13"/>
                <w:color w:val="auto"/>
              </w:rPr>
              <w:t>Total assets</w:t>
            </w:r>
          </w:p>
        </w:tc>
        <w:tc>
          <w:tcPr>
            <w:tcW w:w="5580" w:type="dxa"/>
            <w:vAlign w:val="bottom"/>
            <w:tcBorders>
              <w:right w:val="single" w:sz="8" w:color="70AD47"/>
            </w:tcBorders>
          </w:tcPr>
          <w:p>
            <w:pPr>
              <w:spacing w:after="0"/>
              <w:rPr>
                <w:sz w:val="18"/>
                <w:szCs w:val="18"/>
                <w:color w:val="auto"/>
              </w:rPr>
            </w:pP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797,647</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652,986</w:t>
            </w:r>
          </w:p>
        </w:tc>
      </w:tr>
      <w:tr>
        <w:trPr>
          <w:trHeight w:val="21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Total current liabilities</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138,142</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126,121</w:t>
            </w:r>
          </w:p>
        </w:tc>
      </w:tr>
      <w:tr>
        <w:trPr>
          <w:trHeight w:val="21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Total non-current liabilities</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166,013</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259,865</w:t>
            </w:r>
          </w:p>
        </w:tc>
      </w:tr>
      <w:tr>
        <w:trPr>
          <w:trHeight w:val="210"/>
        </w:trPr>
        <w:tc>
          <w:tcPr>
            <w:tcW w:w="940" w:type="dxa"/>
            <w:vAlign w:val="bottom"/>
          </w:tcPr>
          <w:p>
            <w:pPr>
              <w:spacing w:after="0"/>
              <w:rPr>
                <w:sz w:val="20"/>
                <w:szCs w:val="20"/>
                <w:color w:val="auto"/>
              </w:rPr>
            </w:pPr>
            <w:r>
              <w:rPr>
                <w:rFonts w:ascii="Arial" w:cs="Arial" w:eastAsia="Arial" w:hAnsi="Arial"/>
                <w:sz w:val="13"/>
                <w:szCs w:val="13"/>
                <w:color w:val="auto"/>
              </w:rPr>
              <w:t>Total equity</w:t>
            </w:r>
          </w:p>
        </w:tc>
        <w:tc>
          <w:tcPr>
            <w:tcW w:w="5580" w:type="dxa"/>
            <w:vAlign w:val="bottom"/>
            <w:tcBorders>
              <w:right w:val="single" w:sz="8" w:color="70AD47"/>
            </w:tcBorders>
          </w:tcPr>
          <w:p>
            <w:pPr>
              <w:spacing w:after="0"/>
              <w:rPr>
                <w:sz w:val="18"/>
                <w:szCs w:val="18"/>
                <w:color w:val="auto"/>
              </w:rPr>
            </w:pP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493,492</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267,000</w:t>
            </w:r>
          </w:p>
        </w:tc>
      </w:tr>
      <w:tr>
        <w:trPr>
          <w:trHeight w:val="21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Ordinary shares, par value</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232,304</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193,296</w:t>
            </w:r>
          </w:p>
        </w:tc>
      </w:tr>
      <w:tr>
        <w:trPr>
          <w:trHeight w:val="21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Ordinary shares issued</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232,304</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193,296</w:t>
            </w:r>
          </w:p>
        </w:tc>
      </w:tr>
      <w:tr>
        <w:trPr>
          <w:trHeight w:val="23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Ordinary shares outstanding</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226,779</w:t>
            </w:r>
          </w:p>
        </w:tc>
        <w:tc>
          <w:tcPr>
            <w:tcW w:w="160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193,296</w:t>
            </w:r>
          </w:p>
        </w:tc>
      </w:tr>
      <w:tr>
        <w:trPr>
          <w:trHeight w:val="317"/>
        </w:trPr>
        <w:tc>
          <w:tcPr>
            <w:tcW w:w="9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7"/>
              </w:rPr>
              <w:t>Years ended</w:t>
            </w:r>
          </w:p>
        </w:tc>
      </w:tr>
      <w:tr>
        <w:trPr>
          <w:trHeight w:val="173"/>
        </w:trPr>
        <w:tc>
          <w:tcPr>
            <w:tcW w:w="652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Statements of Cash Flows Data</w:t>
            </w:r>
          </w:p>
        </w:tc>
        <w:tc>
          <w:tcPr>
            <w:tcW w:w="15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r>
      <w:tr>
        <w:trPr>
          <w:trHeight w:val="170"/>
        </w:trPr>
        <w:tc>
          <w:tcPr>
            <w:tcW w:w="940" w:type="dxa"/>
            <w:vAlign w:val="bottom"/>
          </w:tcPr>
          <w:p>
            <w:pPr>
              <w:spacing w:after="0"/>
              <w:rPr>
                <w:sz w:val="14"/>
                <w:szCs w:val="14"/>
                <w:color w:val="auto"/>
              </w:rPr>
            </w:pPr>
          </w:p>
        </w:tc>
        <w:tc>
          <w:tcPr>
            <w:tcW w:w="5580" w:type="dxa"/>
            <w:vAlign w:val="bottom"/>
            <w:tcBorders>
              <w:right w:val="single" w:sz="8" w:color="70AD47"/>
            </w:tcBorders>
          </w:tcPr>
          <w:p>
            <w:pPr>
              <w:spacing w:after="0"/>
              <w:rPr>
                <w:sz w:val="14"/>
                <w:szCs w:val="14"/>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r>
      <w:tr>
        <w:trPr>
          <w:trHeight w:val="210"/>
        </w:trPr>
        <w:tc>
          <w:tcPr>
            <w:tcW w:w="94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5580" w:type="dxa"/>
            <w:vAlign w:val="bottom"/>
            <w:tcBorders>
              <w:right w:val="single" w:sz="8" w:color="70AD47"/>
            </w:tcBorders>
          </w:tcPr>
          <w:p>
            <w:pPr>
              <w:spacing w:after="0"/>
              <w:rPr>
                <w:sz w:val="18"/>
                <w:szCs w:val="18"/>
                <w:color w:val="auto"/>
              </w:rPr>
            </w:pPr>
          </w:p>
        </w:tc>
        <w:tc>
          <w:tcPr>
            <w:tcW w:w="1580" w:type="dxa"/>
            <w:vAlign w:val="bottom"/>
            <w:tcBorders>
              <w:right w:val="single" w:sz="8" w:color="70AD47"/>
            </w:tcBorders>
            <w:shd w:val="clear" w:color="auto" w:fill="C5E0B3"/>
          </w:tcPr>
          <w:p>
            <w:pPr>
              <w:spacing w:after="0"/>
              <w:rPr>
                <w:sz w:val="18"/>
                <w:szCs w:val="18"/>
                <w:color w:val="auto"/>
              </w:rPr>
            </w:pPr>
          </w:p>
        </w:tc>
        <w:tc>
          <w:tcPr>
            <w:tcW w:w="1600" w:type="dxa"/>
            <w:vAlign w:val="bottom"/>
            <w:tcBorders>
              <w:right w:val="single" w:sz="8" w:color="70AD47"/>
            </w:tcBorders>
          </w:tcPr>
          <w:p>
            <w:pPr>
              <w:spacing w:after="0"/>
              <w:rPr>
                <w:sz w:val="18"/>
                <w:szCs w:val="18"/>
                <w:color w:val="auto"/>
              </w:rPr>
            </w:pPr>
          </w:p>
        </w:tc>
      </w:tr>
      <w:tr>
        <w:trPr>
          <w:trHeight w:val="41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Net cash flows used in operating activities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€(198,537)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€(58,877)</w:t>
            </w:r>
          </w:p>
        </w:tc>
      </w:tr>
      <w:tr>
        <w:trPr>
          <w:trHeight w:val="21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Net cash flows used in investing activities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(77,115)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(66,452)</w:t>
            </w:r>
          </w:p>
        </w:tc>
      </w:tr>
      <w:tr>
        <w:trPr>
          <w:trHeight w:val="23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Net cash flows from/(used in) financing activities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383,290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365,177</w:t>
            </w:r>
          </w:p>
        </w:tc>
      </w:tr>
      <w:tr>
        <w:trPr>
          <w:trHeight w:val="560"/>
        </w:trPr>
        <w:tc>
          <w:tcPr>
            <w:tcW w:w="940" w:type="dxa"/>
            <w:vAlign w:val="bottom"/>
          </w:tcPr>
          <w:p>
            <w:pPr>
              <w:ind w:left="540"/>
              <w:spacing w:after="0"/>
              <w:rPr>
                <w:sz w:val="20"/>
                <w:szCs w:val="20"/>
                <w:color w:val="auto"/>
              </w:rPr>
            </w:pPr>
            <w:r>
              <w:rPr>
                <w:rFonts w:ascii="Arial" w:cs="Arial" w:eastAsia="Arial" w:hAnsi="Arial"/>
                <w:sz w:val="13"/>
                <w:szCs w:val="13"/>
                <w:b w:val="1"/>
                <w:bCs w:val="1"/>
                <w:color w:val="auto"/>
              </w:rPr>
              <w:t>B.</w:t>
            </w:r>
          </w:p>
        </w:tc>
        <w:tc>
          <w:tcPr>
            <w:tcW w:w="5580" w:type="dxa"/>
            <w:vAlign w:val="bottom"/>
          </w:tcPr>
          <w:p>
            <w:pPr>
              <w:ind w:left="160"/>
              <w:spacing w:after="0"/>
              <w:rPr>
                <w:sz w:val="20"/>
                <w:szCs w:val="20"/>
                <w:color w:val="auto"/>
              </w:rPr>
            </w:pPr>
            <w:r>
              <w:rPr>
                <w:rFonts w:ascii="Arial" w:cs="Arial" w:eastAsia="Arial" w:hAnsi="Arial"/>
                <w:sz w:val="13"/>
                <w:szCs w:val="13"/>
                <w:b w:val="1"/>
                <w:bCs w:val="1"/>
                <w:color w:val="auto"/>
              </w:rPr>
              <w:t>Capitalization and Indebtedness</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-2894330</wp:posOffset>
            </wp:positionV>
            <wp:extent cx="7167880" cy="1447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14478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-894715</wp:posOffset>
            </wp:positionV>
            <wp:extent cx="716788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2017</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€172,106</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374,713</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158,544</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264,375</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(48,206)</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166,764</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166,764</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166,764</w:t>
      </w:r>
    </w:p>
    <w:p>
      <w:pPr>
        <w:spacing w:after="0" w:line="200" w:lineRule="exact"/>
        <w:rPr>
          <w:sz w:val="20"/>
          <w:szCs w:val="20"/>
          <w:color w:val="auto"/>
        </w:rPr>
      </w:pPr>
    </w:p>
    <w:p>
      <w:pPr>
        <w:spacing w:after="0" w:line="326"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2017</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€(52,562)</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(52,549)</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(1,643)</w:t>
      </w:r>
    </w:p>
    <w:p>
      <w:pPr>
        <w:spacing w:after="0" w:line="1019" w:lineRule="exact"/>
        <w:rPr>
          <w:sz w:val="20"/>
          <w:szCs w:val="20"/>
          <w:color w:val="auto"/>
        </w:rPr>
      </w:pPr>
    </w:p>
    <w:p>
      <w:pPr>
        <w:sectPr>
          <w:pgSz w:w="11900" w:h="16838" w:orient="portrait"/>
          <w:cols w:equalWidth="0" w:num="2">
            <w:col w:w="10040" w:space="720"/>
            <w:col w:w="520"/>
          </w:cols>
          <w:pgMar w:left="300" w:top="137" w:right="319" w:bottom="1440" w:gutter="0" w:footer="0" w:header="0"/>
        </w:sectPr>
      </w:pPr>
    </w:p>
    <w:p>
      <w:pPr>
        <w:spacing w:after="0" w:line="46" w:lineRule="exact"/>
        <w:rPr>
          <w:sz w:val="20"/>
          <w:szCs w:val="20"/>
          <w:color w:val="auto"/>
        </w:rPr>
      </w:pPr>
    </w:p>
    <w:p>
      <w:pPr>
        <w:ind w:left="1100" w:hanging="550"/>
        <w:spacing w:after="0"/>
        <w:tabs>
          <w:tab w:leader="none" w:pos="11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Reasons for the Offer and Use of Proceeds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1100" w:hanging="550"/>
        <w:spacing w:after="0"/>
        <w:tabs>
          <w:tab w:leader="none" w:pos="11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Risk Factors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Risks Related to our Financial Condition and Capital Requirements</w:t>
      </w:r>
    </w:p>
    <w:p>
      <w:pPr>
        <w:spacing w:after="0" w:line="94"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b w:val="1"/>
          <w:bCs w:val="1"/>
          <w:i w:val="1"/>
          <w:iCs w:val="1"/>
          <w:color w:val="auto"/>
        </w:rPr>
        <w:t>We are a clinical-stage biopharmaceutical company with no pharmaceutical products approved for commercial sale. We have incurred significant losses since our inception and we anticipate that we will continue to incur significant losses for the foreseeable future, which makes it difficult to assess our future viability.</w:t>
      </w:r>
    </w:p>
    <w:p>
      <w:pPr>
        <w:spacing w:after="0" w:line="42" w:lineRule="exact"/>
        <w:rPr>
          <w:sz w:val="20"/>
          <w:szCs w:val="20"/>
          <w:color w:val="auto"/>
        </w:rPr>
      </w:pPr>
    </w:p>
    <w:p>
      <w:pPr>
        <w:ind w:right="560" w:firstLine="556"/>
        <w:spacing w:after="0" w:line="287" w:lineRule="auto"/>
        <w:rPr>
          <w:sz w:val="20"/>
          <w:szCs w:val="20"/>
          <w:color w:val="auto"/>
        </w:rPr>
      </w:pPr>
      <w:r>
        <w:rPr>
          <w:rFonts w:ascii="Arial" w:cs="Arial" w:eastAsia="Arial" w:hAnsi="Arial"/>
          <w:sz w:val="13"/>
          <w:szCs w:val="13"/>
          <w:color w:val="auto"/>
        </w:rPr>
        <w:t>We have incurred net losses in each year since our inception in 2008, including net losses of €179.2 million and €48.3 million for the years ended December 31, 2019 and December 31, 2018, respectively. As of December 31, 2019, we had accumulated losses of €424.8 million (€245.8 million as of December 31, 2018).</w:t>
      </w:r>
    </w:p>
    <w:p>
      <w:pPr>
        <w:spacing w:after="0" w:line="122" w:lineRule="exact"/>
        <w:rPr>
          <w:sz w:val="20"/>
          <w:szCs w:val="20"/>
          <w:color w:val="auto"/>
        </w:rPr>
      </w:pPr>
    </w:p>
    <w:p>
      <w:pPr>
        <w:ind w:right="60" w:firstLine="556"/>
        <w:spacing w:after="0" w:line="288" w:lineRule="auto"/>
        <w:rPr>
          <w:sz w:val="20"/>
          <w:szCs w:val="20"/>
          <w:color w:val="auto"/>
        </w:rPr>
      </w:pPr>
      <w:r>
        <w:rPr>
          <w:rFonts w:ascii="Arial" w:cs="Arial" w:eastAsia="Arial" w:hAnsi="Arial"/>
          <w:sz w:val="12"/>
          <w:szCs w:val="12"/>
          <w:color w:val="auto"/>
        </w:rPr>
        <w:t>We have devoted most of our financial resources to research and development, including our clinical and preclinical development activities and the development of our platforms. To date, we have financed our operations primarily through the sale of equity securities and proceeds from collaborations and, to a lesser extent, through revenue from manufacturing operations and grants from governmental and private organizations. The amount of our future net losses will depend, in part, on the rate of our future expenditures and our ability to obtain funding through equity or debt financings, sales of assets, collaborations or grants. We have not commenced or completed pivotal clinical trials for our programs and it will be several years, if ever, before we or our collaborators have a product candidate ready for commercialization.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in those markets. We may never achieve profitability.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7" w:right="319" w:bottom="1440" w:gutter="0" w:footer="0" w:header="0"/>
          <w:type w:val="continuous"/>
        </w:sectPr>
      </w:pPr>
    </w:p>
    <w:bookmarkStart w:id="10" w:name="page11"/>
    <w:bookmarkEnd w:id="10"/>
    <w:p>
      <w:pPr>
        <w:ind w:right="600" w:firstLine="556"/>
        <w:spacing w:after="0" w:line="287" w:lineRule="auto"/>
        <w:rPr>
          <w:sz w:val="20"/>
          <w:szCs w:val="20"/>
          <w:color w:val="auto"/>
        </w:rPr>
      </w:pPr>
      <w:r>
        <w:rPr>
          <w:rFonts w:ascii="Arial" w:cs="Arial" w:eastAsia="Arial" w:hAnsi="Arial"/>
          <w:sz w:val="13"/>
          <w:szCs w:val="13"/>
          <w:color w:val="auto"/>
        </w:rPr>
        <w:t>We expect to continue to incur significant expenses and increasing operating losses for the foreseeable future. We anticipate that our expenses will increase substantially if and as we and our collaborators:</w:t>
      </w:r>
    </w:p>
    <w:p>
      <w:pPr>
        <w:spacing w:after="0" w:line="42" w:lineRule="exact"/>
        <w:rPr>
          <w:sz w:val="20"/>
          <w:szCs w:val="20"/>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continue or expand our research or development of our programs in preclinical development;</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continue or expand the scope of our clinical trials for our product candidates;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initiate additional preclinical, clinical, or other trials for our product candidates, including under our collaboration agreements;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continue to invest in our immunotherapy platforms to conduct research to identify novel technologies;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 or add to internal manufacturing capacity or capability;</w:t>
      </w:r>
    </w:p>
    <w:p>
      <w:pPr>
        <w:spacing w:after="0" w:line="10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 or add additional suppliers;</w:t>
      </w:r>
    </w:p>
    <w:p>
      <w:pPr>
        <w:spacing w:after="0" w:line="90" w:lineRule="exact"/>
        <w:rPr>
          <w:rFonts w:ascii="Arial" w:cs="Arial" w:eastAsia="Arial" w:hAnsi="Arial"/>
          <w:sz w:val="13"/>
          <w:szCs w:val="13"/>
          <w:color w:val="auto"/>
        </w:rPr>
      </w:pPr>
    </w:p>
    <w:p>
      <w:pPr>
        <w:ind w:left="1020" w:right="780" w:hanging="340"/>
        <w:spacing w:after="0" w:line="287" w:lineRule="auto"/>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add additional infrastructure to our quality control, quality assurance, legal, compliance and other groups to support our operations as we progress our product candidates toward commercialization;</w:t>
      </w:r>
    </w:p>
    <w:p>
      <w:pPr>
        <w:spacing w:after="0" w:line="42"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attract and retain skilled personnel;</w:t>
      </w:r>
    </w:p>
    <w:p>
      <w:pPr>
        <w:spacing w:after="0" w:line="90" w:lineRule="exact"/>
        <w:rPr>
          <w:rFonts w:ascii="Arial" w:cs="Arial" w:eastAsia="Arial" w:hAnsi="Arial"/>
          <w:sz w:val="13"/>
          <w:szCs w:val="13"/>
          <w:color w:val="auto"/>
        </w:rPr>
      </w:pPr>
    </w:p>
    <w:p>
      <w:pPr>
        <w:ind w:left="1020" w:right="360" w:hanging="340"/>
        <w:spacing w:after="0" w:line="287" w:lineRule="auto"/>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42"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seek marketing approvals and reimbursement for our product candidates;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establish a sales, marketing, and distribution infrastructure to commercialize any products for which we may obtain marketing approval;</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seek to identify and validate additional product candidates;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acquire or in-license other product candidates and technologies;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make milestone or other payments under any in-license agreements;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maintain, protect, defend, enforce and expand our intellectual property portfolio;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experience any delays or encounter issues with any of the above.</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1"/>
          <w:szCs w:val="11"/>
          <w:b w:val="1"/>
          <w:bCs w:val="1"/>
          <w:i w:val="1"/>
          <w:iCs w:val="1"/>
          <w:color w:val="auto"/>
        </w:rPr>
        <w:t>Our operating results may fluctuate significantly, which makes our future operating results difficult to predict. If our operating results fall below expectations, the price of the ADSs could decline.</w:t>
      </w:r>
    </w:p>
    <w:p>
      <w:pPr>
        <w:spacing w:after="0" w:line="113" w:lineRule="exact"/>
        <w:rPr>
          <w:sz w:val="20"/>
          <w:szCs w:val="20"/>
          <w:color w:val="auto"/>
        </w:rPr>
      </w:pPr>
    </w:p>
    <w:p>
      <w:pPr>
        <w:ind w:right="380" w:firstLine="556"/>
        <w:spacing w:after="0" w:line="287" w:lineRule="auto"/>
        <w:rPr>
          <w:sz w:val="20"/>
          <w:szCs w:val="20"/>
          <w:color w:val="auto"/>
        </w:rPr>
      </w:pPr>
      <w:r>
        <w:rPr>
          <w:rFonts w:ascii="Arial" w:cs="Arial" w:eastAsia="Arial" w:hAnsi="Arial"/>
          <w:sz w:val="13"/>
          <w:szCs w:val="13"/>
          <w:color w:val="auto"/>
        </w:rPr>
        <w:t>Our financial condition and operating results have varied in the past and will continue to fluctuate from one financial period to the next due to a variety of factors, many of which are beyond our control. Factors relating to our business that may contribute to these fluctuations include the following, as well as other factors described elsewhere in this report:</w:t>
      </w:r>
    </w:p>
    <w:p>
      <w:pPr>
        <w:spacing w:after="0" w:line="42" w:lineRule="exact"/>
        <w:rPr>
          <w:sz w:val="20"/>
          <w:szCs w:val="20"/>
          <w:color w:val="auto"/>
        </w:rPr>
      </w:pPr>
    </w:p>
    <w:p>
      <w:pPr>
        <w:ind w:left="1020" w:hanging="340"/>
        <w:spacing w:after="0"/>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delays or failures in advancement of existing or future product candidates into the clinic or in clinical trials;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develop, manufacture and commercialize our programs;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manage our growth;</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outcomes of research programs, clinical trials, or other product development or approval processes conducted by us and our collaborators;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ability of our collaborators to develop and successfully commercialize products developed from our suite of therapeutic classes;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relationships, and any associated exclusivity terms, with collaborators;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contractual or other obligations to provide resources to fund our product candidates, and to provide resources to our collaborators or to the collaborations themselves;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operation in a net loss position for the foreseeable future;</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risks associated with the international aspects of our business outside Germany, including the conduct of clinical trials in multiple locations and potential commercialization in such locations;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11" w:name="page12"/>
    <w:bookmarkEnd w:id="11"/>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consistently manufacture our product candidates;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accurately report our financial results in a timely manner;</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dependence on, and the need to attract and retain, key management and other personnel;</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obtain, protect, maintain, defend and enforce our intellectual property rights;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prevent the theft or infringement, misappropriation or other violation of our intellectual property, trade secrets, know-how or technologies;</w:t>
      </w:r>
    </w:p>
    <w:p>
      <w:pPr>
        <w:spacing w:after="0" w:line="90" w:lineRule="exact"/>
        <w:rPr>
          <w:rFonts w:ascii="Arial" w:cs="Arial" w:eastAsia="Arial" w:hAnsi="Arial"/>
          <w:sz w:val="13"/>
          <w:szCs w:val="13"/>
          <w:color w:val="auto"/>
        </w:rPr>
      </w:pPr>
    </w:p>
    <w:p>
      <w:pPr>
        <w:ind w:left="1020" w:right="40" w:hanging="340"/>
        <w:spacing w:after="0" w:line="287" w:lineRule="auto"/>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potential advantages that our competitors and potential competitors may have in securing funding, obtaining the rights to critical intellectual property or developing competing technologies or products;</w:t>
      </w:r>
    </w:p>
    <w:p>
      <w:pPr>
        <w:spacing w:after="0" w:line="42" w:lineRule="exact"/>
        <w:rPr>
          <w:rFonts w:ascii="Arial" w:cs="Arial" w:eastAsia="Arial" w:hAnsi="Arial"/>
          <w:sz w:val="13"/>
          <w:szCs w:val="13"/>
          <w:color w:val="auto"/>
        </w:rPr>
      </w:pPr>
    </w:p>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obtain additional capital that may be necessary to expand our business;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collaborators’ ability to obtain additional capital that may be necessary to develop and commercialize products under our collaboration agreements;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business interruptions such as power outages, strikes, acts of terrorism or natural disasters;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use our net operating loss carryforwards to offset future taxable income.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Each of the factors listed above may be affected by the </w:t>
      </w:r>
      <w:r>
        <w:rPr>
          <w:rFonts w:ascii="Arial" w:cs="Arial" w:eastAsia="Arial" w:hAnsi="Arial"/>
          <w:sz w:val="13"/>
          <w:szCs w:val="13"/>
          <w:color w:val="231F20"/>
        </w:rPr>
        <w:t>COVID</w:t>
      </w:r>
      <w:r>
        <w:rPr>
          <w:rFonts w:ascii="Arial" w:cs="Arial" w:eastAsia="Arial" w:hAnsi="Arial"/>
          <w:sz w:val="13"/>
          <w:szCs w:val="13"/>
          <w:color w:val="auto"/>
        </w:rPr>
        <w:t>-19 pandemic currently affecting the global community and the global economy.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Due to the various factors mentioned above, and others, the results of any of our periods should not be relied upon as indications of our future operating performance.</w:t>
      </w:r>
    </w:p>
    <w:p>
      <w:pPr>
        <w:spacing w:after="0" w:line="17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The net losses we incur may fluctuate significantly from one reporting period to the next, such that a period-to-period comparison of our results of operations may not be a good indication of our future performance.</w:t>
      </w:r>
    </w:p>
    <w:p>
      <w:pPr>
        <w:spacing w:after="0" w:line="122" w:lineRule="exact"/>
        <w:rPr>
          <w:sz w:val="20"/>
          <w:szCs w:val="20"/>
          <w:color w:val="auto"/>
        </w:rPr>
      </w:pPr>
    </w:p>
    <w:p>
      <w:pPr>
        <w:ind w:right="20" w:firstLine="556"/>
        <w:spacing w:after="0" w:line="263" w:lineRule="auto"/>
        <w:rPr>
          <w:sz w:val="20"/>
          <w:szCs w:val="20"/>
          <w:color w:val="auto"/>
        </w:rPr>
      </w:pPr>
      <w:r>
        <w:rPr>
          <w:rFonts w:ascii="Arial" w:cs="Arial" w:eastAsia="Arial" w:hAnsi="Arial"/>
          <w:sz w:val="13"/>
          <w:szCs w:val="13"/>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overall valuation. The price of the ADSs may decline as a result of unexpected clinical trial results in one or more of our programs, including adverse safety events reported for any of our programs.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We have only generated limited revenue and may never be profitable.</w:t>
      </w:r>
    </w:p>
    <w:p>
      <w:pPr>
        <w:spacing w:after="0" w:line="90"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auto"/>
        </w:rPr>
        <w:t>Our ability to generate revenue and achieve profitability depends on our ability, alone or with collaborators, to successfully complete the development of, and obtain the regulatory approvals necessary to commercialize, our product candidates. Although we generate limited revenue from sales of products by our external services business unit, we do not anticipate generating revenues from pharmaceutical product sales in the near term. Our ability to generate future revenues from pharmaceutical product sales depends heavily on our success in:</w:t>
      </w:r>
    </w:p>
    <w:p>
      <w:pPr>
        <w:spacing w:after="0" w:line="52" w:lineRule="exact"/>
        <w:rPr>
          <w:sz w:val="20"/>
          <w:szCs w:val="20"/>
          <w:color w:val="auto"/>
        </w:rPr>
      </w:pPr>
    </w:p>
    <w:p>
      <w:pPr>
        <w:ind w:left="1020" w:hanging="340"/>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completing research and preclinical and clinical development of our product candidates;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seeking and obtaining U.S. and non-U.S. marketing approvals for product candidates for which we complete clinical trials;</w:t>
      </w:r>
    </w:p>
    <w:p>
      <w:pPr>
        <w:spacing w:after="0" w:line="90" w:lineRule="exact"/>
        <w:rPr>
          <w:rFonts w:ascii="Arial" w:cs="Arial" w:eastAsia="Arial" w:hAnsi="Arial"/>
          <w:sz w:val="13"/>
          <w:szCs w:val="13"/>
          <w:color w:val="auto"/>
        </w:rPr>
      </w:pPr>
    </w:p>
    <w:p>
      <w:pPr>
        <w:ind w:left="1020" w:hanging="340"/>
        <w:spacing w:after="0" w:line="287" w:lineRule="auto"/>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furthering the development of our own manufacturing capabilities and manufacturing relationships with third parties in order to provide adequate (in amount and quality) products and services to support clinical development and the market demand for our product candidates, if approved;</w:t>
      </w:r>
    </w:p>
    <w:p>
      <w:pPr>
        <w:spacing w:after="0" w:line="42" w:lineRule="exact"/>
        <w:rPr>
          <w:rFonts w:ascii="Arial" w:cs="Arial" w:eastAsia="Arial" w:hAnsi="Arial"/>
          <w:sz w:val="13"/>
          <w:szCs w:val="13"/>
          <w:color w:val="auto"/>
        </w:rPr>
      </w:pPr>
    </w:p>
    <w:p>
      <w:pPr>
        <w:ind w:left="1020" w:hanging="340"/>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obtaining market acceptance of our product candidates as a treatment option;</w:t>
      </w:r>
    </w:p>
    <w:p>
      <w:pPr>
        <w:spacing w:after="0" w:line="90" w:lineRule="exact"/>
        <w:rPr>
          <w:rFonts w:ascii="Arial" w:cs="Arial" w:eastAsia="Arial" w:hAnsi="Arial"/>
          <w:sz w:val="13"/>
          <w:szCs w:val="13"/>
          <w:color w:val="auto"/>
        </w:rPr>
      </w:pPr>
    </w:p>
    <w:p>
      <w:pPr>
        <w:ind w:left="1020" w:right="120" w:hanging="340"/>
        <w:spacing w:after="0" w:line="287" w:lineRule="auto"/>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launching and commercializing product candidates for which we obtain marketing approval and reimbursement, either through collaborations or, if launched independently, by establishing a sales force, marketing and distribution infrastructure;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2" w:name="page13"/>
    <w:bookmarkEnd w:id="12"/>
    <w:p>
      <w:pPr>
        <w:ind w:left="1020" w:hanging="340"/>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addressing any competing technological and market developments;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implementing additional internal systems and infrastructure;</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negotiating favorable terms in any collaboration, licensing or other arrangements into which we may enter;</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maintaining, defending, protecting, enforcing and expanding our portfolio of intellectual property rights, including patents, trade secrets and know-how;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attracting, hiring and retaining qualified personnel.</w:t>
      </w:r>
    </w:p>
    <w:p>
      <w:pPr>
        <w:spacing w:after="0" w:line="250" w:lineRule="exact"/>
        <w:rPr>
          <w:sz w:val="20"/>
          <w:szCs w:val="20"/>
          <w:color w:val="auto"/>
        </w:rPr>
      </w:pPr>
    </w:p>
    <w:p>
      <w:pPr>
        <w:ind w:right="80" w:firstLine="556"/>
        <w:spacing w:after="0" w:line="267" w:lineRule="auto"/>
        <w:rPr>
          <w:sz w:val="20"/>
          <w:szCs w:val="20"/>
          <w:color w:val="auto"/>
        </w:rPr>
      </w:pPr>
      <w:r>
        <w:rPr>
          <w:rFonts w:ascii="Arial" w:cs="Arial" w:eastAsia="Arial" w:hAnsi="Arial"/>
          <w:sz w:val="13"/>
          <w:szCs w:val="13"/>
          <w:color w:val="auto"/>
        </w:rPr>
        <w:t>If one or more of the product candidates that we develop is approved for commercial sale, we anticipate incurring significant costs associated with commercializing any approved product candidate. Our expenses could increase beyond our expectations if we are required by the U.S. Food and Drug Administration, or the FDA, the European Medicines Agency, or the EMA, or other regulatory agencies to perform clinical and other trials or make changes to our manufacturing or quality systems in addition to those that we currently anticipate. Even if we are able to generate revenues from the sale of any approved products, we may not become profitable and may need to obtain additional funding to continue operations.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 xml:space="preserve">The amount of and our ability to use net operating losses and research and development credits to offset </w:t>
      </w:r>
      <w:r>
        <w:rPr>
          <w:rFonts w:ascii="Arial" w:cs="Arial" w:eastAsia="Arial" w:hAnsi="Arial"/>
          <w:sz w:val="12"/>
          <w:szCs w:val="12"/>
          <w:b w:val="1"/>
          <w:bCs w:val="1"/>
          <w:i w:val="1"/>
          <w:iCs w:val="1"/>
          <w:color w:val="000000"/>
        </w:rPr>
        <w:t>future taxable</w:t>
      </w:r>
      <w:r>
        <w:rPr>
          <w:rFonts w:ascii="Arial" w:cs="Arial" w:eastAsia="Arial" w:hAnsi="Arial"/>
          <w:sz w:val="12"/>
          <w:szCs w:val="12"/>
          <w:b w:val="1"/>
          <w:bCs w:val="1"/>
          <w:i w:val="1"/>
          <w:iCs w:val="1"/>
          <w:color w:val="231F20"/>
        </w:rPr>
        <w:t xml:space="preserve"> income may be subject to certain limitations and uncertainty.</w:t>
      </w:r>
    </w:p>
    <w:p>
      <w:pPr>
        <w:spacing w:after="0" w:line="102" w:lineRule="exact"/>
        <w:rPr>
          <w:sz w:val="20"/>
          <w:szCs w:val="20"/>
          <w:color w:val="auto"/>
        </w:rPr>
      </w:pPr>
    </w:p>
    <w:p>
      <w:pPr>
        <w:ind w:right="140" w:firstLine="556"/>
        <w:spacing w:after="0" w:line="296" w:lineRule="auto"/>
        <w:rPr>
          <w:sz w:val="20"/>
          <w:szCs w:val="20"/>
          <w:color w:val="auto"/>
        </w:rPr>
      </w:pPr>
      <w:r>
        <w:rPr>
          <w:rFonts w:ascii="Arial" w:cs="Arial" w:eastAsia="Arial" w:hAnsi="Arial"/>
          <w:sz w:val="12"/>
          <w:szCs w:val="12"/>
          <w:color w:val="231F20"/>
        </w:rPr>
        <w:t xml:space="preserve">In Germany, we have unused tax loss carryforwards for corporate taxes, though we have not recognized deferred tax assets </w:t>
      </w:r>
      <w:r>
        <w:rPr>
          <w:rFonts w:ascii="Arial" w:cs="Arial" w:eastAsia="Arial" w:hAnsi="Arial"/>
          <w:sz w:val="12"/>
          <w:szCs w:val="12"/>
          <w:color w:val="000000"/>
        </w:rPr>
        <w:t>related to</w:t>
      </w:r>
      <w:r>
        <w:rPr>
          <w:rFonts w:ascii="Arial" w:cs="Arial" w:eastAsia="Arial" w:hAnsi="Arial"/>
          <w:sz w:val="12"/>
          <w:szCs w:val="12"/>
          <w:color w:val="231F20"/>
        </w:rPr>
        <w:t xml:space="preserve"> such loss </w:t>
      </w:r>
      <w:r>
        <w:rPr>
          <w:rFonts w:ascii="Arial" w:cs="Arial" w:eastAsia="Arial" w:hAnsi="Arial"/>
          <w:sz w:val="12"/>
          <w:szCs w:val="12"/>
          <w:color w:val="000000"/>
        </w:rPr>
        <w:t>carryforwards</w:t>
      </w:r>
      <w:r>
        <w:rPr>
          <w:rFonts w:ascii="Arial" w:cs="Arial" w:eastAsia="Arial" w:hAnsi="Arial"/>
          <w:sz w:val="12"/>
          <w:szCs w:val="12"/>
          <w:color w:val="231F20"/>
        </w:rPr>
        <w:t xml:space="preserve"> for International Financial Reporting Standards, or IFRS, reporting purposes. In general, net operating loss, or NOL, carryforwards in Germany do not expire. </w:t>
      </w:r>
      <w:r>
        <w:rPr>
          <w:rFonts w:ascii="Arial" w:cs="Arial" w:eastAsia="Arial" w:hAnsi="Arial"/>
          <w:sz w:val="12"/>
          <w:szCs w:val="12"/>
          <w:color w:val="000000"/>
        </w:rPr>
        <w:t>They</w:t>
      </w:r>
      <w:r>
        <w:rPr>
          <w:rFonts w:ascii="Arial" w:cs="Arial" w:eastAsia="Arial" w:hAnsi="Arial"/>
          <w:sz w:val="12"/>
          <w:szCs w:val="12"/>
          <w:color w:val="231F20"/>
        </w:rPr>
        <w:t xml:space="preserve"> are, however, subject to review and possible adjustment by the German tax authorities. Furthermore, under current German tax laws, certain substantial changes in the Company’s ownership and business may further limit the amount of NOL carryforwards that can be used annually to offset future taxable income. In addition, we may in the future have U.S. federal and state NOL carryforwards due to our subsidiary in the United States.</w:t>
      </w:r>
    </w:p>
    <w:p>
      <w:pPr>
        <w:spacing w:after="0" w:line="119" w:lineRule="exact"/>
        <w:rPr>
          <w:sz w:val="20"/>
          <w:szCs w:val="20"/>
          <w:color w:val="auto"/>
        </w:rPr>
      </w:pPr>
    </w:p>
    <w:p>
      <w:pPr>
        <w:ind w:right="40" w:firstLine="556"/>
        <w:spacing w:after="0" w:line="264" w:lineRule="auto"/>
        <w:rPr>
          <w:sz w:val="20"/>
          <w:szCs w:val="20"/>
          <w:color w:val="auto"/>
        </w:rPr>
      </w:pPr>
      <w:r>
        <w:rPr>
          <w:rFonts w:ascii="Arial" w:cs="Arial" w:eastAsia="Arial" w:hAnsi="Arial"/>
          <w:sz w:val="13"/>
          <w:szCs w:val="13"/>
          <w:color w:val="auto"/>
        </w:rPr>
        <w:t xml:space="preserve">We may not be able to utilize a material portion of our NOLs or credits in either Germany or the United </w:t>
      </w:r>
      <w:r>
        <w:rPr>
          <w:rFonts w:ascii="Arial" w:cs="Arial" w:eastAsia="Arial" w:hAnsi="Arial"/>
          <w:sz w:val="13"/>
          <w:szCs w:val="13"/>
          <w:color w:val="231F20"/>
        </w:rPr>
        <w:t>States. In addition, the</w:t>
      </w:r>
      <w:r>
        <w:rPr>
          <w:rFonts w:ascii="Arial" w:cs="Arial" w:eastAsia="Arial" w:hAnsi="Arial"/>
          <w:sz w:val="13"/>
          <w:szCs w:val="13"/>
          <w:color w:val="auto"/>
        </w:rPr>
        <w:t xml:space="preserve"> rules </w:t>
      </w:r>
      <w:r>
        <w:rPr>
          <w:rFonts w:ascii="Arial" w:cs="Arial" w:eastAsia="Arial" w:hAnsi="Arial"/>
          <w:sz w:val="13"/>
          <w:szCs w:val="13"/>
          <w:color w:val="231F20"/>
        </w:rPr>
        <w:t>regarding the timing of revenue and expense recognition for tax</w:t>
      </w:r>
      <w:r>
        <w:rPr>
          <w:rFonts w:ascii="Arial" w:cs="Arial" w:eastAsia="Arial" w:hAnsi="Arial"/>
          <w:sz w:val="13"/>
          <w:szCs w:val="13"/>
          <w:color w:val="auto"/>
        </w:rPr>
        <w:t xml:space="preserve"> </w:t>
      </w:r>
      <w:r>
        <w:rPr>
          <w:rFonts w:ascii="Arial" w:cs="Arial" w:eastAsia="Arial" w:hAnsi="Arial"/>
          <w:sz w:val="13"/>
          <w:szCs w:val="13"/>
          <w:color w:val="231F20"/>
        </w:rPr>
        <w:t xml:space="preserve">purposes in connection with various transactions are complex and uncertain in many respects, and our recognition could be subject to challenge by taxing authorities. In the event any such challenge is sustained, our NOLs could be materially </w:t>
      </w:r>
      <w:r>
        <w:rPr>
          <w:rFonts w:ascii="Arial" w:cs="Arial" w:eastAsia="Arial" w:hAnsi="Arial"/>
          <w:sz w:val="13"/>
          <w:szCs w:val="13"/>
          <w:color w:val="000000"/>
        </w:rPr>
        <w:t>reduced</w:t>
      </w:r>
      <w:r>
        <w:rPr>
          <w:rFonts w:ascii="Arial" w:cs="Arial" w:eastAsia="Arial" w:hAnsi="Arial"/>
          <w:sz w:val="13"/>
          <w:szCs w:val="13"/>
          <w:color w:val="231F20"/>
        </w:rPr>
        <w:t xml:space="preserve"> or we could be determined to be a material cash taxpayer for one or more years. Furthermore, our ability to use our NOLs or credits is conditioned upon our attaining profitability and generating taxable income. As described above, we have incurred significant net losses since our inception and anticipate that we will continue to incur significant losses for the foreseeable future. We do not know whether or when we will generate the taxable income necessary to utilize our NOL or credit carryforwards.</w:t>
      </w:r>
    </w:p>
    <w:p>
      <w:pPr>
        <w:spacing w:after="0" w:line="138"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b w:val="1"/>
          <w:bCs w:val="1"/>
          <w:i w:val="1"/>
          <w:iCs w:val="1"/>
          <w:color w:val="231F20"/>
        </w:rPr>
        <w:t xml:space="preserve">Under </w:t>
      </w:r>
      <w:r>
        <w:rPr>
          <w:rFonts w:ascii="Arial" w:cs="Arial" w:eastAsia="Arial" w:hAnsi="Arial"/>
          <w:sz w:val="13"/>
          <w:szCs w:val="13"/>
          <w:b w:val="1"/>
          <w:bCs w:val="1"/>
          <w:i w:val="1"/>
          <w:iCs w:val="1"/>
          <w:color w:val="000000"/>
        </w:rPr>
        <w:t>German</w:t>
      </w:r>
      <w:r>
        <w:rPr>
          <w:rFonts w:ascii="Arial" w:cs="Arial" w:eastAsia="Arial" w:hAnsi="Arial"/>
          <w:sz w:val="13"/>
          <w:szCs w:val="13"/>
          <w:b w:val="1"/>
          <w:bCs w:val="1"/>
          <w:i w:val="1"/>
          <w:iCs w:val="1"/>
          <w:color w:val="231F20"/>
        </w:rPr>
        <w:t xml:space="preserve"> tax laws, we are obligated to withhold a percentage of royalty payments we make to third party licensors of intellectual property rights and remit those withholdings to German tax authorities, and late withholding tax payments may subject us to penalties and fees.</w:t>
      </w:r>
    </w:p>
    <w:p>
      <w:pPr>
        <w:spacing w:after="0" w:line="42"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231F20"/>
        </w:rPr>
        <w:t>Under German tax laws, we are obligated to withhold a percentage of royalty payments we make to third parties in consideration of the grant of rights under their intellectual property, and remit those withholdings to German tax authorities. As a result of an internal review, we have discovered that in the 11-year period before April 2019 we and certain of our subsidiaries did not withhold, report and remit certain withholding taxes in connection with the in-licensing of intellectual property as required to be withheld under German tax laws, and have not made the requisite recordings in our and their financial books and records in relation thereto. We have notified the tax authorities of the late payments and made the respective payments still in 2019. No administrative offence or criminal proceeding were opened or are expected in the future.</w:t>
      </w:r>
    </w:p>
    <w:p>
      <w:pPr>
        <w:spacing w:after="0" w:line="58"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231F20"/>
        </w:rPr>
        <w:t xml:space="preserve">It is possible to seek the refund of these withholding taxes from the German Federal Central Tax office after filing </w:t>
      </w:r>
      <w:r>
        <w:rPr>
          <w:rFonts w:ascii="Arial" w:cs="Arial" w:eastAsia="Arial" w:hAnsi="Arial"/>
          <w:sz w:val="12"/>
          <w:szCs w:val="12"/>
          <w:color w:val="000000"/>
        </w:rPr>
        <w:t>exemption</w:t>
      </w:r>
      <w:r>
        <w:rPr>
          <w:rFonts w:ascii="Arial" w:cs="Arial" w:eastAsia="Arial" w:hAnsi="Arial"/>
          <w:sz w:val="12"/>
          <w:szCs w:val="12"/>
          <w:color w:val="231F20"/>
        </w:rPr>
        <w:t xml:space="preserve"> and refund applications. We started to process of filing such refund and exemption applications and part of the taxes paid have already been refunded and we expect further refunds to be paid out in the future. However, there is a possibility that the relevant claims </w:t>
      </w:r>
      <w:r>
        <w:rPr>
          <w:rFonts w:ascii="Arial" w:cs="Arial" w:eastAsia="Arial" w:hAnsi="Arial"/>
          <w:sz w:val="12"/>
          <w:szCs w:val="12"/>
          <w:color w:val="000000"/>
        </w:rPr>
        <w:t>against</w:t>
      </w:r>
      <w:r>
        <w:rPr>
          <w:rFonts w:ascii="Arial" w:cs="Arial" w:eastAsia="Arial" w:hAnsi="Arial"/>
          <w:sz w:val="12"/>
          <w:szCs w:val="12"/>
          <w:color w:val="231F20"/>
        </w:rPr>
        <w:t xml:space="preserve"> the </w:t>
      </w:r>
      <w:r>
        <w:rPr>
          <w:rFonts w:ascii="Arial" w:cs="Arial" w:eastAsia="Arial" w:hAnsi="Arial"/>
          <w:sz w:val="12"/>
          <w:szCs w:val="12"/>
          <w:color w:val="000000"/>
        </w:rPr>
        <w:t>licensors</w:t>
      </w:r>
      <w:r>
        <w:rPr>
          <w:rFonts w:ascii="Arial" w:cs="Arial" w:eastAsia="Arial" w:hAnsi="Arial"/>
          <w:sz w:val="12"/>
          <w:szCs w:val="12"/>
          <w:color w:val="231F20"/>
        </w:rPr>
        <w:t xml:space="preserve"> and/or the authority, may in some instances, not be enforceable as a result of a licensor no longer existing, the lapse of time or any other facts preventing the enforcement of such claims.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3" w:name="page14"/>
    <w:bookmarkEnd w:id="13"/>
    <w:p>
      <w:pPr>
        <w:ind w:right="420" w:firstLine="556"/>
        <w:spacing w:after="0" w:line="287" w:lineRule="auto"/>
        <w:rPr>
          <w:sz w:val="20"/>
          <w:szCs w:val="20"/>
          <w:color w:val="auto"/>
        </w:rPr>
      </w:pPr>
      <w:r>
        <w:rPr>
          <w:rFonts w:ascii="Arial" w:cs="Arial" w:eastAsia="Arial" w:hAnsi="Arial"/>
          <w:sz w:val="13"/>
          <w:szCs w:val="13"/>
          <w:b w:val="1"/>
          <w:bCs w:val="1"/>
          <w:i w:val="1"/>
          <w:iCs w:val="1"/>
          <w:color w:val="231F20"/>
        </w:rPr>
        <w:t xml:space="preserve">We will require substantial additional financing to achieve our goals, and a failure to obtain this capital on acceptable </w:t>
      </w:r>
      <w:r>
        <w:rPr>
          <w:rFonts w:ascii="Arial" w:cs="Arial" w:eastAsia="Arial" w:hAnsi="Arial"/>
          <w:sz w:val="13"/>
          <w:szCs w:val="13"/>
          <w:b w:val="1"/>
          <w:bCs w:val="1"/>
          <w:i w:val="1"/>
          <w:iCs w:val="1"/>
          <w:color w:val="000000"/>
        </w:rPr>
        <w:t>terms</w:t>
      </w:r>
      <w:r>
        <w:rPr>
          <w:rFonts w:ascii="Arial" w:cs="Arial" w:eastAsia="Arial" w:hAnsi="Arial"/>
          <w:sz w:val="13"/>
          <w:szCs w:val="13"/>
          <w:b w:val="1"/>
          <w:bCs w:val="1"/>
          <w:i w:val="1"/>
          <w:iCs w:val="1"/>
          <w:color w:val="231F20"/>
        </w:rPr>
        <w:t>, or at all, could force us to delay, limit, reduce or terminate our product development programs, commercialization efforts or other operations.</w:t>
      </w:r>
    </w:p>
    <w:p>
      <w:pPr>
        <w:spacing w:after="0" w:line="42" w:lineRule="exact"/>
        <w:rPr>
          <w:sz w:val="20"/>
          <w:szCs w:val="20"/>
          <w:color w:val="auto"/>
        </w:rPr>
      </w:pPr>
    </w:p>
    <w:p>
      <w:pPr>
        <w:ind w:right="20" w:firstLine="556"/>
        <w:spacing w:after="0" w:line="261" w:lineRule="auto"/>
        <w:rPr>
          <w:sz w:val="20"/>
          <w:szCs w:val="20"/>
          <w:color w:val="auto"/>
        </w:rPr>
      </w:pPr>
      <w:r>
        <w:rPr>
          <w:rFonts w:ascii="Arial" w:cs="Arial" w:eastAsia="Arial" w:hAnsi="Arial"/>
          <w:sz w:val="13"/>
          <w:szCs w:val="13"/>
          <w:color w:val="231F20"/>
        </w:rPr>
        <w:t>As of December 31, 2019, we had €519.1 million in cash and cash equivalents. We expect that our existing cash and cash equivalents will be sufficient to fund our operating expenses and capital expenditure requirements into the third quarter of 2021. However, our operating plan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In any event, we will require additional capital to obtain regulatory approval for, and to commercialize, our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high uncertainty of the length of time and activities associated with discovery and development of our product candidates, we are unable to estimate the actual funds we will require for development, marketing and commercialization activities.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Our future funding requirements, both near and long term, will depend on many factors, including, but not limited to:</w:t>
      </w:r>
    </w:p>
    <w:p>
      <w:pPr>
        <w:spacing w:after="0" w:line="90" w:lineRule="exact"/>
        <w:rPr>
          <w:sz w:val="20"/>
          <w:szCs w:val="20"/>
          <w:color w:val="auto"/>
        </w:rPr>
      </w:pPr>
    </w:p>
    <w:p>
      <w:pPr>
        <w:ind w:left="1020" w:hanging="340"/>
        <w:spacing w:after="0"/>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initiation, progress, timing, costs, and results of preclinical or nonclinical studies and clinical trials for our product candidates;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results of research and our other platform activities;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clinical development plans we establish for our product candidates;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terms of any agreements with our current or future collaborators;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number and characteristics of product candidates that we develop or may in-license;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outcome, timing and cost of meeting regulatory requirements established by the FDA, the EMA and other comparable regulatory authorities;</w:t>
      </w:r>
    </w:p>
    <w:p>
      <w:pPr>
        <w:spacing w:after="0" w:line="90" w:lineRule="exact"/>
        <w:rPr>
          <w:rFonts w:ascii="Arial" w:cs="Arial" w:eastAsia="Arial" w:hAnsi="Arial"/>
          <w:sz w:val="13"/>
          <w:szCs w:val="13"/>
          <w:color w:val="231F20"/>
        </w:rPr>
      </w:pPr>
    </w:p>
    <w:p>
      <w:pPr>
        <w:ind w:left="1020" w:right="440" w:hanging="340"/>
        <w:spacing w:after="0" w:line="272" w:lineRule="auto"/>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51" w:lineRule="exact"/>
        <w:rPr>
          <w:rFonts w:ascii="Arial" w:cs="Arial" w:eastAsia="Arial" w:hAnsi="Arial"/>
          <w:sz w:val="13"/>
          <w:szCs w:val="13"/>
          <w:color w:val="231F20"/>
        </w:rPr>
      </w:pPr>
    </w:p>
    <w:p>
      <w:pPr>
        <w:ind w:left="1020" w:hanging="340"/>
        <w:spacing w:after="0"/>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effect of competing technological and market developments, including other products that may compete with one or more of our product candidates;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cost and timing of completion and further expansion of clinical and commercial scale manufacturing activities sufficient to support all of our current and future programs; and</w:t>
      </w:r>
    </w:p>
    <w:p>
      <w:pPr>
        <w:spacing w:after="0" w:line="90" w:lineRule="exact"/>
        <w:rPr>
          <w:rFonts w:ascii="Arial" w:cs="Arial" w:eastAsia="Arial" w:hAnsi="Arial"/>
          <w:sz w:val="13"/>
          <w:szCs w:val="13"/>
          <w:color w:val="231F20"/>
        </w:rPr>
      </w:pPr>
    </w:p>
    <w:p>
      <w:pPr>
        <w:ind w:left="1020" w:right="60" w:hanging="340"/>
        <w:spacing w:after="0" w:line="287" w:lineRule="auto"/>
        <w:tabs>
          <w:tab w:leader="none" w:pos="1020" w:val="left"/>
        </w:tabs>
        <w:numPr>
          <w:ilvl w:val="0"/>
          <w:numId w:val="16"/>
        </w:numPr>
        <w:rPr>
          <w:rFonts w:ascii="Arial" w:cs="Arial" w:eastAsia="Arial" w:hAnsi="Arial"/>
          <w:sz w:val="13"/>
          <w:szCs w:val="13"/>
          <w:color w:val="231F20"/>
        </w:rPr>
      </w:pPr>
      <w:r>
        <w:rPr>
          <w:rFonts w:ascii="Arial" w:cs="Arial" w:eastAsia="Arial" w:hAnsi="Arial"/>
          <w:sz w:val="13"/>
          <w:szCs w:val="13"/>
          <w:color w:val="231F20"/>
        </w:rPr>
        <w:t>the cost of establishing sales, marketing, and distribution capabilities for any product candidates for which we may receive marketing approval and reimbursement in regions where we choose to commercialize our products on our own.</w:t>
      </w:r>
    </w:p>
    <w:p>
      <w:pPr>
        <w:spacing w:after="0" w:line="122" w:lineRule="exact"/>
        <w:rPr>
          <w:sz w:val="20"/>
          <w:szCs w:val="20"/>
          <w:color w:val="auto"/>
        </w:rPr>
      </w:pPr>
    </w:p>
    <w:p>
      <w:pPr>
        <w:ind w:firstLine="556"/>
        <w:spacing w:after="0" w:line="291" w:lineRule="auto"/>
        <w:rPr>
          <w:sz w:val="20"/>
          <w:szCs w:val="20"/>
          <w:color w:val="auto"/>
        </w:rPr>
      </w:pPr>
      <w:r>
        <w:rPr>
          <w:rFonts w:ascii="Arial" w:cs="Arial" w:eastAsia="Arial" w:hAnsi="Arial"/>
          <w:sz w:val="12"/>
          <w:szCs w:val="12"/>
          <w:color w:val="231F20"/>
        </w:rPr>
        <w:t xml:space="preserve">To date, we have financed our operations primarily through the sale of equity securities and revenue from collaborations and we cannot be certain that additional funding will be available on favorable terms, or at all. Until we can generate sufficient product sales or royalty revenue to finance our operations, which we may never do, we expect to finance our future cash needs through a combination of public or private equity offerings, debt financings, collaborations, sales of assets, </w:t>
      </w:r>
      <w:r>
        <w:rPr>
          <w:rFonts w:ascii="Arial" w:cs="Arial" w:eastAsia="Arial" w:hAnsi="Arial"/>
          <w:sz w:val="12"/>
          <w:szCs w:val="12"/>
          <w:color w:val="000000"/>
        </w:rPr>
        <w:t>licensing</w:t>
      </w:r>
      <w:r>
        <w:rPr>
          <w:rFonts w:ascii="Arial" w:cs="Arial" w:eastAsia="Arial" w:hAnsi="Arial"/>
          <w:sz w:val="12"/>
          <w:szCs w:val="12"/>
          <w:color w:val="231F20"/>
        </w:rPr>
        <w:t xml:space="preserve">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COVID-19 pandemic may have on the capital markets.</w:t>
      </w:r>
    </w:p>
    <w:p>
      <w:pPr>
        <w:spacing w:after="0" w:line="123"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 xml:space="preserve">Negative </w:t>
      </w:r>
      <w:r>
        <w:rPr>
          <w:rFonts w:ascii="Arial" w:cs="Arial" w:eastAsia="Arial" w:hAnsi="Arial"/>
          <w:sz w:val="13"/>
          <w:szCs w:val="13"/>
          <w:color w:val="231F20"/>
        </w:rPr>
        <w:t>clinical trial data or setbacks, or perceived setbacks, in our programs or with respect to our technology could impair our ability to raise additional financing on favorable terms, or at all.</w:t>
      </w:r>
      <w:r>
        <w:rPr>
          <w:rFonts w:ascii="Arial" w:cs="Arial" w:eastAsia="Arial" w:hAnsi="Arial"/>
          <w:sz w:val="13"/>
          <w:szCs w:val="13"/>
          <w:color w:val="auto"/>
        </w:rPr>
        <w:t xml:space="preserve"> </w:t>
      </w:r>
      <w:r>
        <w:rPr>
          <w:rFonts w:ascii="Arial" w:cs="Arial" w:eastAsia="Arial" w:hAnsi="Arial"/>
          <w:sz w:val="13"/>
          <w:szCs w:val="13"/>
          <w:color w:val="231F20"/>
        </w:rPr>
        <w:t>Moreover, the terms of any financing may adversely affect the holdings or the rights of our shareholders, and the issuance of additional securities, whether equity or debt, by us, or the possibility of such issuance, may cause the market price of our shares to decline. If we raise additional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231F20"/>
        </w:rPr>
        <w:t>funds through public or private equity offerings, the terms of these securities may include liquidation or other preferences that may adversely affect our shareholders’ rights.</w:t>
      </w:r>
    </w:p>
    <w:p>
      <w:pPr>
        <w:spacing w:after="0" w:line="170" w:lineRule="exact"/>
        <w:rPr>
          <w:sz w:val="20"/>
          <w:szCs w:val="20"/>
          <w:color w:val="auto"/>
        </w:rPr>
      </w:pPr>
    </w:p>
    <w:p>
      <w:pPr>
        <w:ind w:firstLine="556"/>
        <w:spacing w:after="0" w:line="260" w:lineRule="auto"/>
        <w:rPr>
          <w:sz w:val="20"/>
          <w:szCs w:val="20"/>
          <w:color w:val="auto"/>
        </w:rPr>
      </w:pPr>
      <w:r>
        <w:rPr>
          <w:rFonts w:ascii="Arial" w:cs="Arial" w:eastAsia="Arial" w:hAnsi="Arial"/>
          <w:sz w:val="13"/>
          <w:szCs w:val="13"/>
          <w:color w:val="231F20"/>
        </w:rPr>
        <w:t xml:space="preserve">Further, to the extent that we raise additional capital through the sale of ADSs, ordinary shares or securities convertible or exchangeable into ordinary shares, share ownership interest will be diluted. We have entered into three secured credit facilities with an aggregate drawing capacity of €70 million. In addition, we may enter into additional credit facilities from time to time, which may be secured, to fund certain of our operations. If we raise additional capital through debt </w:t>
      </w:r>
      <w:r>
        <w:rPr>
          <w:rFonts w:ascii="Arial" w:cs="Arial" w:eastAsia="Arial" w:hAnsi="Arial"/>
          <w:sz w:val="13"/>
          <w:szCs w:val="13"/>
          <w:color w:val="000000"/>
        </w:rPr>
        <w:t>financing</w:t>
      </w:r>
      <w:r>
        <w:rPr>
          <w:rFonts w:ascii="Arial" w:cs="Arial" w:eastAsia="Arial" w:hAnsi="Arial"/>
          <w:sz w:val="13"/>
          <w:szCs w:val="13"/>
          <w:color w:val="231F20"/>
        </w:rPr>
        <w:t>,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or other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We will need to develop and expand our company, and we may encounter difficulties in managing this development and expansion, which could disrupt our operations.</w:t>
      </w:r>
    </w:p>
    <w:p>
      <w:pPr>
        <w:spacing w:after="0" w:line="90"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231F20"/>
        </w:rPr>
        <w:t xml:space="preserve">As of December 31, 2019, we had more than 1,300 full-time employees and, in connection with the growth and advancement of our pipeline and becoming a public company, we expect to increase the number of employees and the scope of our </w:t>
      </w:r>
      <w:r>
        <w:rPr>
          <w:rFonts w:ascii="Arial" w:cs="Arial" w:eastAsia="Arial" w:hAnsi="Arial"/>
          <w:sz w:val="13"/>
          <w:szCs w:val="13"/>
          <w:color w:val="000000"/>
        </w:rPr>
        <w:t>operations</w:t>
      </w:r>
      <w:r>
        <w:rPr>
          <w:rFonts w:ascii="Arial" w:cs="Arial" w:eastAsia="Arial" w:hAnsi="Arial"/>
          <w:sz w:val="13"/>
          <w:szCs w:val="13"/>
          <w:color w:val="231F20"/>
        </w:rPr>
        <w:t>. To manage our anticipated development and expansion, we must continue to implement and improve our managerial, operational, legal, compliance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w:t>
      </w:r>
    </w:p>
    <w:p>
      <w:pPr>
        <w:spacing w:after="0" w:line="135"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231F20"/>
        </w:rPr>
        <w:t>As a growing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We face risks related to health epidemics, such as the current coronavirus outbreak, that could adversely affectour operations.</w:t>
      </w:r>
    </w:p>
    <w:p>
      <w:pPr>
        <w:spacing w:after="0" w:line="90" w:lineRule="exact"/>
        <w:rPr>
          <w:sz w:val="20"/>
          <w:szCs w:val="20"/>
          <w:color w:val="auto"/>
        </w:rPr>
      </w:pPr>
    </w:p>
    <w:p>
      <w:pPr>
        <w:ind w:right="280" w:firstLine="556"/>
        <w:spacing w:after="0" w:line="331" w:lineRule="auto"/>
        <w:rPr>
          <w:sz w:val="20"/>
          <w:szCs w:val="20"/>
          <w:color w:val="auto"/>
        </w:rPr>
      </w:pPr>
      <w:r>
        <w:rPr>
          <w:rFonts w:ascii="Arial" w:cs="Arial" w:eastAsia="Arial" w:hAnsi="Arial"/>
          <w:sz w:val="12"/>
          <w:szCs w:val="12"/>
          <w:color w:val="231F20"/>
        </w:rPr>
        <w:t>Our business could be adversely impacted by the effects of COVID-19 (more commonly referred to as coronavirus) or other epidemics. The recent COVID-19 outbreak may negatively impact our revenue or operations in the future. The COVID-19 pandemic could also affect our ability to enroll patients in clinical studies and complete clinical trials on the timelines we currently anticipate.</w:t>
      </w:r>
    </w:p>
    <w:p>
      <w:pPr>
        <w:spacing w:after="0" w:line="99" w:lineRule="exact"/>
        <w:rPr>
          <w:sz w:val="20"/>
          <w:szCs w:val="20"/>
          <w:color w:val="auto"/>
        </w:rPr>
      </w:pPr>
    </w:p>
    <w:p>
      <w:pPr>
        <w:ind w:right="60" w:firstLine="556"/>
        <w:spacing w:after="0" w:line="304" w:lineRule="auto"/>
        <w:rPr>
          <w:sz w:val="20"/>
          <w:szCs w:val="20"/>
          <w:color w:val="auto"/>
        </w:rPr>
      </w:pPr>
      <w:r>
        <w:rPr>
          <w:rFonts w:ascii="Arial" w:cs="Arial" w:eastAsia="Arial" w:hAnsi="Arial"/>
          <w:sz w:val="12"/>
          <w:szCs w:val="12"/>
          <w:color w:val="231F20"/>
        </w:rPr>
        <w:t>Our suppliers, licensors or collaborators could also be disrupted by conditions related to COVID-19, or other epidemics, possibly resulting in disruption to our supply chain, clinical trials, partnerships or operations. If our suppliers, licensors, CROs or collaborators are unable or fail to fulfill their obligations to us for any reason, our business could be adversely affected. Our customers could also be disrupted by conditions related to COVID-19 or other epidemics, possibly through deferring purchasing decisions or delaying research programs. Our operations, including research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231F20"/>
        </w:rPr>
        <w:t>manufacturing, could also be disrupted due to the potential of the impact of staff absences as a result of self-isolation procedures or extended illness.</w:t>
      </w:r>
    </w:p>
    <w:p>
      <w:pPr>
        <w:spacing w:after="0" w:line="170"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231F20"/>
        </w:rPr>
        <w:t>At this point in time, there is uncertainty relating to the potential effect of COVID-19 on our business. Infections may become more widespread and a significant health epidemic could adversely affect the economies and financial markets of many countries, resulting in an economic downturn that could affect demand for our products and services or our ability to raise capital, which could have a material adverse effect on our business, operating results and financial condition.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 xml:space="preserve">Our </w:t>
      </w:r>
      <w:r>
        <w:rPr>
          <w:rFonts w:ascii="Arial" w:cs="Arial" w:eastAsia="Arial" w:hAnsi="Arial"/>
          <w:sz w:val="13"/>
          <w:szCs w:val="13"/>
          <w:b w:val="1"/>
          <w:bCs w:val="1"/>
          <w:i w:val="1"/>
          <w:iCs w:val="1"/>
          <w:color w:val="000000"/>
        </w:rPr>
        <w:t>insurance</w:t>
      </w:r>
      <w:r>
        <w:rPr>
          <w:rFonts w:ascii="Arial" w:cs="Arial" w:eastAsia="Arial" w:hAnsi="Arial"/>
          <w:sz w:val="13"/>
          <w:szCs w:val="13"/>
          <w:b w:val="1"/>
          <w:bCs w:val="1"/>
          <w:i w:val="1"/>
          <w:iCs w:val="1"/>
          <w:color w:val="231F20"/>
        </w:rPr>
        <w:t xml:space="preserve"> policies are expensive and protect us only from some business risks, which leaves us exposed to significant uninsured liabilities.</w:t>
      </w:r>
    </w:p>
    <w:p>
      <w:pPr>
        <w:spacing w:after="0" w:line="90" w:lineRule="exact"/>
        <w:rPr>
          <w:sz w:val="20"/>
          <w:szCs w:val="20"/>
          <w:color w:val="auto"/>
        </w:rPr>
      </w:pPr>
    </w:p>
    <w:p>
      <w:pPr>
        <w:ind w:right="40" w:firstLine="556"/>
        <w:spacing w:after="0" w:line="284" w:lineRule="auto"/>
        <w:rPr>
          <w:sz w:val="20"/>
          <w:szCs w:val="20"/>
          <w:color w:val="auto"/>
        </w:rPr>
      </w:pPr>
      <w:r>
        <w:rPr>
          <w:rFonts w:ascii="Arial" w:cs="Arial" w:eastAsia="Arial" w:hAnsi="Arial"/>
          <w:sz w:val="12"/>
          <w:szCs w:val="12"/>
          <w:color w:val="231F20"/>
        </w:rPr>
        <w:t xml:space="preserve">We do not carry insurance for all categories of risk that our business may encounter and insurance coverage is becoming </w:t>
      </w:r>
      <w:r>
        <w:rPr>
          <w:rFonts w:ascii="Arial" w:cs="Arial" w:eastAsia="Arial" w:hAnsi="Arial"/>
          <w:sz w:val="12"/>
          <w:szCs w:val="12"/>
          <w:color w:val="000000"/>
        </w:rPr>
        <w:t>increasingly</w:t>
      </w:r>
      <w:r>
        <w:rPr>
          <w:rFonts w:ascii="Arial" w:cs="Arial" w:eastAsia="Arial" w:hAnsi="Arial"/>
          <w:sz w:val="12"/>
          <w:szCs w:val="12"/>
          <w:color w:val="231F20"/>
        </w:rPr>
        <w:t xml:space="preserve"> expensive. We do not know if we will be able to maintain existing insurance with adequate levels of coverage,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We currently maintain insurance coverage for losses relating to an interruption of our development, manufacturing or commercialization efforts caused by contamination in an amount of €50,000,000 per claim up to an aggregate cap of €160,000,000 in any two-year period, and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 Additionally, operating as a public company has made it more expensive for us to obtain director and officer liability insurance. As a result, it may be more difficult for us to attract and retain qualified individuals to serve on our Supervisory Board, our board committees or our Management Board.</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our Business</w:t>
      </w:r>
    </w:p>
    <w:p>
      <w:pPr>
        <w:spacing w:after="0" w:line="94" w:lineRule="exact"/>
        <w:rPr>
          <w:sz w:val="20"/>
          <w:szCs w:val="20"/>
          <w:color w:val="auto"/>
        </w:rPr>
      </w:pPr>
    </w:p>
    <w:p>
      <w:pPr>
        <w:ind w:right="200" w:firstLine="556"/>
        <w:spacing w:after="0" w:line="379" w:lineRule="auto"/>
        <w:rPr>
          <w:sz w:val="20"/>
          <w:szCs w:val="20"/>
          <w:color w:val="auto"/>
        </w:rPr>
      </w:pPr>
      <w:r>
        <w:rPr>
          <w:rFonts w:ascii="Arial" w:cs="Arial" w:eastAsia="Arial" w:hAnsi="Arial"/>
          <w:sz w:val="11"/>
          <w:szCs w:val="11"/>
          <w:b w:val="1"/>
          <w:bCs w:val="1"/>
          <w:i w:val="1"/>
          <w:iCs w:val="1"/>
          <w:color w:val="231F20"/>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ind w:firstLine="556"/>
        <w:spacing w:after="0" w:line="261" w:lineRule="auto"/>
        <w:rPr>
          <w:sz w:val="20"/>
          <w:szCs w:val="20"/>
          <w:color w:val="auto"/>
        </w:rPr>
      </w:pPr>
      <w:r>
        <w:rPr>
          <w:rFonts w:ascii="Arial" w:cs="Arial" w:eastAsia="Arial" w:hAnsi="Arial"/>
          <w:sz w:val="13"/>
          <w:szCs w:val="13"/>
          <w:color w:val="231F20"/>
        </w:rPr>
        <w:t xml:space="preserve">Even if we complete the necessary preclinical studies and clinical trials, the marketing approval process is expensive, time-consuming and uncertain, and we may not be able to obtain approvals for the commercialization of any product candidates </w:t>
      </w:r>
      <w:r>
        <w:rPr>
          <w:rFonts w:ascii="Arial" w:cs="Arial" w:eastAsia="Arial" w:hAnsi="Arial"/>
          <w:sz w:val="13"/>
          <w:szCs w:val="13"/>
          <w:color w:val="000000"/>
        </w:rPr>
        <w:t>we</w:t>
      </w:r>
      <w:r>
        <w:rPr>
          <w:rFonts w:ascii="Arial" w:cs="Arial" w:eastAsia="Arial" w:hAnsi="Arial"/>
          <w:sz w:val="13"/>
          <w:szCs w:val="13"/>
          <w:color w:val="231F20"/>
        </w:rPr>
        <w:t xml:space="preserve"> may develop. Any immunotherapy we may develop and the activities associated with its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to commercialize any of our product candidates, we and our collaborators must demonstrate through extensive preclinical studies and clinical trials that our products are safe and effective, including in the target populations.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142" w:lineRule="exact"/>
        <w:rPr>
          <w:sz w:val="20"/>
          <w:szCs w:val="20"/>
          <w:color w:val="auto"/>
        </w:rPr>
      </w:pPr>
    </w:p>
    <w:p>
      <w:pPr>
        <w:ind w:right="20" w:firstLine="556"/>
        <w:spacing w:after="0" w:line="287" w:lineRule="auto"/>
        <w:rPr>
          <w:sz w:val="20"/>
          <w:szCs w:val="20"/>
          <w:color w:val="auto"/>
        </w:rPr>
      </w:pPr>
      <w:r>
        <w:rPr>
          <w:rFonts w:ascii="Arial" w:cs="Arial" w:eastAsia="Arial" w:hAnsi="Arial"/>
          <w:sz w:val="12"/>
          <w:szCs w:val="12"/>
          <w:color w:val="231F20"/>
        </w:rPr>
        <w:t xml:space="preserve">Failure to obtain marketing approval for a product candidate will prevent us from commercializing the product candidate in a given jurisdiction. We have not received approval to market any biopharmaceutical product candidates from regulatory </w:t>
      </w:r>
      <w:r>
        <w:rPr>
          <w:rFonts w:ascii="Arial" w:cs="Arial" w:eastAsia="Arial" w:hAnsi="Arial"/>
          <w:sz w:val="12"/>
          <w:szCs w:val="12"/>
          <w:color w:val="000000"/>
        </w:rPr>
        <w:t>authorities</w:t>
      </w:r>
      <w:r>
        <w:rPr>
          <w:rFonts w:ascii="Arial" w:cs="Arial" w:eastAsia="Arial" w:hAnsi="Arial"/>
          <w:sz w:val="12"/>
          <w:szCs w:val="12"/>
          <w:color w:val="231F20"/>
        </w:rPr>
        <w:t xml:space="preserve"> in any jurisdiction, and it is possible that none of our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To our knowledge, there is no current precedent for an mRNA-based immunotherapy such as the type we are developing being approved for sale by the FDA, European Commission or any other regulatory agency elsewhere in the world. Although we expect to submit BLAs for our mRNA-based product candidates in the United States, and in the European Union, mRNA therapies have been classified as gene therapy medicinal products, other jurisdictions may consider our mRNA-based product candidates to be new drugs, not biologics or gene therapy medicinal products, and require different marketing applications. Securing regulatory approval requires the submission of extensive preclinical and clinical data and supporting information to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6" w:name="page17"/>
    <w:bookmarkEnd w:id="16"/>
    <w:p>
      <w:pPr>
        <w:ind w:right="140"/>
        <w:spacing w:after="0" w:line="304" w:lineRule="auto"/>
        <w:rPr>
          <w:sz w:val="20"/>
          <w:szCs w:val="20"/>
          <w:color w:val="auto"/>
        </w:rPr>
      </w:pPr>
      <w:r>
        <w:rPr>
          <w:rFonts w:ascii="Arial" w:cs="Arial" w:eastAsia="Arial" w:hAnsi="Arial"/>
          <w:sz w:val="12"/>
          <w:szCs w:val="12"/>
          <w:color w:val="231F20"/>
        </w:rPr>
        <w:t>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16" w:lineRule="exact"/>
        <w:rPr>
          <w:sz w:val="20"/>
          <w:szCs w:val="20"/>
          <w:color w:val="auto"/>
        </w:rPr>
      </w:pPr>
    </w:p>
    <w:p>
      <w:pPr>
        <w:ind w:firstLine="556"/>
        <w:spacing w:after="0" w:line="260" w:lineRule="auto"/>
        <w:rPr>
          <w:sz w:val="20"/>
          <w:szCs w:val="20"/>
          <w:color w:val="auto"/>
        </w:rPr>
      </w:pPr>
      <w:r>
        <w:rPr>
          <w:rFonts w:ascii="Arial" w:cs="Arial" w:eastAsia="Arial" w:hAnsi="Arial"/>
          <w:sz w:val="13"/>
          <w:szCs w:val="13"/>
          <w:color w:val="231F20"/>
        </w:rPr>
        <w:t xml:space="preserve">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EMA and comparable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w:t>
      </w:r>
      <w:r>
        <w:rPr>
          <w:rFonts w:ascii="Arial" w:cs="Arial" w:eastAsia="Arial" w:hAnsi="Arial"/>
          <w:sz w:val="13"/>
          <w:szCs w:val="13"/>
          <w:color w:val="000000"/>
        </w:rPr>
        <w:t>and</w:t>
      </w:r>
      <w:r>
        <w:rPr>
          <w:rFonts w:ascii="Arial" w:cs="Arial" w:eastAsia="Arial" w:hAnsi="Arial"/>
          <w:sz w:val="13"/>
          <w:szCs w:val="13"/>
          <w:color w:val="231F20"/>
        </w:rPr>
        <w:t xml:space="preserve">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42" w:lineRule="exact"/>
        <w:rPr>
          <w:sz w:val="20"/>
          <w:szCs w:val="20"/>
          <w:color w:val="auto"/>
        </w:rPr>
      </w:pPr>
    </w:p>
    <w:p>
      <w:pPr>
        <w:ind w:right="40" w:firstLine="556"/>
        <w:spacing w:after="0" w:line="287" w:lineRule="auto"/>
        <w:rPr>
          <w:sz w:val="20"/>
          <w:szCs w:val="20"/>
          <w:color w:val="auto"/>
        </w:rPr>
      </w:pPr>
      <w:r>
        <w:rPr>
          <w:rFonts w:ascii="Arial" w:cs="Arial" w:eastAsia="Arial" w:hAnsi="Arial"/>
          <w:sz w:val="13"/>
          <w:szCs w:val="13"/>
          <w:color w:val="231F20"/>
        </w:rPr>
        <w:t xml:space="preserve">Regulatory agencies also may approve an immunotherapy for fewer or more limited indications than requested or may grant </w:t>
      </w:r>
      <w:r>
        <w:rPr>
          <w:rFonts w:ascii="Arial" w:cs="Arial" w:eastAsia="Arial" w:hAnsi="Arial"/>
          <w:sz w:val="13"/>
          <w:szCs w:val="13"/>
          <w:color w:val="000000"/>
        </w:rPr>
        <w:t>approval</w:t>
      </w:r>
      <w:r>
        <w:rPr>
          <w:rFonts w:ascii="Arial" w:cs="Arial" w:eastAsia="Arial" w:hAnsi="Arial"/>
          <w:sz w:val="13"/>
          <w:szCs w:val="13"/>
          <w:color w:val="231F20"/>
        </w:rPr>
        <w:t xml:space="preserve"> subject to the performance of post-marketing studies. In addition, regulatory agencies may not approve the labeling claims that are necessary or desirable for the successful commercialization of our product candidates.</w:t>
      </w:r>
    </w:p>
    <w:p>
      <w:pPr>
        <w:spacing w:after="0" w:line="122" w:lineRule="exact"/>
        <w:rPr>
          <w:sz w:val="20"/>
          <w:szCs w:val="20"/>
          <w:color w:val="auto"/>
        </w:rPr>
      </w:pPr>
    </w:p>
    <w:p>
      <w:pPr>
        <w:ind w:right="260" w:firstLine="556"/>
        <w:spacing w:after="0" w:line="304" w:lineRule="auto"/>
        <w:rPr>
          <w:sz w:val="20"/>
          <w:szCs w:val="20"/>
          <w:color w:val="auto"/>
        </w:rPr>
      </w:pPr>
      <w:r>
        <w:rPr>
          <w:rFonts w:ascii="Arial" w:cs="Arial" w:eastAsia="Arial" w:hAnsi="Arial"/>
          <w:sz w:val="12"/>
          <w:szCs w:val="12"/>
          <w:color w:val="231F20"/>
        </w:rPr>
        <w:t xml:space="preserve">The FDA, EMA and other regulatory agencies review the Quality or Chemistry, Manufacturing and Controls, or CMC, </w:t>
      </w:r>
      <w:r>
        <w:rPr>
          <w:rFonts w:ascii="Arial" w:cs="Arial" w:eastAsia="Arial" w:hAnsi="Arial"/>
          <w:sz w:val="12"/>
          <w:szCs w:val="12"/>
          <w:color w:val="000000"/>
        </w:rPr>
        <w:t>section</w:t>
      </w:r>
      <w:r>
        <w:rPr>
          <w:rFonts w:ascii="Arial" w:cs="Arial" w:eastAsia="Arial" w:hAnsi="Arial"/>
          <w:sz w:val="12"/>
          <w:szCs w:val="12"/>
          <w:color w:val="231F20"/>
        </w:rPr>
        <w:t xml:space="preserve">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w:t>
      </w:r>
      <w:r>
        <w:rPr>
          <w:rFonts w:ascii="Arial" w:cs="Arial" w:eastAsia="Arial" w:hAnsi="Arial"/>
          <w:sz w:val="12"/>
          <w:szCs w:val="12"/>
          <w:color w:val="000000"/>
        </w:rPr>
        <w:t>approval</w:t>
      </w:r>
      <w:r>
        <w:rPr>
          <w:rFonts w:ascii="Arial" w:cs="Arial" w:eastAsia="Arial" w:hAnsi="Arial"/>
          <w:sz w:val="12"/>
          <w:szCs w:val="12"/>
          <w:color w:val="231F20"/>
        </w:rPr>
        <w:t xml:space="preserve"> and failure to commercialize the potential mRNA product candidate.</w:t>
      </w:r>
    </w:p>
    <w:p>
      <w:pPr>
        <w:spacing w:after="0" w:line="116" w:lineRule="exact"/>
        <w:rPr>
          <w:sz w:val="20"/>
          <w:szCs w:val="20"/>
          <w:color w:val="auto"/>
        </w:rPr>
      </w:pPr>
    </w:p>
    <w:p>
      <w:pPr>
        <w:ind w:right="60" w:firstLine="556"/>
        <w:spacing w:after="0" w:line="304" w:lineRule="auto"/>
        <w:rPr>
          <w:sz w:val="20"/>
          <w:szCs w:val="20"/>
          <w:color w:val="auto"/>
        </w:rPr>
      </w:pPr>
      <w:r>
        <w:rPr>
          <w:rFonts w:ascii="Arial" w:cs="Arial" w:eastAsia="Arial" w:hAnsi="Arial"/>
          <w:sz w:val="12"/>
          <w:szCs w:val="12"/>
          <w:color w:val="231F20"/>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116" w:lineRule="exact"/>
        <w:rPr>
          <w:sz w:val="20"/>
          <w:szCs w:val="20"/>
          <w:color w:val="auto"/>
        </w:rPr>
      </w:pPr>
    </w:p>
    <w:p>
      <w:pPr>
        <w:ind w:right="600" w:firstLine="556"/>
        <w:spacing w:after="0" w:line="287" w:lineRule="auto"/>
        <w:rPr>
          <w:sz w:val="20"/>
          <w:szCs w:val="20"/>
          <w:color w:val="auto"/>
        </w:rPr>
      </w:pPr>
      <w:r>
        <w:rPr>
          <w:rFonts w:ascii="Arial" w:cs="Arial" w:eastAsia="Arial" w:hAnsi="Arial"/>
          <w:sz w:val="13"/>
          <w:szCs w:val="13"/>
          <w:b w:val="1"/>
          <w:bCs w:val="1"/>
          <w:i w:val="1"/>
          <w:iCs w:val="1"/>
          <w:color w:val="231F20"/>
        </w:rPr>
        <w:t>No mRNA immunotherapy has been approved, and none may ever be approved. mRNA drug development has substantial clinical development and regulatory risks due to the novel and unprecedented nature of this new category of therapeutics.</w:t>
      </w:r>
    </w:p>
    <w:p>
      <w:pPr>
        <w:spacing w:after="0" w:line="42" w:lineRule="exact"/>
        <w:rPr>
          <w:sz w:val="20"/>
          <w:szCs w:val="20"/>
          <w:color w:val="auto"/>
        </w:rPr>
      </w:pPr>
    </w:p>
    <w:p>
      <w:pPr>
        <w:ind w:right="160" w:firstLine="556"/>
        <w:spacing w:after="0" w:line="267" w:lineRule="auto"/>
        <w:rPr>
          <w:sz w:val="20"/>
          <w:szCs w:val="20"/>
          <w:color w:val="auto"/>
        </w:rPr>
      </w:pPr>
      <w:r>
        <w:rPr>
          <w:rFonts w:ascii="Arial" w:cs="Arial" w:eastAsia="Arial" w:hAnsi="Arial"/>
          <w:sz w:val="13"/>
          <w:szCs w:val="13"/>
          <w:color w:val="231F20"/>
        </w:rPr>
        <w:t>As a potential new category of therapeutics, to our knowledge, no mRNA immunotherapies have been approved to date by the FDA, EMA or other regulatory agency. Successful discovery and development of mRNA-based (and other) immunotherapies by either us or our collaborators is highly uncertain and depends on numerous factors, many of which are beyond our or their control. To date, there has never been a Phase 3 trial for an mRNA-based product or a commercialized mRNA-</w:t>
      </w:r>
      <w:r>
        <w:rPr>
          <w:rFonts w:ascii="Arial" w:cs="Arial" w:eastAsia="Arial" w:hAnsi="Arial"/>
          <w:sz w:val="13"/>
          <w:szCs w:val="13"/>
          <w:color w:val="000000"/>
        </w:rPr>
        <w:t>based</w:t>
      </w:r>
      <w:r>
        <w:rPr>
          <w:rFonts w:ascii="Arial" w:cs="Arial" w:eastAsia="Arial" w:hAnsi="Arial"/>
          <w:sz w:val="13"/>
          <w:szCs w:val="13"/>
          <w:color w:val="231F20"/>
        </w:rPr>
        <w:t xml:space="preserve"> product. Our product candidates that appear promising in the early phases of development may fail to advance, experience delays in the clinic or clinical holds, or fail to reach the market for many reasons, including:</w:t>
      </w:r>
    </w:p>
    <w:p>
      <w:pPr>
        <w:spacing w:after="0" w:line="55" w:lineRule="exact"/>
        <w:rPr>
          <w:sz w:val="20"/>
          <w:szCs w:val="20"/>
          <w:color w:val="auto"/>
        </w:rPr>
      </w:pPr>
    </w:p>
    <w:p>
      <w:pPr>
        <w:ind w:left="1020" w:hanging="340"/>
        <w:spacing w:after="0"/>
        <w:tabs>
          <w:tab w:leader="none" w:pos="1020" w:val="left"/>
        </w:tabs>
        <w:numPr>
          <w:ilvl w:val="0"/>
          <w:numId w:val="17"/>
        </w:numPr>
        <w:rPr>
          <w:rFonts w:ascii="Arial" w:cs="Arial" w:eastAsia="Arial" w:hAnsi="Arial"/>
          <w:sz w:val="13"/>
          <w:szCs w:val="13"/>
          <w:color w:val="231F20"/>
        </w:rPr>
      </w:pPr>
      <w:r>
        <w:rPr>
          <w:rFonts w:ascii="Arial" w:cs="Arial" w:eastAsia="Arial" w:hAnsi="Arial"/>
          <w:sz w:val="13"/>
          <w:szCs w:val="13"/>
          <w:color w:val="231F20"/>
        </w:rPr>
        <w:t>discovery efforts aimed at identifying potential immunotherapies may not be successful;</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7"/>
        </w:numPr>
        <w:rPr>
          <w:rFonts w:ascii="Arial" w:cs="Arial" w:eastAsia="Arial" w:hAnsi="Arial"/>
          <w:sz w:val="13"/>
          <w:szCs w:val="13"/>
          <w:color w:val="231F20"/>
        </w:rPr>
      </w:pPr>
      <w:r>
        <w:rPr>
          <w:rFonts w:ascii="Arial" w:cs="Arial" w:eastAsia="Arial" w:hAnsi="Arial"/>
          <w:sz w:val="13"/>
          <w:szCs w:val="13"/>
          <w:color w:val="231F20"/>
        </w:rPr>
        <w:t>nonclinical or preclinical study results may show product candidates to be less effective than desired or have harmful or problematic side effects;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7"/>
        </w:numPr>
        <w:rPr>
          <w:rFonts w:ascii="Arial" w:cs="Arial" w:eastAsia="Arial" w:hAnsi="Arial"/>
          <w:sz w:val="12"/>
          <w:szCs w:val="12"/>
          <w:color w:val="231F20"/>
        </w:rPr>
      </w:pPr>
      <w:r>
        <w:rPr>
          <w:rFonts w:ascii="Arial" w:cs="Arial" w:eastAsia="Arial" w:hAnsi="Arial"/>
          <w:sz w:val="12"/>
          <w:szCs w:val="12"/>
          <w:color w:val="231F20"/>
        </w:rPr>
        <w:t>clinical trial results may show the product candidates to be less effective than expected, including a failure to meet one or more endpoints or have unacceptable side effects or toxicities;</w:t>
      </w:r>
    </w:p>
    <w:p>
      <w:pPr>
        <w:spacing w:after="0" w:line="101" w:lineRule="exact"/>
        <w:rPr>
          <w:rFonts w:ascii="Arial" w:cs="Arial" w:eastAsia="Arial" w:hAnsi="Arial"/>
          <w:sz w:val="12"/>
          <w:szCs w:val="12"/>
          <w:color w:val="231F20"/>
        </w:rPr>
      </w:pPr>
    </w:p>
    <w:p>
      <w:pPr>
        <w:ind w:left="1020" w:right="640" w:hanging="340"/>
        <w:spacing w:after="0" w:line="287" w:lineRule="auto"/>
        <w:tabs>
          <w:tab w:leader="none" w:pos="1020" w:val="left"/>
        </w:tabs>
        <w:numPr>
          <w:ilvl w:val="0"/>
          <w:numId w:val="17"/>
        </w:numPr>
        <w:rPr>
          <w:rFonts w:ascii="Arial" w:cs="Arial" w:eastAsia="Arial" w:hAnsi="Arial"/>
          <w:sz w:val="13"/>
          <w:szCs w:val="13"/>
          <w:color w:val="231F20"/>
        </w:rPr>
      </w:pPr>
      <w:r>
        <w:rPr>
          <w:rFonts w:ascii="Arial" w:cs="Arial" w:eastAsia="Arial" w:hAnsi="Arial"/>
          <w:sz w:val="13"/>
          <w:szCs w:val="13"/>
          <w:color w:val="231F20"/>
        </w:rPr>
        <w:t>manufacturing failures or insufficient supply of GMP materials for clinical trials, or higher than expected cost could delay or set back clinical trials, or make our product candidates commercially unattractive;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7" w:name="page18"/>
    <w:bookmarkEnd w:id="17"/>
    <w:p>
      <w:pPr>
        <w:ind w:left="1020" w:hanging="340"/>
        <w:spacing w:after="0"/>
        <w:tabs>
          <w:tab w:leader="none" w:pos="1020" w:val="left"/>
        </w:tabs>
        <w:numPr>
          <w:ilvl w:val="0"/>
          <w:numId w:val="18"/>
        </w:numPr>
        <w:rPr>
          <w:rFonts w:ascii="Arial" w:cs="Arial" w:eastAsia="Arial" w:hAnsi="Arial"/>
          <w:sz w:val="12"/>
          <w:szCs w:val="12"/>
          <w:color w:val="231F20"/>
        </w:rPr>
      </w:pPr>
      <w:r>
        <w:rPr>
          <w:rFonts w:ascii="Arial" w:cs="Arial" w:eastAsia="Arial" w:hAnsi="Arial"/>
          <w:sz w:val="12"/>
          <w:szCs w:val="12"/>
          <w:color w:val="231F20"/>
        </w:rPr>
        <w:t>our improvements in the manufacturing processes may not be sufficient to satisfy the clinical or commercial demand of our product candidates or regulatory requirements for clinical trials;</w:t>
      </w:r>
    </w:p>
    <w:p>
      <w:pPr>
        <w:spacing w:after="0" w:line="101" w:lineRule="exact"/>
        <w:rPr>
          <w:rFonts w:ascii="Arial" w:cs="Arial" w:eastAsia="Arial" w:hAnsi="Arial"/>
          <w:sz w:val="12"/>
          <w:szCs w:val="12"/>
          <w:color w:val="231F20"/>
        </w:rPr>
      </w:pPr>
    </w:p>
    <w:p>
      <w:pPr>
        <w:ind w:left="1020" w:hanging="340"/>
        <w:spacing w:after="0"/>
        <w:tabs>
          <w:tab w:leader="none" w:pos="1020" w:val="left"/>
        </w:tabs>
        <w:numPr>
          <w:ilvl w:val="0"/>
          <w:numId w:val="18"/>
        </w:numPr>
        <w:rPr>
          <w:rFonts w:ascii="Arial" w:cs="Arial" w:eastAsia="Arial" w:hAnsi="Arial"/>
          <w:sz w:val="13"/>
          <w:szCs w:val="13"/>
          <w:color w:val="231F20"/>
        </w:rPr>
      </w:pPr>
      <w:r>
        <w:rPr>
          <w:rFonts w:ascii="Arial" w:cs="Arial" w:eastAsia="Arial" w:hAnsi="Arial"/>
          <w:sz w:val="13"/>
          <w:szCs w:val="13"/>
          <w:color w:val="231F20"/>
        </w:rPr>
        <w:t>changes that we make to optimize our manufacturing, testing or formulating of GMP materials could impact the safety, tolerability and efficacy of our product candidates;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8"/>
        </w:numPr>
        <w:rPr>
          <w:rFonts w:ascii="Arial" w:cs="Arial" w:eastAsia="Arial" w:hAnsi="Arial"/>
          <w:sz w:val="13"/>
          <w:szCs w:val="13"/>
          <w:color w:val="231F20"/>
        </w:rPr>
      </w:pPr>
      <w:r>
        <w:rPr>
          <w:rFonts w:ascii="Arial" w:cs="Arial" w:eastAsia="Arial" w:hAnsi="Arial"/>
          <w:sz w:val="13"/>
          <w:szCs w:val="13"/>
          <w:color w:val="231F20"/>
        </w:rPr>
        <w:t>pricing or reimbursement issues or other factors could delay clinical trials or make any immunotherapy uneconomical or noncompetitive with other therapies;</w:t>
      </w:r>
    </w:p>
    <w:p>
      <w:pPr>
        <w:spacing w:after="0" w:line="90" w:lineRule="exact"/>
        <w:rPr>
          <w:rFonts w:ascii="Arial" w:cs="Arial" w:eastAsia="Arial" w:hAnsi="Arial"/>
          <w:sz w:val="13"/>
          <w:szCs w:val="13"/>
          <w:color w:val="231F20"/>
        </w:rPr>
      </w:pPr>
    </w:p>
    <w:p>
      <w:pPr>
        <w:ind w:left="1020" w:hanging="340"/>
        <w:spacing w:after="0" w:line="261" w:lineRule="auto"/>
        <w:tabs>
          <w:tab w:leader="none" w:pos="1020" w:val="left"/>
        </w:tabs>
        <w:numPr>
          <w:ilvl w:val="0"/>
          <w:numId w:val="18"/>
        </w:numPr>
        <w:rPr>
          <w:rFonts w:ascii="Arial" w:cs="Arial" w:eastAsia="Arial" w:hAnsi="Arial"/>
          <w:sz w:val="13"/>
          <w:szCs w:val="13"/>
          <w:color w:val="231F20"/>
        </w:rPr>
      </w:pPr>
      <w:r>
        <w:rPr>
          <w:rFonts w:ascii="Arial" w:cs="Arial" w:eastAsia="Arial" w:hAnsi="Arial"/>
          <w:sz w:val="13"/>
          <w:szCs w:val="13"/>
          <w:color w:val="231F20"/>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w:t>
      </w:r>
    </w:p>
    <w:p>
      <w:pPr>
        <w:ind w:left="1020"/>
        <w:spacing w:after="0"/>
        <w:rPr>
          <w:rFonts w:ascii="Arial" w:cs="Arial" w:eastAsia="Arial" w:hAnsi="Arial"/>
          <w:sz w:val="13"/>
          <w:szCs w:val="13"/>
          <w:color w:val="231F20"/>
        </w:rPr>
      </w:pPr>
      <w:r>
        <w:rPr>
          <w:rFonts w:ascii="Arial" w:cs="Arial" w:eastAsia="Arial" w:hAnsi="Arial"/>
          <w:sz w:val="13"/>
          <w:szCs w:val="13"/>
          <w:color w:val="231F20"/>
        </w:rPr>
        <w:t>or safety formulation or manufacturing issues may lead to our inability to obtain sufficient funding; and</w:t>
      </w:r>
    </w:p>
    <w:p>
      <w:pPr>
        <w:spacing w:after="0" w:line="81" w:lineRule="exact"/>
        <w:rPr>
          <w:rFonts w:ascii="Arial" w:cs="Arial" w:eastAsia="Arial" w:hAnsi="Arial"/>
          <w:sz w:val="13"/>
          <w:szCs w:val="13"/>
          <w:color w:val="231F20"/>
        </w:rPr>
      </w:pPr>
    </w:p>
    <w:p>
      <w:pPr>
        <w:ind w:left="1020" w:hanging="340"/>
        <w:spacing w:after="0"/>
        <w:tabs>
          <w:tab w:leader="none" w:pos="1020" w:val="left"/>
        </w:tabs>
        <w:numPr>
          <w:ilvl w:val="0"/>
          <w:numId w:val="18"/>
        </w:numPr>
        <w:rPr>
          <w:rFonts w:ascii="Arial" w:cs="Arial" w:eastAsia="Arial" w:hAnsi="Arial"/>
          <w:sz w:val="13"/>
          <w:szCs w:val="13"/>
          <w:color w:val="231F20"/>
        </w:rPr>
      </w:pPr>
      <w:r>
        <w:rPr>
          <w:rFonts w:ascii="Arial" w:cs="Arial" w:eastAsia="Arial" w:hAnsi="Arial"/>
          <w:sz w:val="13"/>
          <w:szCs w:val="13"/>
          <w:color w:val="231F20"/>
        </w:rPr>
        <w:t>the proprietary rights, products and technologies of our competitors may prevent our immunotherapies from being commercialized.</w:t>
      </w:r>
    </w:p>
    <w:p>
      <w:pPr>
        <w:spacing w:after="0" w:line="170" w:lineRule="exact"/>
        <w:rPr>
          <w:sz w:val="20"/>
          <w:szCs w:val="20"/>
          <w:color w:val="auto"/>
        </w:rPr>
      </w:pPr>
    </w:p>
    <w:p>
      <w:pPr>
        <w:ind w:right="80" w:firstLine="556"/>
        <w:spacing w:after="0" w:line="261" w:lineRule="auto"/>
        <w:rPr>
          <w:sz w:val="20"/>
          <w:szCs w:val="20"/>
          <w:color w:val="auto"/>
        </w:rPr>
      </w:pPr>
      <w:r>
        <w:rPr>
          <w:rFonts w:ascii="Arial" w:cs="Arial" w:eastAsia="Arial" w:hAnsi="Arial"/>
          <w:sz w:val="13"/>
          <w:szCs w:val="13"/>
          <w:color w:val="231F20"/>
        </w:rPr>
        <w:t>Currently, mRNA is considered a gene therapy product by the FDA. Unlike certain gene therapies that irreversibly alter cell DNA and may cause certain side effects, mRNA-based medicines are designed not to irreversibly change cell DNA. Side effects observed in other gene therapies, however, could negatively impact the perception of immunotherapies despite the differences in mechanism. In addition, because no mRNA-based product has been approved, the regulatory pathway in the United States and may other jurisdictions for approval is uncertain. The pathway for an individualized therapy, such as our iNeST mRNA-based immunotherapy where each patient receives a different combination of mRNAs, remains particularly unsettled. The number and design of the clinical and preclinical studies required for the approval of these types of medicines have not been established, may be different from those required for gene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142"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b w:val="1"/>
          <w:bCs w:val="1"/>
          <w:i w:val="1"/>
          <w:iCs w:val="1"/>
          <w:color w:val="auto"/>
        </w:rPr>
        <w:t xml:space="preserve">Our </w:t>
      </w:r>
      <w:r>
        <w:rPr>
          <w:rFonts w:ascii="Arial" w:cs="Arial" w:eastAsia="Arial" w:hAnsi="Arial"/>
          <w:sz w:val="13"/>
          <w:szCs w:val="13"/>
          <w:b w:val="1"/>
          <w:bCs w:val="1"/>
          <w:i w:val="1"/>
          <w:iCs w:val="1"/>
          <w:color w:val="231F20"/>
        </w:rPr>
        <w:t>product candidates may not work as intended, may cause undesirable side effects or may have other properties that could delay or prevent their regulatory approval, limit the commercial</w:t>
      </w:r>
      <w:r>
        <w:rPr>
          <w:rFonts w:ascii="Arial" w:cs="Arial" w:eastAsia="Arial" w:hAnsi="Arial"/>
          <w:sz w:val="13"/>
          <w:szCs w:val="13"/>
          <w:b w:val="1"/>
          <w:bCs w:val="1"/>
          <w:i w:val="1"/>
          <w:iCs w:val="1"/>
          <w:color w:val="auto"/>
        </w:rPr>
        <w:t xml:space="preserve"> </w:t>
      </w:r>
      <w:r>
        <w:rPr>
          <w:rFonts w:ascii="Arial" w:cs="Arial" w:eastAsia="Arial" w:hAnsi="Arial"/>
          <w:sz w:val="13"/>
          <w:szCs w:val="13"/>
          <w:b w:val="1"/>
          <w:bCs w:val="1"/>
          <w:i w:val="1"/>
          <w:iCs w:val="1"/>
          <w:color w:val="231F20"/>
        </w:rPr>
        <w:t>profile of an approved label, or result in significant negative consequences following marketing approval, if any.</w:t>
      </w:r>
    </w:p>
    <w:p>
      <w:pPr>
        <w:spacing w:after="0" w:line="42" w:lineRule="exact"/>
        <w:rPr>
          <w:sz w:val="20"/>
          <w:szCs w:val="20"/>
          <w:color w:val="auto"/>
        </w:rPr>
      </w:pPr>
    </w:p>
    <w:p>
      <w:pPr>
        <w:ind w:right="40" w:firstLine="556"/>
        <w:spacing w:after="0" w:line="264" w:lineRule="auto"/>
        <w:rPr>
          <w:sz w:val="20"/>
          <w:szCs w:val="20"/>
          <w:color w:val="auto"/>
        </w:rPr>
      </w:pPr>
      <w:r>
        <w:rPr>
          <w:rFonts w:ascii="Arial" w:cs="Arial" w:eastAsia="Arial" w:hAnsi="Arial"/>
          <w:sz w:val="13"/>
          <w:szCs w:val="13"/>
          <w:color w:val="231F20"/>
        </w:rPr>
        <w:t xml:space="preserve">As with most biological products, use of our product candidates could be associated with side effects or adverse events which can vary in severity from minor reactions to death and in frequency from infrequent to prevalent. The potential for adverse events is especially acute in the oncology setting, where patients may have advanced disease, have </w:t>
      </w:r>
      <w:r>
        <w:rPr>
          <w:rFonts w:ascii="Arial" w:cs="Arial" w:eastAsia="Arial" w:hAnsi="Arial"/>
          <w:sz w:val="13"/>
          <w:szCs w:val="13"/>
          <w:color w:val="000000"/>
        </w:rPr>
        <w:t>compromised</w:t>
      </w:r>
      <w:r>
        <w:rPr>
          <w:rFonts w:ascii="Arial" w:cs="Arial" w:eastAsia="Arial" w:hAnsi="Arial"/>
          <w:sz w:val="13"/>
          <w:szCs w:val="13"/>
          <w:color w:val="231F20"/>
        </w:rPr>
        <w:t xml:space="preserve"> immune and other systems and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138" w:lineRule="exact"/>
        <w:rPr>
          <w:sz w:val="20"/>
          <w:szCs w:val="20"/>
          <w:color w:val="auto"/>
        </w:rPr>
      </w:pPr>
    </w:p>
    <w:p>
      <w:pPr>
        <w:ind w:right="20" w:firstLine="556"/>
        <w:spacing w:after="0" w:line="261" w:lineRule="auto"/>
        <w:rPr>
          <w:sz w:val="20"/>
          <w:szCs w:val="20"/>
          <w:color w:val="auto"/>
        </w:rPr>
      </w:pPr>
      <w:r>
        <w:rPr>
          <w:rFonts w:ascii="Arial" w:cs="Arial" w:eastAsia="Arial" w:hAnsi="Arial"/>
          <w:sz w:val="13"/>
          <w:szCs w:val="13"/>
          <w:color w:val="231F20"/>
        </w:rPr>
        <w:t>If unacceptable side effects arise in the development of our product candidates, we, the FDA, competent authorities of European Union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18" w:name="page19"/>
    <w:bookmarkEnd w:id="18"/>
    <w:p>
      <w:pPr>
        <w:ind w:left="560"/>
        <w:spacing w:after="0"/>
        <w:rPr>
          <w:sz w:val="20"/>
          <w:szCs w:val="20"/>
          <w:color w:val="auto"/>
        </w:rPr>
      </w:pPr>
      <w:r>
        <w:rPr>
          <w:rFonts w:ascii="Arial" w:cs="Arial" w:eastAsia="Arial" w:hAnsi="Arial"/>
          <w:sz w:val="11"/>
          <w:szCs w:val="11"/>
          <w:b w:val="1"/>
          <w:bCs w:val="1"/>
          <w:i w:val="1"/>
          <w:iCs w:val="1"/>
          <w:color w:val="231F20"/>
        </w:rPr>
        <w:t>Monitoring the safety of patients receiving our product candidates is challenging, which could adversely affect our ability to obtain regulatory approval and commercialize our product candidates.</w:t>
      </w:r>
    </w:p>
    <w:p>
      <w:pPr>
        <w:spacing w:after="0" w:line="113"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231F20"/>
        </w:rPr>
        <w:t>In our ongoing and planned clinical trials, we have contracted with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EMA or other comparable regulatory authority delaying, suspending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 may have a detrimental impact on the efficacy of the treatment. Use of these medicines may increase with new physicians and centers administering our product candidates.</w:t>
      </w:r>
    </w:p>
    <w:p>
      <w:pPr>
        <w:spacing w:after="0" w:line="126" w:lineRule="exact"/>
        <w:rPr>
          <w:sz w:val="20"/>
          <w:szCs w:val="20"/>
          <w:color w:val="auto"/>
        </w:rPr>
      </w:pPr>
    </w:p>
    <w:p>
      <w:pPr>
        <w:jc w:val="both"/>
        <w:ind w:right="400" w:firstLine="556"/>
        <w:spacing w:after="0" w:line="304" w:lineRule="auto"/>
        <w:rPr>
          <w:sz w:val="20"/>
          <w:szCs w:val="20"/>
          <w:color w:val="auto"/>
        </w:rPr>
      </w:pPr>
      <w:r>
        <w:rPr>
          <w:rFonts w:ascii="Arial" w:cs="Arial" w:eastAsia="Arial" w:hAnsi="Arial"/>
          <w:sz w:val="12"/>
          <w:szCs w:val="12"/>
          <w:color w:val="231F20"/>
        </w:rPr>
        <w:t>In addition, even if we successfully advance one of our product candidates into and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 and safety consequences of taking our product candidates over a multi-year period.</w:t>
      </w:r>
    </w:p>
    <w:p>
      <w:pPr>
        <w:spacing w:after="0" w:line="116"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color w:val="231F20"/>
        </w:rPr>
        <w:t>If any of our product candidates receives marketing approval and we or others later identify undesirable side effects caused by such products, a number of potentially significant negative consequences could result, including:</w:t>
      </w:r>
    </w:p>
    <w:p>
      <w:pPr>
        <w:spacing w:after="0" w:line="42" w:lineRule="exact"/>
        <w:rPr>
          <w:sz w:val="20"/>
          <w:szCs w:val="20"/>
          <w:color w:val="auto"/>
        </w:rPr>
      </w:pPr>
    </w:p>
    <w:p>
      <w:pPr>
        <w:ind w:left="1020" w:hanging="340"/>
        <w:spacing w:after="0"/>
        <w:tabs>
          <w:tab w:leader="none" w:pos="1020" w:val="left"/>
        </w:tabs>
        <w:numPr>
          <w:ilvl w:val="0"/>
          <w:numId w:val="19"/>
        </w:numPr>
        <w:rPr>
          <w:rFonts w:ascii="Arial" w:cs="Arial" w:eastAsia="Arial" w:hAnsi="Arial"/>
          <w:sz w:val="13"/>
          <w:szCs w:val="13"/>
          <w:color w:val="231F20"/>
        </w:rPr>
      </w:pPr>
      <w:r>
        <w:rPr>
          <w:rFonts w:ascii="Arial" w:cs="Arial" w:eastAsia="Arial" w:hAnsi="Arial"/>
          <w:sz w:val="13"/>
          <w:szCs w:val="13"/>
          <w:color w:val="231F20"/>
        </w:rPr>
        <w:t>regulatory authorities may withdraw their approval of the product;</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9"/>
        </w:numPr>
        <w:rPr>
          <w:rFonts w:ascii="Arial" w:cs="Arial" w:eastAsia="Arial" w:hAnsi="Arial"/>
          <w:sz w:val="13"/>
          <w:szCs w:val="13"/>
          <w:color w:val="231F20"/>
        </w:rPr>
      </w:pPr>
      <w:r>
        <w:rPr>
          <w:rFonts w:ascii="Arial" w:cs="Arial" w:eastAsia="Arial" w:hAnsi="Arial"/>
          <w:sz w:val="13"/>
          <w:szCs w:val="13"/>
          <w:color w:val="231F20"/>
        </w:rPr>
        <w:t>we may be required to recall a product or change the way such product is administered to patients;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9"/>
        </w:numPr>
        <w:rPr>
          <w:rFonts w:ascii="Arial" w:cs="Arial" w:eastAsia="Arial" w:hAnsi="Arial"/>
          <w:sz w:val="13"/>
          <w:szCs w:val="13"/>
          <w:color w:val="231F20"/>
        </w:rPr>
      </w:pPr>
      <w:r>
        <w:rPr>
          <w:rFonts w:ascii="Arial" w:cs="Arial" w:eastAsia="Arial" w:hAnsi="Arial"/>
          <w:sz w:val="13"/>
          <w:szCs w:val="13"/>
          <w:color w:val="231F20"/>
        </w:rPr>
        <w:t>additional restrictions may be imposed on the marketing of the particular product or the manufacturing processes for the product or any component thereof;</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9"/>
        </w:numPr>
        <w:rPr>
          <w:rFonts w:ascii="Arial" w:cs="Arial" w:eastAsia="Arial" w:hAnsi="Arial"/>
          <w:sz w:val="13"/>
          <w:szCs w:val="13"/>
          <w:color w:val="231F20"/>
        </w:rPr>
      </w:pPr>
      <w:r>
        <w:rPr>
          <w:rFonts w:ascii="Arial" w:cs="Arial" w:eastAsia="Arial" w:hAnsi="Arial"/>
          <w:sz w:val="13"/>
          <w:szCs w:val="13"/>
          <w:color w:val="231F20"/>
        </w:rPr>
        <w:t>regulatory authorities may require the addition of labeling statements, such as a “black box” warning or a contraindication;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9"/>
        </w:numPr>
        <w:rPr>
          <w:rFonts w:ascii="Arial" w:cs="Arial" w:eastAsia="Arial" w:hAnsi="Arial"/>
          <w:sz w:val="12"/>
          <w:szCs w:val="12"/>
          <w:color w:val="231F20"/>
        </w:rPr>
      </w:pPr>
      <w:r>
        <w:rPr>
          <w:rFonts w:ascii="Arial" w:cs="Arial" w:eastAsia="Arial" w:hAnsi="Arial"/>
          <w:sz w:val="12"/>
          <w:szCs w:val="12"/>
          <w:color w:val="231F20"/>
        </w:rPr>
        <w:t>we may be required to implement a Risk Evaluation and Mitigation Strategy, or REMS, or create a Medication Guide outlining the risks of such side effects for distribution to patients;</w:t>
      </w:r>
    </w:p>
    <w:p>
      <w:pPr>
        <w:spacing w:after="0" w:line="101" w:lineRule="exact"/>
        <w:rPr>
          <w:rFonts w:ascii="Arial" w:cs="Arial" w:eastAsia="Arial" w:hAnsi="Arial"/>
          <w:sz w:val="12"/>
          <w:szCs w:val="12"/>
          <w:color w:val="231F20"/>
        </w:rPr>
      </w:pPr>
    </w:p>
    <w:p>
      <w:pPr>
        <w:ind w:left="1020" w:hanging="340"/>
        <w:spacing w:after="0"/>
        <w:tabs>
          <w:tab w:leader="none" w:pos="1020" w:val="left"/>
        </w:tabs>
        <w:numPr>
          <w:ilvl w:val="0"/>
          <w:numId w:val="19"/>
        </w:numPr>
        <w:rPr>
          <w:rFonts w:ascii="Arial" w:cs="Arial" w:eastAsia="Arial" w:hAnsi="Arial"/>
          <w:sz w:val="13"/>
          <w:szCs w:val="13"/>
          <w:color w:val="231F20"/>
        </w:rPr>
      </w:pPr>
      <w:r>
        <w:rPr>
          <w:rFonts w:ascii="Arial" w:cs="Arial" w:eastAsia="Arial" w:hAnsi="Arial"/>
          <w:sz w:val="13"/>
          <w:szCs w:val="13"/>
          <w:color w:val="231F20"/>
        </w:rPr>
        <w:t>we could be sued and held liable for harm caused to patients;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9"/>
        </w:numPr>
        <w:rPr>
          <w:rFonts w:ascii="Arial" w:cs="Arial" w:eastAsia="Arial" w:hAnsi="Arial"/>
          <w:sz w:val="13"/>
          <w:szCs w:val="13"/>
          <w:color w:val="231F20"/>
        </w:rPr>
      </w:pPr>
      <w:r>
        <w:rPr>
          <w:rFonts w:ascii="Arial" w:cs="Arial" w:eastAsia="Arial" w:hAnsi="Arial"/>
          <w:sz w:val="13"/>
          <w:szCs w:val="13"/>
          <w:color w:val="231F20"/>
        </w:rPr>
        <w:t>the product may become less competitive;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19"/>
        </w:numPr>
        <w:rPr>
          <w:rFonts w:ascii="Arial" w:cs="Arial" w:eastAsia="Arial" w:hAnsi="Arial"/>
          <w:sz w:val="13"/>
          <w:szCs w:val="13"/>
          <w:color w:val="231F20"/>
        </w:rPr>
      </w:pPr>
      <w:r>
        <w:rPr>
          <w:rFonts w:ascii="Arial" w:cs="Arial" w:eastAsia="Arial" w:hAnsi="Arial"/>
          <w:sz w:val="13"/>
          <w:szCs w:val="13"/>
          <w:color w:val="231F20"/>
        </w:rPr>
        <w:t>our reputation may suffer.</w:t>
      </w:r>
    </w:p>
    <w:p>
      <w:pPr>
        <w:spacing w:after="0" w:line="170" w:lineRule="exact"/>
        <w:rPr>
          <w:sz w:val="20"/>
          <w:szCs w:val="20"/>
          <w:color w:val="auto"/>
        </w:rPr>
      </w:pPr>
    </w:p>
    <w:p>
      <w:pPr>
        <w:ind w:right="340" w:firstLine="556"/>
        <w:spacing w:after="0" w:line="304" w:lineRule="auto"/>
        <w:rPr>
          <w:sz w:val="20"/>
          <w:szCs w:val="20"/>
          <w:color w:val="auto"/>
        </w:rPr>
      </w:pPr>
      <w:r>
        <w:rPr>
          <w:rFonts w:ascii="Arial" w:cs="Arial" w:eastAsia="Arial" w:hAnsi="Arial"/>
          <w:sz w:val="12"/>
          <w:szCs w:val="12"/>
          <w:color w:val="231F20"/>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116" w:lineRule="exact"/>
        <w:rPr>
          <w:sz w:val="20"/>
          <w:szCs w:val="20"/>
          <w:color w:val="auto"/>
        </w:rPr>
      </w:pPr>
    </w:p>
    <w:p>
      <w:pPr>
        <w:ind w:right="480" w:firstLine="556"/>
        <w:spacing w:after="0" w:line="287" w:lineRule="auto"/>
        <w:rPr>
          <w:sz w:val="20"/>
          <w:szCs w:val="20"/>
          <w:color w:val="auto"/>
        </w:rPr>
      </w:pPr>
      <w:r>
        <w:rPr>
          <w:rFonts w:ascii="Arial" w:cs="Arial" w:eastAsia="Arial" w:hAnsi="Arial"/>
          <w:sz w:val="13"/>
          <w:szCs w:val="13"/>
          <w:b w:val="1"/>
          <w:bCs w:val="1"/>
          <w:i w:val="1"/>
          <w:iCs w:val="1"/>
          <w:color w:val="231F20"/>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42" w:lineRule="exact"/>
        <w:rPr>
          <w:sz w:val="20"/>
          <w:szCs w:val="20"/>
          <w:color w:val="auto"/>
        </w:rPr>
      </w:pPr>
    </w:p>
    <w:p>
      <w:pPr>
        <w:ind w:right="20" w:firstLine="556"/>
        <w:spacing w:after="0" w:line="263" w:lineRule="auto"/>
        <w:rPr>
          <w:sz w:val="20"/>
          <w:szCs w:val="20"/>
          <w:color w:val="auto"/>
        </w:rPr>
      </w:pPr>
      <w:r>
        <w:rPr>
          <w:rFonts w:ascii="Arial" w:cs="Arial" w:eastAsia="Arial" w:hAnsi="Arial"/>
          <w:sz w:val="13"/>
          <w:szCs w:val="13"/>
          <w:color w:val="231F20"/>
        </w:rPr>
        <w:t xml:space="preserve">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w:t>
      </w:r>
      <w:r>
        <w:rPr>
          <w:rFonts w:ascii="Arial" w:cs="Arial" w:eastAsia="Arial" w:hAnsi="Arial"/>
          <w:sz w:val="13"/>
          <w:szCs w:val="13"/>
          <w:color w:val="000000"/>
        </w:rPr>
        <w:t>applications</w:t>
      </w:r>
      <w:r>
        <w:rPr>
          <w:rFonts w:ascii="Arial" w:cs="Arial" w:eastAsia="Arial" w:hAnsi="Arial"/>
          <w:sz w:val="13"/>
          <w:szCs w:val="13"/>
          <w:color w:val="231F20"/>
        </w:rPr>
        <w:t>,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in the past and may in the future have difficulty identifying appropriate buffers and storage conditions to enable sufficient shelf life of batches of our preclinical or clinical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9" w:name="page20"/>
    <w:bookmarkEnd w:id="19"/>
    <w:p>
      <w:pPr>
        <w:spacing w:after="0" w:line="264" w:lineRule="auto"/>
        <w:rPr>
          <w:sz w:val="20"/>
          <w:szCs w:val="20"/>
          <w:color w:val="auto"/>
        </w:rPr>
      </w:pPr>
      <w:r>
        <w:rPr>
          <w:rFonts w:ascii="Arial" w:cs="Arial" w:eastAsia="Arial" w:hAnsi="Arial"/>
          <w:sz w:val="13"/>
          <w:szCs w:val="13"/>
          <w:color w:val="231F20"/>
        </w:rPr>
        <w:t>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38" w:lineRule="exact"/>
        <w:rPr>
          <w:sz w:val="20"/>
          <w:szCs w:val="20"/>
          <w:color w:val="auto"/>
        </w:rPr>
      </w:pPr>
    </w:p>
    <w:p>
      <w:pPr>
        <w:ind w:right="160" w:firstLine="556"/>
        <w:spacing w:after="0" w:line="272" w:lineRule="auto"/>
        <w:rPr>
          <w:sz w:val="20"/>
          <w:szCs w:val="20"/>
          <w:color w:val="auto"/>
        </w:rPr>
      </w:pPr>
      <w:r>
        <w:rPr>
          <w:rFonts w:ascii="Arial" w:cs="Arial" w:eastAsia="Arial" w:hAnsi="Arial"/>
          <w:sz w:val="13"/>
          <w:szCs w:val="13"/>
          <w:b w:val="1"/>
          <w:bCs w:val="1"/>
          <w:i w:val="1"/>
          <w:iCs w:val="1"/>
          <w:color w:val="231F20"/>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52" w:lineRule="exact"/>
        <w:rPr>
          <w:sz w:val="20"/>
          <w:szCs w:val="20"/>
          <w:color w:val="auto"/>
        </w:rPr>
      </w:pPr>
    </w:p>
    <w:p>
      <w:pPr>
        <w:ind w:right="180" w:firstLine="556"/>
        <w:spacing w:after="0" w:line="272" w:lineRule="auto"/>
        <w:rPr>
          <w:sz w:val="20"/>
          <w:szCs w:val="20"/>
          <w:color w:val="auto"/>
        </w:rPr>
      </w:pPr>
      <w:r>
        <w:rPr>
          <w:rFonts w:ascii="Arial" w:cs="Arial" w:eastAsia="Arial" w:hAnsi="Arial"/>
          <w:sz w:val="13"/>
          <w:szCs w:val="13"/>
          <w:color w:val="231F20"/>
        </w:rPr>
        <w:t xml:space="preserve">Clinical testing is expensive and complex and can take many years to complete. Its outcome is inherently uncertain. We may not be able to initiate, may experience delays in, or may have to discontinue clinical trials for our product </w:t>
      </w:r>
      <w:r>
        <w:rPr>
          <w:rFonts w:ascii="Arial" w:cs="Arial" w:eastAsia="Arial" w:hAnsi="Arial"/>
          <w:sz w:val="13"/>
          <w:szCs w:val="13"/>
          <w:color w:val="000000"/>
        </w:rPr>
        <w:t>candidates</w:t>
      </w:r>
      <w:r>
        <w:rPr>
          <w:rFonts w:ascii="Arial" w:cs="Arial" w:eastAsia="Arial" w:hAnsi="Arial"/>
          <w:sz w:val="13"/>
          <w:szCs w:val="13"/>
          <w:color w:val="231F20"/>
        </w:rPr>
        <w:t>.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52" w:lineRule="exact"/>
        <w:rPr>
          <w:sz w:val="20"/>
          <w:szCs w:val="20"/>
          <w:color w:val="auto"/>
        </w:rPr>
      </w:pPr>
    </w:p>
    <w:p>
      <w:pPr>
        <w:ind w:left="1020" w:right="100" w:hanging="340"/>
        <w:spacing w:after="0" w:line="287"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42" w:lineRule="exact"/>
        <w:rPr>
          <w:rFonts w:ascii="Arial" w:cs="Arial" w:eastAsia="Arial" w:hAnsi="Arial"/>
          <w:sz w:val="13"/>
          <w:szCs w:val="13"/>
          <w:color w:val="231F20"/>
        </w:rPr>
      </w:pPr>
    </w:p>
    <w:p>
      <w:pPr>
        <w:ind w:left="1020" w:right="500" w:hanging="340"/>
        <w:spacing w:after="0" w:line="287"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42" w:lineRule="exact"/>
        <w:rPr>
          <w:rFonts w:ascii="Arial" w:cs="Arial" w:eastAsia="Arial" w:hAnsi="Arial"/>
          <w:sz w:val="13"/>
          <w:szCs w:val="13"/>
          <w:color w:val="231F20"/>
        </w:rPr>
      </w:pPr>
    </w:p>
    <w:p>
      <w:pPr>
        <w:ind w:left="1020" w:right="60" w:hanging="340"/>
        <w:spacing w:after="0" w:line="272"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we have optimized in the past and may in the future optimize our manufacturing processes, including through changes to the scale and site 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51" w:lineRule="exact"/>
        <w:rPr>
          <w:rFonts w:ascii="Arial" w:cs="Arial" w:eastAsia="Arial" w:hAnsi="Arial"/>
          <w:sz w:val="13"/>
          <w:szCs w:val="13"/>
          <w:color w:val="231F20"/>
        </w:rPr>
      </w:pPr>
    </w:p>
    <w:p>
      <w:pPr>
        <w:ind w:left="1020" w:hanging="340"/>
        <w:spacing w:after="0" w:line="287"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the outcome of our preclinical studies and our early clinical trials may not be predictive of the success of later clinical trials, and interim results of a clinical trial do not necessarily predict final results;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we may be unable to establish clinical endpoints that applicable regulatory authorities would consider clinically meaningful;</w:t>
      </w:r>
    </w:p>
    <w:p>
      <w:pPr>
        <w:spacing w:after="0" w:line="90" w:lineRule="exact"/>
        <w:rPr>
          <w:rFonts w:ascii="Arial" w:cs="Arial" w:eastAsia="Arial" w:hAnsi="Arial"/>
          <w:sz w:val="13"/>
          <w:szCs w:val="13"/>
          <w:color w:val="231F20"/>
        </w:rPr>
      </w:pPr>
    </w:p>
    <w:p>
      <w:pPr>
        <w:ind w:left="1020" w:right="220" w:hanging="340"/>
        <w:spacing w:after="0" w:line="287"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spacing w:after="0" w:line="42" w:lineRule="exact"/>
        <w:rPr>
          <w:rFonts w:ascii="Arial" w:cs="Arial" w:eastAsia="Arial" w:hAnsi="Arial"/>
          <w:sz w:val="13"/>
          <w:szCs w:val="13"/>
          <w:color w:val="231F20"/>
        </w:rPr>
      </w:pPr>
    </w:p>
    <w:p>
      <w:pPr>
        <w:ind w:left="1020" w:right="340" w:hanging="340"/>
        <w:spacing w:after="0" w:line="287"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differences in trial design between early-stage clinical trials and later-stage clinical trials may make it difficult to extrapolate the results of earlier clinical trials to later clinical trials;</w:t>
      </w:r>
    </w:p>
    <w:p>
      <w:pPr>
        <w:spacing w:after="0" w:line="90" w:lineRule="exact"/>
        <w:rPr>
          <w:rFonts w:ascii="Arial" w:cs="Arial" w:eastAsia="Arial" w:hAnsi="Arial"/>
          <w:sz w:val="13"/>
          <w:szCs w:val="13"/>
          <w:color w:val="231F20"/>
        </w:rPr>
      </w:pPr>
    </w:p>
    <w:p>
      <w:pPr>
        <w:ind w:left="1020" w:right="340" w:hanging="340"/>
        <w:spacing w:after="0" w:line="287"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42" w:lineRule="exact"/>
        <w:rPr>
          <w:rFonts w:ascii="Arial" w:cs="Arial" w:eastAsia="Arial" w:hAnsi="Arial"/>
          <w:sz w:val="13"/>
          <w:szCs w:val="13"/>
          <w:color w:val="231F20"/>
        </w:rPr>
      </w:pPr>
    </w:p>
    <w:p>
      <w:pPr>
        <w:ind w:left="1020" w:hanging="340"/>
        <w:spacing w:after="0" w:line="272"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our product candidates may have undesirable side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51" w:lineRule="exact"/>
        <w:rPr>
          <w:rFonts w:ascii="Arial" w:cs="Arial" w:eastAsia="Arial" w:hAnsi="Arial"/>
          <w:sz w:val="13"/>
          <w:szCs w:val="13"/>
          <w:color w:val="231F20"/>
        </w:rPr>
      </w:pPr>
    </w:p>
    <w:p>
      <w:pPr>
        <w:ind w:left="1020" w:right="560" w:hanging="340"/>
        <w:spacing w:after="0" w:line="287" w:lineRule="auto"/>
        <w:tabs>
          <w:tab w:leader="none" w:pos="1020" w:val="left"/>
        </w:tabs>
        <w:numPr>
          <w:ilvl w:val="0"/>
          <w:numId w:val="20"/>
        </w:numPr>
        <w:rPr>
          <w:rFonts w:ascii="Arial" w:cs="Arial" w:eastAsia="Arial" w:hAnsi="Arial"/>
          <w:sz w:val="13"/>
          <w:szCs w:val="13"/>
          <w:color w:val="231F20"/>
        </w:rPr>
      </w:pPr>
      <w:r>
        <w:rPr>
          <w:rFonts w:ascii="Arial" w:cs="Arial" w:eastAsia="Arial" w:hAnsi="Arial"/>
          <w:sz w:val="13"/>
          <w:szCs w:val="13"/>
          <w:color w:val="231F20"/>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20" w:name="page21"/>
    <w:bookmarkEnd w:id="20"/>
    <w:p>
      <w:pPr>
        <w:ind w:left="1020"/>
        <w:spacing w:after="0"/>
        <w:rPr>
          <w:sz w:val="20"/>
          <w:szCs w:val="20"/>
          <w:color w:val="auto"/>
        </w:rPr>
      </w:pPr>
      <w:r>
        <w:rPr>
          <w:rFonts w:ascii="Arial" w:cs="Arial" w:eastAsia="Arial" w:hAnsi="Arial"/>
          <w:sz w:val="13"/>
          <w:szCs w:val="13"/>
          <w:color w:val="231F20"/>
        </w:rPr>
        <w:t>trials or other reasons, or participants may withdraw from clinical trials or fail to return for post-treatment follow-up at a higher rate than we anticipate;</w:t>
      </w:r>
    </w:p>
    <w:p>
      <w:pPr>
        <w:spacing w:after="0" w:line="90" w:lineRule="exact"/>
        <w:rPr>
          <w:sz w:val="20"/>
          <w:szCs w:val="20"/>
          <w:color w:val="auto"/>
        </w:rPr>
      </w:pPr>
    </w:p>
    <w:p>
      <w:pPr>
        <w:ind w:left="1020" w:right="420" w:hanging="340"/>
        <w:spacing w:after="0" w:line="287" w:lineRule="auto"/>
        <w:tabs>
          <w:tab w:leader="none" w:pos="1020" w:val="left"/>
        </w:tabs>
        <w:numPr>
          <w:ilvl w:val="0"/>
          <w:numId w:val="21"/>
        </w:numPr>
        <w:rPr>
          <w:rFonts w:ascii="Arial" w:cs="Arial" w:eastAsia="Arial" w:hAnsi="Arial"/>
          <w:sz w:val="13"/>
          <w:szCs w:val="13"/>
          <w:color w:val="231F20"/>
        </w:rPr>
      </w:pPr>
      <w:r>
        <w:rPr>
          <w:rFonts w:ascii="Arial" w:cs="Arial" w:eastAsia="Arial" w:hAnsi="Arial"/>
          <w:sz w:val="13"/>
          <w:szCs w:val="13"/>
          <w:color w:val="231F20"/>
        </w:rPr>
        <w:t>our third-party contractors may fail to comply with regulatory requirements or meet their contractual obligations to us in a timely manner, or at all, or may deviate from the clinical trial protocol or withdraw from the trial, which may require that we add new clinical trial sites;</w:t>
      </w:r>
    </w:p>
    <w:p>
      <w:pPr>
        <w:spacing w:after="0" w:line="42" w:lineRule="exact"/>
        <w:rPr>
          <w:rFonts w:ascii="Arial" w:cs="Arial" w:eastAsia="Arial" w:hAnsi="Arial"/>
          <w:sz w:val="13"/>
          <w:szCs w:val="13"/>
          <w:color w:val="231F20"/>
        </w:rPr>
      </w:pPr>
    </w:p>
    <w:p>
      <w:pPr>
        <w:ind w:left="1020" w:right="200" w:hanging="340"/>
        <w:spacing w:after="0" w:line="287" w:lineRule="auto"/>
        <w:tabs>
          <w:tab w:leader="none" w:pos="1020" w:val="left"/>
        </w:tabs>
        <w:numPr>
          <w:ilvl w:val="0"/>
          <w:numId w:val="21"/>
        </w:numPr>
        <w:rPr>
          <w:rFonts w:ascii="Arial" w:cs="Arial" w:eastAsia="Arial" w:hAnsi="Arial"/>
          <w:sz w:val="13"/>
          <w:szCs w:val="13"/>
          <w:color w:val="231F20"/>
        </w:rPr>
      </w:pPr>
      <w:r>
        <w:rPr>
          <w:rFonts w:ascii="Arial" w:cs="Arial" w:eastAsia="Arial" w:hAnsi="Arial"/>
          <w:sz w:val="13"/>
          <w:szCs w:val="13"/>
          <w:color w:val="231F20"/>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1"/>
        </w:numPr>
        <w:rPr>
          <w:rFonts w:ascii="Arial" w:cs="Arial" w:eastAsia="Arial" w:hAnsi="Arial"/>
          <w:sz w:val="13"/>
          <w:szCs w:val="13"/>
          <w:color w:val="231F20"/>
        </w:rPr>
      </w:pPr>
      <w:r>
        <w:rPr>
          <w:rFonts w:ascii="Arial" w:cs="Arial" w:eastAsia="Arial" w:hAnsi="Arial"/>
          <w:sz w:val="13"/>
          <w:szCs w:val="13"/>
          <w:color w:val="231F20"/>
        </w:rPr>
        <w:t>the cost of preclinical or nonclinical testing and studies and clinical trials of any product candidates may be greater than we anticipate;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1"/>
        </w:numPr>
        <w:rPr>
          <w:rFonts w:ascii="Arial" w:cs="Arial" w:eastAsia="Arial" w:hAnsi="Arial"/>
          <w:sz w:val="13"/>
          <w:szCs w:val="13"/>
          <w:color w:val="231F20"/>
        </w:rPr>
      </w:pPr>
      <w:r>
        <w:rPr>
          <w:rFonts w:ascii="Arial" w:cs="Arial" w:eastAsia="Arial" w:hAnsi="Arial"/>
          <w:sz w:val="13"/>
          <w:szCs w:val="13"/>
          <w:color w:val="231F20"/>
        </w:rPr>
        <w:t>the supply or quality of our product candidates or other materials necessary to conduct clinical trials may be insufficient or inadequate;</w:t>
      </w:r>
    </w:p>
    <w:p>
      <w:pPr>
        <w:spacing w:after="0" w:line="90" w:lineRule="exact"/>
        <w:rPr>
          <w:rFonts w:ascii="Arial" w:cs="Arial" w:eastAsia="Arial" w:hAnsi="Arial"/>
          <w:sz w:val="13"/>
          <w:szCs w:val="13"/>
          <w:color w:val="231F20"/>
        </w:rPr>
      </w:pPr>
    </w:p>
    <w:p>
      <w:pPr>
        <w:ind w:left="1020" w:hanging="340"/>
        <w:spacing w:after="0" w:line="287" w:lineRule="auto"/>
        <w:tabs>
          <w:tab w:leader="none" w:pos="1020" w:val="left"/>
        </w:tabs>
        <w:numPr>
          <w:ilvl w:val="0"/>
          <w:numId w:val="21"/>
        </w:numPr>
        <w:rPr>
          <w:rFonts w:ascii="Arial" w:cs="Arial" w:eastAsia="Arial" w:hAnsi="Arial"/>
          <w:sz w:val="13"/>
          <w:szCs w:val="13"/>
          <w:color w:val="231F20"/>
        </w:rPr>
      </w:pPr>
      <w:r>
        <w:rPr>
          <w:rFonts w:ascii="Arial" w:cs="Arial" w:eastAsia="Arial" w:hAnsi="Arial"/>
          <w:sz w:val="13"/>
          <w:szCs w:val="13"/>
          <w:color w:val="231F20"/>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42" w:lineRule="exact"/>
        <w:rPr>
          <w:rFonts w:ascii="Arial" w:cs="Arial" w:eastAsia="Arial" w:hAnsi="Arial"/>
          <w:sz w:val="13"/>
          <w:szCs w:val="13"/>
          <w:color w:val="231F20"/>
        </w:rPr>
      </w:pPr>
    </w:p>
    <w:p>
      <w:pPr>
        <w:ind w:left="1020" w:right="140" w:hanging="340"/>
        <w:spacing w:after="0" w:line="287" w:lineRule="auto"/>
        <w:tabs>
          <w:tab w:leader="none" w:pos="1020" w:val="left"/>
        </w:tabs>
        <w:numPr>
          <w:ilvl w:val="0"/>
          <w:numId w:val="21"/>
        </w:numPr>
        <w:rPr>
          <w:rFonts w:ascii="Arial" w:cs="Arial" w:eastAsia="Arial" w:hAnsi="Arial"/>
          <w:sz w:val="13"/>
          <w:szCs w:val="13"/>
          <w:color w:val="231F20"/>
        </w:rPr>
      </w:pPr>
      <w:r>
        <w:rPr>
          <w:rFonts w:ascii="Arial" w:cs="Arial" w:eastAsia="Arial" w:hAnsi="Arial"/>
          <w:sz w:val="13"/>
          <w:szCs w:val="13"/>
          <w:color w:val="231F20"/>
        </w:rPr>
        <w:t>the FDA or other regulatory authorities may require us to submit additional data, such as long-term toxicology studies, or impose other requirements before permitting us to initiate a clinical trial.</w:t>
      </w:r>
    </w:p>
    <w:p>
      <w:pPr>
        <w:spacing w:after="0" w:line="122" w:lineRule="exact"/>
        <w:rPr>
          <w:sz w:val="20"/>
          <w:szCs w:val="20"/>
          <w:color w:val="auto"/>
        </w:rPr>
      </w:pPr>
    </w:p>
    <w:p>
      <w:pPr>
        <w:ind w:right="20" w:firstLine="556"/>
        <w:spacing w:after="0" w:line="284" w:lineRule="auto"/>
        <w:rPr>
          <w:sz w:val="20"/>
          <w:szCs w:val="20"/>
          <w:color w:val="auto"/>
        </w:rPr>
      </w:pPr>
      <w:r>
        <w:rPr>
          <w:rFonts w:ascii="Arial" w:cs="Arial" w:eastAsia="Arial" w:hAnsi="Arial"/>
          <w:sz w:val="12"/>
          <w:szCs w:val="12"/>
          <w:color w:val="231F20"/>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130" w:lineRule="exact"/>
        <w:rPr>
          <w:sz w:val="20"/>
          <w:szCs w:val="20"/>
          <w:color w:val="auto"/>
        </w:rPr>
      </w:pPr>
    </w:p>
    <w:p>
      <w:pPr>
        <w:ind w:right="120" w:firstLine="556"/>
        <w:spacing w:after="0" w:line="264" w:lineRule="auto"/>
        <w:rPr>
          <w:sz w:val="20"/>
          <w:szCs w:val="20"/>
          <w:color w:val="auto"/>
        </w:rPr>
      </w:pPr>
      <w:r>
        <w:rPr>
          <w:rFonts w:ascii="Arial" w:cs="Arial" w:eastAsia="Arial" w:hAnsi="Arial"/>
          <w:sz w:val="13"/>
          <w:szCs w:val="13"/>
          <w:color w:val="231F20"/>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138" w:lineRule="exact"/>
        <w:rPr>
          <w:sz w:val="20"/>
          <w:szCs w:val="20"/>
          <w:color w:val="auto"/>
        </w:rPr>
      </w:pPr>
    </w:p>
    <w:p>
      <w:pPr>
        <w:ind w:right="160" w:firstLine="556"/>
        <w:spacing w:after="0" w:line="267" w:lineRule="auto"/>
        <w:rPr>
          <w:sz w:val="20"/>
          <w:szCs w:val="20"/>
          <w:color w:val="auto"/>
        </w:rPr>
      </w:pPr>
      <w:r>
        <w:rPr>
          <w:rFonts w:ascii="Arial" w:cs="Arial" w:eastAsia="Arial" w:hAnsi="Arial"/>
          <w:sz w:val="13"/>
          <w:szCs w:val="13"/>
          <w:color w:val="231F20"/>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135"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231F20"/>
        </w:rPr>
        <w:t>Significant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of our product candidates may harm our business, financial condition and prospects significantly.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1" w:name="page22"/>
    <w:bookmarkEnd w:id="21"/>
    <w:p>
      <w:pPr>
        <w:ind w:left="560"/>
        <w:spacing w:after="0"/>
        <w:rPr>
          <w:sz w:val="20"/>
          <w:szCs w:val="20"/>
          <w:color w:val="auto"/>
        </w:rPr>
      </w:pPr>
      <w:r>
        <w:rPr>
          <w:rFonts w:ascii="Arial" w:cs="Arial" w:eastAsia="Arial" w:hAnsi="Arial"/>
          <w:sz w:val="12"/>
          <w:szCs w:val="12"/>
          <w:b w:val="1"/>
          <w:bCs w:val="1"/>
          <w:i w:val="1"/>
          <w:iCs w:val="1"/>
          <w:color w:val="231F20"/>
        </w:rPr>
        <w:t>If we or our collaborators encounter difficulties enrolling participants in our clinical trials, our clinical development activities could be delayed or otherwise adversely affected.</w:t>
      </w:r>
    </w:p>
    <w:p>
      <w:pPr>
        <w:spacing w:after="0" w:line="102" w:lineRule="exact"/>
        <w:rPr>
          <w:sz w:val="20"/>
          <w:szCs w:val="20"/>
          <w:color w:val="auto"/>
        </w:rPr>
      </w:pPr>
    </w:p>
    <w:p>
      <w:pPr>
        <w:ind w:right="160" w:firstLine="556"/>
        <w:spacing w:after="0" w:line="261" w:lineRule="auto"/>
        <w:rPr>
          <w:sz w:val="20"/>
          <w:szCs w:val="20"/>
          <w:color w:val="auto"/>
        </w:rPr>
      </w:pPr>
      <w:r>
        <w:rPr>
          <w:rFonts w:ascii="Arial" w:cs="Arial" w:eastAsia="Arial" w:hAnsi="Arial"/>
          <w:sz w:val="13"/>
          <w:szCs w:val="13"/>
          <w:color w:val="231F20"/>
        </w:rPr>
        <w:t xml:space="preserve">We depend on enrollment of participants in our clinical trials for our product candidates. In the past, our collaborators have found, and we or our collaborators may in the future find, it difficult to enroll trial participants in our clinical studies, which </w:t>
      </w:r>
      <w:r>
        <w:rPr>
          <w:rFonts w:ascii="Arial" w:cs="Arial" w:eastAsia="Arial" w:hAnsi="Arial"/>
          <w:sz w:val="13"/>
          <w:szCs w:val="13"/>
          <w:color w:val="000000"/>
        </w:rPr>
        <w:t>could</w:t>
      </w:r>
      <w:r>
        <w:rPr>
          <w:rFonts w:ascii="Arial" w:cs="Arial" w:eastAsia="Arial" w:hAnsi="Arial"/>
          <w:sz w:val="13"/>
          <w:szCs w:val="13"/>
          <w:color w:val="231F20"/>
        </w:rPr>
        <w:t xml:space="preserve">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139"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231F20"/>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42" w:lineRule="exact"/>
        <w:rPr>
          <w:sz w:val="20"/>
          <w:szCs w:val="20"/>
          <w:color w:val="auto"/>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severity of the disease under investigation;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complexity and design of the study protocol;</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size of the patient population;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eligibility criteria for the study in question;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proximity and availability of clinical study sites for prospective trial participants;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availability of competing therapies and clinical trials, including between our own clinical trials;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efforts to facilitate timely enrollment in clinical trials;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patient referral practices of physicians;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ability to monitor trial participants adequately during and after treatment;</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ability to recruit clinical trial investigators with the appropriate competencies and experience;</w:t>
      </w:r>
    </w:p>
    <w:p>
      <w:pPr>
        <w:spacing w:after="0" w:line="90" w:lineRule="exact"/>
        <w:rPr>
          <w:rFonts w:ascii="Arial" w:cs="Arial" w:eastAsia="Arial" w:hAnsi="Arial"/>
          <w:sz w:val="13"/>
          <w:szCs w:val="13"/>
          <w:color w:val="231F20"/>
        </w:rPr>
      </w:pPr>
    </w:p>
    <w:p>
      <w:pPr>
        <w:ind w:left="1020" w:right="40" w:hanging="340"/>
        <w:spacing w:after="0" w:line="287" w:lineRule="auto"/>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our ability to obtain and maintain participant informed consent;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2"/>
        </w:numPr>
        <w:rPr>
          <w:rFonts w:ascii="Arial" w:cs="Arial" w:eastAsia="Arial" w:hAnsi="Arial"/>
          <w:sz w:val="13"/>
          <w:szCs w:val="13"/>
          <w:color w:val="231F20"/>
        </w:rPr>
      </w:pPr>
      <w:r>
        <w:rPr>
          <w:rFonts w:ascii="Arial" w:cs="Arial" w:eastAsia="Arial" w:hAnsi="Arial"/>
          <w:sz w:val="13"/>
          <w:szCs w:val="13"/>
          <w:color w:val="231F20"/>
        </w:rPr>
        <w:t>the risk that trial participants enrolled in clinical trials will not complete a clinical trial.</w:t>
      </w:r>
    </w:p>
    <w:p>
      <w:pPr>
        <w:spacing w:after="0" w:line="170"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231F20"/>
        </w:rPr>
        <w:t>In addition, our clinical trials will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departure from more traditional methods for disease treatment and prevention, potential trial participants and their doctors may be inclined to use conventional therapies or other new therapies rather than enroll trial participants in any future clinical trial involving individualized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2" w:name="page23"/>
    <w:bookmarkEnd w:id="22"/>
    <w:p>
      <w:pPr>
        <w:ind w:right="80" w:firstLine="556"/>
        <w:spacing w:after="0" w:line="272" w:lineRule="auto"/>
        <w:rPr>
          <w:sz w:val="20"/>
          <w:szCs w:val="20"/>
          <w:color w:val="auto"/>
        </w:rPr>
      </w:pPr>
      <w:r>
        <w:rPr>
          <w:rFonts w:ascii="Arial" w:cs="Arial" w:eastAsia="Arial" w:hAnsi="Arial"/>
          <w:sz w:val="13"/>
          <w:szCs w:val="13"/>
          <w:color w:val="231F20"/>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Each of the risks set forth above may be exacerbated by the COVID-19 pandemic currently affecting the global community and the global economy.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A variety of risks associated with conducting research and clinical trials abroad and marketing our product candidates internationally could materially adversely affect our business.</w:t>
      </w:r>
    </w:p>
    <w:p>
      <w:pPr>
        <w:spacing w:after="0" w:line="102"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231F20"/>
        </w:rPr>
        <w:t xml:space="preserve">Clinical trials of our product candidates are currently being conducted in numerous countries, including Germany, Austria, </w:t>
      </w:r>
      <w:r>
        <w:rPr>
          <w:rFonts w:ascii="Arial" w:cs="Arial" w:eastAsia="Arial" w:hAnsi="Arial"/>
          <w:sz w:val="13"/>
          <w:szCs w:val="13"/>
          <w:color w:val="000000"/>
        </w:rPr>
        <w:t>Belgium</w:t>
      </w:r>
      <w:r>
        <w:rPr>
          <w:rFonts w:ascii="Arial" w:cs="Arial" w:eastAsia="Arial" w:hAnsi="Arial"/>
          <w:sz w:val="13"/>
          <w:szCs w:val="13"/>
          <w:color w:val="231F20"/>
        </w:rPr>
        <w:t>, Czechia, France, Italy, the Netherlands, Poland, Spain, Sweden, the United Kingdom, Israel, Australia, Canada and the United States, and we plan to commercialize our product candidates, if approved, globally. Accordingly, we are subject to additional risks related to operating in multiple countries, including:</w:t>
      </w:r>
    </w:p>
    <w:p>
      <w:pPr>
        <w:spacing w:after="0" w:line="52" w:lineRule="exact"/>
        <w:rPr>
          <w:sz w:val="20"/>
          <w:szCs w:val="20"/>
          <w:color w:val="auto"/>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differing regulatory requirements in such countries;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unexpected changes in tariffs, trade barriers, price and exchange controls and other regulatory requirements;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2"/>
          <w:szCs w:val="12"/>
          <w:color w:val="231F20"/>
        </w:rPr>
      </w:pPr>
      <w:r>
        <w:rPr>
          <w:rFonts w:ascii="Arial" w:cs="Arial" w:eastAsia="Arial" w:hAnsi="Arial"/>
          <w:sz w:val="12"/>
          <w:szCs w:val="12"/>
          <w:color w:val="231F20"/>
        </w:rPr>
        <w:t>increased difficulties in managing the logistics and transportation of storing and shipping product candidates produced in Germany and shipping the product candidate to the patient abroad;</w:t>
      </w:r>
    </w:p>
    <w:p>
      <w:pPr>
        <w:spacing w:after="0" w:line="101" w:lineRule="exact"/>
        <w:rPr>
          <w:rFonts w:ascii="Arial" w:cs="Arial" w:eastAsia="Arial" w:hAnsi="Arial"/>
          <w:sz w:val="12"/>
          <w:szCs w:val="12"/>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import and export requirements and restrictions;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economic weakness, including inflation, or political instability in particular economies and markets;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compliance with tax, employment, immigration and labor laws for employees living or traveling abroad;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taxes, including withholding of payroll taxes;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currency fluctuations, which could result in increased operating expenses and reduced revenue, and other obligations incident to doing business in another country;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difficulties staffing and managing operations outside of Germany;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workforce uncertainty in countries where labor unrest is more common;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differing payor reimbursement regimes, governmental payors or patient self-pay systems, and price controls;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potential liability under the U.S. Foreign Corrupt Practices Act of 1977 or comparable regulations in other jurisdictions;</w:t>
      </w:r>
    </w:p>
    <w:p>
      <w:pPr>
        <w:spacing w:after="0" w:line="90" w:lineRule="exact"/>
        <w:rPr>
          <w:rFonts w:ascii="Arial" w:cs="Arial" w:eastAsia="Arial" w:hAnsi="Arial"/>
          <w:sz w:val="13"/>
          <w:szCs w:val="13"/>
          <w:color w:val="231F20"/>
        </w:rPr>
      </w:pPr>
    </w:p>
    <w:p>
      <w:pPr>
        <w:ind w:left="1020" w:right="120" w:hanging="340"/>
        <w:spacing w:after="0" w:line="287" w:lineRule="auto"/>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challenges enforcing our contractual and intellectual property rights, especially in those countries that do not respect and protect intellectual property rights to the same extent as do Germany and the United States;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production shortages resulting from any events affecting raw material supply or manufacturing capabilities abroad;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3"/>
        </w:numPr>
        <w:rPr>
          <w:rFonts w:ascii="Arial" w:cs="Arial" w:eastAsia="Arial" w:hAnsi="Arial"/>
          <w:sz w:val="13"/>
          <w:szCs w:val="13"/>
          <w:color w:val="231F20"/>
        </w:rPr>
      </w:pPr>
      <w:r>
        <w:rPr>
          <w:rFonts w:ascii="Arial" w:cs="Arial" w:eastAsia="Arial" w:hAnsi="Arial"/>
          <w:sz w:val="13"/>
          <w:szCs w:val="13"/>
          <w:color w:val="231F20"/>
        </w:rPr>
        <w:t>business interruptions resulting from geopolitical actions, including war and terrorism, or public health epidemics.</w:t>
      </w:r>
    </w:p>
    <w:p>
      <w:pPr>
        <w:spacing w:after="0" w:line="170"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The extent to which the COVID-19 pandemic impacts our operations will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In particular, the spread of the coronavirus globally could adversely impact our clinical trial operations, including the availability of specialist raw materials required to manufacture our clinical candidates and our ability to deliver clinical candidates to clinical trial sites, In the future, similar events could affect our ability to manufacture and commercialize our product candidates.</w:t>
      </w:r>
    </w:p>
    <w:p>
      <w:pPr>
        <w:spacing w:after="0" w:line="135" w:lineRule="exact"/>
        <w:rPr>
          <w:sz w:val="20"/>
          <w:szCs w:val="20"/>
          <w:color w:val="auto"/>
        </w:rPr>
      </w:pPr>
    </w:p>
    <w:p>
      <w:pPr>
        <w:jc w:val="center"/>
        <w:ind w:left="340"/>
        <w:spacing w:after="0"/>
        <w:rPr>
          <w:sz w:val="20"/>
          <w:szCs w:val="20"/>
          <w:color w:val="auto"/>
        </w:rPr>
      </w:pPr>
      <w:r>
        <w:rPr>
          <w:rFonts w:ascii="Arial" w:cs="Arial" w:eastAsia="Arial" w:hAnsi="Arial"/>
          <w:sz w:val="12"/>
          <w:szCs w:val="12"/>
          <w:color w:val="231F20"/>
        </w:rPr>
        <w:t>These and other risks associated with our international operations and our collaborations with our collaborators may materially adversely affect our ability to attain or maintain profitable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3" w:name="page24"/>
    <w:bookmarkEnd w:id="23"/>
    <w:p>
      <w:pPr>
        <w:ind w:right="240" w:firstLine="556"/>
        <w:spacing w:after="0" w:line="287" w:lineRule="auto"/>
        <w:rPr>
          <w:sz w:val="20"/>
          <w:szCs w:val="20"/>
          <w:color w:val="auto"/>
        </w:rPr>
      </w:pPr>
      <w:r>
        <w:rPr>
          <w:rFonts w:ascii="Arial" w:cs="Arial" w:eastAsia="Arial" w:hAnsi="Arial"/>
          <w:sz w:val="13"/>
          <w:szCs w:val="13"/>
          <w:b w:val="1"/>
          <w:bCs w:val="1"/>
          <w:i w:val="1"/>
          <w:iCs w:val="1"/>
          <w:color w:val="231F20"/>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42"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231F20"/>
        </w:rPr>
        <w:t xml:space="preserve">From time to time, we may publish interim top-line or preliminary data from preclinical studies or clinical trials. Interim data are subject to the risk that one or more of the outcomes may materially change as more data become available. We also </w:t>
      </w:r>
      <w:r>
        <w:rPr>
          <w:rFonts w:ascii="Arial" w:cs="Arial" w:eastAsia="Arial" w:hAnsi="Arial"/>
          <w:sz w:val="13"/>
          <w:szCs w:val="13"/>
          <w:color w:val="000000"/>
        </w:rPr>
        <w:t>make</w:t>
      </w:r>
      <w:r>
        <w:rPr>
          <w:rFonts w:ascii="Arial" w:cs="Arial" w:eastAsia="Arial" w:hAnsi="Arial"/>
          <w:sz w:val="13"/>
          <w:szCs w:val="13"/>
          <w:color w:val="231F20"/>
        </w:rPr>
        <w:t xml:space="preserv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42" w:lineRule="exact"/>
        <w:rPr>
          <w:sz w:val="20"/>
          <w:szCs w:val="20"/>
          <w:color w:val="auto"/>
        </w:rPr>
      </w:pPr>
    </w:p>
    <w:p>
      <w:pPr>
        <w:ind w:right="40" w:firstLine="556"/>
        <w:spacing w:after="0" w:line="288" w:lineRule="auto"/>
        <w:rPr>
          <w:sz w:val="20"/>
          <w:szCs w:val="20"/>
          <w:color w:val="auto"/>
        </w:rPr>
      </w:pPr>
      <w:r>
        <w:rPr>
          <w:rFonts w:ascii="Arial" w:cs="Arial" w:eastAsia="Arial" w:hAnsi="Arial"/>
          <w:sz w:val="12"/>
          <w:szCs w:val="12"/>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Results of earlier studies and trials of our product candidates may not be predictive of future trial results.</w:t>
      </w:r>
    </w:p>
    <w:p>
      <w:pPr>
        <w:spacing w:after="0" w:line="90"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231F20"/>
        </w:rPr>
        <w:t xml:space="preserve">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w:t>
      </w:r>
      <w:r>
        <w:rPr>
          <w:rFonts w:ascii="Arial" w:cs="Arial" w:eastAsia="Arial" w:hAnsi="Arial"/>
          <w:sz w:val="12"/>
          <w:szCs w:val="12"/>
          <w:color w:val="000000"/>
        </w:rPr>
        <w:t>cancer</w:t>
      </w:r>
      <w:r>
        <w:rPr>
          <w:rFonts w:ascii="Arial" w:cs="Arial" w:eastAsia="Arial" w:hAnsi="Arial"/>
          <w:sz w:val="12"/>
          <w:szCs w:val="12"/>
          <w:color w:val="231F20"/>
        </w:rPr>
        <w:t xml:space="preserve">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129"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b w:val="1"/>
          <w:bCs w:val="1"/>
          <w:i w:val="1"/>
          <w:iCs w:val="1"/>
          <w:color w:val="231F20"/>
        </w:rPr>
        <w:t>Our planned clinical trials or those of our collaborators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42" w:lineRule="exact"/>
        <w:rPr>
          <w:sz w:val="20"/>
          <w:szCs w:val="20"/>
          <w:color w:val="auto"/>
        </w:rPr>
      </w:pPr>
    </w:p>
    <w:p>
      <w:pPr>
        <w:ind w:right="20" w:firstLine="556"/>
        <w:spacing w:after="0" w:line="296" w:lineRule="auto"/>
        <w:rPr>
          <w:sz w:val="20"/>
          <w:szCs w:val="20"/>
          <w:color w:val="auto"/>
        </w:rPr>
      </w:pPr>
      <w:r>
        <w:rPr>
          <w:rFonts w:ascii="Arial" w:cs="Arial" w:eastAsia="Arial" w:hAnsi="Arial"/>
          <w:sz w:val="12"/>
          <w:szCs w:val="12"/>
          <w:color w:val="231F20"/>
        </w:rPr>
        <w:t xml:space="preserve">There is typically an extremely high rate of attrition for product candidates across categories of medicines proceeding through clinical trials. 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w:t>
      </w:r>
      <w:r>
        <w:rPr>
          <w:rFonts w:ascii="Arial" w:cs="Arial" w:eastAsia="Arial" w:hAnsi="Arial"/>
          <w:sz w:val="12"/>
          <w:szCs w:val="12"/>
          <w:color w:val="000000"/>
        </w:rPr>
        <w:t>unacceptable</w:t>
      </w:r>
      <w:r>
        <w:rPr>
          <w:rFonts w:ascii="Arial" w:cs="Arial" w:eastAsia="Arial" w:hAnsi="Arial"/>
          <w:sz w:val="12"/>
          <w:szCs w:val="12"/>
          <w:color w:val="231F20"/>
        </w:rPr>
        <w:t xml:space="preserv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19" w:lineRule="exact"/>
        <w:rPr>
          <w:sz w:val="20"/>
          <w:szCs w:val="20"/>
          <w:color w:val="auto"/>
        </w:rPr>
      </w:pPr>
    </w:p>
    <w:p>
      <w:pPr>
        <w:ind w:right="280" w:firstLine="556"/>
        <w:spacing w:after="0" w:line="287" w:lineRule="auto"/>
        <w:rPr>
          <w:sz w:val="20"/>
          <w:szCs w:val="20"/>
          <w:color w:val="auto"/>
        </w:rPr>
      </w:pPr>
      <w:r>
        <w:rPr>
          <w:rFonts w:ascii="Arial" w:cs="Arial" w:eastAsia="Arial" w:hAnsi="Arial"/>
          <w:sz w:val="13"/>
          <w:szCs w:val="13"/>
          <w:color w:val="231F20"/>
        </w:rPr>
        <w:t>Some of our product candidates are being developed or are intended to be co-administered with other developmental therapies or approved medicines. For example, RO198457 (BNT122) is being developed to be co-administered with</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231F20"/>
        </w:rPr>
        <w:t>checkpoint inhibitors. Such combinations may have additional side effects which may be difficult to predict in future clinical trials.</w:t>
      </w:r>
    </w:p>
    <w:p>
      <w:pPr>
        <w:spacing w:after="0" w:line="170" w:lineRule="exact"/>
        <w:rPr>
          <w:sz w:val="20"/>
          <w:szCs w:val="20"/>
          <w:color w:val="auto"/>
        </w:rPr>
      </w:pPr>
    </w:p>
    <w:p>
      <w:pPr>
        <w:ind w:right="180" w:firstLine="556"/>
        <w:spacing w:after="0" w:line="288" w:lineRule="auto"/>
        <w:rPr>
          <w:sz w:val="20"/>
          <w:szCs w:val="20"/>
          <w:color w:val="auto"/>
        </w:rPr>
      </w:pPr>
      <w:r>
        <w:rPr>
          <w:rFonts w:ascii="Arial" w:cs="Arial" w:eastAsia="Arial" w:hAnsi="Arial"/>
          <w:sz w:val="12"/>
          <w:szCs w:val="12"/>
          <w:color w:val="231F20"/>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applicable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We may not be able to develop or obtain approval for companion diagnostics required for commercialization of some of our product candidates.</w:t>
      </w:r>
    </w:p>
    <w:p>
      <w:pPr>
        <w:spacing w:after="0" w:line="90" w:lineRule="exact"/>
        <w:rPr>
          <w:sz w:val="20"/>
          <w:szCs w:val="20"/>
          <w:color w:val="auto"/>
        </w:rPr>
      </w:pPr>
    </w:p>
    <w:p>
      <w:pPr>
        <w:ind w:right="60" w:firstLine="556"/>
        <w:spacing w:after="0" w:line="291" w:lineRule="auto"/>
        <w:rPr>
          <w:sz w:val="20"/>
          <w:szCs w:val="20"/>
          <w:color w:val="auto"/>
        </w:rPr>
      </w:pPr>
      <w:r>
        <w:rPr>
          <w:rFonts w:ascii="Arial" w:cs="Arial" w:eastAsia="Arial" w:hAnsi="Arial"/>
          <w:sz w:val="12"/>
          <w:szCs w:val="12"/>
          <w:color w:val="231F20"/>
        </w:rPr>
        <w:t xml:space="preserve">Administration of some of our product candidates may require the use of immuno-assays and bioinformatic tools in which patients are screened for optimal target antigens of our product candidates. If safe and effective use of a biologic product depends on an </w:t>
      </w:r>
      <w:r>
        <w:rPr>
          <w:rFonts w:ascii="Arial" w:cs="Arial" w:eastAsia="Arial" w:hAnsi="Arial"/>
          <w:sz w:val="12"/>
          <w:szCs w:val="12"/>
          <w:i w:val="1"/>
          <w:iCs w:val="1"/>
          <w:color w:val="231F20"/>
        </w:rPr>
        <w:t>in vitro</w:t>
      </w:r>
      <w:r>
        <w:rPr>
          <w:rFonts w:ascii="Arial" w:cs="Arial" w:eastAsia="Arial" w:hAnsi="Arial"/>
          <w:sz w:val="12"/>
          <w:szCs w:val="12"/>
          <w:color w:val="231F20"/>
        </w:rPr>
        <w:t xml:space="preserve"> diagnostic, then the FDA generally requires approval or clearance of the diagnostic, known as a companion diagnostic, concurrently with approval of the therapeutic product. To date, the FDA has generally required </w:t>
      </w:r>
      <w:r>
        <w:rPr>
          <w:rFonts w:ascii="Arial" w:cs="Arial" w:eastAsia="Arial" w:hAnsi="Arial"/>
          <w:sz w:val="12"/>
          <w:szCs w:val="12"/>
          <w:i w:val="1"/>
          <w:iCs w:val="1"/>
          <w:color w:val="231F20"/>
        </w:rPr>
        <w:t>in vitro</w:t>
      </w:r>
      <w:r>
        <w:rPr>
          <w:rFonts w:ascii="Arial" w:cs="Arial" w:eastAsia="Arial" w:hAnsi="Arial"/>
          <w:sz w:val="12"/>
          <w:szCs w:val="12"/>
          <w:color w:val="231F20"/>
        </w:rPr>
        <w:t xml:space="preserve"> companion diagnostics intended to select the patients who will respond to cancer treatment to obtain a pre-market approval, or PMA, for that diagnostic, which can take up to several years, simultaneously with approval of the biologic product. </w:t>
      </w:r>
      <w:r>
        <w:rPr>
          <w:rFonts w:ascii="Arial" w:cs="Arial" w:eastAsia="Arial" w:hAnsi="Arial"/>
          <w:sz w:val="12"/>
          <w:szCs w:val="12"/>
          <w:color w:val="000000"/>
        </w:rPr>
        <w:t>Similarly</w:t>
      </w:r>
      <w:r>
        <w:rPr>
          <w:rFonts w:ascii="Arial" w:cs="Arial" w:eastAsia="Arial" w:hAnsi="Arial"/>
          <w:sz w:val="12"/>
          <w:szCs w:val="12"/>
          <w:color w:val="231F20"/>
        </w:rPr>
        <w:t xml:space="preserve">, in the European Union, an </w:t>
      </w:r>
      <w:r>
        <w:rPr>
          <w:rFonts w:ascii="Arial" w:cs="Arial" w:eastAsia="Arial" w:hAnsi="Arial"/>
          <w:sz w:val="12"/>
          <w:szCs w:val="12"/>
          <w:i w:val="1"/>
          <w:iCs w:val="1"/>
          <w:color w:val="231F20"/>
        </w:rPr>
        <w:t>in vitro</w:t>
      </w:r>
      <w:r>
        <w:rPr>
          <w:rFonts w:ascii="Arial" w:cs="Arial" w:eastAsia="Arial" w:hAnsi="Arial"/>
          <w:sz w:val="12"/>
          <w:szCs w:val="12"/>
          <w:color w:val="231F20"/>
        </w:rPr>
        <w:t xml:space="preserve"> companion diagnostic may be placed on the market only if it conforms to certain “essential requirements” and bears the </w:t>
      </w:r>
      <w:r>
        <w:rPr>
          <w:rFonts w:ascii="Arial" w:cs="Arial" w:eastAsia="Arial" w:hAnsi="Arial"/>
          <w:sz w:val="12"/>
          <w:szCs w:val="12"/>
          <w:i w:val="1"/>
          <w:iCs w:val="1"/>
          <w:color w:val="231F20"/>
        </w:rPr>
        <w:t>Conformité Européene</w:t>
      </w:r>
      <w:r>
        <w:rPr>
          <w:rFonts w:ascii="Arial" w:cs="Arial" w:eastAsia="Arial" w:hAnsi="Arial"/>
          <w:sz w:val="12"/>
          <w:szCs w:val="12"/>
          <w:color w:val="231F20"/>
        </w:rPr>
        <w:t xml:space="preserve"> Mark, or CE Mark, and the conformity assessment process to obtain the CE Mark can be lengthy.</w:t>
      </w:r>
    </w:p>
    <w:p>
      <w:pPr>
        <w:spacing w:after="0" w:line="123"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231F20"/>
        </w:rPr>
        <w:t>For our individualized immunotherapy candidates, the FDA and similar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129"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b w:val="1"/>
          <w:bCs w:val="1"/>
          <w:i w:val="1"/>
          <w:iCs w:val="1"/>
          <w:color w:val="231F20"/>
        </w:rPr>
        <w:t>Because we are developing some of our product candidates for the treatment of diseases in which there is little clinical experience and, in some cases, using new endpoints or methodologies, the FDA, EMA or other regulatory authorities may not consider the endpoints of our clinical trials to provide clinically meaningful results.</w:t>
      </w:r>
    </w:p>
    <w:p>
      <w:pPr>
        <w:spacing w:after="0" w:line="4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2"/>
          <w:szCs w:val="12"/>
          <w:color w:val="231F20"/>
        </w:rPr>
        <w:t xml:space="preserve">There may not be pharmacologic therapies approved to treat the underlying causes of many diseases that we may address in the future. For instance, we and our collaborators are applying our technology to develop therapeutics in indications </w:t>
      </w:r>
      <w:r>
        <w:rPr>
          <w:rFonts w:ascii="Arial" w:cs="Arial" w:eastAsia="Arial" w:hAnsi="Arial"/>
          <w:sz w:val="12"/>
          <w:szCs w:val="12"/>
          <w:color w:val="000000"/>
        </w:rPr>
        <w:t>such</w:t>
      </w:r>
      <w:r>
        <w:rPr>
          <w:rFonts w:ascii="Arial" w:cs="Arial" w:eastAsia="Arial" w:hAnsi="Arial"/>
          <w:sz w:val="12"/>
          <w:szCs w:val="12"/>
          <w:color w:val="231F20"/>
        </w:rPr>
        <w:t xml:space="preserve">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231F20"/>
        </w:rPr>
        <w:t>being supportive of licensure. Other regulatory authorities in Europe and other countries may make similar findings with respect to these endpoints.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FDA, EMA or other comparable regulatory authorities may disagree with our regulatory plan and we may fail to obtain regulatory approval of our product candidates.</w:t>
      </w:r>
    </w:p>
    <w:p>
      <w:pPr>
        <w:spacing w:after="0" w:line="90" w:lineRule="exact"/>
        <w:rPr>
          <w:sz w:val="20"/>
          <w:szCs w:val="20"/>
          <w:color w:val="auto"/>
        </w:rPr>
      </w:pPr>
    </w:p>
    <w:p>
      <w:pPr>
        <w:ind w:right="80" w:firstLine="556"/>
        <w:spacing w:after="0" w:line="288" w:lineRule="auto"/>
        <w:rPr>
          <w:sz w:val="20"/>
          <w:szCs w:val="20"/>
          <w:color w:val="auto"/>
        </w:rPr>
      </w:pPr>
      <w:r>
        <w:rPr>
          <w:rFonts w:ascii="Arial" w:cs="Arial" w:eastAsia="Arial" w:hAnsi="Arial"/>
          <w:sz w:val="12"/>
          <w:szCs w:val="12"/>
          <w:color w:val="231F20"/>
        </w:rPr>
        <w:t xml:space="preserve">If the results of our clinical trials are sufficiently compelling, we or our collaborators intend to discuss with the FDA submission of a BLA for our product candidates. However, we do not have any agreement or guidance from the FDA that our regulatory development plans will be sufficient for submission of a BLA for any of our product candidates. The FDA, EMA or other regulatory agencies may grant accelerated approval for our product candidates and, as a condition for accelerated approval, the FDA, EMA or other regulatory agencies may require a sponsor of a drug or biologic receiving accelerated </w:t>
      </w:r>
      <w:r>
        <w:rPr>
          <w:rFonts w:ascii="Arial" w:cs="Arial" w:eastAsia="Arial" w:hAnsi="Arial"/>
          <w:sz w:val="12"/>
          <w:szCs w:val="12"/>
          <w:color w:val="000000"/>
        </w:rPr>
        <w:t xml:space="preserve">approval </w:t>
      </w:r>
      <w:r>
        <w:rPr>
          <w:rFonts w:ascii="Arial" w:cs="Arial" w:eastAsia="Arial" w:hAnsi="Arial"/>
          <w:sz w:val="12"/>
          <w:szCs w:val="12"/>
          <w:color w:val="231F20"/>
        </w:rPr>
        <w:t>to perform post-marketing studies to verify and describe the predicted effect on irreversible morbidity or mortality or other clinical endpoint, and the drug or biologic may be subject to withdrawal</w:t>
      </w:r>
      <w:r>
        <w:rPr>
          <w:rFonts w:ascii="Arial" w:cs="Arial" w:eastAsia="Arial" w:hAnsi="Arial"/>
          <w:sz w:val="12"/>
          <w:szCs w:val="12"/>
          <w:color w:val="000000"/>
        </w:rPr>
        <w:t xml:space="preserve"> </w:t>
      </w:r>
      <w:r>
        <w:rPr>
          <w:rFonts w:ascii="Arial" w:cs="Arial" w:eastAsia="Arial" w:hAnsi="Arial"/>
          <w:sz w:val="12"/>
          <w:szCs w:val="12"/>
          <w:color w:val="231F20"/>
        </w:rPr>
        <w:t>procedures by the FDA, EMA or other regulatory agencies that are more accelerated than those available for regular approvals. In addition, the standard of care may change with the approval of new products in the same indications that we are studying. This may result in the FDA, EMA or other regulatory agencies requesting additional studies to show that our product candidate is superior to the new products.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Our clinical trial results may also not support approval. In addition, our product candidates could fail to receive regulatory approval for many reasons, including the following:</w:t>
      </w:r>
    </w:p>
    <w:p>
      <w:pPr>
        <w:spacing w:after="0" w:line="90" w:lineRule="exact"/>
        <w:rPr>
          <w:sz w:val="20"/>
          <w:szCs w:val="20"/>
          <w:color w:val="auto"/>
        </w:rPr>
      </w:pPr>
    </w:p>
    <w:p>
      <w:pPr>
        <w:ind w:left="1020" w:hanging="340"/>
        <w:spacing w:after="0"/>
        <w:tabs>
          <w:tab w:leader="none" w:pos="1020"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the FDA, the EMA or comparable regulatory authorities may disagree with the design or implementation of our clinical trials;</w:t>
      </w:r>
    </w:p>
    <w:p>
      <w:pPr>
        <w:spacing w:after="0" w:line="90" w:lineRule="exact"/>
        <w:rPr>
          <w:rFonts w:ascii="Arial" w:cs="Arial" w:eastAsia="Arial" w:hAnsi="Arial"/>
          <w:sz w:val="13"/>
          <w:szCs w:val="13"/>
          <w:color w:val="231F20"/>
        </w:rPr>
      </w:pPr>
    </w:p>
    <w:p>
      <w:pPr>
        <w:ind w:left="1020" w:right="300" w:hanging="340"/>
        <w:spacing w:after="0" w:line="287" w:lineRule="auto"/>
        <w:tabs>
          <w:tab w:leader="none" w:pos="1020"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we may be unable to demonstrate to the satisfaction of the FDA, the EMA or comparable regulatory authorities that our product candidates are safe and effective for any of their proposed indications;</w:t>
      </w:r>
    </w:p>
    <w:p>
      <w:pPr>
        <w:spacing w:after="0" w:line="42" w:lineRule="exact"/>
        <w:rPr>
          <w:rFonts w:ascii="Arial" w:cs="Arial" w:eastAsia="Arial" w:hAnsi="Arial"/>
          <w:sz w:val="13"/>
          <w:szCs w:val="13"/>
          <w:color w:val="231F20"/>
        </w:rPr>
      </w:pPr>
    </w:p>
    <w:p>
      <w:pPr>
        <w:ind w:left="1020" w:right="740" w:hanging="340"/>
        <w:spacing w:after="0" w:line="287" w:lineRule="auto"/>
        <w:tabs>
          <w:tab w:leader="none" w:pos="1020"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the results of clinical trials may not meet the level of statistical significance required by the FDA, the EMA or comparable regulatory authorities for approval, including due to the heterogeneity of patient populations;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we may be unable to demonstrate that our product candidates’ clinical and other benefits outweigh their safety risks;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the FDA, the EMA or comparable regulatory authorities may disagree with our interpretation of data from preclinical studies or clinical trials;</w:t>
      </w:r>
    </w:p>
    <w:p>
      <w:pPr>
        <w:spacing w:after="0" w:line="90" w:lineRule="exact"/>
        <w:rPr>
          <w:rFonts w:ascii="Arial" w:cs="Arial" w:eastAsia="Arial" w:hAnsi="Arial"/>
          <w:sz w:val="13"/>
          <w:szCs w:val="13"/>
          <w:color w:val="231F20"/>
        </w:rPr>
      </w:pPr>
    </w:p>
    <w:p>
      <w:pPr>
        <w:ind w:left="1020" w:right="60" w:hanging="340"/>
        <w:spacing w:after="0" w:line="287" w:lineRule="auto"/>
        <w:tabs>
          <w:tab w:leader="none" w:pos="1020"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the FDA, the EMA or comparable regulatory authorities will inspect our manufacturing facilities and may not approve our facilities;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4"/>
        </w:numPr>
        <w:rPr>
          <w:rFonts w:ascii="Arial" w:cs="Arial" w:eastAsia="Arial" w:hAnsi="Arial"/>
          <w:sz w:val="12"/>
          <w:szCs w:val="12"/>
          <w:color w:val="231F20"/>
        </w:rPr>
      </w:pPr>
      <w:r>
        <w:rPr>
          <w:rFonts w:ascii="Arial" w:cs="Arial" w:eastAsia="Arial" w:hAnsi="Arial"/>
          <w:sz w:val="12"/>
          <w:szCs w:val="12"/>
          <w:color w:val="231F20"/>
        </w:rPr>
        <w:t>the approval policies or regulations of the FDA, the EMA or comparable regulatory authorities may significantly change in a manner rendering our clinical data insufficient for approval.</w:t>
      </w:r>
    </w:p>
    <w:p>
      <w:pPr>
        <w:spacing w:after="0" w:line="182" w:lineRule="exact"/>
        <w:rPr>
          <w:sz w:val="20"/>
          <w:szCs w:val="20"/>
          <w:color w:val="auto"/>
        </w:rPr>
      </w:pPr>
    </w:p>
    <w:p>
      <w:pPr>
        <w:ind w:right="600" w:firstLine="556"/>
        <w:spacing w:after="0" w:line="379" w:lineRule="auto"/>
        <w:rPr>
          <w:sz w:val="20"/>
          <w:szCs w:val="20"/>
          <w:color w:val="auto"/>
        </w:rPr>
      </w:pPr>
      <w:r>
        <w:rPr>
          <w:rFonts w:ascii="Arial" w:cs="Arial" w:eastAsia="Arial" w:hAnsi="Arial"/>
          <w:sz w:val="11"/>
          <w:szCs w:val="11"/>
          <w:b w:val="1"/>
          <w:bCs w:val="1"/>
          <w:i w:val="1"/>
          <w:iCs w:val="1"/>
          <w:color w:val="231F20"/>
        </w:rPr>
        <w:t>We may not be able to file INDs with the FDA, clinical trial applications with the competent authorities of European Union member states or similar applications with other comparable regulatory authorities to commence additional clinical trials on the timelines we expect, and even if we are able to, one or more of these regulatory authorities may not permit us to proceed.</w:t>
      </w:r>
    </w:p>
    <w:p>
      <w:pPr>
        <w:ind w:firstLine="556"/>
        <w:spacing w:after="0" w:line="264" w:lineRule="auto"/>
        <w:rPr>
          <w:sz w:val="20"/>
          <w:szCs w:val="20"/>
          <w:color w:val="auto"/>
        </w:rPr>
      </w:pPr>
      <w:r>
        <w:rPr>
          <w:rFonts w:ascii="Arial" w:cs="Arial" w:eastAsia="Arial" w:hAnsi="Arial"/>
          <w:sz w:val="13"/>
          <w:szCs w:val="13"/>
          <w:color w:val="231F20"/>
        </w:rPr>
        <w:t xml:space="preserve">The timing of filing on our product candidates is dependent on further preclinical, clinical and manufacturing success. We cannot be sure that submission of an IND or IND amendment with the FDA, a clinical trial application with the competent </w:t>
      </w:r>
      <w:r>
        <w:rPr>
          <w:rFonts w:ascii="Arial" w:cs="Arial" w:eastAsia="Arial" w:hAnsi="Arial"/>
          <w:sz w:val="13"/>
          <w:szCs w:val="13"/>
          <w:color w:val="000000"/>
        </w:rPr>
        <w:t>authorities</w:t>
      </w:r>
      <w:r>
        <w:rPr>
          <w:rFonts w:ascii="Arial" w:cs="Arial" w:eastAsia="Arial" w:hAnsi="Arial"/>
          <w:sz w:val="13"/>
          <w:szCs w:val="13"/>
          <w:color w:val="231F20"/>
        </w:rPr>
        <w:t xml:space="preserve"> of European Union member states or similar application with other comparable regulatory authorities will result in the FDA, the competent authorities of European Union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26" w:name="page27"/>
    <w:bookmarkEnd w:id="26"/>
    <w:p>
      <w:pPr>
        <w:ind w:firstLine="556"/>
        <w:spacing w:after="0" w:line="287" w:lineRule="auto"/>
        <w:rPr>
          <w:sz w:val="20"/>
          <w:szCs w:val="20"/>
          <w:color w:val="auto"/>
        </w:rPr>
      </w:pPr>
      <w:r>
        <w:rPr>
          <w:rFonts w:ascii="Arial" w:cs="Arial" w:eastAsia="Arial" w:hAnsi="Arial"/>
          <w:sz w:val="13"/>
          <w:szCs w:val="13"/>
          <w:b w:val="1"/>
          <w:bCs w:val="1"/>
          <w:i w:val="1"/>
          <w:iCs w:val="1"/>
          <w:color w:val="231F20"/>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42"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231F20"/>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139" w:lineRule="exact"/>
        <w:rPr>
          <w:sz w:val="20"/>
          <w:szCs w:val="20"/>
          <w:color w:val="auto"/>
        </w:rPr>
      </w:pPr>
    </w:p>
    <w:p>
      <w:pPr>
        <w:ind w:right="20" w:firstLine="556"/>
        <w:spacing w:after="0" w:line="261" w:lineRule="auto"/>
        <w:rPr>
          <w:sz w:val="20"/>
          <w:szCs w:val="20"/>
          <w:color w:val="auto"/>
        </w:rPr>
      </w:pPr>
      <w:r>
        <w:rPr>
          <w:rFonts w:ascii="Arial" w:cs="Arial" w:eastAsia="Arial" w:hAnsi="Arial"/>
          <w:sz w:val="13"/>
          <w:szCs w:val="13"/>
          <w:color w:val="231F20"/>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effectively protect the product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42" w:lineRule="exact"/>
        <w:rPr>
          <w:sz w:val="20"/>
          <w:szCs w:val="20"/>
          <w:color w:val="auto"/>
        </w:rPr>
      </w:pPr>
    </w:p>
    <w:p>
      <w:pPr>
        <w:ind w:right="460" w:firstLine="556"/>
        <w:spacing w:after="0" w:line="331" w:lineRule="auto"/>
        <w:rPr>
          <w:sz w:val="20"/>
          <w:szCs w:val="20"/>
          <w:color w:val="auto"/>
        </w:rPr>
      </w:pPr>
      <w:r>
        <w:rPr>
          <w:rFonts w:ascii="Arial" w:cs="Arial" w:eastAsia="Arial" w:hAnsi="Arial"/>
          <w:sz w:val="12"/>
          <w:szCs w:val="12"/>
          <w:b w:val="1"/>
          <w:bCs w:val="1"/>
          <w:i w:val="1"/>
          <w:iCs w:val="1"/>
          <w:color w:val="231F20"/>
        </w:rPr>
        <w:t>We may seek breakthrough therapy or fast-track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19" w:lineRule="exact"/>
        <w:rPr>
          <w:sz w:val="20"/>
          <w:szCs w:val="20"/>
          <w:color w:val="auto"/>
        </w:rPr>
      </w:pPr>
    </w:p>
    <w:p>
      <w:pPr>
        <w:ind w:right="80" w:firstLine="556"/>
        <w:spacing w:after="0" w:line="291" w:lineRule="auto"/>
        <w:rPr>
          <w:sz w:val="20"/>
          <w:szCs w:val="20"/>
          <w:color w:val="auto"/>
        </w:rPr>
      </w:pPr>
      <w:r>
        <w:rPr>
          <w:rFonts w:ascii="Arial" w:cs="Arial" w:eastAsia="Arial" w:hAnsi="Arial"/>
          <w:sz w:val="12"/>
          <w:szCs w:val="12"/>
          <w:color w:val="231F20"/>
        </w:rPr>
        <w:t xml:space="preserve">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w:t>
      </w:r>
      <w:r>
        <w:rPr>
          <w:rFonts w:ascii="Arial" w:cs="Arial" w:eastAsia="Arial" w:hAnsi="Arial"/>
          <w:sz w:val="12"/>
          <w:szCs w:val="12"/>
          <w:color w:val="000000"/>
        </w:rPr>
        <w:t>observed</w:t>
      </w:r>
      <w:r>
        <w:rPr>
          <w:rFonts w:ascii="Arial" w:cs="Arial" w:eastAsia="Arial" w:hAnsi="Arial"/>
          <w:sz w:val="12"/>
          <w:szCs w:val="12"/>
          <w:color w:val="231F20"/>
        </w:rPr>
        <w:t xml:space="preserve">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123" w:lineRule="exact"/>
        <w:rPr>
          <w:sz w:val="20"/>
          <w:szCs w:val="20"/>
          <w:color w:val="auto"/>
        </w:rPr>
      </w:pPr>
    </w:p>
    <w:p>
      <w:pPr>
        <w:ind w:right="40" w:firstLine="556"/>
        <w:spacing w:after="0" w:line="264" w:lineRule="auto"/>
        <w:rPr>
          <w:sz w:val="20"/>
          <w:szCs w:val="20"/>
          <w:color w:val="auto"/>
        </w:rPr>
      </w:pPr>
      <w:r>
        <w:rPr>
          <w:rFonts w:ascii="Arial" w:cs="Arial" w:eastAsia="Arial" w:hAnsi="Arial"/>
          <w:sz w:val="13"/>
          <w:szCs w:val="13"/>
          <w:color w:val="231F20"/>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38" w:lineRule="exact"/>
        <w:rPr>
          <w:sz w:val="20"/>
          <w:szCs w:val="20"/>
          <w:color w:val="auto"/>
        </w:rPr>
      </w:pPr>
    </w:p>
    <w:p>
      <w:pPr>
        <w:ind w:right="120" w:firstLine="556"/>
        <w:spacing w:after="0" w:line="264" w:lineRule="auto"/>
        <w:rPr>
          <w:sz w:val="20"/>
          <w:szCs w:val="20"/>
          <w:color w:val="auto"/>
        </w:rPr>
      </w:pPr>
      <w:r>
        <w:rPr>
          <w:rFonts w:ascii="Arial" w:cs="Arial" w:eastAsia="Arial" w:hAnsi="Arial"/>
          <w:sz w:val="13"/>
          <w:szCs w:val="13"/>
          <w:color w:val="231F20"/>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231F20"/>
        </w:rPr>
        <w:t>data from our clinical development program. Fast Track Designation alone does not guarantee qualification for the FDA’s priority review procedures.</w:t>
      </w:r>
    </w:p>
    <w:p>
      <w:pPr>
        <w:spacing w:after="0" w:line="170" w:lineRule="exact"/>
        <w:rPr>
          <w:sz w:val="20"/>
          <w:szCs w:val="20"/>
          <w:color w:val="auto"/>
        </w:rPr>
      </w:pPr>
    </w:p>
    <w:p>
      <w:pPr>
        <w:ind w:right="240" w:firstLine="556"/>
        <w:spacing w:after="0" w:line="287" w:lineRule="auto"/>
        <w:rPr>
          <w:sz w:val="20"/>
          <w:szCs w:val="20"/>
          <w:color w:val="auto"/>
        </w:rPr>
      </w:pPr>
      <w:r>
        <w:rPr>
          <w:rFonts w:ascii="Arial" w:cs="Arial" w:eastAsia="Arial" w:hAnsi="Arial"/>
          <w:sz w:val="13"/>
          <w:szCs w:val="13"/>
          <w:b w:val="1"/>
          <w:bCs w:val="1"/>
          <w:i w:val="1"/>
          <w:iCs w:val="1"/>
          <w:color w:val="231F20"/>
        </w:rPr>
        <w:t>We expect some of the product candidates we develop will be regulated as biologics in the United States and therefore they may be subject to competition from biosimilars approved through an abbreviated regulatory pathway.</w:t>
      </w:r>
    </w:p>
    <w:p>
      <w:pPr>
        <w:spacing w:after="0" w:line="42"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 xml:space="preserve">The Patient Protection and Affordable Care Act, as amended by the Health Care and Education Reconciliation Act of 2010, or the </w:t>
      </w:r>
      <w:r>
        <w:rPr>
          <w:rFonts w:ascii="Arial" w:cs="Arial" w:eastAsia="Arial" w:hAnsi="Arial"/>
          <w:sz w:val="13"/>
          <w:szCs w:val="13"/>
          <w:color w:val="000000"/>
        </w:rPr>
        <w:t>ACA</w:t>
      </w:r>
      <w:r>
        <w:rPr>
          <w:rFonts w:ascii="Arial" w:cs="Arial" w:eastAsia="Arial" w:hAnsi="Arial"/>
          <w:sz w:val="13"/>
          <w:szCs w:val="13"/>
          <w:color w:val="231F20"/>
        </w:rPr>
        <w:t>,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135" w:lineRule="exact"/>
        <w:rPr>
          <w:sz w:val="20"/>
          <w:szCs w:val="20"/>
          <w:color w:val="auto"/>
        </w:rPr>
      </w:pPr>
    </w:p>
    <w:p>
      <w:pPr>
        <w:ind w:right="420" w:firstLine="556"/>
        <w:spacing w:after="0" w:line="272" w:lineRule="auto"/>
        <w:rPr>
          <w:sz w:val="20"/>
          <w:szCs w:val="20"/>
          <w:color w:val="auto"/>
        </w:rPr>
      </w:pPr>
      <w:r>
        <w:rPr>
          <w:rFonts w:ascii="Arial" w:cs="Arial" w:eastAsia="Arial" w:hAnsi="Arial"/>
          <w:sz w:val="13"/>
          <w:szCs w:val="13"/>
          <w:color w:val="231F20"/>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32" w:lineRule="exact"/>
        <w:rPr>
          <w:sz w:val="20"/>
          <w:szCs w:val="20"/>
          <w:color w:val="auto"/>
        </w:rPr>
      </w:pPr>
    </w:p>
    <w:p>
      <w:pPr>
        <w:ind w:right="220" w:firstLine="556"/>
        <w:spacing w:after="0" w:line="264" w:lineRule="auto"/>
        <w:rPr>
          <w:sz w:val="20"/>
          <w:szCs w:val="20"/>
          <w:color w:val="auto"/>
        </w:rPr>
      </w:pPr>
      <w:r>
        <w:rPr>
          <w:rFonts w:ascii="Arial" w:cs="Arial" w:eastAsia="Arial" w:hAnsi="Arial"/>
          <w:sz w:val="13"/>
          <w:szCs w:val="13"/>
          <w:color w:val="231F20"/>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38" w:lineRule="exact"/>
        <w:rPr>
          <w:sz w:val="20"/>
          <w:szCs w:val="20"/>
          <w:color w:val="auto"/>
        </w:rPr>
      </w:pPr>
    </w:p>
    <w:p>
      <w:pPr>
        <w:jc w:val="both"/>
        <w:ind w:right="100" w:firstLine="556"/>
        <w:spacing w:after="0" w:line="304" w:lineRule="auto"/>
        <w:rPr>
          <w:sz w:val="20"/>
          <w:szCs w:val="20"/>
          <w:color w:val="auto"/>
        </w:rPr>
      </w:pPr>
      <w:r>
        <w:rPr>
          <w:rFonts w:ascii="Arial" w:cs="Arial" w:eastAsia="Arial" w:hAnsi="Arial"/>
          <w:sz w:val="12"/>
          <w:szCs w:val="12"/>
          <w:b w:val="1"/>
          <w:bCs w:val="1"/>
          <w:i w:val="1"/>
          <w:iCs w:val="1"/>
          <w:color w:val="231F20"/>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36" w:lineRule="exact"/>
        <w:rPr>
          <w:sz w:val="20"/>
          <w:szCs w:val="20"/>
          <w:color w:val="auto"/>
        </w:rPr>
      </w:pPr>
    </w:p>
    <w:p>
      <w:pPr>
        <w:ind w:firstLine="556"/>
        <w:spacing w:after="0" w:line="291" w:lineRule="auto"/>
        <w:rPr>
          <w:sz w:val="20"/>
          <w:szCs w:val="20"/>
          <w:color w:val="auto"/>
        </w:rPr>
      </w:pPr>
      <w:r>
        <w:rPr>
          <w:rFonts w:ascii="Arial" w:cs="Arial" w:eastAsia="Arial" w:hAnsi="Arial"/>
          <w:sz w:val="12"/>
          <w:szCs w:val="12"/>
          <w:color w:val="231F20"/>
        </w:rPr>
        <w:t xml:space="preserve">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integrate into cell DNA, or otherwise make any permanent changes to cell DNA. Consequently, we expect that our </w:t>
      </w:r>
      <w:r>
        <w:rPr>
          <w:rFonts w:ascii="Arial" w:cs="Arial" w:eastAsia="Arial" w:hAnsi="Arial"/>
          <w:sz w:val="12"/>
          <w:szCs w:val="12"/>
          <w:color w:val="000000"/>
        </w:rPr>
        <w:t>product</w:t>
      </w:r>
      <w:r>
        <w:rPr>
          <w:rFonts w:ascii="Arial" w:cs="Arial" w:eastAsia="Arial" w:hAnsi="Arial"/>
          <w:sz w:val="12"/>
          <w:szCs w:val="12"/>
          <w:color w:val="231F20"/>
        </w:rPr>
        <w:t xml:space="preserve"> candidates will have a different potential side effect profile from gene therapies because they lack risks associated with altering cell DNA irreversibly. Further, we may avail ourselves of ways of mitigating side effects in developing our product candidates to address safety concerns that are not available to all gene therapies, such as lowering the dose of our product candidates during repeat dosing or stopping treatment to potentially ameliorate undesirable side effects.</w:t>
      </w:r>
    </w:p>
    <w:p>
      <w:pPr>
        <w:spacing w:after="0" w:line="123" w:lineRule="exact"/>
        <w:rPr>
          <w:sz w:val="20"/>
          <w:szCs w:val="20"/>
          <w:color w:val="auto"/>
        </w:rPr>
      </w:pPr>
    </w:p>
    <w:p>
      <w:pPr>
        <w:ind w:right="140" w:firstLine="556"/>
        <w:spacing w:after="0" w:line="287" w:lineRule="auto"/>
        <w:rPr>
          <w:sz w:val="20"/>
          <w:szCs w:val="20"/>
          <w:color w:val="auto"/>
        </w:rPr>
      </w:pPr>
      <w:r>
        <w:rPr>
          <w:rFonts w:ascii="Arial" w:cs="Arial" w:eastAsia="Arial" w:hAnsi="Arial"/>
          <w:sz w:val="12"/>
          <w:szCs w:val="12"/>
          <w:color w:val="231F20"/>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Specifically, in Japan, the Pharmaceuticals and Medical Devices Agency has not taken a position on the regulatory classification.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clinical hold on gene therapy products across the field due to risks associated with altering cell DNA irreversibly may apply to our mRNA product candidates irrespective of the mechanistic differences between gene therapies and mRNA.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8" w:name="page29"/>
    <w:bookmarkEnd w:id="28"/>
    <w:p>
      <w:pPr>
        <w:ind w:right="80" w:firstLine="556"/>
        <w:spacing w:after="0" w:line="287" w:lineRule="auto"/>
        <w:rPr>
          <w:sz w:val="20"/>
          <w:szCs w:val="20"/>
          <w:color w:val="auto"/>
        </w:rPr>
      </w:pPr>
      <w:r>
        <w:rPr>
          <w:rFonts w:ascii="Arial" w:cs="Arial" w:eastAsia="Arial" w:hAnsi="Arial"/>
          <w:sz w:val="12"/>
          <w:szCs w:val="12"/>
          <w:color w:val="231F20"/>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mRNA investigational therapies, and as a result may delay one or more of our trials or impose additional testing for long- 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25" w:lineRule="exact"/>
        <w:rPr>
          <w:sz w:val="20"/>
          <w:szCs w:val="20"/>
          <w:color w:val="auto"/>
        </w:rPr>
      </w:pPr>
    </w:p>
    <w:p>
      <w:pPr>
        <w:ind w:right="20" w:firstLine="556"/>
        <w:spacing w:after="0" w:line="331" w:lineRule="auto"/>
        <w:rPr>
          <w:sz w:val="20"/>
          <w:szCs w:val="20"/>
          <w:color w:val="auto"/>
        </w:rPr>
      </w:pPr>
      <w:r>
        <w:rPr>
          <w:rFonts w:ascii="Arial" w:cs="Arial" w:eastAsia="Arial" w:hAnsi="Arial"/>
          <w:sz w:val="12"/>
          <w:szCs w:val="12"/>
          <w:b w:val="1"/>
          <w:bCs w:val="1"/>
          <w:i w:val="1"/>
          <w:iCs w:val="1"/>
          <w:color w:val="231F20"/>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9"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231F20"/>
        </w:rPr>
        <w:t xml:space="preserve">The regulatory requirements to which our product candidates will be subject are not entirely clear. Even with respect to more established </w:t>
      </w:r>
      <w:r>
        <w:rPr>
          <w:rFonts w:ascii="Arial" w:cs="Arial" w:eastAsia="Arial" w:hAnsi="Arial"/>
          <w:sz w:val="13"/>
          <w:szCs w:val="13"/>
          <w:color w:val="000000"/>
        </w:rPr>
        <w:t>products</w:t>
      </w:r>
      <w:r>
        <w:rPr>
          <w:rFonts w:ascii="Arial" w:cs="Arial" w:eastAsia="Arial" w:hAnsi="Arial"/>
          <w:sz w:val="13"/>
          <w:szCs w:val="13"/>
          <w:color w:val="231F20"/>
        </w:rPr>
        <w:t xml:space="preserve">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or IBC,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139" w:lineRule="exact"/>
        <w:rPr>
          <w:sz w:val="20"/>
          <w:szCs w:val="20"/>
          <w:color w:val="auto"/>
        </w:rPr>
      </w:pPr>
    </w:p>
    <w:p>
      <w:pPr>
        <w:ind w:right="200" w:firstLine="556"/>
        <w:spacing w:after="0" w:line="267" w:lineRule="auto"/>
        <w:rPr>
          <w:sz w:val="20"/>
          <w:szCs w:val="20"/>
          <w:color w:val="auto"/>
        </w:rPr>
      </w:pPr>
      <w:r>
        <w:rPr>
          <w:rFonts w:ascii="Arial" w:cs="Arial" w:eastAsia="Arial" w:hAnsi="Arial"/>
          <w:sz w:val="13"/>
          <w:szCs w:val="13"/>
          <w:color w:val="231F20"/>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CAT,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35"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231F20"/>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38" w:lineRule="exact"/>
        <w:rPr>
          <w:sz w:val="20"/>
          <w:szCs w:val="20"/>
          <w:color w:val="auto"/>
        </w:rPr>
      </w:pPr>
    </w:p>
    <w:p>
      <w:pPr>
        <w:ind w:right="380" w:firstLine="556"/>
        <w:spacing w:after="0" w:line="287" w:lineRule="auto"/>
        <w:rPr>
          <w:sz w:val="20"/>
          <w:szCs w:val="20"/>
          <w:color w:val="auto"/>
        </w:rPr>
      </w:pPr>
      <w:r>
        <w:rPr>
          <w:rFonts w:ascii="Arial" w:cs="Arial" w:eastAsia="Arial" w:hAnsi="Arial"/>
          <w:sz w:val="13"/>
          <w:szCs w:val="13"/>
          <w:color w:val="231F20"/>
        </w:rPr>
        <w:t>Delay or failure to obtain, or unexpected costs in obtaining, the regulatory approval necessary to bring a potential product to market could decrease our ability to generate sufficient product sales revenue to maintain our business.</w:t>
      </w:r>
    </w:p>
    <w:p>
      <w:pPr>
        <w:spacing w:after="0" w:line="122" w:lineRule="exact"/>
        <w:rPr>
          <w:sz w:val="20"/>
          <w:szCs w:val="20"/>
          <w:color w:val="auto"/>
        </w:rPr>
      </w:pPr>
    </w:p>
    <w:p>
      <w:pPr>
        <w:ind w:right="740" w:firstLine="556"/>
        <w:spacing w:after="0" w:line="287" w:lineRule="auto"/>
        <w:rPr>
          <w:sz w:val="20"/>
          <w:szCs w:val="20"/>
          <w:color w:val="auto"/>
        </w:rPr>
      </w:pPr>
      <w:r>
        <w:rPr>
          <w:rFonts w:ascii="Arial" w:cs="Arial" w:eastAsia="Arial" w:hAnsi="Arial"/>
          <w:sz w:val="13"/>
          <w:szCs w:val="13"/>
          <w:b w:val="1"/>
          <w:bCs w:val="1"/>
          <w:i w:val="1"/>
          <w:iCs w:val="1"/>
          <w:color w:val="231F20"/>
        </w:rPr>
        <w:t>We may be unable to obtain regulatory approval for our product candidates under applicable international regulatory requirements. The denial or delay of such approval would delay commercialization of our product candidates and adversely impact our potential to generate revenue, our business and our results of operations.</w:t>
      </w:r>
    </w:p>
    <w:p>
      <w:pPr>
        <w:spacing w:after="0" w:line="42"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231F20"/>
        </w:rPr>
        <w:t>Approval by the FDA in the United States, if obtained, does not ensure approval by regulatory authorities in other countries or jurisdictions. In order to eventually market any of our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9" w:name="page30"/>
    <w:bookmarkEnd w:id="29"/>
    <w:p>
      <w:pPr>
        <w:ind w:right="320"/>
        <w:spacing w:after="0" w:line="287" w:lineRule="auto"/>
        <w:rPr>
          <w:sz w:val="20"/>
          <w:szCs w:val="20"/>
          <w:color w:val="auto"/>
        </w:rPr>
      </w:pPr>
      <w:r>
        <w:rPr>
          <w:rFonts w:ascii="Arial" w:cs="Arial" w:eastAsia="Arial" w:hAnsi="Arial"/>
          <w:sz w:val="13"/>
          <w:szCs w:val="13"/>
          <w:color w:val="231F20"/>
        </w:rPr>
        <w:t xml:space="preserve">other countries, and regulatory approval in one country does not guarantee regulatory approval in any other country. Approval </w:t>
      </w:r>
      <w:r>
        <w:rPr>
          <w:rFonts w:ascii="Arial" w:cs="Arial" w:eastAsia="Arial" w:hAnsi="Arial"/>
          <w:sz w:val="13"/>
          <w:szCs w:val="13"/>
          <w:color w:val="000000"/>
        </w:rPr>
        <w:t>processes</w:t>
      </w:r>
      <w:r>
        <w:rPr>
          <w:rFonts w:ascii="Arial" w:cs="Arial" w:eastAsia="Arial" w:hAnsi="Arial"/>
          <w:sz w:val="13"/>
          <w:szCs w:val="13"/>
          <w:color w:val="231F20"/>
        </w:rPr>
        <w:t xml:space="preserve"> vary among countries and can involve additional product testing and validation and additional administrative review periods.</w:t>
      </w:r>
    </w:p>
    <w:p>
      <w:pPr>
        <w:spacing w:after="0" w:line="122" w:lineRule="exact"/>
        <w:rPr>
          <w:sz w:val="20"/>
          <w:szCs w:val="20"/>
          <w:color w:val="auto"/>
        </w:rPr>
      </w:pPr>
    </w:p>
    <w:p>
      <w:pPr>
        <w:ind w:right="60" w:firstLine="556"/>
        <w:spacing w:after="0" w:line="291" w:lineRule="auto"/>
        <w:rPr>
          <w:sz w:val="20"/>
          <w:szCs w:val="20"/>
          <w:color w:val="auto"/>
        </w:rPr>
      </w:pPr>
      <w:r>
        <w:rPr>
          <w:rFonts w:ascii="Arial" w:cs="Arial" w:eastAsia="Arial" w:hAnsi="Arial"/>
          <w:sz w:val="12"/>
          <w:szCs w:val="12"/>
          <w:color w:val="231F20"/>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1"/>
          <w:szCs w:val="11"/>
          <w:b w:val="1"/>
          <w:bCs w:val="1"/>
          <w:i w:val="1"/>
          <w:iCs w:val="1"/>
          <w:color w:val="231F20"/>
        </w:rPr>
        <w:t>A third-party investigational drug used in combination with our product candidates may be unable to obtain regulatory approval, which may delay commercialization of our product candidates.</w:t>
      </w:r>
    </w:p>
    <w:p>
      <w:pPr>
        <w:spacing w:after="0" w:line="113" w:lineRule="exact"/>
        <w:rPr>
          <w:sz w:val="20"/>
          <w:szCs w:val="20"/>
          <w:color w:val="auto"/>
        </w:rPr>
      </w:pPr>
    </w:p>
    <w:p>
      <w:pPr>
        <w:ind w:right="120" w:firstLine="556"/>
        <w:spacing w:after="0" w:line="260" w:lineRule="auto"/>
        <w:rPr>
          <w:sz w:val="20"/>
          <w:szCs w:val="20"/>
          <w:color w:val="auto"/>
        </w:rPr>
      </w:pPr>
      <w:r>
        <w:rPr>
          <w:rFonts w:ascii="Arial" w:cs="Arial" w:eastAsia="Arial" w:hAnsi="Arial"/>
          <w:sz w:val="13"/>
          <w:szCs w:val="13"/>
          <w:color w:val="231F20"/>
        </w:rPr>
        <w:t xml:space="preserve">We are developing several of our product candidates to be used in combination with our and third-party drugs. Even if any product </w:t>
      </w:r>
      <w:r>
        <w:rPr>
          <w:rFonts w:ascii="Arial" w:cs="Arial" w:eastAsia="Arial" w:hAnsi="Arial"/>
          <w:sz w:val="13"/>
          <w:szCs w:val="13"/>
          <w:color w:val="000000"/>
        </w:rPr>
        <w:t>candidate</w:t>
      </w:r>
      <w:r>
        <w:rPr>
          <w:rFonts w:ascii="Arial" w:cs="Arial" w:eastAsia="Arial" w:hAnsi="Arial"/>
          <w:sz w:val="13"/>
          <w:szCs w:val="13"/>
          <w:color w:val="231F20"/>
        </w:rPr>
        <w:t xml:space="preserve"> we develop were to receive marketing approval or be commercialized for use in combination with other existing therapies, we would continue to be subject to the risks that the FDA, the EMA or similar regulatory authorities in other jurisdictions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similar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therapies that have not yet been approved for marketing by the FDA, the EMA or similar regulatory authorities in other jurisdictions. We will not be able to market any product candidate we develop in combination with an unapproved therapy if that unapproved therapy does not ultimately obtain marketing approval. In addition, unapproved therapies face the same risks described with respect to our product candidates currently in development and clinical trials, including the potential for serious adverse effects, delay in their clinical trials and lack of FDA, EMA or similar regulatory authority approval.</w:t>
      </w:r>
    </w:p>
    <w:p>
      <w:pPr>
        <w:spacing w:after="0" w:line="142"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3"/>
          <w:szCs w:val="13"/>
          <w:color w:val="231F20"/>
        </w:rPr>
        <w:t>If the FDA, the EMA or similar regulatory authorities in other jurisdictions do not approve these other drugs or revoke their approval of, or if safety, efficacy, manufacturing or supply issues arise with, the drugs we choose to evaluate in combination with any product candidate we develop, we may be unable to obtain approval of or market any product candidate we develop.</w:t>
      </w:r>
    </w:p>
    <w:p>
      <w:pPr>
        <w:spacing w:after="0" w:line="12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b w:val="1"/>
          <w:bCs w:val="1"/>
          <w:i w:val="1"/>
          <w:iCs w:val="1"/>
          <w:color w:val="231F20"/>
        </w:rPr>
        <w:t>Even if we receive regulatory approval of our product candidates, we will be subject to ongoing regulatory obligations and continued regulatory review, which may result in significant additional expense. We may be subject to penalties if we fail to comply with regulatory requirements or experience unanticipated problems with our product candidates.</w:t>
      </w:r>
    </w:p>
    <w:p>
      <w:pPr>
        <w:spacing w:after="0" w:line="42" w:lineRule="exact"/>
        <w:rPr>
          <w:sz w:val="20"/>
          <w:szCs w:val="20"/>
          <w:color w:val="auto"/>
        </w:rPr>
      </w:pPr>
    </w:p>
    <w:p>
      <w:pPr>
        <w:jc w:val="both"/>
        <w:ind w:firstLine="556"/>
        <w:spacing w:after="0" w:line="296" w:lineRule="auto"/>
        <w:rPr>
          <w:sz w:val="20"/>
          <w:szCs w:val="20"/>
          <w:color w:val="auto"/>
        </w:rPr>
      </w:pPr>
      <w:r>
        <w:rPr>
          <w:rFonts w:ascii="Arial" w:cs="Arial" w:eastAsia="Arial" w:hAnsi="Arial"/>
          <w:sz w:val="12"/>
          <w:szCs w:val="12"/>
          <w:color w:val="231F20"/>
        </w:rPr>
        <w:t>Even if we obtain regulatory approval in a jurisdiction, the applicable regulatory authority may still impose significant restrictions on the indicated uses or marketing of our product, or impose ongoing requirements for potentially costly post-</w:t>
      </w:r>
      <w:r>
        <w:rPr>
          <w:rFonts w:ascii="Arial" w:cs="Arial" w:eastAsia="Arial" w:hAnsi="Arial"/>
          <w:sz w:val="12"/>
          <w:szCs w:val="12"/>
          <w:color w:val="000000"/>
        </w:rPr>
        <w:t>approval</w:t>
      </w:r>
      <w:r>
        <w:rPr>
          <w:rFonts w:ascii="Arial" w:cs="Arial" w:eastAsia="Arial" w:hAnsi="Arial"/>
          <w:sz w:val="12"/>
          <w:szCs w:val="12"/>
          <w:color w:val="231F20"/>
        </w:rPr>
        <w:t xml:space="preserve">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If we fail to comply with applicable regulatory requirements following approval of any of our product candidates, a regulatory agency may:</w:t>
      </w:r>
    </w:p>
    <w:p>
      <w:pPr>
        <w:spacing w:after="0" w:line="70" w:lineRule="exact"/>
        <w:rPr>
          <w:sz w:val="20"/>
          <w:szCs w:val="20"/>
          <w:color w:val="auto"/>
        </w:rPr>
      </w:pPr>
    </w:p>
    <w:p>
      <w:pPr>
        <w:ind w:left="1020" w:hanging="340"/>
        <w:spacing w:after="0"/>
        <w:tabs>
          <w:tab w:leader="none" w:pos="1020" w:val="left"/>
        </w:tabs>
        <w:numPr>
          <w:ilvl w:val="0"/>
          <w:numId w:val="25"/>
        </w:numPr>
        <w:rPr>
          <w:rFonts w:ascii="Arial" w:cs="Arial" w:eastAsia="Arial" w:hAnsi="Arial"/>
          <w:sz w:val="13"/>
          <w:szCs w:val="13"/>
          <w:color w:val="231F20"/>
        </w:rPr>
      </w:pPr>
      <w:r>
        <w:rPr>
          <w:rFonts w:ascii="Arial" w:cs="Arial" w:eastAsia="Arial" w:hAnsi="Arial"/>
          <w:sz w:val="13"/>
          <w:szCs w:val="13"/>
          <w:color w:val="231F20"/>
        </w:rPr>
        <w:t>issue a warning letter asserting that we are in violation of the law;</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5"/>
        </w:numPr>
        <w:rPr>
          <w:rFonts w:ascii="Arial" w:cs="Arial" w:eastAsia="Arial" w:hAnsi="Arial"/>
          <w:sz w:val="13"/>
          <w:szCs w:val="13"/>
          <w:color w:val="231F20"/>
        </w:rPr>
      </w:pPr>
      <w:r>
        <w:rPr>
          <w:rFonts w:ascii="Arial" w:cs="Arial" w:eastAsia="Arial" w:hAnsi="Arial"/>
          <w:sz w:val="13"/>
          <w:szCs w:val="13"/>
          <w:color w:val="231F20"/>
        </w:rPr>
        <w:t>seek an injunction or impose civil or criminal penalties or monetary fines;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5"/>
        </w:numPr>
        <w:rPr>
          <w:rFonts w:ascii="Arial" w:cs="Arial" w:eastAsia="Arial" w:hAnsi="Arial"/>
          <w:sz w:val="13"/>
          <w:szCs w:val="13"/>
          <w:color w:val="231F20"/>
        </w:rPr>
      </w:pPr>
      <w:r>
        <w:rPr>
          <w:rFonts w:ascii="Arial" w:cs="Arial" w:eastAsia="Arial" w:hAnsi="Arial"/>
          <w:sz w:val="13"/>
          <w:szCs w:val="13"/>
          <w:color w:val="231F20"/>
        </w:rPr>
        <w:t>suspend or withdraw regulatory approval or revoke a license;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5"/>
        </w:numPr>
        <w:rPr>
          <w:rFonts w:ascii="Arial" w:cs="Arial" w:eastAsia="Arial" w:hAnsi="Arial"/>
          <w:sz w:val="13"/>
          <w:szCs w:val="13"/>
          <w:color w:val="231F20"/>
        </w:rPr>
      </w:pPr>
      <w:r>
        <w:rPr>
          <w:rFonts w:ascii="Arial" w:cs="Arial" w:eastAsia="Arial" w:hAnsi="Arial"/>
          <w:sz w:val="13"/>
          <w:szCs w:val="13"/>
          <w:color w:val="231F20"/>
        </w:rPr>
        <w:t>suspend any ongoing clinical studies;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30" w:name="page31"/>
    <w:bookmarkEnd w:id="30"/>
    <w:p>
      <w:pPr>
        <w:ind w:left="1020" w:hanging="340"/>
        <w:spacing w:after="0"/>
        <w:tabs>
          <w:tab w:leader="none" w:pos="1020" w:val="left"/>
        </w:tabs>
        <w:numPr>
          <w:ilvl w:val="0"/>
          <w:numId w:val="26"/>
        </w:numPr>
        <w:rPr>
          <w:rFonts w:ascii="Arial" w:cs="Arial" w:eastAsia="Arial" w:hAnsi="Arial"/>
          <w:sz w:val="13"/>
          <w:szCs w:val="13"/>
          <w:color w:val="231F20"/>
        </w:rPr>
      </w:pPr>
      <w:r>
        <w:rPr>
          <w:rFonts w:ascii="Arial" w:cs="Arial" w:eastAsia="Arial" w:hAnsi="Arial"/>
          <w:sz w:val="13"/>
          <w:szCs w:val="13"/>
          <w:color w:val="231F20"/>
        </w:rPr>
        <w:t>refuse to approve a pending BLA or supplements to a BLA submitted by us;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6"/>
        </w:numPr>
        <w:rPr>
          <w:rFonts w:ascii="Arial" w:cs="Arial" w:eastAsia="Arial" w:hAnsi="Arial"/>
          <w:sz w:val="13"/>
          <w:szCs w:val="13"/>
          <w:color w:val="231F20"/>
        </w:rPr>
      </w:pPr>
      <w:r>
        <w:rPr>
          <w:rFonts w:ascii="Arial" w:cs="Arial" w:eastAsia="Arial" w:hAnsi="Arial"/>
          <w:sz w:val="13"/>
          <w:szCs w:val="13"/>
          <w:color w:val="231F20"/>
        </w:rPr>
        <w:t>seize product; or</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6"/>
        </w:numPr>
        <w:rPr>
          <w:rFonts w:ascii="Arial" w:cs="Arial" w:eastAsia="Arial" w:hAnsi="Arial"/>
          <w:sz w:val="13"/>
          <w:szCs w:val="13"/>
          <w:color w:val="231F20"/>
        </w:rPr>
      </w:pPr>
      <w:r>
        <w:rPr>
          <w:rFonts w:ascii="Arial" w:cs="Arial" w:eastAsia="Arial" w:hAnsi="Arial"/>
          <w:sz w:val="13"/>
          <w:szCs w:val="13"/>
          <w:color w:val="231F20"/>
        </w:rPr>
        <w:t>refuse to allow us to enter into supply contracts, including government contracts.</w:t>
      </w:r>
    </w:p>
    <w:p>
      <w:pPr>
        <w:spacing w:after="0" w:line="170"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231F20"/>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122" w:lineRule="exact"/>
        <w:rPr>
          <w:sz w:val="20"/>
          <w:szCs w:val="20"/>
          <w:color w:val="auto"/>
        </w:rPr>
      </w:pPr>
    </w:p>
    <w:p>
      <w:pPr>
        <w:ind w:right="160" w:firstLine="556"/>
        <w:spacing w:after="0" w:line="267" w:lineRule="auto"/>
        <w:rPr>
          <w:sz w:val="20"/>
          <w:szCs w:val="20"/>
          <w:color w:val="auto"/>
        </w:rPr>
      </w:pPr>
      <w:r>
        <w:rPr>
          <w:rFonts w:ascii="Arial" w:cs="Arial" w:eastAsia="Arial" w:hAnsi="Arial"/>
          <w:sz w:val="13"/>
          <w:szCs w:val="13"/>
          <w:color w:val="231F20"/>
        </w:rPr>
        <w:t>If any of our product candidates cause undesirable side effects, it could delay or prevent their regulatory approval, limit the commercial potential, or result in significant negative consequences following any potential marketing approval. Product candidates we may develop may be associated with an adverse immune response or other serious adverse events, undesirable side effects or unexpected characteristics. In addition to serious adverse events or side effects caused by any of our product candidates, the administration process or related procedures also can cause undesirable side effects. If any such events occur, the clinical trials of any of our product candidates could be suspended or terminated.</w:t>
      </w:r>
    </w:p>
    <w:p>
      <w:pPr>
        <w:spacing w:after="0" w:line="135" w:lineRule="exact"/>
        <w:rPr>
          <w:sz w:val="20"/>
          <w:szCs w:val="20"/>
          <w:color w:val="auto"/>
        </w:rPr>
      </w:pPr>
    </w:p>
    <w:p>
      <w:pPr>
        <w:ind w:firstLine="556"/>
        <w:spacing w:after="0" w:line="291" w:lineRule="auto"/>
        <w:rPr>
          <w:sz w:val="20"/>
          <w:szCs w:val="20"/>
          <w:color w:val="auto"/>
        </w:rPr>
      </w:pPr>
      <w:r>
        <w:rPr>
          <w:rFonts w:ascii="Arial" w:cs="Arial" w:eastAsia="Arial" w:hAnsi="Arial"/>
          <w:sz w:val="12"/>
          <w:szCs w:val="12"/>
          <w:color w:val="231F20"/>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23" w:lineRule="exact"/>
        <w:rPr>
          <w:sz w:val="20"/>
          <w:szCs w:val="20"/>
          <w:color w:val="auto"/>
        </w:rPr>
      </w:pPr>
    </w:p>
    <w:p>
      <w:pPr>
        <w:ind w:right="120" w:firstLine="556"/>
        <w:spacing w:after="0" w:line="267" w:lineRule="auto"/>
        <w:rPr>
          <w:sz w:val="20"/>
          <w:szCs w:val="20"/>
          <w:color w:val="auto"/>
        </w:rPr>
      </w:pPr>
      <w:r>
        <w:rPr>
          <w:rFonts w:ascii="Arial" w:cs="Arial" w:eastAsia="Arial" w:hAnsi="Arial"/>
          <w:sz w:val="13"/>
          <w:szCs w:val="13"/>
          <w:color w:val="231F20"/>
        </w:rPr>
        <w:t>Additionally, if we successfully obtain regulatory approval for a product candidate, the FDA or other regulatory authority could require us to adopt a REMS or a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Furthermore, if we or others later identify undesirable side effects caused by any product that we develop, several potentially significant negative consequences could result, including:</w:t>
      </w:r>
    </w:p>
    <w:p>
      <w:pPr>
        <w:spacing w:after="0" w:line="90" w:lineRule="exact"/>
        <w:rPr>
          <w:sz w:val="20"/>
          <w:szCs w:val="20"/>
          <w:color w:val="auto"/>
        </w:rPr>
      </w:pPr>
    </w:p>
    <w:p>
      <w:pPr>
        <w:ind w:left="1020" w:hanging="340"/>
        <w:spacing w:after="0"/>
        <w:tabs>
          <w:tab w:leader="none" w:pos="1020" w:val="left"/>
        </w:tabs>
        <w:numPr>
          <w:ilvl w:val="0"/>
          <w:numId w:val="27"/>
        </w:numPr>
        <w:rPr>
          <w:rFonts w:ascii="Arial" w:cs="Arial" w:eastAsia="Arial" w:hAnsi="Arial"/>
          <w:sz w:val="13"/>
          <w:szCs w:val="13"/>
          <w:color w:val="231F20"/>
        </w:rPr>
      </w:pPr>
      <w:r>
        <w:rPr>
          <w:rFonts w:ascii="Arial" w:cs="Arial" w:eastAsia="Arial" w:hAnsi="Arial"/>
          <w:sz w:val="13"/>
          <w:szCs w:val="13"/>
          <w:color w:val="231F20"/>
        </w:rPr>
        <w:t>regulatory authorities may suspend or withdraw approvals or revoke licenses of such product;</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7"/>
        </w:numPr>
        <w:rPr>
          <w:rFonts w:ascii="Arial" w:cs="Arial" w:eastAsia="Arial" w:hAnsi="Arial"/>
          <w:sz w:val="13"/>
          <w:szCs w:val="13"/>
          <w:color w:val="231F20"/>
        </w:rPr>
      </w:pPr>
      <w:r>
        <w:rPr>
          <w:rFonts w:ascii="Arial" w:cs="Arial" w:eastAsia="Arial" w:hAnsi="Arial"/>
          <w:sz w:val="13"/>
          <w:szCs w:val="13"/>
          <w:color w:val="231F20"/>
        </w:rPr>
        <w:t>regulatory authorities may require additional warnings on the label;</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7"/>
        </w:numPr>
        <w:rPr>
          <w:rFonts w:ascii="Arial" w:cs="Arial" w:eastAsia="Arial" w:hAnsi="Arial"/>
          <w:sz w:val="13"/>
          <w:szCs w:val="13"/>
          <w:color w:val="231F20"/>
        </w:rPr>
      </w:pPr>
      <w:r>
        <w:rPr>
          <w:rFonts w:ascii="Arial" w:cs="Arial" w:eastAsia="Arial" w:hAnsi="Arial"/>
          <w:sz w:val="13"/>
          <w:szCs w:val="13"/>
          <w:color w:val="231F20"/>
        </w:rPr>
        <w:t>we may be required to change the way a product is administered or conduct additional clinical trials;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7"/>
        </w:numPr>
        <w:rPr>
          <w:rFonts w:ascii="Arial" w:cs="Arial" w:eastAsia="Arial" w:hAnsi="Arial"/>
          <w:sz w:val="13"/>
          <w:szCs w:val="13"/>
          <w:color w:val="231F20"/>
        </w:rPr>
      </w:pPr>
      <w:r>
        <w:rPr>
          <w:rFonts w:ascii="Arial" w:cs="Arial" w:eastAsia="Arial" w:hAnsi="Arial"/>
          <w:sz w:val="13"/>
          <w:szCs w:val="13"/>
          <w:color w:val="231F20"/>
        </w:rPr>
        <w:t>we could be sued and held liable for harm caused to patients and their children;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7"/>
        </w:numPr>
        <w:rPr>
          <w:rFonts w:ascii="Arial" w:cs="Arial" w:eastAsia="Arial" w:hAnsi="Arial"/>
          <w:sz w:val="13"/>
          <w:szCs w:val="13"/>
          <w:color w:val="231F20"/>
        </w:rPr>
      </w:pPr>
      <w:r>
        <w:rPr>
          <w:rFonts w:ascii="Arial" w:cs="Arial" w:eastAsia="Arial" w:hAnsi="Arial"/>
          <w:sz w:val="13"/>
          <w:szCs w:val="13"/>
          <w:color w:val="231F20"/>
        </w:rPr>
        <w:t>our reputation may suffer.</w:t>
      </w:r>
    </w:p>
    <w:p>
      <w:pPr>
        <w:spacing w:after="0" w:line="170" w:lineRule="exact"/>
        <w:rPr>
          <w:sz w:val="20"/>
          <w:szCs w:val="20"/>
          <w:color w:val="auto"/>
        </w:rPr>
      </w:pPr>
    </w:p>
    <w:p>
      <w:pPr>
        <w:ind w:right="480" w:firstLine="556"/>
        <w:spacing w:after="0" w:line="287" w:lineRule="auto"/>
        <w:rPr>
          <w:sz w:val="20"/>
          <w:szCs w:val="20"/>
          <w:color w:val="auto"/>
        </w:rPr>
      </w:pPr>
      <w:r>
        <w:rPr>
          <w:rFonts w:ascii="Arial" w:cs="Arial" w:eastAsia="Arial" w:hAnsi="Arial"/>
          <w:sz w:val="13"/>
          <w:szCs w:val="13"/>
          <w:color w:val="231F20"/>
        </w:rPr>
        <w:t>Any of these events could prevent us from achieving or maintaining market acceptance of any products we may identify and develop and could have a material adverse impact on our business, financial condition, results of operations and prospects.</w:t>
      </w:r>
    </w:p>
    <w:p>
      <w:pPr>
        <w:spacing w:after="0" w:line="122" w:lineRule="exact"/>
        <w:rPr>
          <w:sz w:val="20"/>
          <w:szCs w:val="20"/>
          <w:color w:val="auto"/>
        </w:rPr>
      </w:pPr>
    </w:p>
    <w:p>
      <w:pPr>
        <w:ind w:right="120" w:firstLine="556"/>
        <w:spacing w:after="0" w:line="264" w:lineRule="auto"/>
        <w:rPr>
          <w:sz w:val="20"/>
          <w:szCs w:val="20"/>
          <w:color w:val="auto"/>
        </w:rPr>
      </w:pPr>
      <w:r>
        <w:rPr>
          <w:rFonts w:ascii="Arial" w:cs="Arial" w:eastAsia="Arial" w:hAnsi="Arial"/>
          <w:sz w:val="13"/>
          <w:szCs w:val="13"/>
          <w:color w:val="231F20"/>
        </w:rPr>
        <w:t>If we are successful in gaining approval for any of our product candidates we will continue to face significant regulatory oversight of the manufacturing and distribution of our products. Product manufacturers and their facilities are subject to payment of user fees and continual review and periodic inspections by the FDA and other regulatory authorities for compliance with GMP and adherence to commitments made in the BLA.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31" w:name="page32"/>
    <w:bookmarkEnd w:id="31"/>
    <w:p>
      <w:pPr>
        <w:ind w:right="140" w:firstLine="556"/>
        <w:spacing w:after="0" w:line="287" w:lineRule="auto"/>
        <w:rPr>
          <w:sz w:val="20"/>
          <w:szCs w:val="20"/>
          <w:color w:val="auto"/>
        </w:rPr>
      </w:pPr>
      <w:r>
        <w:rPr>
          <w:rFonts w:ascii="Arial" w:cs="Arial" w:eastAsia="Arial" w:hAnsi="Arial"/>
          <w:sz w:val="13"/>
          <w:szCs w:val="13"/>
          <w:b w:val="1"/>
          <w:bCs w:val="1"/>
          <w:i w:val="1"/>
          <w:iCs w:val="1"/>
          <w:color w:val="231F20"/>
        </w:rPr>
        <w:t>If we are not successful in discovering, developing and commercializing additional product candidates beyond our current portfolio, our ability to expand our business and achieve our strategic objectives would be impaired.</w:t>
      </w:r>
    </w:p>
    <w:p>
      <w:pPr>
        <w:spacing w:after="0" w:line="42"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Although a substantial amount of our efforts will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successfully develop and commercialize such products for many reasons, including the following:</w:t>
      </w:r>
    </w:p>
    <w:p>
      <w:pPr>
        <w:spacing w:after="0" w:line="58" w:lineRule="exact"/>
        <w:rPr>
          <w:sz w:val="20"/>
          <w:szCs w:val="20"/>
          <w:color w:val="auto"/>
        </w:rPr>
      </w:pPr>
    </w:p>
    <w:p>
      <w:pPr>
        <w:ind w:left="1020" w:hanging="340"/>
        <w:spacing w:after="0"/>
        <w:tabs>
          <w:tab w:leader="none" w:pos="1020" w:val="left"/>
        </w:tabs>
        <w:numPr>
          <w:ilvl w:val="0"/>
          <w:numId w:val="28"/>
        </w:numPr>
        <w:rPr>
          <w:rFonts w:ascii="Arial" w:cs="Arial" w:eastAsia="Arial" w:hAnsi="Arial"/>
          <w:sz w:val="13"/>
          <w:szCs w:val="13"/>
          <w:color w:val="231F20"/>
        </w:rPr>
      </w:pPr>
      <w:r>
        <w:rPr>
          <w:rFonts w:ascii="Arial" w:cs="Arial" w:eastAsia="Arial" w:hAnsi="Arial"/>
          <w:sz w:val="13"/>
          <w:szCs w:val="13"/>
          <w:color w:val="231F20"/>
        </w:rPr>
        <w:t>the research methodology used may not be successful in identifying potential product candidates;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
        </w:numPr>
        <w:rPr>
          <w:rFonts w:ascii="Arial" w:cs="Arial" w:eastAsia="Arial" w:hAnsi="Arial"/>
          <w:sz w:val="13"/>
          <w:szCs w:val="13"/>
          <w:color w:val="231F20"/>
        </w:rPr>
      </w:pPr>
      <w:r>
        <w:rPr>
          <w:rFonts w:ascii="Arial" w:cs="Arial" w:eastAsia="Arial" w:hAnsi="Arial"/>
          <w:sz w:val="13"/>
          <w:szCs w:val="13"/>
          <w:color w:val="231F20"/>
        </w:rPr>
        <w:t>competitors may develop alternatives that render our product candidates obsolete;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
        </w:numPr>
        <w:rPr>
          <w:rFonts w:ascii="Arial" w:cs="Arial" w:eastAsia="Arial" w:hAnsi="Arial"/>
          <w:sz w:val="13"/>
          <w:szCs w:val="13"/>
          <w:color w:val="231F20"/>
        </w:rPr>
      </w:pPr>
      <w:r>
        <w:rPr>
          <w:rFonts w:ascii="Arial" w:cs="Arial" w:eastAsia="Arial" w:hAnsi="Arial"/>
          <w:sz w:val="13"/>
          <w:szCs w:val="13"/>
          <w:color w:val="231F20"/>
        </w:rPr>
        <w:t>product candidates we develop may nevertheless be covered by third parties’ patents or other exclusive rights;</w:t>
      </w:r>
    </w:p>
    <w:p>
      <w:pPr>
        <w:spacing w:after="0" w:line="90" w:lineRule="exact"/>
        <w:rPr>
          <w:rFonts w:ascii="Arial" w:cs="Arial" w:eastAsia="Arial" w:hAnsi="Arial"/>
          <w:sz w:val="13"/>
          <w:szCs w:val="13"/>
          <w:color w:val="231F20"/>
        </w:rPr>
      </w:pPr>
    </w:p>
    <w:p>
      <w:pPr>
        <w:ind w:left="1020" w:right="460" w:hanging="340"/>
        <w:spacing w:after="0" w:line="287" w:lineRule="auto"/>
        <w:tabs>
          <w:tab w:leader="none" w:pos="1020" w:val="left"/>
        </w:tabs>
        <w:numPr>
          <w:ilvl w:val="0"/>
          <w:numId w:val="28"/>
        </w:numPr>
        <w:rPr>
          <w:rFonts w:ascii="Arial" w:cs="Arial" w:eastAsia="Arial" w:hAnsi="Arial"/>
          <w:sz w:val="13"/>
          <w:szCs w:val="13"/>
          <w:color w:val="231F20"/>
        </w:rPr>
      </w:pPr>
      <w:r>
        <w:rPr>
          <w:rFonts w:ascii="Arial" w:cs="Arial" w:eastAsia="Arial" w:hAnsi="Arial"/>
          <w:sz w:val="13"/>
          <w:szCs w:val="13"/>
          <w:color w:val="231F20"/>
        </w:rPr>
        <w:t>a product candidate may, on further study, be shown to have harmful side effects or other characteristics that indicate it is unlikely to be effective or otherwise does not meet applicable regulatory criteria;</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8"/>
        </w:numPr>
        <w:rPr>
          <w:rFonts w:ascii="Arial" w:cs="Arial" w:eastAsia="Arial" w:hAnsi="Arial"/>
          <w:sz w:val="13"/>
          <w:szCs w:val="13"/>
          <w:color w:val="231F20"/>
        </w:rPr>
      </w:pPr>
      <w:r>
        <w:rPr>
          <w:rFonts w:ascii="Arial" w:cs="Arial" w:eastAsia="Arial" w:hAnsi="Arial"/>
          <w:sz w:val="13"/>
          <w:szCs w:val="13"/>
          <w:color w:val="231F20"/>
        </w:rPr>
        <w:t>a product candidate may not be capable of being produced in commercial quantities at an acceptable cost, or at all;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
        </w:numPr>
        <w:rPr>
          <w:rFonts w:ascii="Arial" w:cs="Arial" w:eastAsia="Arial" w:hAnsi="Arial"/>
          <w:sz w:val="13"/>
          <w:szCs w:val="13"/>
          <w:color w:val="231F20"/>
        </w:rPr>
      </w:pPr>
      <w:r>
        <w:rPr>
          <w:rFonts w:ascii="Arial" w:cs="Arial" w:eastAsia="Arial" w:hAnsi="Arial"/>
          <w:sz w:val="13"/>
          <w:szCs w:val="13"/>
          <w:color w:val="231F20"/>
        </w:rPr>
        <w:t>an approved product may not be accepted as safe and effective by trial participants, the medical community or third-party payors.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If we are unsuccessful in identifying and developing additional products, our potential for growth may be impaired.</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the Manufacturing of our Product Candidates and Future Pipeline</w:t>
      </w:r>
    </w:p>
    <w:p>
      <w:pPr>
        <w:spacing w:after="0" w:line="94" w:lineRule="exact"/>
        <w:rPr>
          <w:sz w:val="20"/>
          <w:szCs w:val="20"/>
          <w:color w:val="auto"/>
        </w:rPr>
      </w:pPr>
    </w:p>
    <w:p>
      <w:pPr>
        <w:ind w:right="320" w:firstLine="556"/>
        <w:spacing w:after="0" w:line="272" w:lineRule="auto"/>
        <w:rPr>
          <w:sz w:val="20"/>
          <w:szCs w:val="20"/>
          <w:color w:val="auto"/>
        </w:rPr>
      </w:pPr>
      <w:r>
        <w:rPr>
          <w:rFonts w:ascii="Arial" w:cs="Arial" w:eastAsia="Arial" w:hAnsi="Arial"/>
          <w:sz w:val="13"/>
          <w:szCs w:val="13"/>
          <w:b w:val="1"/>
          <w:bCs w:val="1"/>
          <w:i w:val="1"/>
          <w:iCs w:val="1"/>
          <w:color w:val="231F20"/>
        </w:rPr>
        <w:t>Our mRNA product candidates are based on novel technologies and any product candidates we develop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52" w:lineRule="exact"/>
        <w:rPr>
          <w:sz w:val="20"/>
          <w:szCs w:val="20"/>
          <w:color w:val="auto"/>
        </w:rPr>
      </w:pPr>
    </w:p>
    <w:p>
      <w:pPr>
        <w:ind w:right="40" w:firstLine="556"/>
        <w:spacing w:after="0" w:line="287" w:lineRule="auto"/>
        <w:rPr>
          <w:sz w:val="20"/>
          <w:szCs w:val="20"/>
          <w:color w:val="auto"/>
        </w:rPr>
      </w:pPr>
      <w:r>
        <w:rPr>
          <w:rFonts w:ascii="Arial" w:cs="Arial" w:eastAsia="Arial" w:hAnsi="Arial"/>
          <w:sz w:val="12"/>
          <w:szCs w:val="12"/>
          <w:color w:val="231F20"/>
        </w:rPr>
        <w:t xml:space="preserve">The manufacturing processes for our product candidates are novel and complex. There are no immunotherapies commercialized to date or manufactured at such scale. Due to the novel nature of this technology and limited experience at larger scale </w:t>
      </w:r>
      <w:r>
        <w:rPr>
          <w:rFonts w:ascii="Arial" w:cs="Arial" w:eastAsia="Arial" w:hAnsi="Arial"/>
          <w:sz w:val="12"/>
          <w:szCs w:val="12"/>
          <w:color w:val="000000"/>
        </w:rPr>
        <w:t>production</w:t>
      </w:r>
      <w:r>
        <w:rPr>
          <w:rFonts w:ascii="Arial" w:cs="Arial" w:eastAsia="Arial" w:hAnsi="Arial"/>
          <w:sz w:val="12"/>
          <w:szCs w:val="12"/>
          <w:color w:val="231F20"/>
        </w:rPr>
        <w:t>,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product candidates could materially delay our or our collaborators’ ability to continue the clinical trial for that product candidate or require us to begin a new clinical trial with a newly formulated drug product, due to the need to manufacture additional preclinical or clinical supply.</w:t>
      </w:r>
    </w:p>
    <w:p>
      <w:pPr>
        <w:spacing w:after="0" w:line="125" w:lineRule="exact"/>
        <w:rPr>
          <w:sz w:val="20"/>
          <w:szCs w:val="20"/>
          <w:color w:val="auto"/>
        </w:rPr>
      </w:pPr>
    </w:p>
    <w:p>
      <w:pPr>
        <w:ind w:right="520" w:firstLine="556"/>
        <w:spacing w:after="0" w:line="331" w:lineRule="auto"/>
        <w:rPr>
          <w:sz w:val="20"/>
          <w:szCs w:val="20"/>
          <w:color w:val="auto"/>
        </w:rPr>
      </w:pPr>
      <w:r>
        <w:rPr>
          <w:rFonts w:ascii="Arial" w:cs="Arial" w:eastAsia="Arial" w:hAnsi="Arial"/>
          <w:sz w:val="12"/>
          <w:szCs w:val="12"/>
          <w:color w:val="231F20"/>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99" w:lineRule="exact"/>
        <w:rPr>
          <w:sz w:val="20"/>
          <w:szCs w:val="20"/>
          <w:color w:val="auto"/>
        </w:rPr>
      </w:pPr>
    </w:p>
    <w:p>
      <w:pPr>
        <w:ind w:right="140" w:firstLine="556"/>
        <w:spacing w:after="0" w:line="267" w:lineRule="auto"/>
        <w:rPr>
          <w:sz w:val="20"/>
          <w:szCs w:val="20"/>
          <w:color w:val="auto"/>
        </w:rPr>
      </w:pPr>
      <w:r>
        <w:rPr>
          <w:rFonts w:ascii="Arial" w:cs="Arial" w:eastAsia="Arial" w:hAnsi="Arial"/>
          <w:sz w:val="13"/>
          <w:szCs w:val="13"/>
          <w:color w:val="231F20"/>
        </w:rPr>
        <w:t>The process to generate mRNA product candidates is complex and, if not developed and manufactured under well-controlled conditions, can adversely impact pharmacological activity. Furthermore, we have not manufactured immunotherapies at commercial scale.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32" w:name="page33"/>
    <w:bookmarkEnd w:id="32"/>
    <w:p>
      <w:pPr>
        <w:ind w:right="20" w:firstLine="556"/>
        <w:spacing w:after="0" w:line="272" w:lineRule="auto"/>
        <w:rPr>
          <w:sz w:val="20"/>
          <w:szCs w:val="20"/>
          <w:color w:val="auto"/>
        </w:rPr>
      </w:pPr>
      <w:r>
        <w:rPr>
          <w:rFonts w:ascii="Arial" w:cs="Arial" w:eastAsia="Arial" w:hAnsi="Arial"/>
          <w:sz w:val="13"/>
          <w:szCs w:val="13"/>
          <w:color w:val="231F20"/>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 Our mRNA product candidates may prove to have a stability profile that leads to a lower than desired shelf life of the final approved immunotherapy. This poses risk in supply requirements, wasted stock and higher cost of goods.</w:t>
      </w:r>
    </w:p>
    <w:p>
      <w:pPr>
        <w:spacing w:after="0" w:line="132"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231F20"/>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12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Due to the number of different programs, we may have cross contamination of products inside of our factories, CROs,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132"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231F20"/>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12-month stability testing. That may require resupplying clinical material, or making additional GMP batches to keep up with clinical trial demand before such pharmaceutical property testing is completed.</w:t>
      </w:r>
    </w:p>
    <w:p>
      <w:pPr>
        <w:spacing w:after="0" w:line="135" w:lineRule="exact"/>
        <w:rPr>
          <w:sz w:val="20"/>
          <w:szCs w:val="20"/>
          <w:color w:val="auto"/>
        </w:rPr>
      </w:pPr>
    </w:p>
    <w:p>
      <w:pPr>
        <w:jc w:val="both"/>
        <w:ind w:right="80" w:firstLine="556"/>
        <w:spacing w:after="0" w:line="304" w:lineRule="auto"/>
        <w:rPr>
          <w:sz w:val="20"/>
          <w:szCs w:val="20"/>
          <w:color w:val="auto"/>
        </w:rPr>
      </w:pPr>
      <w:r>
        <w:rPr>
          <w:rFonts w:ascii="Arial" w:cs="Arial" w:eastAsia="Arial" w:hAnsi="Arial"/>
          <w:sz w:val="12"/>
          <w:szCs w:val="12"/>
          <w:color w:val="231F20"/>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product candidates. Further, now and in the future one or more of our programs may have a single source of supply for raw materials and excipients.</w:t>
      </w:r>
    </w:p>
    <w:p>
      <w:pPr>
        <w:spacing w:after="0" w:line="116" w:lineRule="exact"/>
        <w:rPr>
          <w:sz w:val="20"/>
          <w:szCs w:val="20"/>
          <w:color w:val="auto"/>
        </w:rPr>
      </w:pPr>
    </w:p>
    <w:p>
      <w:pPr>
        <w:ind w:right="200" w:firstLine="556"/>
        <w:spacing w:after="0" w:line="272" w:lineRule="auto"/>
        <w:rPr>
          <w:sz w:val="20"/>
          <w:szCs w:val="20"/>
          <w:color w:val="auto"/>
        </w:rPr>
      </w:pPr>
      <w:r>
        <w:rPr>
          <w:rFonts w:ascii="Arial" w:cs="Arial" w:eastAsia="Arial" w:hAnsi="Arial"/>
          <w:sz w:val="13"/>
          <w:szCs w:val="13"/>
          <w:color w:val="231F20"/>
        </w:rPr>
        <w:t>We have established a number of analytical assays, and may have to establish several more, to assess the quality of our mRNA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 candidates until the manufacturing or testing process is rectified.</w:t>
      </w:r>
    </w:p>
    <w:p>
      <w:pPr>
        <w:spacing w:after="0" w:line="132"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231F20"/>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 candidates and result in delays or interruptions to clinical or commercial supply. In addition, the cost associated with such transportation services and the limited pool of vendors may also add additional risks of supply disruptions.</w:t>
      </w:r>
    </w:p>
    <w:p>
      <w:pPr>
        <w:spacing w:after="0" w:line="132"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b w:val="1"/>
          <w:bCs w:val="1"/>
          <w:i w:val="1"/>
          <w:iCs w:val="1"/>
          <w:color w:val="231F20"/>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our product candidates for clinical trials or our products for patients, if approved, could be delayed or stopped, or we may be unable to maintain a commercially viable cost structure.</w:t>
      </w:r>
    </w:p>
    <w:p>
      <w:pPr>
        <w:spacing w:after="0" w:line="52"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231F20"/>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42" w:lineRule="exact"/>
        <w:rPr>
          <w:sz w:val="20"/>
          <w:szCs w:val="20"/>
          <w:color w:val="auto"/>
        </w:rPr>
      </w:pPr>
    </w:p>
    <w:p>
      <w:pPr>
        <w:ind w:left="1020" w:hanging="340"/>
        <w:spacing w:after="0"/>
        <w:tabs>
          <w:tab w:leader="none" w:pos="1020" w:val="left"/>
        </w:tabs>
        <w:numPr>
          <w:ilvl w:val="0"/>
          <w:numId w:val="29"/>
        </w:numPr>
        <w:rPr>
          <w:rFonts w:ascii="Arial" w:cs="Arial" w:eastAsia="Arial" w:hAnsi="Arial"/>
          <w:sz w:val="13"/>
          <w:szCs w:val="13"/>
          <w:color w:val="231F20"/>
        </w:rPr>
      </w:pPr>
      <w:r>
        <w:rPr>
          <w:rFonts w:ascii="Arial" w:cs="Arial" w:eastAsia="Arial" w:hAnsi="Arial"/>
          <w:sz w:val="13"/>
          <w:szCs w:val="13"/>
          <w:color w:val="231F20"/>
        </w:rPr>
        <w:t>logistics associated with the collection of a patient’s tumor, blood or other tissue sample;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9"/>
        </w:numPr>
        <w:rPr>
          <w:rFonts w:ascii="Arial" w:cs="Arial" w:eastAsia="Arial" w:hAnsi="Arial"/>
          <w:sz w:val="13"/>
          <w:szCs w:val="13"/>
          <w:color w:val="231F20"/>
        </w:rPr>
      </w:pPr>
      <w:r>
        <w:rPr>
          <w:rFonts w:ascii="Arial" w:cs="Arial" w:eastAsia="Arial" w:hAnsi="Arial"/>
          <w:sz w:val="13"/>
          <w:szCs w:val="13"/>
          <w:color w:val="231F20"/>
        </w:rPr>
        <w:t>shipping such samples to a facility for genetic sequencing;</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9"/>
        </w:numPr>
        <w:rPr>
          <w:rFonts w:ascii="Arial" w:cs="Arial" w:eastAsia="Arial" w:hAnsi="Arial"/>
          <w:sz w:val="13"/>
          <w:szCs w:val="13"/>
          <w:color w:val="231F20"/>
        </w:rPr>
      </w:pPr>
      <w:r>
        <w:rPr>
          <w:rFonts w:ascii="Arial" w:cs="Arial" w:eastAsia="Arial" w:hAnsi="Arial"/>
          <w:sz w:val="13"/>
          <w:szCs w:val="13"/>
          <w:color w:val="231F20"/>
        </w:rPr>
        <w:t>next-generation sequencing of the tumor mRNA;</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9"/>
        </w:numPr>
        <w:rPr>
          <w:rFonts w:ascii="Arial" w:cs="Arial" w:eastAsia="Arial" w:hAnsi="Arial"/>
          <w:sz w:val="13"/>
          <w:szCs w:val="13"/>
          <w:color w:val="231F20"/>
        </w:rPr>
      </w:pPr>
      <w:r>
        <w:rPr>
          <w:rFonts w:ascii="Arial" w:cs="Arial" w:eastAsia="Arial" w:hAnsi="Arial"/>
          <w:sz w:val="13"/>
          <w:szCs w:val="13"/>
          <w:color w:val="231F20"/>
        </w:rPr>
        <w:t>biopsy of a sufficient quantity of cancerous tissue to allow for proper sequencing and identification of tumor-specific mutations;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33" w:name="page34"/>
    <w:bookmarkEnd w:id="33"/>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identification of appropriate tumor-specific mutations;</w:t>
      </w:r>
    </w:p>
    <w:p>
      <w:pPr>
        <w:spacing w:after="0" w:line="90" w:lineRule="exact"/>
        <w:rPr>
          <w:rFonts w:ascii="Arial" w:cs="Arial" w:eastAsia="Arial" w:hAnsi="Arial"/>
          <w:sz w:val="13"/>
          <w:szCs w:val="13"/>
          <w:color w:val="231F20"/>
        </w:rPr>
      </w:pPr>
    </w:p>
    <w:p>
      <w:pPr>
        <w:ind w:left="1020" w:right="300" w:hanging="340"/>
        <w:spacing w:after="0" w:line="287" w:lineRule="auto"/>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the use of a software program, including proprietary and open source components, which is hosted in the cloud and a part of our product candidate, to assist with the design of the patient-specific mRNA, which software must be maintained and secured;</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effective design of the patient-specific mRNA that encodes for the required neoantigens;</w:t>
      </w:r>
    </w:p>
    <w:p>
      <w:pPr>
        <w:spacing w:after="0" w:line="80"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batch-specific manufacturing failures or issues that arise due to the uniqueness of each patient-specific batch that may not have been foreseen;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quality control testing failures;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unexpected failures of batches placed on stability;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2"/>
          <w:szCs w:val="12"/>
          <w:color w:val="231F20"/>
        </w:rPr>
      </w:pPr>
      <w:r>
        <w:rPr>
          <w:rFonts w:ascii="Arial" w:cs="Arial" w:eastAsia="Arial" w:hAnsi="Arial"/>
          <w:sz w:val="12"/>
          <w:szCs w:val="12"/>
          <w:color w:val="231F20"/>
        </w:rPr>
        <w:t>shortages or quality control issues with single-use assemblies, consumables or critical parts sourced from third-party vendors that must be changed out for each patient-specific batch;</w:t>
      </w:r>
    </w:p>
    <w:p>
      <w:pPr>
        <w:spacing w:after="0" w:line="101" w:lineRule="exact"/>
        <w:rPr>
          <w:rFonts w:ascii="Arial" w:cs="Arial" w:eastAsia="Arial" w:hAnsi="Arial"/>
          <w:sz w:val="12"/>
          <w:szCs w:val="12"/>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significant costs associated with individualized manufacturing that may adversely affect our ability to continue development;</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successful and timely manufacture and release of the patient-specific batch;</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shipment issues encountered during transport of the batch to the site of patient care;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the ability to define a consistent safety profile at a given dose when each participant receives a unique treatment;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our reliance on single source suppliers.</w:t>
      </w:r>
    </w:p>
    <w:p>
      <w:pPr>
        <w:spacing w:after="0" w:line="17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due to the custom nature of the equipment and single-use assemblies, we may not be able to supply this expanded need reliably without significant investments. In addition, there will be considerable time to scale up our facilities or build new facilities before we can begin to meet any commercial demand if one or more of our product candidates are approved. This expansion or addition of new facilities could also lead to product comparability issues, which can further delay introduction of new capacity.</w:t>
      </w:r>
    </w:p>
    <w:p>
      <w:pPr>
        <w:spacing w:after="0" w:line="138" w:lineRule="exact"/>
        <w:rPr>
          <w:sz w:val="20"/>
          <w:szCs w:val="20"/>
          <w:color w:val="auto"/>
        </w:rPr>
      </w:pPr>
    </w:p>
    <w:p>
      <w:pPr>
        <w:ind w:right="20" w:firstLine="556"/>
        <w:spacing w:after="0" w:line="263" w:lineRule="auto"/>
        <w:rPr>
          <w:sz w:val="20"/>
          <w:szCs w:val="20"/>
          <w:color w:val="auto"/>
        </w:rPr>
      </w:pPr>
      <w:r>
        <w:rPr>
          <w:rFonts w:ascii="Arial" w:cs="Arial" w:eastAsia="Arial" w:hAnsi="Arial"/>
          <w:sz w:val="13"/>
          <w:szCs w:val="13"/>
          <w:color w:val="231F20"/>
        </w:rPr>
        <w:t>As certain of our product candidates are manufactured for each individual patient, we will be required to maintain a chain of identity with respect to each patient’s tissue sample, sequence data derived from such tissue sample, analyze results of such patient’s genomic analysis, and the custom manufactured product for each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1"/>
          <w:szCs w:val="11"/>
          <w:b w:val="1"/>
          <w:bCs w:val="1"/>
          <w:i w:val="1"/>
          <w:iCs w:val="1"/>
          <w:color w:val="231F20"/>
        </w:rPr>
        <w:t>Our inability to manufacture sufficient quantities of our product candidates, or our failure to comply with applicable regulatory requirements, would materially and adversely affect our business.</w:t>
      </w:r>
    </w:p>
    <w:p>
      <w:pPr>
        <w:spacing w:after="0" w:line="113" w:lineRule="exact"/>
        <w:rPr>
          <w:sz w:val="20"/>
          <w:szCs w:val="20"/>
          <w:color w:val="auto"/>
        </w:rPr>
      </w:pPr>
    </w:p>
    <w:p>
      <w:pPr>
        <w:ind w:right="120" w:firstLine="556"/>
        <w:spacing w:after="0" w:line="264" w:lineRule="auto"/>
        <w:rPr>
          <w:sz w:val="20"/>
          <w:szCs w:val="20"/>
          <w:color w:val="auto"/>
        </w:rPr>
      </w:pPr>
      <w:r>
        <w:rPr>
          <w:rFonts w:ascii="Arial" w:cs="Arial" w:eastAsia="Arial" w:hAnsi="Arial"/>
          <w:sz w:val="13"/>
          <w:szCs w:val="13"/>
          <w:color w:val="231F20"/>
        </w:rPr>
        <w:t xml:space="preserve">Manufacturing is a vital component of our individualized immunotherapy approach, and we have invested significantly in our manufacturing facilities. All internal manufacturing is performed under GMP guidelines. We do not rely on any external CMOs for the manufacture of our product candidates and at this time, we have limited redundancy among our facilities. Due to the individualized nature of our product candidates, we do not maintain product reserves. If any of our </w:t>
      </w:r>
      <w:r>
        <w:rPr>
          <w:rFonts w:ascii="Arial" w:cs="Arial" w:eastAsia="Arial" w:hAnsi="Arial"/>
          <w:sz w:val="13"/>
          <w:szCs w:val="13"/>
          <w:color w:val="000000"/>
        </w:rPr>
        <w:t>manufacturing</w:t>
      </w:r>
      <w:r>
        <w:rPr>
          <w:rFonts w:ascii="Arial" w:cs="Arial" w:eastAsia="Arial" w:hAnsi="Arial"/>
          <w:sz w:val="13"/>
          <w:szCs w:val="13"/>
          <w:color w:val="231F20"/>
        </w:rPr>
        <w:t xml:space="preserve"> facilities experiences difficulties, including related to manufacturing, product release, shelf life, testing, storage and supply chain management or shipping, our clinical development programs may be delayed or suspended until we can resume operations. We may also be required to incur significant expenditures to resolve such difficulties.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34" w:name="page35"/>
    <w:bookmarkEnd w:id="34"/>
    <w:p>
      <w:pPr>
        <w:ind w:right="140" w:firstLine="556"/>
        <w:spacing w:after="0" w:line="264" w:lineRule="auto"/>
        <w:rPr>
          <w:sz w:val="20"/>
          <w:szCs w:val="20"/>
          <w:color w:val="auto"/>
        </w:rPr>
      </w:pPr>
      <w:r>
        <w:rPr>
          <w:rFonts w:ascii="Arial" w:cs="Arial" w:eastAsia="Arial" w:hAnsi="Arial"/>
          <w:sz w:val="13"/>
          <w:szCs w:val="13"/>
          <w:color w:val="231F20"/>
        </w:rPr>
        <w:t>Our facilities are subject to various regulatory requirements and may be subject to the inspection of the FDA or other regulatory authorities. If we cannot successfully manufacture material that conforms to our specifications and the strict regulatory requirements of the FDA, EMA or comparable regulatory authorities in other jurisdictions, we may not be able to rely on our manufacturing facilities for the manufacture of our product candidates. If the FDA, EMA or another comparable regulatory authority finds our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38" w:lineRule="exact"/>
        <w:rPr>
          <w:sz w:val="20"/>
          <w:szCs w:val="20"/>
          <w:color w:val="auto"/>
        </w:rPr>
      </w:pPr>
    </w:p>
    <w:p>
      <w:pPr>
        <w:ind w:right="580" w:firstLine="556"/>
        <w:spacing w:after="0" w:line="287" w:lineRule="auto"/>
        <w:rPr>
          <w:sz w:val="20"/>
          <w:szCs w:val="20"/>
          <w:color w:val="auto"/>
        </w:rPr>
      </w:pPr>
      <w:r>
        <w:rPr>
          <w:rFonts w:ascii="Arial" w:cs="Arial" w:eastAsia="Arial" w:hAnsi="Arial"/>
          <w:sz w:val="13"/>
          <w:szCs w:val="13"/>
          <w:color w:val="231F20"/>
        </w:rPr>
        <w:t>Additionally, we may experience manufacturing difficulties due to resource constraints or as a result of labor disputes or unstable political environments. If we were to encounter any of these difficulties, our ability to provide our product candidate to patients in clinical trials, or to provide product for the treatment of patients once approved, would be jeopardized.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231F20"/>
        </w:rPr>
        <w:t>We are subject to regulatory and operational risks associated with the physical and digital infrastructure at both our internal manufacturing facilities and at those of our external service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providers.</w:t>
      </w:r>
    </w:p>
    <w:p>
      <w:pPr>
        <w:spacing w:after="0" w:line="82" w:lineRule="exact"/>
        <w:rPr>
          <w:sz w:val="20"/>
          <w:szCs w:val="20"/>
          <w:color w:val="auto"/>
        </w:rPr>
      </w:pPr>
    </w:p>
    <w:p>
      <w:pPr>
        <w:ind w:right="20" w:firstLine="556"/>
        <w:spacing w:after="0" w:line="261" w:lineRule="auto"/>
        <w:rPr>
          <w:sz w:val="20"/>
          <w:szCs w:val="20"/>
          <w:color w:val="auto"/>
        </w:rPr>
      </w:pPr>
      <w:r>
        <w:rPr>
          <w:rFonts w:ascii="Arial" w:cs="Arial" w:eastAsia="Arial" w:hAnsi="Arial"/>
          <w:sz w:val="13"/>
          <w:szCs w:val="13"/>
          <w:color w:val="231F20"/>
        </w:rPr>
        <w:t xml:space="preserve">While the design of our facilities is based on current standards for biotechnology facilities, it has not been reviewed or pre-approved by any regulatory agency, nor have our facilities been inspected by any regulatory agency such as the FDA. We have designed our facilities to incorporate a significant level of automation of equipment with integration of several </w:t>
      </w:r>
      <w:r>
        <w:rPr>
          <w:rFonts w:ascii="Arial" w:cs="Arial" w:eastAsia="Arial" w:hAnsi="Arial"/>
          <w:sz w:val="13"/>
          <w:szCs w:val="13"/>
          <w:color w:val="000000"/>
        </w:rPr>
        <w:t>digital</w:t>
      </w:r>
      <w:r>
        <w:rPr>
          <w:rFonts w:ascii="Arial" w:cs="Arial" w:eastAsia="Arial" w:hAnsi="Arial"/>
          <w:sz w:val="13"/>
          <w:szCs w:val="13"/>
          <w:color w:val="231F20"/>
        </w:rPr>
        <w:t xml:space="preserve"> systems to improve efficiency of operations. We have attempted to achieve a high level of digitization for clinical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delay in supply or shutdown of our facilities. Any disruption in our manufacturing capabilities could cause delays in our production capacity for our drug substances or drug products, impose additional costs, or may require us to identify, qualify and establish an alternative manufacturing site, the occurrence of which could have a material adverse effect on our business, financial condition, results of operations and prospects.</w:t>
      </w:r>
    </w:p>
    <w:p>
      <w:pPr>
        <w:spacing w:after="0" w:line="142"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231F20"/>
        </w:rPr>
        <w:t>As we expand our development and commercial capacity, we may establish additional manufacturing capabilities and expand to other locations or geographies, which may lead to regulatory delays or prove costly. If we fail to select the correct location, complete the construction in an efficient manner, recruit the required personnel, and generally manage our growth effectively, the development and production of our product candidates could be delayed or curtailed. Additional investments may be needed if changes in our manufacturing process lead to required changes in our infrastructure.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Certain of our product candidates rely on the availability of specialty raw materials, which may not be available to us on acceptable terms or at all.</w:t>
      </w:r>
    </w:p>
    <w:p>
      <w:pPr>
        <w:spacing w:after="0" w:line="90" w:lineRule="exact"/>
        <w:rPr>
          <w:sz w:val="20"/>
          <w:szCs w:val="20"/>
          <w:color w:val="auto"/>
        </w:rPr>
      </w:pPr>
    </w:p>
    <w:p>
      <w:pPr>
        <w:ind w:right="60" w:firstLine="556"/>
        <w:spacing w:after="0" w:line="264" w:lineRule="auto"/>
        <w:rPr>
          <w:sz w:val="20"/>
          <w:szCs w:val="20"/>
          <w:color w:val="auto"/>
        </w:rPr>
      </w:pPr>
      <w:r>
        <w:rPr>
          <w:rFonts w:ascii="Arial" w:cs="Arial" w:eastAsia="Arial" w:hAnsi="Arial"/>
          <w:sz w:val="13"/>
          <w:szCs w:val="13"/>
          <w:color w:val="231F20"/>
        </w:rPr>
        <w:t xml:space="preserve">Our product candidates require many specialty raw materials, some of which are manufactured by small companies with limited resources and experience to support a commercial product, and the suppliers may not be able to deliver raw materials to our specifications. In addition, those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w:t>
      </w:r>
      <w:r>
        <w:rPr>
          <w:rFonts w:ascii="Arial" w:cs="Arial" w:eastAsia="Arial" w:hAnsi="Arial"/>
          <w:sz w:val="13"/>
          <w:szCs w:val="13"/>
          <w:color w:val="000000"/>
        </w:rPr>
        <w:t>crisis</w:t>
      </w:r>
      <w:r>
        <w:rPr>
          <w:rFonts w:ascii="Arial" w:cs="Arial" w:eastAsia="Arial" w:hAnsi="Arial"/>
          <w:sz w:val="13"/>
          <w:szCs w:val="13"/>
          <w:color w:val="231F20"/>
        </w:rPr>
        <w:t>, such as widespread contamination. We also do not have contracts with many of these suppliers, and we may not be able to contract with them on acceptable terms or at all. Accordingly, we have</w:t>
      </w:r>
      <w:r>
        <w:rPr>
          <w:rFonts w:ascii="Arial" w:cs="Arial" w:eastAsia="Arial" w:hAnsi="Arial"/>
          <w:sz w:val="13"/>
          <w:szCs w:val="13"/>
          <w:color w:val="000000"/>
        </w:rPr>
        <w:t xml:space="preserve"> </w:t>
      </w:r>
      <w:r>
        <w:rPr>
          <w:rFonts w:ascii="Arial" w:cs="Arial" w:eastAsia="Arial" w:hAnsi="Arial"/>
          <w:sz w:val="13"/>
          <w:szCs w:val="13"/>
          <w:color w:val="231F20"/>
        </w:rPr>
        <w:t>experienced and we may in the future experience delays in receiving key raw materials to support clinical or commercial manufacturing.</w:t>
      </w:r>
    </w:p>
    <w:p>
      <w:pPr>
        <w:spacing w:after="0" w:line="138"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231F20"/>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which could have a material adverse impact on our business.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35" w:name="page36"/>
    <w:bookmarkEnd w:id="35"/>
    <w:p>
      <w:pPr>
        <w:ind w:left="560"/>
        <w:spacing w:after="0"/>
        <w:rPr>
          <w:sz w:val="20"/>
          <w:szCs w:val="20"/>
          <w:color w:val="auto"/>
        </w:rPr>
      </w:pPr>
      <w:r>
        <w:rPr>
          <w:rFonts w:ascii="Arial" w:cs="Arial" w:eastAsia="Arial" w:hAnsi="Arial"/>
          <w:sz w:val="13"/>
          <w:szCs w:val="13"/>
          <w:b w:val="1"/>
          <w:bCs w:val="1"/>
          <w:i w:val="1"/>
          <w:iCs w:val="1"/>
          <w:color w:val="231F20"/>
        </w:rPr>
        <w:t>Our product candidates are inherently sensitive to shipping and storage conditions and could be subject to risk of loss or damage.</w:t>
      </w:r>
    </w:p>
    <w:p>
      <w:pPr>
        <w:spacing w:after="0" w:line="90" w:lineRule="exact"/>
        <w:rPr>
          <w:sz w:val="20"/>
          <w:szCs w:val="20"/>
          <w:color w:val="auto"/>
        </w:rPr>
      </w:pPr>
    </w:p>
    <w:p>
      <w:pPr>
        <w:jc w:val="both"/>
        <w:ind w:right="60" w:firstLine="556"/>
        <w:spacing w:after="0" w:line="304" w:lineRule="auto"/>
        <w:rPr>
          <w:sz w:val="20"/>
          <w:szCs w:val="20"/>
          <w:color w:val="auto"/>
        </w:rPr>
      </w:pPr>
      <w:r>
        <w:rPr>
          <w:rFonts w:ascii="Arial" w:cs="Arial" w:eastAsia="Arial" w:hAnsi="Arial"/>
          <w:sz w:val="12"/>
          <w:szCs w:val="12"/>
          <w:color w:val="231F20"/>
        </w:rPr>
        <w:t xml:space="preserve">Our product candidates are sensitive to temperature, storage and handling conditions. Loss in product candidates could occur if the product or product intermediates are not stored or handled properly. Shelf life for our product candidates may vary by product and is not fully quantified and is expected to be variable, and it is possible that our product candidates could be lost due to expiration prior to use. This has in the past led and could in the future lead to additional manufacturing costs and </w:t>
      </w:r>
      <w:r>
        <w:rPr>
          <w:rFonts w:ascii="Arial" w:cs="Arial" w:eastAsia="Arial" w:hAnsi="Arial"/>
          <w:sz w:val="12"/>
          <w:szCs w:val="12"/>
          <w:color w:val="000000"/>
        </w:rPr>
        <w:t>delays</w:t>
      </w:r>
      <w:r>
        <w:rPr>
          <w:rFonts w:ascii="Arial" w:cs="Arial" w:eastAsia="Arial" w:hAnsi="Arial"/>
          <w:sz w:val="12"/>
          <w:szCs w:val="12"/>
          <w:color w:val="231F20"/>
        </w:rPr>
        <w:t xml:space="preserve"> in our ability to supply required quantities for clinical trials or otherwise.</w:t>
      </w:r>
    </w:p>
    <w:p>
      <w:pPr>
        <w:spacing w:after="0" w:line="116" w:lineRule="exact"/>
        <w:rPr>
          <w:sz w:val="20"/>
          <w:szCs w:val="20"/>
          <w:color w:val="auto"/>
        </w:rPr>
      </w:pPr>
    </w:p>
    <w:p>
      <w:pPr>
        <w:ind w:right="520" w:firstLine="556"/>
        <w:spacing w:after="0" w:line="272" w:lineRule="auto"/>
        <w:rPr>
          <w:sz w:val="20"/>
          <w:szCs w:val="20"/>
          <w:color w:val="auto"/>
        </w:rPr>
      </w:pPr>
      <w:r>
        <w:rPr>
          <w:rFonts w:ascii="Arial" w:cs="Arial" w:eastAsia="Arial" w:hAnsi="Arial"/>
          <w:sz w:val="13"/>
          <w:szCs w:val="13"/>
          <w:b w:val="1"/>
          <w:bCs w:val="1"/>
          <w:i w:val="1"/>
          <w:iCs w:val="1"/>
          <w:color w:val="231F20"/>
        </w:rPr>
        <w:t>We are subject to significant regulatory oversight with respect to manufacturing our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52" w:lineRule="exact"/>
        <w:rPr>
          <w:sz w:val="20"/>
          <w:szCs w:val="20"/>
          <w:color w:val="auto"/>
        </w:rPr>
      </w:pPr>
    </w:p>
    <w:p>
      <w:pPr>
        <w:ind w:right="140" w:firstLine="556"/>
        <w:spacing w:after="0" w:line="267" w:lineRule="auto"/>
        <w:rPr>
          <w:sz w:val="20"/>
          <w:szCs w:val="20"/>
          <w:color w:val="auto"/>
        </w:rPr>
      </w:pPr>
      <w:r>
        <w:rPr>
          <w:rFonts w:ascii="Arial" w:cs="Arial" w:eastAsia="Arial" w:hAnsi="Arial"/>
          <w:sz w:val="13"/>
          <w:szCs w:val="13"/>
          <w:color w:val="231F20"/>
        </w:rPr>
        <w:t xml:space="preserve">The manufacturing of immunotherapies for clinical trials or commercial sale is subject to extensive regulation. GMP </w:t>
      </w:r>
      <w:r>
        <w:rPr>
          <w:rFonts w:ascii="Arial" w:cs="Arial" w:eastAsia="Arial" w:hAnsi="Arial"/>
          <w:sz w:val="13"/>
          <w:szCs w:val="13"/>
          <w:color w:val="000000"/>
        </w:rPr>
        <w:t>requirements</w:t>
      </w:r>
      <w:r>
        <w:rPr>
          <w:rFonts w:ascii="Arial" w:cs="Arial" w:eastAsia="Arial" w:hAnsi="Arial"/>
          <w:sz w:val="13"/>
          <w:szCs w:val="13"/>
          <w:color w:val="231F20"/>
        </w:rPr>
        <w:t xml:space="preserve"> govern manufacturing processes and procedures, including record-keeping, and the implementation and operation of quality systems to control and assure the quality of products and materials used in clinical trials. Poor control of the GMP production processes can lead to product quality failures that can impact our ability to supply product, resulting in cost overruns and delays to clinical timelines, which could be extensive. Such production process issues include but are not limited to:</w:t>
      </w:r>
    </w:p>
    <w:p>
      <w:pPr>
        <w:spacing w:after="0" w:line="55" w:lineRule="exact"/>
        <w:rPr>
          <w:sz w:val="20"/>
          <w:szCs w:val="20"/>
          <w:color w:val="auto"/>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critical deviations in the manufacturing process;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facility and equipment failures;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contamination of the product due to an ineffective quality control strategy;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facility contamination as assessed by the facility and utility environmental monitoring program;</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ineffective process, equipment or analytical change management, resulting in failed lot release criteria;</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raw material failures due to ineffective supplier qualification or regulatory compliance issues at critical suppliers;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ineffective product stability;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failed lot release or facility and utility quality control testing;</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1"/>
        </w:numPr>
        <w:rPr>
          <w:rFonts w:ascii="Arial" w:cs="Arial" w:eastAsia="Arial" w:hAnsi="Arial"/>
          <w:sz w:val="12"/>
          <w:szCs w:val="12"/>
          <w:color w:val="231F20"/>
        </w:rPr>
      </w:pPr>
      <w:r>
        <w:rPr>
          <w:rFonts w:ascii="Arial" w:cs="Arial" w:eastAsia="Arial" w:hAnsi="Arial"/>
          <w:sz w:val="12"/>
          <w:szCs w:val="12"/>
          <w:color w:val="231F20"/>
        </w:rPr>
        <w:t>ineffective corrective actions or preventative actions taken to correct or avoid critical deviations due to our developing understanding of the manufacturing process as we scale; and</w:t>
      </w:r>
    </w:p>
    <w:p>
      <w:pPr>
        <w:spacing w:after="0" w:line="101" w:lineRule="exact"/>
        <w:rPr>
          <w:rFonts w:ascii="Arial" w:cs="Arial" w:eastAsia="Arial" w:hAnsi="Arial"/>
          <w:sz w:val="12"/>
          <w:szCs w:val="12"/>
          <w:color w:val="231F20"/>
        </w:rPr>
      </w:pPr>
    </w:p>
    <w:p>
      <w:pPr>
        <w:ind w:left="1020" w:hanging="340"/>
        <w:spacing w:after="0"/>
        <w:tabs>
          <w:tab w:leader="none" w:pos="1020"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failed or defective components or consumables.</w:t>
      </w:r>
    </w:p>
    <w:p>
      <w:pPr>
        <w:spacing w:after="0" w:line="170" w:lineRule="exact"/>
        <w:rPr>
          <w:sz w:val="20"/>
          <w:szCs w:val="20"/>
          <w:color w:val="auto"/>
        </w:rPr>
      </w:pPr>
    </w:p>
    <w:p>
      <w:pPr>
        <w:ind w:right="180" w:firstLine="556"/>
        <w:spacing w:after="0" w:line="287" w:lineRule="auto"/>
        <w:rPr>
          <w:sz w:val="20"/>
          <w:szCs w:val="20"/>
          <w:color w:val="auto"/>
        </w:rPr>
      </w:pPr>
      <w:r>
        <w:rPr>
          <w:rFonts w:ascii="Arial" w:cs="Arial" w:eastAsia="Arial" w:hAnsi="Arial"/>
          <w:sz w:val="13"/>
          <w:szCs w:val="13"/>
          <w:color w:val="231F20"/>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122"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Regulatory authorities typically require representative manufacturing site inspections to assess adequate compliance with GMPs and manufacturing controls as described in the filing. If either we or one of our third- party manufacturing sites fails to provide sufficient quality assurance or control, approval to commercialize our product candidates may not be granted. Inspections by regulatory authorities may occur at any time during the development or commercialization phase of products. The inspections may be product-specific or facility- specific for broader GMP inspections or as a follow up to market or development issues that the regulatory agency may identify. Deficient inspection outcomes may influence the ability of our third-party manufacturers or suppliers to fulfill their supply obligations, impacting or delaying supply or delaying programs.</w:t>
      </w:r>
    </w:p>
    <w:p>
      <w:pPr>
        <w:spacing w:after="0" w:line="138" w:lineRule="exact"/>
        <w:rPr>
          <w:sz w:val="20"/>
          <w:szCs w:val="20"/>
          <w:color w:val="auto"/>
        </w:rPr>
      </w:pPr>
    </w:p>
    <w:p>
      <w:pPr>
        <w:ind w:right="100" w:firstLine="556"/>
        <w:spacing w:after="0" w:line="264" w:lineRule="auto"/>
        <w:rPr>
          <w:sz w:val="20"/>
          <w:szCs w:val="20"/>
          <w:color w:val="auto"/>
        </w:rPr>
      </w:pPr>
      <w:r>
        <w:rPr>
          <w:rFonts w:ascii="Arial" w:cs="Arial" w:eastAsia="Arial" w:hAnsi="Arial"/>
          <w:sz w:val="13"/>
          <w:szCs w:val="13"/>
          <w:color w:val="231F20"/>
        </w:rPr>
        <w:t>The manufacturing process for any products that we may develop is subject to the FDA’s, the EMA’s and other regulatory authorities’ approval processes, and we may need to contract with manufacturers who we believe can meet applicable regulatory authority requirements on an ongoing basis. If we or our third-party manufacturers are unable to reliably produce product candidates to specifications acceptable to the FDA, the EMA or other regulatory authorities, we or our collaborators may not obtain or maintain the approvals we or they need to commercialize such products. Even if we or our collaborators obtain regulatory approval for any of our immunotherapies, there is no assurance that either we or our CMOs will be able to manufacture our product candidates to specifications acceptable to the FDA, EMA or other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36" w:name="page37"/>
    <w:bookmarkEnd w:id="36"/>
    <w:p>
      <w:pPr>
        <w:jc w:val="both"/>
        <w:ind w:right="40"/>
        <w:spacing w:after="0" w:line="304" w:lineRule="auto"/>
        <w:rPr>
          <w:sz w:val="20"/>
          <w:szCs w:val="20"/>
          <w:color w:val="auto"/>
        </w:rPr>
      </w:pPr>
      <w:r>
        <w:rPr>
          <w:rFonts w:ascii="Arial" w:cs="Arial" w:eastAsia="Arial" w:hAnsi="Arial"/>
          <w:sz w:val="12"/>
          <w:szCs w:val="12"/>
          <w:color w:val="231F20"/>
        </w:rPr>
        <w:t>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116" w:lineRule="exact"/>
        <w:rPr>
          <w:sz w:val="20"/>
          <w:szCs w:val="20"/>
          <w:color w:val="auto"/>
        </w:rPr>
      </w:pPr>
    </w:p>
    <w:p>
      <w:pPr>
        <w:ind w:right="100" w:firstLine="556"/>
        <w:spacing w:after="0" w:line="287" w:lineRule="auto"/>
        <w:rPr>
          <w:sz w:val="20"/>
          <w:szCs w:val="20"/>
          <w:color w:val="auto"/>
        </w:rPr>
      </w:pPr>
      <w:r>
        <w:rPr>
          <w:rFonts w:ascii="Arial" w:cs="Arial" w:eastAsia="Arial" w:hAnsi="Arial"/>
          <w:sz w:val="12"/>
          <w:szCs w:val="12"/>
          <w:color w:val="231F20"/>
        </w:rPr>
        <w:t>In addition, we may not have direct control over the ability of our contract manufacturers to maintain adequate quality control, quality assurance and qualified personnel. Furthermore, all of our contract manufacturers are engaged with other companies to supply or manufacture materials or products for such companies, which exposes our contract manufacturers to regulatory risks for the production of such materials and products. As a result, failure to meet the regulatory requirements for the production of those materials and products may generally affect the regulatory status of our CMOs’ facilities.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 Our potential future dependence upon others for the manufacture of our product candidates and raw materials may adversely affect our future profit margins and our ability to commercialize any products that receive regulatory approval on a timely and competitive basis.</w:t>
      </w:r>
    </w:p>
    <w:p>
      <w:pPr>
        <w:spacing w:after="0" w:line="125" w:lineRule="exact"/>
        <w:rPr>
          <w:sz w:val="20"/>
          <w:szCs w:val="20"/>
          <w:color w:val="auto"/>
        </w:rPr>
      </w:pPr>
    </w:p>
    <w:p>
      <w:pPr>
        <w:ind w:right="80" w:firstLine="556"/>
        <w:spacing w:after="0" w:line="291" w:lineRule="auto"/>
        <w:rPr>
          <w:sz w:val="20"/>
          <w:szCs w:val="20"/>
          <w:color w:val="auto"/>
        </w:rPr>
      </w:pPr>
      <w:r>
        <w:rPr>
          <w:rFonts w:ascii="Arial" w:cs="Arial" w:eastAsia="Arial" w:hAnsi="Arial"/>
          <w:sz w:val="12"/>
          <w:szCs w:val="12"/>
          <w:color w:val="231F20"/>
        </w:rPr>
        <w:t>The FDA,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third-party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or product launches, which could be costly to us and otherwise harm our business, financial condition, results of operations and prospects.</w:t>
      </w:r>
    </w:p>
    <w:p>
      <w:pPr>
        <w:spacing w:after="0" w:line="123" w:lineRule="exact"/>
        <w:rPr>
          <w:sz w:val="20"/>
          <w:szCs w:val="20"/>
          <w:color w:val="auto"/>
        </w:rPr>
      </w:pPr>
    </w:p>
    <w:p>
      <w:pPr>
        <w:ind w:right="240" w:firstLine="556"/>
        <w:spacing w:after="0" w:line="272" w:lineRule="auto"/>
        <w:rPr>
          <w:sz w:val="20"/>
          <w:szCs w:val="20"/>
          <w:color w:val="auto"/>
        </w:rPr>
      </w:pPr>
      <w:r>
        <w:rPr>
          <w:rFonts w:ascii="Arial" w:cs="Arial" w:eastAsia="Arial" w:hAnsi="Arial"/>
          <w:sz w:val="13"/>
          <w:szCs w:val="13"/>
          <w:color w:val="231F20"/>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for or ultimately detect intentional sabotage or negligence by any employee or contractor.</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the Commercialization of our Pipeline</w:t>
      </w:r>
    </w:p>
    <w:p>
      <w:pPr>
        <w:spacing w:after="0" w:line="94" w:lineRule="exact"/>
        <w:rPr>
          <w:sz w:val="20"/>
          <w:szCs w:val="20"/>
          <w:color w:val="auto"/>
        </w:rPr>
      </w:pPr>
    </w:p>
    <w:p>
      <w:pPr>
        <w:jc w:val="both"/>
        <w:ind w:right="300" w:firstLine="556"/>
        <w:spacing w:after="0" w:line="272" w:lineRule="auto"/>
        <w:rPr>
          <w:sz w:val="20"/>
          <w:szCs w:val="20"/>
          <w:color w:val="auto"/>
        </w:rPr>
      </w:pPr>
      <w:r>
        <w:rPr>
          <w:rFonts w:ascii="Arial" w:cs="Arial" w:eastAsia="Arial" w:hAnsi="Arial"/>
          <w:sz w:val="13"/>
          <w:szCs w:val="13"/>
          <w:b w:val="1"/>
          <w:bCs w:val="1"/>
          <w:i w:val="1"/>
          <w:iCs w:val="1"/>
          <w:color w:val="231F20"/>
        </w:rPr>
        <w:t>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52"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231F20"/>
        </w:rPr>
        <w:t xml:space="preserve">The availability and extent of reimbursement by governmental and private payors is essential for most patients to be able to afford expensive treatments such as the medicines that we hope to develop and sell. In addition, because several of our product candidates represent new approaches to the treatment of cancer, we cannot accurately estimate how these products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w:t>
      </w:r>
      <w:r>
        <w:rPr>
          <w:rFonts w:ascii="Arial" w:cs="Arial" w:eastAsia="Arial" w:hAnsi="Arial"/>
          <w:sz w:val="12"/>
          <w:szCs w:val="12"/>
          <w:color w:val="000000"/>
        </w:rPr>
        <w:t>organizations</w:t>
      </w:r>
      <w:r>
        <w:rPr>
          <w:rFonts w:ascii="Arial" w:cs="Arial" w:eastAsia="Arial" w:hAnsi="Arial"/>
          <w:sz w:val="12"/>
          <w:szCs w:val="12"/>
          <w:color w:val="231F20"/>
        </w:rPr>
        <w:t>,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in any of our products.</w:t>
      </w:r>
    </w:p>
    <w:p>
      <w:pPr>
        <w:spacing w:after="0" w:line="126" w:lineRule="exact"/>
        <w:rPr>
          <w:sz w:val="20"/>
          <w:szCs w:val="20"/>
          <w:color w:val="auto"/>
        </w:rPr>
      </w:pPr>
    </w:p>
    <w:p>
      <w:pPr>
        <w:ind w:right="380" w:firstLine="556"/>
        <w:spacing w:after="0" w:line="287" w:lineRule="auto"/>
        <w:rPr>
          <w:sz w:val="20"/>
          <w:szCs w:val="20"/>
          <w:color w:val="auto"/>
        </w:rPr>
      </w:pPr>
      <w:r>
        <w:rPr>
          <w:rFonts w:ascii="Arial" w:cs="Arial" w:eastAsia="Arial" w:hAnsi="Arial"/>
          <w:sz w:val="13"/>
          <w:szCs w:val="13"/>
          <w:color w:val="231F20"/>
        </w:rPr>
        <w:t>There is significant uncertainty related to the insurance coverage and reimbursement of newly approved products, including genetic medicines. In the United States, the principal decisions about reimbursement for new medicines are typically made by the Centers for Medicare &amp; Medicaid Services, or CMS, an agency within the U.S. Department of Health</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37" w:name="page38"/>
    <w:bookmarkEnd w:id="37"/>
    <w:p>
      <w:pPr>
        <w:ind w:right="300"/>
        <w:spacing w:after="0" w:line="272" w:lineRule="auto"/>
        <w:rPr>
          <w:sz w:val="20"/>
          <w:szCs w:val="20"/>
          <w:color w:val="auto"/>
        </w:rPr>
      </w:pPr>
      <w:r>
        <w:rPr>
          <w:rFonts w:ascii="Arial" w:cs="Arial" w:eastAsia="Arial" w:hAnsi="Arial"/>
          <w:sz w:val="13"/>
          <w:szCs w:val="13"/>
          <w:color w:val="231F20"/>
        </w:rPr>
        <w:t>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132" w:lineRule="exact"/>
        <w:rPr>
          <w:sz w:val="20"/>
          <w:szCs w:val="20"/>
          <w:color w:val="auto"/>
        </w:rPr>
      </w:pPr>
    </w:p>
    <w:p>
      <w:pPr>
        <w:ind w:right="40" w:firstLine="556"/>
        <w:spacing w:after="0" w:line="285" w:lineRule="auto"/>
        <w:rPr>
          <w:sz w:val="20"/>
          <w:szCs w:val="20"/>
          <w:color w:val="auto"/>
        </w:rPr>
      </w:pPr>
      <w:r>
        <w:rPr>
          <w:rFonts w:ascii="Arial" w:cs="Arial" w:eastAsia="Arial" w:hAnsi="Arial"/>
          <w:sz w:val="12"/>
          <w:szCs w:val="12"/>
          <w:color w:val="231F20"/>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29" w:lineRule="exact"/>
        <w:rPr>
          <w:sz w:val="20"/>
          <w:szCs w:val="20"/>
          <w:color w:val="auto"/>
        </w:rPr>
      </w:pPr>
    </w:p>
    <w:p>
      <w:pPr>
        <w:ind w:right="20" w:firstLine="556"/>
        <w:spacing w:after="0" w:line="291" w:lineRule="auto"/>
        <w:rPr>
          <w:sz w:val="20"/>
          <w:szCs w:val="20"/>
          <w:color w:val="auto"/>
        </w:rPr>
      </w:pPr>
      <w:r>
        <w:rPr>
          <w:rFonts w:ascii="Arial" w:cs="Arial" w:eastAsia="Arial" w:hAnsi="Arial"/>
          <w:sz w:val="12"/>
          <w:szCs w:val="12"/>
          <w:color w:val="231F20"/>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For example, the U.S. government recently released a “blueprint,” which is a plan to reduce the cost of drugs. The blueprint contains certain measures that the HHS is already working to implement.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3"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231F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 the marketplace.</w:t>
      </w:r>
    </w:p>
    <w:p>
      <w:pPr>
        <w:spacing w:after="0" w:line="132" w:lineRule="exact"/>
        <w:rPr>
          <w:sz w:val="20"/>
          <w:szCs w:val="20"/>
          <w:color w:val="auto"/>
        </w:rPr>
      </w:pPr>
    </w:p>
    <w:p>
      <w:pPr>
        <w:ind w:right="520" w:firstLine="556"/>
        <w:spacing w:after="0" w:line="287" w:lineRule="auto"/>
        <w:rPr>
          <w:sz w:val="20"/>
          <w:szCs w:val="20"/>
          <w:color w:val="auto"/>
        </w:rPr>
      </w:pPr>
      <w:r>
        <w:rPr>
          <w:rFonts w:ascii="Arial" w:cs="Arial" w:eastAsia="Arial" w:hAnsi="Arial"/>
          <w:sz w:val="13"/>
          <w:szCs w:val="13"/>
          <w:b w:val="1"/>
          <w:bCs w:val="1"/>
          <w:i w:val="1"/>
          <w:iCs w:val="1"/>
          <w:color w:val="231F20"/>
        </w:rPr>
        <w:t>We face significant competition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42"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231F20"/>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42" w:lineRule="exact"/>
        <w:rPr>
          <w:sz w:val="20"/>
          <w:szCs w:val="20"/>
          <w:color w:val="auto"/>
        </w:rPr>
      </w:pPr>
    </w:p>
    <w:p>
      <w:pPr>
        <w:ind w:left="1020" w:hanging="340"/>
        <w:spacing w:after="0"/>
        <w:tabs>
          <w:tab w:leader="none" w:pos="1020" w:val="left"/>
        </w:tabs>
        <w:numPr>
          <w:ilvl w:val="0"/>
          <w:numId w:val="32"/>
        </w:numPr>
        <w:rPr>
          <w:rFonts w:ascii="Arial" w:cs="Arial" w:eastAsia="Arial" w:hAnsi="Arial"/>
          <w:sz w:val="13"/>
          <w:szCs w:val="13"/>
          <w:color w:val="231F20"/>
        </w:rPr>
      </w:pPr>
      <w:r>
        <w:rPr>
          <w:rFonts w:ascii="Arial" w:cs="Arial" w:eastAsia="Arial" w:hAnsi="Arial"/>
          <w:sz w:val="13"/>
          <w:szCs w:val="13"/>
          <w:color w:val="231F20"/>
        </w:rPr>
        <w:t>greater financial, technical and human resources than we have at every stage of the discovery, development, manufacture and commercialization of products;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2"/>
        </w:numPr>
        <w:rPr>
          <w:rFonts w:ascii="Arial" w:cs="Arial" w:eastAsia="Arial" w:hAnsi="Arial"/>
          <w:sz w:val="13"/>
          <w:szCs w:val="13"/>
          <w:color w:val="231F20"/>
        </w:rPr>
      </w:pPr>
      <w:r>
        <w:rPr>
          <w:rFonts w:ascii="Arial" w:cs="Arial" w:eastAsia="Arial" w:hAnsi="Arial"/>
          <w:sz w:val="13"/>
          <w:szCs w:val="13"/>
          <w:color w:val="231F20"/>
        </w:rPr>
        <w:t>more extensive experience in preclinical testing, conducting clinical trials, obtaining regulatory approvals, and in manufacturing, marketing and selling drug products;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2"/>
        </w:numPr>
        <w:rPr>
          <w:rFonts w:ascii="Arial" w:cs="Arial" w:eastAsia="Arial" w:hAnsi="Arial"/>
          <w:sz w:val="13"/>
          <w:szCs w:val="13"/>
          <w:color w:val="231F20"/>
        </w:rPr>
      </w:pPr>
      <w:r>
        <w:rPr>
          <w:rFonts w:ascii="Arial" w:cs="Arial" w:eastAsia="Arial" w:hAnsi="Arial"/>
          <w:sz w:val="13"/>
          <w:szCs w:val="13"/>
          <w:color w:val="231F20"/>
        </w:rPr>
        <w:t>product candidates that are based on previously tested or accepted technologies;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2"/>
        </w:numPr>
        <w:rPr>
          <w:rFonts w:ascii="Arial" w:cs="Arial" w:eastAsia="Arial" w:hAnsi="Arial"/>
          <w:sz w:val="13"/>
          <w:szCs w:val="13"/>
          <w:color w:val="231F20"/>
        </w:rPr>
      </w:pPr>
      <w:r>
        <w:rPr>
          <w:rFonts w:ascii="Arial" w:cs="Arial" w:eastAsia="Arial" w:hAnsi="Arial"/>
          <w:sz w:val="13"/>
          <w:szCs w:val="13"/>
          <w:color w:val="231F20"/>
        </w:rPr>
        <w:t>products that have been approved or are in late stages of development;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2"/>
        </w:numPr>
        <w:rPr>
          <w:rFonts w:ascii="Arial" w:cs="Arial" w:eastAsia="Arial" w:hAnsi="Arial"/>
          <w:sz w:val="13"/>
          <w:szCs w:val="13"/>
          <w:color w:val="231F20"/>
        </w:rPr>
      </w:pPr>
      <w:r>
        <w:rPr>
          <w:rFonts w:ascii="Arial" w:cs="Arial" w:eastAsia="Arial" w:hAnsi="Arial"/>
          <w:sz w:val="13"/>
          <w:szCs w:val="13"/>
          <w:color w:val="231F20"/>
        </w:rPr>
        <w:t>collaborative arrangements in our target markets with leading companies and research institutions.</w:t>
      </w:r>
    </w:p>
    <w:p>
      <w:pPr>
        <w:spacing w:after="0" w:line="170" w:lineRule="exact"/>
        <w:rPr>
          <w:sz w:val="20"/>
          <w:szCs w:val="20"/>
          <w:color w:val="auto"/>
        </w:rPr>
      </w:pPr>
    </w:p>
    <w:p>
      <w:pPr>
        <w:ind w:right="280" w:firstLine="556"/>
        <w:spacing w:after="0" w:line="272" w:lineRule="auto"/>
        <w:rPr>
          <w:sz w:val="20"/>
          <w:szCs w:val="20"/>
          <w:color w:val="auto"/>
        </w:rPr>
      </w:pPr>
      <w:r>
        <w:rPr>
          <w:rFonts w:ascii="Arial" w:cs="Arial" w:eastAsia="Arial" w:hAnsi="Arial"/>
          <w:sz w:val="13"/>
          <w:szCs w:val="13"/>
          <w:color w:val="231F20"/>
        </w:rPr>
        <w:t>We will face intense competition from drugs that have already been approved and accepted by the medical community for the treatment of the conditions for which we may develop drugs. We also expect to face competition from new drugs that enter the market. There are a number of drugs currently under development, which may become commercially available in the future, for the treatment of conditions for which we are trying, or may in the future try,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231F20"/>
        </w:rPr>
        <w:t>develop drugs. These drugs may be more effective, safer, less expensive, or marketed and sold more effectively, than any products we develop.</w:t>
      </w:r>
    </w:p>
    <w:p>
      <w:pPr>
        <w:spacing w:after="0" w:line="170" w:lineRule="exact"/>
        <w:rPr>
          <w:sz w:val="20"/>
          <w:szCs w:val="20"/>
          <w:color w:val="auto"/>
        </w:rPr>
      </w:pPr>
    </w:p>
    <w:p>
      <w:pPr>
        <w:ind w:right="20" w:firstLine="556"/>
        <w:spacing w:after="0" w:line="296" w:lineRule="auto"/>
        <w:rPr>
          <w:sz w:val="20"/>
          <w:szCs w:val="20"/>
          <w:color w:val="auto"/>
        </w:rPr>
      </w:pPr>
      <w:r>
        <w:rPr>
          <w:rFonts w:ascii="Arial" w:cs="Arial" w:eastAsia="Arial" w:hAnsi="Arial"/>
          <w:sz w:val="12"/>
          <w:szCs w:val="12"/>
          <w:color w:val="231F20"/>
        </w:rPr>
        <w:t>We anticipate competing with the largest pharmaceutical companies in the world, many of which are all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If we successfully develop product candidates, and obtain approval for them, we will face competition based on many different factors, including:</w:t>
      </w:r>
    </w:p>
    <w:p>
      <w:pPr>
        <w:spacing w:after="0" w:line="90" w:lineRule="exact"/>
        <w:rPr>
          <w:sz w:val="20"/>
          <w:szCs w:val="20"/>
          <w:color w:val="auto"/>
        </w:rPr>
      </w:pPr>
    </w:p>
    <w:p>
      <w:pPr>
        <w:ind w:left="1020" w:hanging="340"/>
        <w:spacing w:after="0"/>
        <w:tabs>
          <w:tab w:leader="none" w:pos="1020" w:val="left"/>
        </w:tabs>
        <w:numPr>
          <w:ilvl w:val="0"/>
          <w:numId w:val="33"/>
        </w:numPr>
        <w:rPr>
          <w:rFonts w:ascii="Arial" w:cs="Arial" w:eastAsia="Arial" w:hAnsi="Arial"/>
          <w:sz w:val="13"/>
          <w:szCs w:val="13"/>
          <w:color w:val="231F20"/>
        </w:rPr>
      </w:pPr>
      <w:r>
        <w:rPr>
          <w:rFonts w:ascii="Arial" w:cs="Arial" w:eastAsia="Arial" w:hAnsi="Arial"/>
          <w:sz w:val="13"/>
          <w:szCs w:val="13"/>
          <w:color w:val="231F20"/>
        </w:rPr>
        <w:t>the safety and effectiveness of our products relative to alternative therapies, if any;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3"/>
        </w:numPr>
        <w:rPr>
          <w:rFonts w:ascii="Arial" w:cs="Arial" w:eastAsia="Arial" w:hAnsi="Arial"/>
          <w:sz w:val="13"/>
          <w:szCs w:val="13"/>
          <w:color w:val="231F20"/>
        </w:rPr>
      </w:pPr>
      <w:r>
        <w:rPr>
          <w:rFonts w:ascii="Arial" w:cs="Arial" w:eastAsia="Arial" w:hAnsi="Arial"/>
          <w:sz w:val="13"/>
          <w:szCs w:val="13"/>
          <w:color w:val="231F20"/>
        </w:rPr>
        <w:t>the ease with which our products can be administered and the extent to which patients accept relatively new routes of administration;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3"/>
        </w:numPr>
        <w:rPr>
          <w:rFonts w:ascii="Arial" w:cs="Arial" w:eastAsia="Arial" w:hAnsi="Arial"/>
          <w:sz w:val="13"/>
          <w:szCs w:val="13"/>
          <w:color w:val="231F20"/>
        </w:rPr>
      </w:pPr>
      <w:r>
        <w:rPr>
          <w:rFonts w:ascii="Arial" w:cs="Arial" w:eastAsia="Arial" w:hAnsi="Arial"/>
          <w:sz w:val="13"/>
          <w:szCs w:val="13"/>
          <w:color w:val="231F20"/>
        </w:rPr>
        <w:t>the timing and scope of regulatory approvals for these products;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3"/>
        </w:numPr>
        <w:rPr>
          <w:rFonts w:ascii="Arial" w:cs="Arial" w:eastAsia="Arial" w:hAnsi="Arial"/>
          <w:sz w:val="13"/>
          <w:szCs w:val="13"/>
          <w:color w:val="231F20"/>
        </w:rPr>
      </w:pPr>
      <w:r>
        <w:rPr>
          <w:rFonts w:ascii="Arial" w:cs="Arial" w:eastAsia="Arial" w:hAnsi="Arial"/>
          <w:sz w:val="13"/>
          <w:szCs w:val="13"/>
          <w:color w:val="231F20"/>
        </w:rPr>
        <w:t>the availability and cost of manufacturing, marketing and sales capabilities;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3"/>
        </w:numPr>
        <w:rPr>
          <w:rFonts w:ascii="Arial" w:cs="Arial" w:eastAsia="Arial" w:hAnsi="Arial"/>
          <w:sz w:val="13"/>
          <w:szCs w:val="13"/>
          <w:color w:val="231F20"/>
        </w:rPr>
      </w:pPr>
      <w:r>
        <w:rPr>
          <w:rFonts w:ascii="Arial" w:cs="Arial" w:eastAsia="Arial" w:hAnsi="Arial"/>
          <w:sz w:val="13"/>
          <w:szCs w:val="13"/>
          <w:color w:val="231F20"/>
        </w:rPr>
        <w:t>the price of any approved immunotherapy;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3"/>
        </w:numPr>
        <w:rPr>
          <w:rFonts w:ascii="Arial" w:cs="Arial" w:eastAsia="Arial" w:hAnsi="Arial"/>
          <w:sz w:val="13"/>
          <w:szCs w:val="13"/>
          <w:color w:val="231F20"/>
        </w:rPr>
      </w:pPr>
      <w:r>
        <w:rPr>
          <w:rFonts w:ascii="Arial" w:cs="Arial" w:eastAsia="Arial" w:hAnsi="Arial"/>
          <w:sz w:val="13"/>
          <w:szCs w:val="13"/>
          <w:color w:val="231F20"/>
        </w:rPr>
        <w:t>reimbursement coverage;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3"/>
        </w:numPr>
        <w:rPr>
          <w:rFonts w:ascii="Arial" w:cs="Arial" w:eastAsia="Arial" w:hAnsi="Arial"/>
          <w:sz w:val="13"/>
          <w:szCs w:val="13"/>
          <w:color w:val="231F20"/>
        </w:rPr>
      </w:pPr>
      <w:r>
        <w:rPr>
          <w:rFonts w:ascii="Arial" w:cs="Arial" w:eastAsia="Arial" w:hAnsi="Arial"/>
          <w:sz w:val="13"/>
          <w:szCs w:val="13"/>
          <w:color w:val="231F20"/>
        </w:rPr>
        <w:t>intellectual property position.</w:t>
      </w:r>
    </w:p>
    <w:p>
      <w:pPr>
        <w:spacing w:after="0" w:line="170" w:lineRule="exact"/>
        <w:rPr>
          <w:sz w:val="20"/>
          <w:szCs w:val="20"/>
          <w:color w:val="auto"/>
        </w:rPr>
      </w:pPr>
    </w:p>
    <w:p>
      <w:pPr>
        <w:ind w:right="300" w:firstLine="556"/>
        <w:spacing w:after="0" w:line="267" w:lineRule="auto"/>
        <w:rPr>
          <w:sz w:val="20"/>
          <w:szCs w:val="20"/>
          <w:color w:val="auto"/>
        </w:rPr>
      </w:pPr>
      <w:r>
        <w:rPr>
          <w:rFonts w:ascii="Arial" w:cs="Arial" w:eastAsia="Arial" w:hAnsi="Arial"/>
          <w:sz w:val="13"/>
          <w:szCs w:val="13"/>
          <w:color w:val="231F20"/>
        </w:rPr>
        <w:t>Our competitors may develop or commercialize products with significant advantages over any products we develop based on any of the factors listed above or on other factors. In addition, our competitors may develop collaborations with or receive funding from larger pharmaceutical or biotechnology companies, providing them with an advantage over us.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w:t>
      </w:r>
    </w:p>
    <w:p>
      <w:pPr>
        <w:spacing w:after="0" w:line="135"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3"/>
          <w:szCs w:val="13"/>
          <w:b w:val="1"/>
          <w:bCs w:val="1"/>
          <w:i w:val="1"/>
          <w:iCs w:val="1"/>
          <w:color w:val="231F20"/>
        </w:rPr>
        <w:t>The market opportunities for certain of our product candidates may be limited due to the rarity of the disease, or limited to those patients who are ineligible for or have failed prior treatments, and may be small. As the target patient populations for some of our programs are small, we must be able to successfully identify trial participants and achieve a significant market share to maintain profitability and growth.</w:t>
      </w:r>
    </w:p>
    <w:p>
      <w:pPr>
        <w:spacing w:after="0" w:line="52"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231F20"/>
        </w:rPr>
        <w:t>The FDA often approves new therapies initially only for use by patients with relapsed or refractory advanced cancer. We expect to initially seek approval of certain of our product candidates in this context. Subsequently, for those products that prove to be sufficiently beneficial, if any, we would expect to seek approval in earlier lines of treatment and potentially as a first-</w:t>
      </w:r>
      <w:r>
        <w:rPr>
          <w:rFonts w:ascii="Arial" w:cs="Arial" w:eastAsia="Arial" w:hAnsi="Arial"/>
          <w:sz w:val="13"/>
          <w:szCs w:val="13"/>
          <w:color w:val="000000"/>
        </w:rPr>
        <w:t>line</w:t>
      </w:r>
      <w:r>
        <w:rPr>
          <w:rFonts w:ascii="Arial" w:cs="Arial" w:eastAsia="Arial" w:hAnsi="Arial"/>
          <w:sz w:val="13"/>
          <w:szCs w:val="13"/>
          <w:color w:val="231F20"/>
        </w:rPr>
        <w:t xml:space="preserv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135"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231F20"/>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are small, we may never achieve profitability without obtaining regulatory approval for additional indications.</w:t>
      </w:r>
    </w:p>
    <w:p>
      <w:pPr>
        <w:spacing w:after="0" w:line="135"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b w:val="1"/>
          <w:bCs w:val="1"/>
          <w:i w:val="1"/>
          <w:iCs w:val="1"/>
          <w:color w:val="231F20"/>
        </w:rPr>
        <w:t>We currently have no marketing and sales organization and as a company, we have no experience in marketing pharmaceutical products. If we are unable to establish marketing and sales capabilities on our own or through third parties, we may not be able to market and sell our product candidates effectively in the United States and other jurisdictions, if approved, or generate product sales revenue.</w:t>
      </w:r>
    </w:p>
    <w:p>
      <w:pPr>
        <w:spacing w:after="0" w:line="52" w:lineRule="exact"/>
        <w:rPr>
          <w:sz w:val="20"/>
          <w:szCs w:val="20"/>
          <w:color w:val="auto"/>
        </w:rPr>
      </w:pPr>
    </w:p>
    <w:p>
      <w:pPr>
        <w:ind w:right="460" w:firstLine="556"/>
        <w:spacing w:after="0" w:line="287" w:lineRule="auto"/>
        <w:rPr>
          <w:sz w:val="20"/>
          <w:szCs w:val="20"/>
          <w:color w:val="auto"/>
        </w:rPr>
      </w:pPr>
      <w:r>
        <w:rPr>
          <w:rFonts w:ascii="Arial" w:cs="Arial" w:eastAsia="Arial" w:hAnsi="Arial"/>
          <w:sz w:val="13"/>
          <w:szCs w:val="13"/>
          <w:color w:val="231F20"/>
        </w:rPr>
        <w:t>Given our stage of development, we have no sales, distribution or marketing capabilities, and we have not designed our preclinical studies and clinical trials with specific commercialization or marketing considerations in mind. To</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39" w:name="page40"/>
    <w:bookmarkEnd w:id="39"/>
    <w:p>
      <w:pPr>
        <w:ind w:right="60"/>
        <w:spacing w:after="0" w:line="291" w:lineRule="auto"/>
        <w:rPr>
          <w:sz w:val="20"/>
          <w:szCs w:val="20"/>
          <w:color w:val="auto"/>
        </w:rPr>
      </w:pPr>
      <w:r>
        <w:rPr>
          <w:rFonts w:ascii="Arial" w:cs="Arial" w:eastAsia="Arial" w:hAnsi="Arial"/>
          <w:sz w:val="12"/>
          <w:szCs w:val="12"/>
          <w:color w:val="231F20"/>
        </w:rPr>
        <w:t xml:space="preserve">successfully commercialize any products that may result from our development programs, we will need to develop sales and </w:t>
      </w:r>
      <w:r>
        <w:rPr>
          <w:rFonts w:ascii="Arial" w:cs="Arial" w:eastAsia="Arial" w:hAnsi="Arial"/>
          <w:sz w:val="12"/>
          <w:szCs w:val="12"/>
          <w:color w:val="000000"/>
        </w:rPr>
        <w:t>marketing</w:t>
      </w:r>
      <w:r>
        <w:rPr>
          <w:rFonts w:ascii="Arial" w:cs="Arial" w:eastAsia="Arial" w:hAnsi="Arial"/>
          <w:sz w:val="12"/>
          <w:szCs w:val="12"/>
          <w:color w:val="231F20"/>
        </w:rPr>
        <w:t xml:space="preserve">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future collaborators do not commit sufficient resources to commercialize our future products, if any, and we are unable to develop the necessary marketing capabilities on our own, we may be unable to generate sufficient product sales revenue to sustain our business. We will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w:t>
      </w:r>
    </w:p>
    <w:p>
      <w:pPr>
        <w:spacing w:after="0" w:line="123"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b w:val="1"/>
          <w:bCs w:val="1"/>
          <w:i w:val="1"/>
          <w:iCs w:val="1"/>
          <w:color w:val="231F20"/>
        </w:rPr>
        <w:t>Our future profitability, if any,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4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231F20"/>
        </w:rPr>
        <w:t xml:space="preserve">Our future profitability, if any, will depend in part on our ability and the ability of our collaborators to commercialize any products </w:t>
      </w:r>
      <w:r>
        <w:rPr>
          <w:rFonts w:ascii="Arial" w:cs="Arial" w:eastAsia="Arial" w:hAnsi="Arial"/>
          <w:sz w:val="13"/>
          <w:szCs w:val="13"/>
          <w:color w:val="000000"/>
        </w:rPr>
        <w:t>that</w:t>
      </w:r>
      <w:r>
        <w:rPr>
          <w:rFonts w:ascii="Arial" w:cs="Arial" w:eastAsia="Arial" w:hAnsi="Arial"/>
          <w:sz w:val="13"/>
          <w:szCs w:val="13"/>
          <w:color w:val="231F20"/>
        </w:rPr>
        <w:t xml:space="preserve"> we or our collaborators may develop in markets throughout the world. Commercialization of products in various markets could subject us to risks and uncertainties, including:</w:t>
      </w:r>
    </w:p>
    <w:p>
      <w:pPr>
        <w:spacing w:after="0" w:line="42" w:lineRule="exact"/>
        <w:rPr>
          <w:sz w:val="20"/>
          <w:szCs w:val="20"/>
          <w:color w:val="auto"/>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obtaining, on a country-by-country basis, the applicable marketing authorization from the competent regulatory authority;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the burden of complying with complex and changing regulatory, tax, accounting, labor and other legal requirements in each jurisdiction that we or our collaborators pursue;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reduced protection for intellectual property rights;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differing medical practices and customs affecting acceptance in the marketplace;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import or export licensing requirements;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governmental controls, trade restrictions or changes in tariffs;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economic weakness, including inflation, or political instability in particular non-U.S. economies and markets;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production shortages resulting from any events affecting raw material supply or manufacturing capabilities abroad;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longer accounts receivable collection times;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longer lead times for shipping;</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language barriers;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foreign currency exchange rate fluctuations;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the impact of public health epidemics on employees and the global economy, such as the current coronavirus epidemic;</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reimbursement, pricing and insurance regimes;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the interpretation of contractual provisions governed by local laws in the event of a contract dispute.</w:t>
      </w:r>
    </w:p>
    <w:p>
      <w:pPr>
        <w:spacing w:after="0" w:line="170" w:lineRule="exact"/>
        <w:rPr>
          <w:sz w:val="20"/>
          <w:szCs w:val="20"/>
          <w:color w:val="auto"/>
        </w:rPr>
      </w:pPr>
    </w:p>
    <w:p>
      <w:pPr>
        <w:ind w:right="140" w:firstLine="556"/>
        <w:spacing w:after="0" w:line="272" w:lineRule="auto"/>
        <w:rPr>
          <w:sz w:val="20"/>
          <w:szCs w:val="20"/>
          <w:color w:val="auto"/>
        </w:rPr>
      </w:pPr>
      <w:r>
        <w:rPr>
          <w:rFonts w:ascii="Arial" w:cs="Arial" w:eastAsia="Arial" w:hAnsi="Arial"/>
          <w:sz w:val="13"/>
          <w:szCs w:val="13"/>
          <w:color w:val="231F20"/>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32"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b w:val="1"/>
          <w:bCs w:val="1"/>
          <w:i w:val="1"/>
          <w:iCs w:val="1"/>
          <w:color w:val="231F20"/>
        </w:rPr>
        <w:t>Even if we obtain regulatory approval for our product candidates, the products may not gain the market acceptance among physicians, patients, hospitals, cancer treatment centers and others in the medical community necessary for commercial success.</w:t>
      </w:r>
    </w:p>
    <w:p>
      <w:pPr>
        <w:spacing w:after="0" w:line="4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 Any product that we bring to the market may not gain market acceptance by physicians, trial participants, third-party payors, and others in the medical community. Additionally, ethical,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40" w:name="page41"/>
    <w:bookmarkEnd w:id="40"/>
    <w:p>
      <w:pPr>
        <w:ind w:right="60"/>
        <w:spacing w:after="0" w:line="272" w:lineRule="auto"/>
        <w:rPr>
          <w:sz w:val="20"/>
          <w:szCs w:val="20"/>
          <w:color w:val="auto"/>
        </w:rPr>
      </w:pPr>
      <w:r>
        <w:rPr>
          <w:rFonts w:ascii="Arial" w:cs="Arial" w:eastAsia="Arial" w:hAnsi="Arial"/>
          <w:sz w:val="13"/>
          <w:szCs w:val="13"/>
          <w:color w:val="231F20"/>
        </w:rPr>
        <w:t xml:space="preserve">social and legal concerns about genetic research could result in additional regulations restricting or prohibiting the products and </w:t>
      </w:r>
      <w:r>
        <w:rPr>
          <w:rFonts w:ascii="Arial" w:cs="Arial" w:eastAsia="Arial" w:hAnsi="Arial"/>
          <w:sz w:val="13"/>
          <w:szCs w:val="13"/>
          <w:color w:val="000000"/>
        </w:rPr>
        <w:t>processes</w:t>
      </w:r>
      <w:r>
        <w:rPr>
          <w:rFonts w:ascii="Arial" w:cs="Arial" w:eastAsia="Arial" w:hAnsi="Arial"/>
          <w:sz w:val="13"/>
          <w:szCs w:val="13"/>
          <w:color w:val="231F20"/>
        </w:rPr>
        <w:t xml:space="preserve"> we may use. If these products do not achieve an adequate level of acceptance, we may not generate significant product sales revenue and may not become profitable. The degree of market acceptance of our product candidates, if approved for commercial sale, will depend on a number of factors, including:</w:t>
      </w:r>
    </w:p>
    <w:p>
      <w:pPr>
        <w:spacing w:after="0" w:line="52" w:lineRule="exact"/>
        <w:rPr>
          <w:sz w:val="20"/>
          <w:szCs w:val="20"/>
          <w:color w:val="auto"/>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the potential efficacy and potential advantages over alternative treatments;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the ability to offer our products, if approved, at competitive prices;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the prevalence and severity of any side effects, including any limitations or warnings contained in a product’s approved labeling;</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the prevalence and severity of any side effects resulting from checkpoint inhibitors or other drugs or therapies with which our products are administered;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relative convenience and ease of administration;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any restrictions on the use of our products, if approved, together with other medications;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the willingness of the target patient population to try new therapies and of physicians to prescribe these therapies;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the strength of marketing and distribution support and timing of market introduction of competitive products;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publicity concerning our products or competing products and treatments;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5"/>
        </w:numPr>
        <w:rPr>
          <w:rFonts w:ascii="Arial" w:cs="Arial" w:eastAsia="Arial" w:hAnsi="Arial"/>
          <w:sz w:val="13"/>
          <w:szCs w:val="13"/>
          <w:color w:val="231F20"/>
        </w:rPr>
      </w:pPr>
      <w:r>
        <w:rPr>
          <w:rFonts w:ascii="Arial" w:cs="Arial" w:eastAsia="Arial" w:hAnsi="Arial"/>
          <w:sz w:val="13"/>
          <w:szCs w:val="13"/>
          <w:color w:val="231F20"/>
        </w:rPr>
        <w:t>sufficient third-party insurance coverage or reimbursement, and patients’ willingness to pay out-of-pocket in the absence of third-party coverage or adequate reimbursement.</w:t>
      </w:r>
    </w:p>
    <w:p>
      <w:pPr>
        <w:spacing w:after="0" w:line="170"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132" w:lineRule="exact"/>
        <w:rPr>
          <w:sz w:val="20"/>
          <w:szCs w:val="20"/>
          <w:color w:val="auto"/>
        </w:rPr>
      </w:pPr>
    </w:p>
    <w:p>
      <w:pPr>
        <w:jc w:val="both"/>
        <w:ind w:right="40" w:firstLine="556"/>
        <w:spacing w:after="0" w:line="264" w:lineRule="auto"/>
        <w:rPr>
          <w:sz w:val="20"/>
          <w:szCs w:val="20"/>
          <w:color w:val="auto"/>
        </w:rPr>
      </w:pPr>
      <w:r>
        <w:rPr>
          <w:rFonts w:ascii="Arial" w:cs="Arial" w:eastAsia="Arial" w:hAnsi="Arial"/>
          <w:sz w:val="13"/>
          <w:szCs w:val="13"/>
          <w:color w:val="231F20"/>
        </w:rPr>
        <w:t>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w:t>
      </w:r>
    </w:p>
    <w:p>
      <w:pPr>
        <w:spacing w:after="0" w:line="138" w:lineRule="exact"/>
        <w:rPr>
          <w:sz w:val="20"/>
          <w:szCs w:val="20"/>
          <w:color w:val="auto"/>
        </w:rPr>
      </w:pPr>
    </w:p>
    <w:p>
      <w:pPr>
        <w:ind w:right="100" w:firstLine="556"/>
        <w:spacing w:after="0" w:line="264" w:lineRule="auto"/>
        <w:rPr>
          <w:sz w:val="20"/>
          <w:szCs w:val="20"/>
          <w:color w:val="auto"/>
        </w:rPr>
      </w:pPr>
      <w:r>
        <w:rPr>
          <w:rFonts w:ascii="Arial" w:cs="Arial" w:eastAsia="Arial" w:hAnsi="Arial"/>
          <w:sz w:val="13"/>
          <w:szCs w:val="13"/>
          <w:color w:val="231F20"/>
        </w:rPr>
        <w:t>In addition, if any of our products are approved for marketing, we or a collaborator will be subject to significant regulatory obligations regarding the submission of safety and other post-marketing information and reports for such product, and will need to continue to comply (or ensure that our third-party providers comply) with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38"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b w:val="1"/>
          <w:bCs w:val="1"/>
          <w:i w:val="1"/>
          <w:iCs w:val="1"/>
          <w:color w:val="231F20"/>
        </w:rPr>
        <w:t>Coverage and reimbursement may be limited or unavailable in certain market segments for our product candidates, which could make it difficult for us to sell our product candidates, if approved, profitably.</w:t>
      </w:r>
    </w:p>
    <w:p>
      <w:pPr>
        <w:spacing w:after="0" w:line="42" w:lineRule="exact"/>
        <w:rPr>
          <w:sz w:val="20"/>
          <w:szCs w:val="20"/>
          <w:color w:val="auto"/>
        </w:rPr>
      </w:pPr>
    </w:p>
    <w:p>
      <w:pPr>
        <w:jc w:val="both"/>
        <w:ind w:right="40" w:firstLine="556"/>
        <w:spacing w:after="0" w:line="304" w:lineRule="auto"/>
        <w:rPr>
          <w:sz w:val="20"/>
          <w:szCs w:val="20"/>
          <w:color w:val="auto"/>
        </w:rPr>
      </w:pPr>
      <w:r>
        <w:rPr>
          <w:rFonts w:ascii="Arial" w:cs="Arial" w:eastAsia="Arial" w:hAnsi="Arial"/>
          <w:sz w:val="12"/>
          <w:szCs w:val="12"/>
          <w:color w:val="231F20"/>
        </w:rPr>
        <w:t xml:space="preserve">Successful sales of our product candidates, if approved, depend on the availability of coverage and adequate reimbursement from third-party payors including governmental healthcare programs, such as Medicare and Medicaid, managed </w:t>
      </w:r>
      <w:r>
        <w:rPr>
          <w:rFonts w:ascii="Arial" w:cs="Arial" w:eastAsia="Arial" w:hAnsi="Arial"/>
          <w:sz w:val="12"/>
          <w:szCs w:val="12"/>
          <w:color w:val="000000"/>
        </w:rPr>
        <w:t>care</w:t>
      </w:r>
      <w:r>
        <w:rPr>
          <w:rFonts w:ascii="Arial" w:cs="Arial" w:eastAsia="Arial" w:hAnsi="Arial"/>
          <w:sz w:val="12"/>
          <w:szCs w:val="12"/>
          <w:color w:val="231F20"/>
        </w:rPr>
        <w:t xml:space="preserv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11" w:right="359" w:bottom="1440" w:gutter="0" w:footer="0" w:header="0"/>
        </w:sectPr>
      </w:pPr>
    </w:p>
    <w:bookmarkStart w:id="41" w:name="page42"/>
    <w:bookmarkEnd w:id="41"/>
    <w:p>
      <w:pPr>
        <w:ind w:right="420" w:firstLine="556"/>
        <w:spacing w:after="0" w:line="287" w:lineRule="auto"/>
        <w:rPr>
          <w:sz w:val="20"/>
          <w:szCs w:val="20"/>
          <w:color w:val="auto"/>
        </w:rPr>
      </w:pPr>
      <w:r>
        <w:rPr>
          <w:rFonts w:ascii="Arial" w:cs="Arial" w:eastAsia="Arial" w:hAnsi="Arial"/>
          <w:sz w:val="13"/>
          <w:szCs w:val="13"/>
          <w:color w:val="231F20"/>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22"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231F20"/>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42" w:lineRule="exact"/>
        <w:rPr>
          <w:sz w:val="20"/>
          <w:szCs w:val="20"/>
          <w:color w:val="auto"/>
        </w:rPr>
      </w:pPr>
    </w:p>
    <w:p>
      <w:pPr>
        <w:ind w:left="1020" w:hanging="340"/>
        <w:spacing w:after="0"/>
        <w:tabs>
          <w:tab w:leader="none" w:pos="1020" w:val="left"/>
        </w:tabs>
        <w:numPr>
          <w:ilvl w:val="0"/>
          <w:numId w:val="36"/>
        </w:numPr>
        <w:rPr>
          <w:rFonts w:ascii="Arial" w:cs="Arial" w:eastAsia="Arial" w:hAnsi="Arial"/>
          <w:sz w:val="13"/>
          <w:szCs w:val="13"/>
          <w:color w:val="231F20"/>
        </w:rPr>
      </w:pPr>
      <w:r>
        <w:rPr>
          <w:rFonts w:ascii="Arial" w:cs="Arial" w:eastAsia="Arial" w:hAnsi="Arial"/>
          <w:sz w:val="13"/>
          <w:szCs w:val="13"/>
          <w:color w:val="231F20"/>
        </w:rPr>
        <w:t>a covered benefit under its health plan;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6"/>
        </w:numPr>
        <w:rPr>
          <w:rFonts w:ascii="Arial" w:cs="Arial" w:eastAsia="Arial" w:hAnsi="Arial"/>
          <w:sz w:val="13"/>
          <w:szCs w:val="13"/>
          <w:color w:val="231F20"/>
        </w:rPr>
      </w:pPr>
      <w:r>
        <w:rPr>
          <w:rFonts w:ascii="Arial" w:cs="Arial" w:eastAsia="Arial" w:hAnsi="Arial"/>
          <w:sz w:val="13"/>
          <w:szCs w:val="13"/>
          <w:color w:val="231F20"/>
        </w:rPr>
        <w:t>safe, effective and medically necessary;</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6"/>
        </w:numPr>
        <w:rPr>
          <w:rFonts w:ascii="Arial" w:cs="Arial" w:eastAsia="Arial" w:hAnsi="Arial"/>
          <w:sz w:val="13"/>
          <w:szCs w:val="13"/>
          <w:color w:val="231F20"/>
        </w:rPr>
      </w:pPr>
      <w:r>
        <w:rPr>
          <w:rFonts w:ascii="Arial" w:cs="Arial" w:eastAsia="Arial" w:hAnsi="Arial"/>
          <w:sz w:val="13"/>
          <w:szCs w:val="13"/>
          <w:color w:val="231F20"/>
        </w:rPr>
        <w:t>appropriate for the specific patient;</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6"/>
        </w:numPr>
        <w:rPr>
          <w:rFonts w:ascii="Arial" w:cs="Arial" w:eastAsia="Arial" w:hAnsi="Arial"/>
          <w:sz w:val="13"/>
          <w:szCs w:val="13"/>
          <w:color w:val="231F20"/>
        </w:rPr>
      </w:pPr>
      <w:r>
        <w:rPr>
          <w:rFonts w:ascii="Arial" w:cs="Arial" w:eastAsia="Arial" w:hAnsi="Arial"/>
          <w:sz w:val="13"/>
          <w:szCs w:val="13"/>
          <w:color w:val="231F20"/>
        </w:rPr>
        <w:t>cost-effective;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6"/>
        </w:numPr>
        <w:rPr>
          <w:rFonts w:ascii="Arial" w:cs="Arial" w:eastAsia="Arial" w:hAnsi="Arial"/>
          <w:sz w:val="13"/>
          <w:szCs w:val="13"/>
          <w:color w:val="231F20"/>
        </w:rPr>
      </w:pPr>
      <w:r>
        <w:rPr>
          <w:rFonts w:ascii="Arial" w:cs="Arial" w:eastAsia="Arial" w:hAnsi="Arial"/>
          <w:sz w:val="13"/>
          <w:szCs w:val="13"/>
          <w:color w:val="231F20"/>
        </w:rPr>
        <w:t>neither experimental nor investigational.</w:t>
      </w:r>
    </w:p>
    <w:p>
      <w:pPr>
        <w:spacing w:after="0" w:line="170" w:lineRule="exact"/>
        <w:rPr>
          <w:sz w:val="20"/>
          <w:szCs w:val="20"/>
          <w:color w:val="auto"/>
        </w:rPr>
      </w:pPr>
    </w:p>
    <w:p>
      <w:pPr>
        <w:ind w:right="80" w:firstLine="556"/>
        <w:spacing w:after="0" w:line="261" w:lineRule="auto"/>
        <w:rPr>
          <w:sz w:val="20"/>
          <w:szCs w:val="20"/>
          <w:color w:val="auto"/>
        </w:rPr>
      </w:pPr>
      <w:r>
        <w:rPr>
          <w:rFonts w:ascii="Arial" w:cs="Arial" w:eastAsia="Arial" w:hAnsi="Arial"/>
          <w:sz w:val="13"/>
          <w:szCs w:val="13"/>
          <w:color w:val="231F20"/>
        </w:rPr>
        <w:t>Obtaining coverage and reimbursement of a product from a government or other third-party payor is a time- 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 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139" w:lineRule="exact"/>
        <w:rPr>
          <w:sz w:val="20"/>
          <w:szCs w:val="20"/>
          <w:color w:val="auto"/>
        </w:rPr>
      </w:pPr>
    </w:p>
    <w:p>
      <w:pPr>
        <w:jc w:val="both"/>
        <w:ind w:right="40" w:firstLine="556"/>
        <w:spacing w:after="0" w:line="272" w:lineRule="auto"/>
        <w:rPr>
          <w:sz w:val="20"/>
          <w:szCs w:val="20"/>
          <w:color w:val="auto"/>
        </w:rPr>
      </w:pPr>
      <w:r>
        <w:rPr>
          <w:rFonts w:ascii="Arial" w:cs="Arial" w:eastAsia="Arial" w:hAnsi="Arial"/>
          <w:sz w:val="13"/>
          <w:szCs w:val="13"/>
          <w:color w:val="231F20"/>
        </w:rPr>
        <w:t>In the United States, no uniform policy of coverage and reimbursement for products exists among third- 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32"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231F20"/>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137" w:lineRule="exact"/>
        <w:rPr>
          <w:sz w:val="20"/>
          <w:szCs w:val="20"/>
          <w:color w:val="auto"/>
        </w:rPr>
      </w:pPr>
    </w:p>
    <w:p>
      <w:pPr>
        <w:ind w:right="60" w:firstLine="556"/>
        <w:spacing w:after="0" w:line="304" w:lineRule="auto"/>
        <w:rPr>
          <w:sz w:val="20"/>
          <w:szCs w:val="20"/>
          <w:color w:val="auto"/>
        </w:rPr>
      </w:pPr>
      <w:r>
        <w:rPr>
          <w:rFonts w:ascii="Arial" w:cs="Arial" w:eastAsia="Arial" w:hAnsi="Arial"/>
          <w:sz w:val="12"/>
          <w:szCs w:val="12"/>
          <w:color w:val="231F20"/>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42" w:name="page43"/>
    <w:bookmarkEnd w:id="42"/>
    <w:p>
      <w:pPr>
        <w:ind w:right="160" w:firstLine="556"/>
        <w:spacing w:after="0" w:line="287" w:lineRule="auto"/>
        <w:rPr>
          <w:sz w:val="20"/>
          <w:szCs w:val="20"/>
          <w:color w:val="auto"/>
        </w:rPr>
      </w:pPr>
      <w:r>
        <w:rPr>
          <w:rFonts w:ascii="Arial" w:cs="Arial" w:eastAsia="Arial" w:hAnsi="Arial"/>
          <w:sz w:val="13"/>
          <w:szCs w:val="13"/>
          <w:b w:val="1"/>
          <w:bCs w:val="1"/>
          <w:i w:val="1"/>
          <w:iCs w:val="1"/>
          <w:color w:val="231F20"/>
        </w:rPr>
        <w:t>The advancement of healthcare reform legislation may increase the difficulty and cost for us to obtain marketing approval of and commercialize any product candidates we or our collaborators develop and may adversely affect the prices for such product candidates.</w:t>
      </w:r>
    </w:p>
    <w:p>
      <w:pPr>
        <w:spacing w:after="0" w:line="42" w:lineRule="exact"/>
        <w:rPr>
          <w:sz w:val="20"/>
          <w:szCs w:val="20"/>
          <w:color w:val="auto"/>
        </w:rPr>
      </w:pPr>
    </w:p>
    <w:p>
      <w:pPr>
        <w:ind w:right="160" w:firstLine="556"/>
        <w:spacing w:after="0" w:line="264" w:lineRule="auto"/>
        <w:rPr>
          <w:sz w:val="20"/>
          <w:szCs w:val="20"/>
          <w:color w:val="auto"/>
        </w:rPr>
      </w:pPr>
      <w:r>
        <w:rPr>
          <w:rFonts w:ascii="Arial" w:cs="Arial" w:eastAsia="Arial" w:hAnsi="Arial"/>
          <w:sz w:val="13"/>
          <w:szCs w:val="13"/>
          <w:color w:val="231F20"/>
        </w:rPr>
        <w:t>In the United States, there have been and continue to be a number of legislative initiatives to contain healthcare costs. For example, in March 2010, the ACA was passed, which substantially changes the way health care is financed by both governmental and private insurers, and significantly impacts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138" w:lineRule="exact"/>
        <w:rPr>
          <w:sz w:val="20"/>
          <w:szCs w:val="20"/>
          <w:color w:val="auto"/>
        </w:rPr>
      </w:pPr>
    </w:p>
    <w:p>
      <w:pPr>
        <w:ind w:firstLine="556"/>
        <w:spacing w:after="0" w:line="259" w:lineRule="auto"/>
        <w:rPr>
          <w:sz w:val="20"/>
          <w:szCs w:val="20"/>
          <w:color w:val="auto"/>
        </w:rPr>
      </w:pPr>
      <w:r>
        <w:rPr>
          <w:rFonts w:ascii="Arial" w:cs="Arial" w:eastAsia="Arial" w:hAnsi="Arial"/>
          <w:sz w:val="13"/>
          <w:szCs w:val="13"/>
          <w:color w:val="231F20"/>
        </w:rPr>
        <w:t>Some of the provisions of the ACA have yet to be fully implemented, while certain provisions have been subject to judicial and Congressional challenges. The Tax Cuts and Jobs Act of 2017, or the TCJA, includes a provision repealing the tax-based shared responsibility payment imposed by the ACA on certain individuals who fail to maintain qualifying health coverage for all or part of a year that is commonly referred to as the “individual mandate.”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October 13, 2017, an executive order was signed terminating the cost-sharing reduction, or CSR, subsidies that reimburse insurers under the ACA.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Another executive order was signed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With the current presidential administration and Congress, there may be additional administrative or legislative changes, including modification, repeal or replacement of all, or certain provisions of, the ACA. However, it remains to be seen whether new legislation modifying the ACA will be enacted and, if so, precisely what the new legislation will provide, when it will be enacted and what impact it will have on the availability of healthcare and containing or lowering the cost of healthcare. The implications of a potential repeal or replacement of the ACA, for our and our collaborators’ business and financial condition, if any, are not yet clear.</w:t>
      </w:r>
    </w:p>
    <w:p>
      <w:pPr>
        <w:spacing w:after="0" w:line="144" w:lineRule="exact"/>
        <w:rPr>
          <w:sz w:val="20"/>
          <w:szCs w:val="20"/>
          <w:color w:val="auto"/>
        </w:rPr>
      </w:pPr>
    </w:p>
    <w:p>
      <w:pPr>
        <w:ind w:right="180" w:firstLine="556"/>
        <w:spacing w:after="0" w:line="267" w:lineRule="auto"/>
        <w:rPr>
          <w:sz w:val="20"/>
          <w:szCs w:val="20"/>
          <w:color w:val="auto"/>
        </w:rPr>
      </w:pPr>
      <w:r>
        <w:rPr>
          <w:rFonts w:ascii="Arial" w:cs="Arial" w:eastAsia="Arial" w:hAnsi="Arial"/>
          <w:sz w:val="13"/>
          <w:szCs w:val="13"/>
          <w:color w:val="231F20"/>
        </w:rPr>
        <w:t>In addition, 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These reductions will remain in effect through 2025 unless additional congressional action is taken.</w:t>
      </w:r>
    </w:p>
    <w:p>
      <w:pPr>
        <w:spacing w:after="0" w:line="135" w:lineRule="exact"/>
        <w:rPr>
          <w:sz w:val="20"/>
          <w:szCs w:val="20"/>
          <w:color w:val="auto"/>
        </w:rPr>
      </w:pPr>
    </w:p>
    <w:p>
      <w:pPr>
        <w:ind w:right="40" w:firstLine="556"/>
        <w:spacing w:after="0" w:line="291" w:lineRule="auto"/>
        <w:rPr>
          <w:sz w:val="20"/>
          <w:szCs w:val="20"/>
          <w:color w:val="auto"/>
        </w:rPr>
      </w:pPr>
      <w:r>
        <w:rPr>
          <w:rFonts w:ascii="Arial" w:cs="Arial" w:eastAsia="Arial" w:hAnsi="Arial"/>
          <w:sz w:val="12"/>
          <w:szCs w:val="12"/>
          <w:color w:val="231F20"/>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 approval activities, and affect our ability to commercialize any products for which we obtain marketing approval.</w:t>
      </w:r>
    </w:p>
    <w:p>
      <w:pPr>
        <w:spacing w:after="0" w:line="123" w:lineRule="exact"/>
        <w:rPr>
          <w:sz w:val="20"/>
          <w:szCs w:val="20"/>
          <w:color w:val="auto"/>
        </w:rPr>
      </w:pPr>
    </w:p>
    <w:p>
      <w:pPr>
        <w:ind w:right="60" w:firstLine="556"/>
        <w:spacing w:after="0" w:line="264" w:lineRule="auto"/>
        <w:rPr>
          <w:sz w:val="20"/>
          <w:szCs w:val="20"/>
          <w:color w:val="auto"/>
        </w:rPr>
      </w:pPr>
      <w:r>
        <w:rPr>
          <w:rFonts w:ascii="Arial" w:cs="Arial" w:eastAsia="Arial" w:hAnsi="Arial"/>
          <w:sz w:val="13"/>
          <w:szCs w:val="13"/>
          <w:color w:val="231F20"/>
        </w:rPr>
        <w:t>We expect that additional healthcare reform measures or proposals will be adopted in the future, any of which could limit the amounts that governments will pay for healthcare products and services, which could result in reduced demand for our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231F20"/>
        </w:rPr>
        <w:t>collaborations may no longer be deemed commercially viable to pursue based on our collaborators’ assessments of the impact of any proposed, announced, or legislated pricing reforms.</w:t>
      </w:r>
    </w:p>
    <w:p>
      <w:pPr>
        <w:spacing w:after="0" w:line="170" w:lineRule="exact"/>
        <w:rPr>
          <w:sz w:val="20"/>
          <w:szCs w:val="20"/>
          <w:color w:val="auto"/>
        </w:rPr>
      </w:pPr>
    </w:p>
    <w:p>
      <w:pPr>
        <w:jc w:val="both"/>
        <w:ind w:right="80" w:firstLine="556"/>
        <w:spacing w:after="0" w:line="272" w:lineRule="auto"/>
        <w:rPr>
          <w:sz w:val="20"/>
          <w:szCs w:val="20"/>
          <w:color w:val="auto"/>
        </w:rPr>
      </w:pPr>
      <w:r>
        <w:rPr>
          <w:rFonts w:ascii="Arial" w:cs="Arial" w:eastAsia="Arial" w:hAnsi="Arial"/>
          <w:sz w:val="13"/>
          <w:szCs w:val="13"/>
          <w:color w:val="231F20"/>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European Union drug marketing and reimbursement regulations may materially affect our ability to market and receive coverage for our products in the European Union member states.</w:t>
      </w:r>
    </w:p>
    <w:p>
      <w:pPr>
        <w:spacing w:after="0" w:line="102"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 xml:space="preserve">We intend to seek approval to market our product candidates in both the United States and in other selected jurisdictions. If we obtain approval for our product candidates in a particular jurisdiction, we will be subject to rules and regulations in that jurisdiction. In some countries, particularly those in the European Union, the pricing of biologics is subject to </w:t>
      </w:r>
      <w:r>
        <w:rPr>
          <w:rFonts w:ascii="Arial" w:cs="Arial" w:eastAsia="Arial" w:hAnsi="Arial"/>
          <w:sz w:val="13"/>
          <w:szCs w:val="13"/>
          <w:color w:val="000000"/>
        </w:rPr>
        <w:t>governmental</w:t>
      </w:r>
      <w:r>
        <w:rPr>
          <w:rFonts w:ascii="Arial" w:cs="Arial" w:eastAsia="Arial" w:hAnsi="Arial"/>
          <w:sz w:val="13"/>
          <w:szCs w:val="13"/>
          <w:color w:val="231F20"/>
        </w:rPr>
        <w:t xml:space="preserve"> control and other market regulations that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38" w:lineRule="exact"/>
        <w:rPr>
          <w:sz w:val="20"/>
          <w:szCs w:val="20"/>
          <w:color w:val="auto"/>
        </w:rPr>
      </w:pPr>
    </w:p>
    <w:p>
      <w:pPr>
        <w:ind w:firstLine="556"/>
        <w:spacing w:after="0" w:line="284" w:lineRule="auto"/>
        <w:rPr>
          <w:sz w:val="20"/>
          <w:szCs w:val="20"/>
          <w:color w:val="auto"/>
        </w:rPr>
      </w:pPr>
      <w:r>
        <w:rPr>
          <w:rFonts w:ascii="Arial" w:cs="Arial" w:eastAsia="Arial" w:hAnsi="Arial"/>
          <w:sz w:val="12"/>
          <w:szCs w:val="12"/>
          <w:color w:val="231F20"/>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European Union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our Reliance on Third Parties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We have entered into several arrangements with a related party for the performance of nonclinical research programs, and these arrangements present potential conflicts of interest.</w:t>
      </w:r>
    </w:p>
    <w:p>
      <w:pPr>
        <w:spacing w:after="0" w:line="102" w:lineRule="exact"/>
        <w:rPr>
          <w:sz w:val="20"/>
          <w:szCs w:val="20"/>
          <w:color w:val="auto"/>
        </w:rPr>
      </w:pPr>
    </w:p>
    <w:p>
      <w:pPr>
        <w:ind w:right="60" w:firstLine="556"/>
        <w:spacing w:after="0" w:line="260" w:lineRule="auto"/>
        <w:rPr>
          <w:sz w:val="20"/>
          <w:szCs w:val="20"/>
          <w:color w:val="auto"/>
        </w:rPr>
      </w:pPr>
      <w:r>
        <w:rPr>
          <w:rFonts w:ascii="Arial" w:cs="Arial" w:eastAsia="Arial" w:hAnsi="Arial"/>
          <w:sz w:val="13"/>
          <w:szCs w:val="13"/>
          <w:color w:val="231F20"/>
        </w:rPr>
        <w:t xml:space="preserve">We have had a longstanding relationship with Translational Oncology at the University Medical Center of the Johannes Gutenberg University Mainz (Translationale Onkologie an der Universitätsmedizin der Johannes Gutenberg Universität Mainz gemeinnützige GmbH), or TRON, a non-profit limited liability company engaged in biopharmaceutical research. During the year ended December 31, 2019 until the resignation of Prof. Ugur Sahin, M.D., as Managing Director for Science and Research at TRON on September 10, 2019, and during the year ended December 31, 2018, the aggregate value of the transactions related to these arrangements with TRON amounted to </w:t>
      </w:r>
      <w:r>
        <w:rPr>
          <w:rFonts w:ascii="Arial" w:cs="Arial" w:eastAsia="Arial" w:hAnsi="Arial"/>
          <w:sz w:val="13"/>
          <w:szCs w:val="13"/>
          <w:color w:val="000000"/>
        </w:rPr>
        <w:t>€6.6 million and</w:t>
      </w:r>
      <w:r>
        <w:rPr>
          <w:rFonts w:ascii="Arial" w:cs="Arial" w:eastAsia="Arial" w:hAnsi="Arial"/>
          <w:sz w:val="13"/>
          <w:szCs w:val="13"/>
          <w:color w:val="231F20"/>
        </w:rPr>
        <w:t xml:space="preserve"> €6.6 million, respectively, and TRON’s research has historically constituted a significant portion of our discovery pipeline and target discovery engine. Prof. Ugur Sahin, M.D., our co-founder and Chief Executive Officer, co-founded TRON and served as Managing Director at TRON until 2019 and currently serves as a Professor of Medicine at the University of Mainz. Prof. Sahin resigned from this position with TRON, effective September 10, 2019. Additionally, Prof. Christoph Huber, M.D., a member of our Supervisory Board, served on TRON’s supervisory board until his resignation in April 2019. We and TRON also share certain intellectual property. Prof. Ugur Sahin, M.D., our co-founder and Chief Executive Officer, owns a significant amount of shares in TRON. </w:t>
      </w:r>
      <w:r>
        <w:rPr>
          <w:rFonts w:ascii="Arial" w:cs="Arial" w:eastAsia="Arial" w:hAnsi="Arial"/>
          <w:sz w:val="13"/>
          <w:szCs w:val="13"/>
          <w:color w:val="000000"/>
        </w:rPr>
        <w:t>During the year ended December 31, 2019, the aggregate</w:t>
      </w:r>
      <w:r>
        <w:rPr>
          <w:rFonts w:ascii="Arial" w:cs="Arial" w:eastAsia="Arial" w:hAnsi="Arial"/>
          <w:sz w:val="13"/>
          <w:szCs w:val="13"/>
          <w:color w:val="231F20"/>
        </w:rPr>
        <w:t xml:space="preserve"> value of transactions related to these agreements with TRON amounted to €10.0 </w:t>
      </w:r>
      <w:r>
        <w:rPr>
          <w:rFonts w:ascii="Arial" w:cs="Arial" w:eastAsia="Arial" w:hAnsi="Arial"/>
          <w:sz w:val="13"/>
          <w:szCs w:val="13"/>
          <w:color w:val="000000"/>
        </w:rPr>
        <w:t>million</w:t>
      </w:r>
      <w:r>
        <w:rPr>
          <w:rFonts w:ascii="Arial" w:cs="Arial" w:eastAsia="Arial" w:hAnsi="Arial"/>
          <w:sz w:val="13"/>
          <w:szCs w:val="13"/>
          <w:color w:val="231F20"/>
        </w:rPr>
        <w:t xml:space="preserve"> pursuant </w:t>
      </w:r>
      <w:r>
        <w:rPr>
          <w:rFonts w:ascii="Arial" w:cs="Arial" w:eastAsia="Arial" w:hAnsi="Arial"/>
          <w:sz w:val="13"/>
          <w:szCs w:val="13"/>
          <w:color w:val="000000"/>
        </w:rPr>
        <w:t>to these agreements (€6.6 million during the year ended December 31, 2018).</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44" w:name="page45"/>
    <w:bookmarkEnd w:id="44"/>
    <w:p>
      <w:pPr>
        <w:ind w:right="180" w:firstLine="556"/>
        <w:spacing w:after="0" w:line="287" w:lineRule="auto"/>
        <w:rPr>
          <w:sz w:val="20"/>
          <w:szCs w:val="20"/>
          <w:color w:val="auto"/>
        </w:rPr>
      </w:pPr>
      <w:r>
        <w:rPr>
          <w:rFonts w:ascii="Arial" w:cs="Arial" w:eastAsia="Arial" w:hAnsi="Arial"/>
          <w:sz w:val="13"/>
          <w:szCs w:val="13"/>
          <w:color w:val="231F20"/>
        </w:rPr>
        <w:t>The existence or appearance of a conflict of interest could depress the price of the ADSs or attract scrutiny from shareholders, regulators or other stakeholders. Additionally, any conflicts of interest would create the risk that our officers may favor their personal interests over those of our shareholders.</w:t>
      </w:r>
    </w:p>
    <w:p>
      <w:pPr>
        <w:spacing w:after="0" w:line="122" w:lineRule="exact"/>
        <w:rPr>
          <w:sz w:val="20"/>
          <w:szCs w:val="20"/>
          <w:color w:val="auto"/>
        </w:rPr>
      </w:pPr>
    </w:p>
    <w:p>
      <w:pPr>
        <w:ind w:right="160" w:firstLine="556"/>
        <w:spacing w:after="0" w:line="272" w:lineRule="auto"/>
        <w:rPr>
          <w:sz w:val="20"/>
          <w:szCs w:val="20"/>
          <w:color w:val="auto"/>
        </w:rPr>
      </w:pPr>
      <w:r>
        <w:rPr>
          <w:rFonts w:ascii="Arial" w:cs="Arial" w:eastAsia="Arial" w:hAnsi="Arial"/>
          <w:sz w:val="13"/>
          <w:szCs w:val="13"/>
          <w:b w:val="1"/>
          <w:bCs w:val="1"/>
          <w:i w:val="1"/>
          <w:iCs w:val="1"/>
          <w:color w:val="231F20"/>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5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 xml:space="preserve">We currently rely and expect to continue to rely on third parties, such as CROs, clinical data management </w:t>
      </w:r>
      <w:r>
        <w:rPr>
          <w:rFonts w:ascii="Arial" w:cs="Arial" w:eastAsia="Arial" w:hAnsi="Arial"/>
          <w:sz w:val="13"/>
          <w:szCs w:val="13"/>
          <w:color w:val="000000"/>
        </w:rPr>
        <w:t>organizations</w:t>
      </w:r>
      <w:r>
        <w:rPr>
          <w:rFonts w:ascii="Arial" w:cs="Arial" w:eastAsia="Arial" w:hAnsi="Arial"/>
          <w:sz w:val="13"/>
          <w:szCs w:val="13"/>
          <w:color w:val="231F20"/>
        </w:rPr>
        <w:t>, collaborators, medical institutions and clinical investigators, to conduct various and significant elements of our clinical trials.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132"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231F20"/>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132" w:lineRule="exact"/>
        <w:rPr>
          <w:sz w:val="20"/>
          <w:szCs w:val="20"/>
          <w:color w:val="auto"/>
        </w:rPr>
      </w:pPr>
    </w:p>
    <w:p>
      <w:pPr>
        <w:ind w:right="100" w:firstLine="556"/>
        <w:spacing w:after="0" w:line="296" w:lineRule="auto"/>
        <w:rPr>
          <w:sz w:val="20"/>
          <w:szCs w:val="20"/>
          <w:color w:val="auto"/>
        </w:rPr>
      </w:pPr>
      <w:r>
        <w:rPr>
          <w:rFonts w:ascii="Arial" w:cs="Arial" w:eastAsia="Arial" w:hAnsi="Arial"/>
          <w:sz w:val="12"/>
          <w:szCs w:val="12"/>
          <w:color w:val="231F20"/>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19"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231F20"/>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also are responsible for ensuring that the rights of our clinical trial participants are protected. These regulations are enforced by the FDA, the competent authorities of the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129"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58" w:lineRule="exact"/>
        <w:rPr>
          <w:sz w:val="20"/>
          <w:szCs w:val="20"/>
          <w:color w:val="auto"/>
        </w:rPr>
      </w:pPr>
    </w:p>
    <w:p>
      <w:pPr>
        <w:ind w:left="1020" w:hanging="340"/>
        <w:spacing w:after="0"/>
        <w:tabs>
          <w:tab w:leader="none" w:pos="1020" w:val="left"/>
        </w:tabs>
        <w:numPr>
          <w:ilvl w:val="0"/>
          <w:numId w:val="37"/>
        </w:numPr>
        <w:rPr>
          <w:rFonts w:ascii="Arial" w:cs="Arial" w:eastAsia="Arial" w:hAnsi="Arial"/>
          <w:sz w:val="13"/>
          <w:szCs w:val="13"/>
          <w:color w:val="231F20"/>
        </w:rPr>
      </w:pPr>
      <w:r>
        <w:rPr>
          <w:rFonts w:ascii="Arial" w:cs="Arial" w:eastAsia="Arial" w:hAnsi="Arial"/>
          <w:sz w:val="13"/>
          <w:szCs w:val="13"/>
          <w:color w:val="231F20"/>
        </w:rPr>
        <w:t>have staffing difficulties;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7"/>
        </w:numPr>
        <w:rPr>
          <w:rFonts w:ascii="Arial" w:cs="Arial" w:eastAsia="Arial" w:hAnsi="Arial"/>
          <w:sz w:val="13"/>
          <w:szCs w:val="13"/>
          <w:color w:val="231F20"/>
        </w:rPr>
      </w:pPr>
      <w:r>
        <w:rPr>
          <w:rFonts w:ascii="Arial" w:cs="Arial" w:eastAsia="Arial" w:hAnsi="Arial"/>
          <w:sz w:val="13"/>
          <w:szCs w:val="13"/>
          <w:color w:val="231F20"/>
        </w:rPr>
        <w:t>fail to comply with contractual obligations;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7"/>
        </w:numPr>
        <w:rPr>
          <w:rFonts w:ascii="Arial" w:cs="Arial" w:eastAsia="Arial" w:hAnsi="Arial"/>
          <w:sz w:val="13"/>
          <w:szCs w:val="13"/>
          <w:color w:val="231F20"/>
        </w:rPr>
      </w:pPr>
      <w:r>
        <w:rPr>
          <w:rFonts w:ascii="Arial" w:cs="Arial" w:eastAsia="Arial" w:hAnsi="Arial"/>
          <w:sz w:val="13"/>
          <w:szCs w:val="13"/>
          <w:color w:val="231F20"/>
        </w:rPr>
        <w:t>experience regulatory compliance issues;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7"/>
        </w:numPr>
        <w:rPr>
          <w:rFonts w:ascii="Arial" w:cs="Arial" w:eastAsia="Arial" w:hAnsi="Arial"/>
          <w:sz w:val="13"/>
          <w:szCs w:val="13"/>
          <w:color w:val="231F20"/>
        </w:rPr>
      </w:pPr>
      <w:r>
        <w:rPr>
          <w:rFonts w:ascii="Arial" w:cs="Arial" w:eastAsia="Arial" w:hAnsi="Arial"/>
          <w:sz w:val="13"/>
          <w:szCs w:val="13"/>
          <w:color w:val="231F20"/>
        </w:rPr>
        <w:t>undergo changes in priorities or become financially distressed;</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45" w:name="page46"/>
    <w:bookmarkEnd w:id="45"/>
    <w:p>
      <w:pPr>
        <w:ind w:left="1020" w:hanging="340"/>
        <w:spacing w:after="0"/>
        <w:tabs>
          <w:tab w:leader="none" w:pos="1020" w:val="left"/>
        </w:tabs>
        <w:numPr>
          <w:ilvl w:val="0"/>
          <w:numId w:val="38"/>
        </w:numPr>
        <w:rPr>
          <w:rFonts w:ascii="Arial" w:cs="Arial" w:eastAsia="Arial" w:hAnsi="Arial"/>
          <w:sz w:val="13"/>
          <w:szCs w:val="13"/>
          <w:color w:val="231F20"/>
        </w:rPr>
      </w:pPr>
      <w:r>
        <w:rPr>
          <w:rFonts w:ascii="Arial" w:cs="Arial" w:eastAsia="Arial" w:hAnsi="Arial"/>
          <w:sz w:val="13"/>
          <w:szCs w:val="13"/>
          <w:color w:val="231F20"/>
        </w:rPr>
        <w:t>form relationships with other entities, some of which may be our competitors;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8"/>
        </w:numPr>
        <w:rPr>
          <w:rFonts w:ascii="Arial" w:cs="Arial" w:eastAsia="Arial" w:hAnsi="Arial"/>
          <w:sz w:val="13"/>
          <w:szCs w:val="13"/>
          <w:color w:val="231F20"/>
        </w:rPr>
      </w:pPr>
      <w:r>
        <w:rPr>
          <w:rFonts w:ascii="Arial" w:cs="Arial" w:eastAsia="Arial" w:hAnsi="Arial"/>
          <w:sz w:val="13"/>
          <w:szCs w:val="13"/>
          <w:color w:val="231F20"/>
        </w:rPr>
        <w:t>have human errors; or</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8"/>
        </w:numPr>
        <w:rPr>
          <w:rFonts w:ascii="Arial" w:cs="Arial" w:eastAsia="Arial" w:hAnsi="Arial"/>
          <w:sz w:val="13"/>
          <w:szCs w:val="13"/>
          <w:color w:val="231F20"/>
        </w:rPr>
      </w:pPr>
      <w:r>
        <w:rPr>
          <w:rFonts w:ascii="Arial" w:cs="Arial" w:eastAsia="Arial" w:hAnsi="Arial"/>
          <w:sz w:val="13"/>
          <w:szCs w:val="13"/>
          <w:color w:val="231F20"/>
        </w:rPr>
        <w:t>be subject to cyberattacks.</w:t>
      </w:r>
    </w:p>
    <w:p>
      <w:pPr>
        <w:spacing w:after="0" w:line="17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38"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 Each of the risks set forth above may be exacerbated by the COVID-19 pandemic currently affecting the global community and the global economy.</w:t>
      </w:r>
    </w:p>
    <w:p>
      <w:pPr>
        <w:spacing w:after="0" w:line="138" w:lineRule="exact"/>
        <w:rPr>
          <w:sz w:val="20"/>
          <w:szCs w:val="20"/>
          <w:color w:val="auto"/>
        </w:rPr>
      </w:pPr>
    </w:p>
    <w:p>
      <w:pPr>
        <w:ind w:right="340" w:firstLine="556"/>
        <w:spacing w:after="0" w:line="287" w:lineRule="auto"/>
        <w:rPr>
          <w:sz w:val="20"/>
          <w:szCs w:val="20"/>
          <w:color w:val="auto"/>
        </w:rPr>
      </w:pPr>
      <w:r>
        <w:rPr>
          <w:rFonts w:ascii="Arial" w:cs="Arial" w:eastAsia="Arial" w:hAnsi="Arial"/>
          <w:sz w:val="13"/>
          <w:szCs w:val="13"/>
          <w:b w:val="1"/>
          <w:bCs w:val="1"/>
          <w:i w:val="1"/>
          <w:iCs w:val="1"/>
          <w:color w:val="231F20"/>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 candidates.</w:t>
      </w:r>
    </w:p>
    <w:p>
      <w:pPr>
        <w:spacing w:after="0" w:line="4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We have entered into collaborations under which our collaborators have provided, and may in the future provide, funding and other resources for developing and potentially commercializing our product candidates. We expect to enter into additional collaborations to access additional funding, capabilities and expertise in the future. Our existing collaborations, and any future collaborations we enter into, may pose a number of risks, including the following:</w:t>
      </w:r>
    </w:p>
    <w:p>
      <w:pPr>
        <w:spacing w:after="0" w:line="52" w:lineRule="exact"/>
        <w:rPr>
          <w:sz w:val="20"/>
          <w:szCs w:val="20"/>
          <w:color w:val="auto"/>
        </w:rPr>
      </w:pPr>
    </w:p>
    <w:p>
      <w:pPr>
        <w:ind w:left="1020" w:hanging="340"/>
        <w:spacing w:after="0"/>
        <w:tabs>
          <w:tab w:leader="none" w:pos="1020" w:val="left"/>
        </w:tabs>
        <w:numPr>
          <w:ilvl w:val="0"/>
          <w:numId w:val="39"/>
        </w:numPr>
        <w:rPr>
          <w:rFonts w:ascii="Arial" w:cs="Arial" w:eastAsia="Arial" w:hAnsi="Arial"/>
          <w:sz w:val="13"/>
          <w:szCs w:val="13"/>
          <w:color w:val="231F20"/>
        </w:rPr>
      </w:pPr>
      <w:r>
        <w:rPr>
          <w:rFonts w:ascii="Arial" w:cs="Arial" w:eastAsia="Arial" w:hAnsi="Arial"/>
          <w:sz w:val="13"/>
          <w:szCs w:val="13"/>
          <w:color w:val="231F20"/>
        </w:rPr>
        <w:t>collaborators may not perform or prioritize their obligations as expected;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39"/>
        </w:numPr>
        <w:rPr>
          <w:rFonts w:ascii="Arial" w:cs="Arial" w:eastAsia="Arial" w:hAnsi="Arial"/>
          <w:sz w:val="13"/>
          <w:szCs w:val="13"/>
          <w:color w:val="231F20"/>
        </w:rPr>
      </w:pPr>
      <w:r>
        <w:rPr>
          <w:rFonts w:ascii="Arial" w:cs="Arial" w:eastAsia="Arial" w:hAnsi="Arial"/>
          <w:sz w:val="13"/>
          <w:szCs w:val="13"/>
          <w:color w:val="231F20"/>
        </w:rPr>
        <w:t>the clinical trials conducted as part of such collaborations may not be successful;</w:t>
      </w:r>
    </w:p>
    <w:p>
      <w:pPr>
        <w:spacing w:after="0" w:line="90" w:lineRule="exact"/>
        <w:rPr>
          <w:rFonts w:ascii="Arial" w:cs="Arial" w:eastAsia="Arial" w:hAnsi="Arial"/>
          <w:sz w:val="13"/>
          <w:szCs w:val="13"/>
          <w:color w:val="231F20"/>
        </w:rPr>
      </w:pPr>
    </w:p>
    <w:p>
      <w:pPr>
        <w:ind w:left="1020" w:hanging="340"/>
        <w:spacing w:after="0" w:line="272" w:lineRule="auto"/>
        <w:tabs>
          <w:tab w:leader="none" w:pos="1020" w:val="left"/>
        </w:tabs>
        <w:numPr>
          <w:ilvl w:val="0"/>
          <w:numId w:val="39"/>
        </w:numPr>
        <w:rPr>
          <w:rFonts w:ascii="Arial" w:cs="Arial" w:eastAsia="Arial" w:hAnsi="Arial"/>
          <w:sz w:val="13"/>
          <w:szCs w:val="13"/>
          <w:color w:val="231F20"/>
        </w:rPr>
      </w:pPr>
      <w:r>
        <w:rPr>
          <w:rFonts w:ascii="Arial" w:cs="Arial" w:eastAsia="Arial" w:hAnsi="Arial"/>
          <w:sz w:val="13"/>
          <w:szCs w:val="13"/>
          <w:color w:val="231F20"/>
        </w:rPr>
        <w:t>collaborators may not pursue development and commercialization of any product candidates that achieve regulatory approval or may elect not to continue or renew development or commercialization of programs based on clinical trial results, changes in the collaborators’ focus or available funding, or external factors, such as an acquisition, that divert resources or create competing priorities;</w:t>
      </w:r>
    </w:p>
    <w:p>
      <w:pPr>
        <w:spacing w:after="0" w:line="51" w:lineRule="exact"/>
        <w:rPr>
          <w:rFonts w:ascii="Arial" w:cs="Arial" w:eastAsia="Arial" w:hAnsi="Arial"/>
          <w:sz w:val="13"/>
          <w:szCs w:val="13"/>
          <w:color w:val="231F20"/>
        </w:rPr>
      </w:pPr>
    </w:p>
    <w:p>
      <w:pPr>
        <w:ind w:left="1020" w:right="120" w:hanging="340"/>
        <w:spacing w:after="0" w:line="287" w:lineRule="auto"/>
        <w:tabs>
          <w:tab w:leader="none" w:pos="1020" w:val="left"/>
        </w:tabs>
        <w:numPr>
          <w:ilvl w:val="0"/>
          <w:numId w:val="39"/>
        </w:numPr>
        <w:rPr>
          <w:rFonts w:ascii="Arial" w:cs="Arial" w:eastAsia="Arial" w:hAnsi="Arial"/>
          <w:sz w:val="13"/>
          <w:szCs w:val="13"/>
          <w:color w:val="231F20"/>
        </w:rPr>
      </w:pPr>
      <w:r>
        <w:rPr>
          <w:rFonts w:ascii="Arial" w:cs="Arial" w:eastAsia="Arial" w:hAnsi="Arial"/>
          <w:sz w:val="13"/>
          <w:szCs w:val="13"/>
          <w:color w:val="231F20"/>
        </w:rPr>
        <w:t>collaborators may delay clinical trials, provide insufficient funding for clinical trials, stop a clinical trial, abandon a product candidate, repeat or conduct new clinical trials, or require a new formulation of a product candidate for clinical testing;</w:t>
      </w:r>
    </w:p>
    <w:p>
      <w:pPr>
        <w:spacing w:after="0" w:line="42" w:lineRule="exact"/>
        <w:rPr>
          <w:rFonts w:ascii="Arial" w:cs="Arial" w:eastAsia="Arial" w:hAnsi="Arial"/>
          <w:sz w:val="13"/>
          <w:szCs w:val="13"/>
          <w:color w:val="231F20"/>
        </w:rPr>
      </w:pPr>
    </w:p>
    <w:p>
      <w:pPr>
        <w:ind w:left="1020" w:right="80" w:hanging="340"/>
        <w:spacing w:after="0" w:line="287" w:lineRule="auto"/>
        <w:tabs>
          <w:tab w:leader="none" w:pos="1020" w:val="left"/>
        </w:tabs>
        <w:numPr>
          <w:ilvl w:val="0"/>
          <w:numId w:val="39"/>
        </w:numPr>
        <w:rPr>
          <w:rFonts w:ascii="Arial" w:cs="Arial" w:eastAsia="Arial" w:hAnsi="Arial"/>
          <w:sz w:val="13"/>
          <w:szCs w:val="13"/>
          <w:color w:val="231F20"/>
        </w:rPr>
      </w:pPr>
      <w:r>
        <w:rPr>
          <w:rFonts w:ascii="Arial" w:cs="Arial" w:eastAsia="Arial" w:hAnsi="Arial"/>
          <w:sz w:val="13"/>
          <w:szCs w:val="13"/>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42" w:lineRule="exact"/>
        <w:rPr>
          <w:rFonts w:ascii="Arial" w:cs="Arial" w:eastAsia="Arial" w:hAnsi="Arial"/>
          <w:sz w:val="13"/>
          <w:szCs w:val="13"/>
          <w:color w:val="231F20"/>
        </w:rPr>
      </w:pPr>
    </w:p>
    <w:p>
      <w:pPr>
        <w:ind w:left="1020" w:right="140" w:hanging="340"/>
        <w:spacing w:after="0" w:line="287" w:lineRule="auto"/>
        <w:tabs>
          <w:tab w:leader="none" w:pos="1020" w:val="left"/>
        </w:tabs>
        <w:numPr>
          <w:ilvl w:val="0"/>
          <w:numId w:val="39"/>
        </w:numPr>
        <w:rPr>
          <w:rFonts w:ascii="Arial" w:cs="Arial" w:eastAsia="Arial" w:hAnsi="Arial"/>
          <w:sz w:val="13"/>
          <w:szCs w:val="13"/>
          <w:color w:val="231F20"/>
        </w:rPr>
      </w:pPr>
      <w:r>
        <w:rPr>
          <w:rFonts w:ascii="Arial" w:cs="Arial" w:eastAsia="Arial" w:hAnsi="Arial"/>
          <w:sz w:val="13"/>
          <w:szCs w:val="13"/>
          <w:color w:val="231F20"/>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42" w:lineRule="exact"/>
        <w:rPr>
          <w:rFonts w:ascii="Arial" w:cs="Arial" w:eastAsia="Arial" w:hAnsi="Arial"/>
          <w:sz w:val="13"/>
          <w:szCs w:val="13"/>
          <w:color w:val="231F20"/>
        </w:rPr>
      </w:pPr>
    </w:p>
    <w:p>
      <w:pPr>
        <w:ind w:left="1020" w:right="300" w:hanging="340"/>
        <w:spacing w:after="0" w:line="287" w:lineRule="auto"/>
        <w:tabs>
          <w:tab w:leader="none" w:pos="1020" w:val="left"/>
        </w:tabs>
        <w:numPr>
          <w:ilvl w:val="0"/>
          <w:numId w:val="39"/>
        </w:numPr>
        <w:rPr>
          <w:rFonts w:ascii="Arial" w:cs="Arial" w:eastAsia="Arial" w:hAnsi="Arial"/>
          <w:sz w:val="13"/>
          <w:szCs w:val="13"/>
          <w:color w:val="231F20"/>
        </w:rPr>
      </w:pPr>
      <w:r>
        <w:rPr>
          <w:rFonts w:ascii="Arial" w:cs="Arial" w:eastAsia="Arial" w:hAnsi="Arial"/>
          <w:sz w:val="13"/>
          <w:szCs w:val="13"/>
          <w:color w:val="231F20"/>
        </w:rPr>
        <w:t>a collaborator with marketing and distribution rights to one or more of our product candidates that achieve regulatory approval may not commit sufficient resources to the marketing and distribution of any such product;</w:t>
      </w:r>
    </w:p>
    <w:p>
      <w:pPr>
        <w:spacing w:after="0" w:line="42" w:lineRule="exact"/>
        <w:rPr>
          <w:rFonts w:ascii="Arial" w:cs="Arial" w:eastAsia="Arial" w:hAnsi="Arial"/>
          <w:sz w:val="13"/>
          <w:szCs w:val="13"/>
          <w:color w:val="231F20"/>
        </w:rPr>
      </w:pPr>
    </w:p>
    <w:p>
      <w:pPr>
        <w:ind w:left="1020" w:hanging="340"/>
        <w:spacing w:after="0" w:line="287" w:lineRule="auto"/>
        <w:tabs>
          <w:tab w:leader="none" w:pos="1020" w:val="left"/>
        </w:tabs>
        <w:numPr>
          <w:ilvl w:val="0"/>
          <w:numId w:val="39"/>
        </w:numPr>
        <w:rPr>
          <w:rFonts w:ascii="Arial" w:cs="Arial" w:eastAsia="Arial" w:hAnsi="Arial"/>
          <w:sz w:val="13"/>
          <w:szCs w:val="13"/>
          <w:color w:val="231F20"/>
        </w:rPr>
      </w:pPr>
      <w:r>
        <w:rPr>
          <w:rFonts w:ascii="Arial" w:cs="Arial" w:eastAsia="Arial" w:hAnsi="Arial"/>
          <w:sz w:val="13"/>
          <w:szCs w:val="13"/>
          <w:color w:val="231F20"/>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00"/>
          </w:cols>
          <w:pgMar w:left="300" w:top="131" w:right="399" w:bottom="1440" w:gutter="0" w:footer="0" w:header="0"/>
        </w:sectPr>
      </w:pPr>
    </w:p>
    <w:bookmarkStart w:id="46" w:name="page47"/>
    <w:bookmarkEnd w:id="46"/>
    <w:p>
      <w:pPr>
        <w:ind w:left="1020"/>
        <w:spacing w:after="0"/>
        <w:rPr>
          <w:sz w:val="20"/>
          <w:szCs w:val="20"/>
          <w:color w:val="auto"/>
        </w:rPr>
      </w:pPr>
      <w:r>
        <w:rPr>
          <w:rFonts w:ascii="Arial" w:cs="Arial" w:eastAsia="Arial" w:hAnsi="Arial"/>
          <w:sz w:val="13"/>
          <w:szCs w:val="13"/>
          <w:color w:val="231F20"/>
        </w:rPr>
        <w:t>with respect to such product candidates, or may result in litigation or arbitration, any of which would be time-consuming and expensive;</w:t>
      </w:r>
    </w:p>
    <w:p>
      <w:pPr>
        <w:spacing w:after="0" w:line="90" w:lineRule="exact"/>
        <w:rPr>
          <w:sz w:val="20"/>
          <w:szCs w:val="20"/>
          <w:color w:val="auto"/>
        </w:rPr>
      </w:pPr>
    </w:p>
    <w:p>
      <w:pPr>
        <w:ind w:left="1020" w:right="420" w:hanging="340"/>
        <w:spacing w:after="0" w:line="287" w:lineRule="auto"/>
        <w:tabs>
          <w:tab w:leader="none" w:pos="1020" w:val="left"/>
        </w:tabs>
        <w:numPr>
          <w:ilvl w:val="0"/>
          <w:numId w:val="40"/>
        </w:numPr>
        <w:rPr>
          <w:rFonts w:ascii="Arial" w:cs="Arial" w:eastAsia="Arial" w:hAnsi="Arial"/>
          <w:sz w:val="13"/>
          <w:szCs w:val="13"/>
          <w:color w:val="231F20"/>
        </w:rPr>
      </w:pPr>
      <w:r>
        <w:rPr>
          <w:rFonts w:ascii="Arial" w:cs="Arial" w:eastAsia="Arial" w:hAnsi="Arial"/>
          <w:sz w:val="13"/>
          <w:szCs w:val="13"/>
          <w:color w:val="231F20"/>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0"/>
        </w:numPr>
        <w:rPr>
          <w:rFonts w:ascii="Arial" w:cs="Arial" w:eastAsia="Arial" w:hAnsi="Arial"/>
          <w:sz w:val="13"/>
          <w:szCs w:val="13"/>
          <w:color w:val="231F20"/>
        </w:rPr>
      </w:pPr>
      <w:r>
        <w:rPr>
          <w:rFonts w:ascii="Arial" w:cs="Arial" w:eastAsia="Arial" w:hAnsi="Arial"/>
          <w:sz w:val="13"/>
          <w:szCs w:val="13"/>
          <w:color w:val="231F20"/>
        </w:rPr>
        <w:t>disputes may arise with respect to the ownership of intellectual property developed pursuant to our collaborations;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0"/>
        </w:numPr>
        <w:rPr>
          <w:rFonts w:ascii="Arial" w:cs="Arial" w:eastAsia="Arial" w:hAnsi="Arial"/>
          <w:sz w:val="13"/>
          <w:szCs w:val="13"/>
          <w:color w:val="231F20"/>
        </w:rPr>
      </w:pPr>
      <w:r>
        <w:rPr>
          <w:rFonts w:ascii="Arial" w:cs="Arial" w:eastAsia="Arial" w:hAnsi="Arial"/>
          <w:sz w:val="13"/>
          <w:szCs w:val="13"/>
          <w:color w:val="231F20"/>
        </w:rPr>
        <w:t>collaborators may infringe, misappropriate or otherwise violate the intellectual property rights of third parties, which may expose us to litigation and potential liability;</w:t>
      </w:r>
    </w:p>
    <w:p>
      <w:pPr>
        <w:spacing w:after="0" w:line="90" w:lineRule="exact"/>
        <w:rPr>
          <w:rFonts w:ascii="Arial" w:cs="Arial" w:eastAsia="Arial" w:hAnsi="Arial"/>
          <w:sz w:val="13"/>
          <w:szCs w:val="13"/>
          <w:color w:val="231F20"/>
        </w:rPr>
      </w:pPr>
    </w:p>
    <w:p>
      <w:pPr>
        <w:ind w:left="1020" w:right="340" w:hanging="340"/>
        <w:spacing w:after="0" w:line="287" w:lineRule="auto"/>
        <w:tabs>
          <w:tab w:leader="none" w:pos="1020" w:val="left"/>
        </w:tabs>
        <w:numPr>
          <w:ilvl w:val="0"/>
          <w:numId w:val="40"/>
        </w:numPr>
        <w:rPr>
          <w:rFonts w:ascii="Arial" w:cs="Arial" w:eastAsia="Arial" w:hAnsi="Arial"/>
          <w:sz w:val="13"/>
          <w:szCs w:val="13"/>
          <w:color w:val="231F20"/>
        </w:rPr>
      </w:pPr>
      <w:r>
        <w:rPr>
          <w:rFonts w:ascii="Arial" w:cs="Arial" w:eastAsia="Arial" w:hAnsi="Arial"/>
          <w:sz w:val="13"/>
          <w:szCs w:val="13"/>
          <w:color w:val="231F20"/>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spacing w:after="0" w:line="42" w:lineRule="exact"/>
        <w:rPr>
          <w:rFonts w:ascii="Arial" w:cs="Arial" w:eastAsia="Arial" w:hAnsi="Arial"/>
          <w:sz w:val="13"/>
          <w:szCs w:val="13"/>
          <w:color w:val="231F20"/>
        </w:rPr>
      </w:pPr>
    </w:p>
    <w:p>
      <w:pPr>
        <w:ind w:left="1020" w:right="80" w:hanging="340"/>
        <w:spacing w:after="0" w:line="287" w:lineRule="auto"/>
        <w:tabs>
          <w:tab w:leader="none" w:pos="1020" w:val="left"/>
        </w:tabs>
        <w:numPr>
          <w:ilvl w:val="0"/>
          <w:numId w:val="40"/>
        </w:numPr>
        <w:rPr>
          <w:rFonts w:ascii="Arial" w:cs="Arial" w:eastAsia="Arial" w:hAnsi="Arial"/>
          <w:sz w:val="13"/>
          <w:szCs w:val="13"/>
          <w:color w:val="231F20"/>
        </w:rPr>
      </w:pPr>
      <w:r>
        <w:rPr>
          <w:rFonts w:ascii="Arial" w:cs="Arial" w:eastAsia="Arial" w:hAnsi="Arial"/>
          <w:sz w:val="13"/>
          <w:szCs w:val="13"/>
          <w:color w:val="231F20"/>
        </w:rPr>
        <w:t>future relationships may require us to incur non-recurring and other charges, increase our near- and long-term expenditures, issue securities that dilute our existing shareholders, or disrupt our management and business;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0"/>
        </w:numPr>
        <w:rPr>
          <w:rFonts w:ascii="Arial" w:cs="Arial" w:eastAsia="Arial" w:hAnsi="Arial"/>
          <w:sz w:val="13"/>
          <w:szCs w:val="13"/>
          <w:color w:val="231F20"/>
        </w:rPr>
      </w:pPr>
      <w:r>
        <w:rPr>
          <w:rFonts w:ascii="Arial" w:cs="Arial" w:eastAsia="Arial" w:hAnsi="Arial"/>
          <w:sz w:val="13"/>
          <w:szCs w:val="13"/>
          <w:color w:val="231F20"/>
        </w:rPr>
        <w:t>we could face significant competition in seeking appropriate collaborators, and the negotiation process is time-consuming and complex;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0"/>
        </w:numPr>
        <w:rPr>
          <w:rFonts w:ascii="Arial" w:cs="Arial" w:eastAsia="Arial" w:hAnsi="Arial"/>
          <w:sz w:val="12"/>
          <w:szCs w:val="12"/>
          <w:color w:val="231F20"/>
        </w:rPr>
      </w:pPr>
      <w:r>
        <w:rPr>
          <w:rFonts w:ascii="Arial" w:cs="Arial" w:eastAsia="Arial" w:hAnsi="Arial"/>
          <w:sz w:val="12"/>
          <w:szCs w:val="12"/>
          <w:color w:val="231F20"/>
        </w:rPr>
        <w:t>our international operations through any future collaborations, acquisitions or joint ventures may expose us to certain operating, legal and other risks not encountered in the United States.</w:t>
      </w:r>
    </w:p>
    <w:p>
      <w:pPr>
        <w:spacing w:after="0" w:line="182" w:lineRule="exact"/>
        <w:rPr>
          <w:sz w:val="20"/>
          <w:szCs w:val="20"/>
          <w:color w:val="auto"/>
        </w:rPr>
      </w:pPr>
    </w:p>
    <w:p>
      <w:pPr>
        <w:ind w:firstLine="556"/>
        <w:spacing w:after="0" w:line="291" w:lineRule="auto"/>
        <w:rPr>
          <w:sz w:val="20"/>
          <w:szCs w:val="20"/>
          <w:color w:val="auto"/>
        </w:rPr>
      </w:pPr>
      <w:r>
        <w:rPr>
          <w:rFonts w:ascii="Arial" w:cs="Arial" w:eastAsia="Arial" w:hAnsi="Arial"/>
          <w:sz w:val="12"/>
          <w:szCs w:val="12"/>
          <w:color w:val="231F20"/>
        </w:rPr>
        <w:t>If our collaborations do not result in the successful development and commercialization of programs, or if one of our collaborators terminates its agreement with us, we may not receive any future research funding or milestone, earn-out, royalty, or other contingent payments under the collaborations. If we do not receive the funding we expect under these agreements, our development of product candidates could be delayed and we may need additional resources to develop our product candidates. In addition, in general our collaborators have the right to terminate their agreements with us for convenience.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If we are not able to establish collaborations on commercially reasonable terms, we may have to alter our research, development and commercialization plans.</w:t>
      </w:r>
    </w:p>
    <w:p>
      <w:pPr>
        <w:spacing w:after="0" w:line="90" w:lineRule="exact"/>
        <w:rPr>
          <w:sz w:val="20"/>
          <w:szCs w:val="20"/>
          <w:color w:val="auto"/>
        </w:rPr>
      </w:pPr>
    </w:p>
    <w:p>
      <w:pPr>
        <w:ind w:right="80" w:firstLine="556"/>
        <w:spacing w:after="0" w:line="285" w:lineRule="auto"/>
        <w:rPr>
          <w:sz w:val="20"/>
          <w:szCs w:val="20"/>
          <w:color w:val="auto"/>
        </w:rPr>
      </w:pPr>
      <w:r>
        <w:rPr>
          <w:rFonts w:ascii="Arial" w:cs="Arial" w:eastAsia="Arial" w:hAnsi="Arial"/>
          <w:sz w:val="12"/>
          <w:szCs w:val="12"/>
          <w:color w:val="231F20"/>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29"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7" w:name="page48"/>
    <w:bookmarkEnd w:id="47"/>
    <w:p>
      <w:pPr>
        <w:ind w:right="480"/>
        <w:spacing w:after="0" w:line="287" w:lineRule="auto"/>
        <w:rPr>
          <w:sz w:val="20"/>
          <w:szCs w:val="20"/>
          <w:color w:val="auto"/>
        </w:rPr>
      </w:pPr>
      <w:r>
        <w:rPr>
          <w:rFonts w:ascii="Arial" w:cs="Arial" w:eastAsia="Arial" w:hAnsi="Arial"/>
          <w:sz w:val="13"/>
          <w:szCs w:val="13"/>
          <w:color w:val="231F20"/>
        </w:rPr>
        <w:t>address those targets. Similarly, our collaboration agreements have in the past and may in the future contain non-competition provisions that could limit our ability to enter into collaborations with future collaborators.</w:t>
      </w:r>
    </w:p>
    <w:p>
      <w:pPr>
        <w:spacing w:after="0" w:line="122" w:lineRule="exact"/>
        <w:rPr>
          <w:sz w:val="20"/>
          <w:szCs w:val="20"/>
          <w:color w:val="auto"/>
        </w:rPr>
      </w:pPr>
    </w:p>
    <w:p>
      <w:pPr>
        <w:ind w:right="100" w:firstLine="556"/>
        <w:spacing w:after="0" w:line="263" w:lineRule="auto"/>
        <w:rPr>
          <w:sz w:val="20"/>
          <w:szCs w:val="20"/>
          <w:color w:val="auto"/>
        </w:rPr>
      </w:pPr>
      <w:r>
        <w:rPr>
          <w:rFonts w:ascii="Arial" w:cs="Arial" w:eastAsia="Arial" w:hAnsi="Arial"/>
          <w:sz w:val="13"/>
          <w:szCs w:val="13"/>
          <w:color w:val="231F20"/>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37" w:lineRule="exact"/>
        <w:rPr>
          <w:sz w:val="20"/>
          <w:szCs w:val="20"/>
          <w:color w:val="auto"/>
        </w:rPr>
      </w:pPr>
    </w:p>
    <w:p>
      <w:pPr>
        <w:ind w:right="540" w:firstLine="556"/>
        <w:spacing w:after="0" w:line="287" w:lineRule="auto"/>
        <w:rPr>
          <w:sz w:val="20"/>
          <w:szCs w:val="20"/>
          <w:color w:val="auto"/>
        </w:rPr>
      </w:pPr>
      <w:r>
        <w:rPr>
          <w:rFonts w:ascii="Arial" w:cs="Arial" w:eastAsia="Arial" w:hAnsi="Arial"/>
          <w:sz w:val="13"/>
          <w:szCs w:val="13"/>
          <w:b w:val="1"/>
          <w:bCs w:val="1"/>
          <w:i w:val="1"/>
          <w:iCs w:val="1"/>
          <w:color w:val="231F20"/>
        </w:rPr>
        <w:t>We have entered into in-licensing arrangements and may form or seek to enter into additional licensing arrangements in the future, and we may not realize the benefits of such licensing arrangements.</w:t>
      </w:r>
    </w:p>
    <w:p>
      <w:pPr>
        <w:spacing w:after="0" w:line="42"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231F20"/>
        </w:rPr>
        <w:t>We are a party to licenses that give us rights to third-party intellectual property, including patents and patent applications, that are necessary or useful for our business. In particular, we have obtained licenses from CellScript LLC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132"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231F20"/>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Disputes may also arise between us and our licensors regarding intellectual property subject to a license agreement, including:</w:t>
      </w:r>
    </w:p>
    <w:p>
      <w:pPr>
        <w:spacing w:after="0" w:line="90" w:lineRule="exact"/>
        <w:rPr>
          <w:sz w:val="20"/>
          <w:szCs w:val="20"/>
          <w:color w:val="auto"/>
        </w:rPr>
      </w:pPr>
    </w:p>
    <w:p>
      <w:pPr>
        <w:ind w:left="1020" w:hanging="340"/>
        <w:spacing w:after="0"/>
        <w:tabs>
          <w:tab w:leader="none" w:pos="1020" w:val="left"/>
        </w:tabs>
        <w:numPr>
          <w:ilvl w:val="0"/>
          <w:numId w:val="41"/>
        </w:numPr>
        <w:rPr>
          <w:rFonts w:ascii="Arial" w:cs="Arial" w:eastAsia="Arial" w:hAnsi="Arial"/>
          <w:sz w:val="13"/>
          <w:szCs w:val="13"/>
          <w:color w:val="231F20"/>
        </w:rPr>
      </w:pPr>
      <w:r>
        <w:rPr>
          <w:rFonts w:ascii="Arial" w:cs="Arial" w:eastAsia="Arial" w:hAnsi="Arial"/>
          <w:sz w:val="13"/>
          <w:szCs w:val="13"/>
          <w:color w:val="231F20"/>
        </w:rPr>
        <w:t>the scope of rights granted under the license agreement and other interpretation-related issues;</w:t>
      </w:r>
    </w:p>
    <w:p>
      <w:pPr>
        <w:spacing w:after="0" w:line="90" w:lineRule="exact"/>
        <w:rPr>
          <w:rFonts w:ascii="Arial" w:cs="Arial" w:eastAsia="Arial" w:hAnsi="Arial"/>
          <w:sz w:val="13"/>
          <w:szCs w:val="13"/>
          <w:color w:val="231F20"/>
        </w:rPr>
      </w:pPr>
    </w:p>
    <w:p>
      <w:pPr>
        <w:ind w:left="1020" w:right="580" w:hanging="340"/>
        <w:spacing w:after="0" w:line="287" w:lineRule="auto"/>
        <w:tabs>
          <w:tab w:leader="none" w:pos="1020" w:val="left"/>
        </w:tabs>
        <w:numPr>
          <w:ilvl w:val="0"/>
          <w:numId w:val="41"/>
        </w:numPr>
        <w:rPr>
          <w:rFonts w:ascii="Arial" w:cs="Arial" w:eastAsia="Arial" w:hAnsi="Arial"/>
          <w:sz w:val="13"/>
          <w:szCs w:val="13"/>
          <w:color w:val="231F20"/>
        </w:rPr>
      </w:pPr>
      <w:r>
        <w:rPr>
          <w:rFonts w:ascii="Arial" w:cs="Arial" w:eastAsia="Arial" w:hAnsi="Arial"/>
          <w:sz w:val="13"/>
          <w:szCs w:val="13"/>
          <w:color w:val="231F20"/>
        </w:rPr>
        <w:t>whether and the extent to which our technology and processes infringe, misappropriate or otherwise violate the intellectual property of the licensor that is not subject to the licensing agreement;</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1"/>
        </w:numPr>
        <w:rPr>
          <w:rFonts w:ascii="Arial" w:cs="Arial" w:eastAsia="Arial" w:hAnsi="Arial"/>
          <w:sz w:val="13"/>
          <w:szCs w:val="13"/>
          <w:color w:val="231F20"/>
        </w:rPr>
      </w:pPr>
      <w:r>
        <w:rPr>
          <w:rFonts w:ascii="Arial" w:cs="Arial" w:eastAsia="Arial" w:hAnsi="Arial"/>
          <w:sz w:val="13"/>
          <w:szCs w:val="13"/>
          <w:color w:val="231F20"/>
        </w:rPr>
        <w:t>our right to sublicense patent and other intellectual property rights to third parties under collaborative relationships;</w:t>
      </w:r>
    </w:p>
    <w:p>
      <w:pPr>
        <w:spacing w:after="0" w:line="90" w:lineRule="exact"/>
        <w:rPr>
          <w:rFonts w:ascii="Arial" w:cs="Arial" w:eastAsia="Arial" w:hAnsi="Arial"/>
          <w:sz w:val="13"/>
          <w:szCs w:val="13"/>
          <w:color w:val="231F20"/>
        </w:rPr>
      </w:pPr>
    </w:p>
    <w:p>
      <w:pPr>
        <w:ind w:left="1020" w:right="60" w:hanging="340"/>
        <w:spacing w:after="0" w:line="287" w:lineRule="auto"/>
        <w:tabs>
          <w:tab w:leader="none" w:pos="1020" w:val="left"/>
        </w:tabs>
        <w:numPr>
          <w:ilvl w:val="0"/>
          <w:numId w:val="41"/>
        </w:numPr>
        <w:rPr>
          <w:rFonts w:ascii="Arial" w:cs="Arial" w:eastAsia="Arial" w:hAnsi="Arial"/>
          <w:sz w:val="13"/>
          <w:szCs w:val="13"/>
          <w:color w:val="231F20"/>
        </w:rPr>
      </w:pPr>
      <w:r>
        <w:rPr>
          <w:rFonts w:ascii="Arial" w:cs="Arial" w:eastAsia="Arial" w:hAnsi="Arial"/>
          <w:sz w:val="13"/>
          <w:szCs w:val="13"/>
          <w:color w:val="231F20"/>
        </w:rPr>
        <w:t>our diligence obligations with respect to the use of the licensed intellectual property and technology in relation to our development and commercialization of our product candidates, and what activities satisfy those diligence obligations;</w:t>
      </w:r>
    </w:p>
    <w:p>
      <w:pPr>
        <w:spacing w:after="0" w:line="42" w:lineRule="exact"/>
        <w:rPr>
          <w:rFonts w:ascii="Arial" w:cs="Arial" w:eastAsia="Arial" w:hAnsi="Arial"/>
          <w:sz w:val="13"/>
          <w:szCs w:val="13"/>
          <w:color w:val="231F20"/>
        </w:rPr>
      </w:pPr>
    </w:p>
    <w:p>
      <w:pPr>
        <w:ind w:left="1020" w:right="700" w:hanging="340"/>
        <w:spacing w:after="0" w:line="287" w:lineRule="auto"/>
        <w:tabs>
          <w:tab w:leader="none" w:pos="1020" w:val="left"/>
        </w:tabs>
        <w:numPr>
          <w:ilvl w:val="0"/>
          <w:numId w:val="41"/>
        </w:numPr>
        <w:rPr>
          <w:rFonts w:ascii="Arial" w:cs="Arial" w:eastAsia="Arial" w:hAnsi="Arial"/>
          <w:sz w:val="13"/>
          <w:szCs w:val="13"/>
          <w:color w:val="231F20"/>
        </w:rPr>
      </w:pPr>
      <w:r>
        <w:rPr>
          <w:rFonts w:ascii="Arial" w:cs="Arial" w:eastAsia="Arial" w:hAnsi="Arial"/>
          <w:sz w:val="13"/>
          <w:szCs w:val="13"/>
          <w:color w:val="231F20"/>
        </w:rPr>
        <w:t>the ownership of inventions, trade secrets, know-how and other intellectual property resulting from the joint creation or use of intellectual property by our licensors and us and our collaborators; and</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1"/>
        </w:numPr>
        <w:rPr>
          <w:rFonts w:ascii="Arial" w:cs="Arial" w:eastAsia="Arial" w:hAnsi="Arial"/>
          <w:sz w:val="13"/>
          <w:szCs w:val="13"/>
          <w:color w:val="231F20"/>
        </w:rPr>
      </w:pPr>
      <w:r>
        <w:rPr>
          <w:rFonts w:ascii="Arial" w:cs="Arial" w:eastAsia="Arial" w:hAnsi="Arial"/>
          <w:sz w:val="13"/>
          <w:szCs w:val="13"/>
          <w:color w:val="231F20"/>
        </w:rPr>
        <w:t>the priority of invention of patented technology.</w:t>
      </w:r>
    </w:p>
    <w:p>
      <w:pPr>
        <w:spacing w:after="0" w:line="170"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231F20"/>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122"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231F20"/>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48" w:name="page49"/>
    <w:bookmarkEnd w:id="48"/>
    <w:p>
      <w:pPr>
        <w:ind w:left="560"/>
        <w:spacing w:after="0"/>
        <w:rPr>
          <w:sz w:val="20"/>
          <w:szCs w:val="20"/>
          <w:color w:val="auto"/>
        </w:rPr>
      </w:pPr>
      <w:r>
        <w:rPr>
          <w:rFonts w:ascii="Arial" w:cs="Arial" w:eastAsia="Arial" w:hAnsi="Arial"/>
          <w:sz w:val="13"/>
          <w:szCs w:val="13"/>
          <w:b w:val="1"/>
          <w:bCs w:val="1"/>
          <w:i w:val="1"/>
          <w:iCs w:val="1"/>
          <w:color w:val="231F20"/>
        </w:rPr>
        <w:t>If we commit certain material breaches and fail to cure them (if such breach is curable), we are required to repurchase shares held by the Bill &amp; Melinda Gates Foundation.</w:t>
      </w:r>
    </w:p>
    <w:p>
      <w:pPr>
        <w:spacing w:after="0" w:line="90"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231F20"/>
        </w:rPr>
        <w:t>If we commit a specified material breach under the letter agreement with the Bill &amp; Melinda Gates Foundation, or BMGF, and such breach remains uncured after a specified period of time (if curable), we are required to either (i) repurchase the shares held by BMGF or locate a third party to purchase the shares from BMGF, in either case at a price that is the greater of the original purchase price or the fair market value of the shares at the time of repurchase, or (ii) if we cannot meet the requirements under (i) (e.g., because we do not have sufficient cash reserves), then we must use our best efforts to effect BMGF’s withdrawal right as soon as practicable, which may mean acquiring the shares in tranches over time. If we are required to repurchase BMGF’s shares, our financial position could be materially and adversely affected.</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We rely on third parties to manufacture certain of our clinical product supplies, and we may have to rely on third parties to produce and process our product candidates, if approved.</w:t>
      </w:r>
    </w:p>
    <w:p>
      <w:pPr>
        <w:spacing w:after="0" w:line="102" w:lineRule="exact"/>
        <w:rPr>
          <w:sz w:val="20"/>
          <w:szCs w:val="20"/>
          <w:color w:val="auto"/>
        </w:rPr>
      </w:pPr>
    </w:p>
    <w:p>
      <w:pPr>
        <w:jc w:val="both"/>
        <w:ind w:right="120" w:firstLine="556"/>
        <w:spacing w:after="0" w:line="272" w:lineRule="auto"/>
        <w:rPr>
          <w:sz w:val="20"/>
          <w:szCs w:val="20"/>
          <w:color w:val="auto"/>
        </w:rPr>
      </w:pPr>
      <w:r>
        <w:rPr>
          <w:rFonts w:ascii="Arial" w:cs="Arial" w:eastAsia="Arial" w:hAnsi="Arial"/>
          <w:sz w:val="13"/>
          <w:szCs w:val="13"/>
          <w:color w:val="231F20"/>
        </w:rPr>
        <w:t>Although we expect to continue using our own clinical manufacturing facilities, we may need to rely on outside vendors to manufacture supplies and process our product candidates. We have not yet caused our product candidates to be manufactured or processed on a commercial scale and may not be able to achieve commercial- scale manufacturing and processing and may be unable to create an inventory of mass-produced, off-the-shelf product to satisfy demands for our product candidates.</w:t>
      </w:r>
    </w:p>
    <w:p>
      <w:pPr>
        <w:spacing w:after="0" w:line="132" w:lineRule="exact"/>
        <w:rPr>
          <w:sz w:val="20"/>
          <w:szCs w:val="20"/>
          <w:color w:val="auto"/>
        </w:rPr>
      </w:pPr>
    </w:p>
    <w:p>
      <w:pPr>
        <w:ind w:right="200" w:firstLine="556"/>
        <w:spacing w:after="0" w:line="331" w:lineRule="auto"/>
        <w:rPr>
          <w:sz w:val="20"/>
          <w:szCs w:val="20"/>
          <w:color w:val="auto"/>
        </w:rPr>
      </w:pPr>
      <w:r>
        <w:rPr>
          <w:rFonts w:ascii="Arial" w:cs="Arial" w:eastAsia="Arial" w:hAnsi="Arial"/>
          <w:sz w:val="12"/>
          <w:szCs w:val="12"/>
          <w:color w:val="231F20"/>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In addition, our reliance on a limited number of third-party manufacturers exposes us to the following risks:</w:t>
      </w:r>
    </w:p>
    <w:p>
      <w:pPr>
        <w:spacing w:after="0" w:line="90" w:lineRule="exact"/>
        <w:rPr>
          <w:sz w:val="20"/>
          <w:szCs w:val="20"/>
          <w:color w:val="auto"/>
        </w:rPr>
      </w:pPr>
    </w:p>
    <w:p>
      <w:pPr>
        <w:ind w:left="1020" w:right="400" w:hanging="340"/>
        <w:spacing w:after="0" w:line="272" w:lineRule="auto"/>
        <w:tabs>
          <w:tab w:leader="none" w:pos="1020" w:val="left"/>
        </w:tabs>
        <w:numPr>
          <w:ilvl w:val="0"/>
          <w:numId w:val="42"/>
        </w:numPr>
        <w:rPr>
          <w:rFonts w:ascii="Arial" w:cs="Arial" w:eastAsia="Arial" w:hAnsi="Arial"/>
          <w:sz w:val="13"/>
          <w:szCs w:val="13"/>
          <w:color w:val="231F20"/>
        </w:rPr>
      </w:pPr>
      <w:r>
        <w:rPr>
          <w:rFonts w:ascii="Arial" w:cs="Arial" w:eastAsia="Arial" w:hAnsi="Arial"/>
          <w:sz w:val="13"/>
          <w:szCs w:val="13"/>
          <w:color w:val="231F20"/>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51" w:lineRule="exact"/>
        <w:rPr>
          <w:rFonts w:ascii="Arial" w:cs="Arial" w:eastAsia="Arial" w:hAnsi="Arial"/>
          <w:sz w:val="13"/>
          <w:szCs w:val="13"/>
          <w:color w:val="231F20"/>
        </w:rPr>
      </w:pPr>
    </w:p>
    <w:p>
      <w:pPr>
        <w:ind w:left="1020" w:hanging="340"/>
        <w:spacing w:after="0"/>
        <w:tabs>
          <w:tab w:leader="none" w:pos="1020" w:val="left"/>
        </w:tabs>
        <w:numPr>
          <w:ilvl w:val="0"/>
          <w:numId w:val="42"/>
        </w:numPr>
        <w:rPr>
          <w:rFonts w:ascii="Arial" w:cs="Arial" w:eastAsia="Arial" w:hAnsi="Arial"/>
          <w:sz w:val="12"/>
          <w:szCs w:val="12"/>
          <w:color w:val="231F20"/>
        </w:rPr>
      </w:pPr>
      <w:r>
        <w:rPr>
          <w:rFonts w:ascii="Arial" w:cs="Arial" w:eastAsia="Arial" w:hAnsi="Arial"/>
          <w:sz w:val="12"/>
          <w:szCs w:val="12"/>
          <w:color w:val="231F20"/>
        </w:rPr>
        <w:t>our third-party manufacturers might be unable to timely formulate and manufacture our product or produce the quantity and quality required to meet our clinical and commercial needs, if any;</w:t>
      </w:r>
    </w:p>
    <w:p>
      <w:pPr>
        <w:spacing w:after="0" w:line="101" w:lineRule="exact"/>
        <w:rPr>
          <w:rFonts w:ascii="Arial" w:cs="Arial" w:eastAsia="Arial" w:hAnsi="Arial"/>
          <w:sz w:val="12"/>
          <w:szCs w:val="12"/>
          <w:color w:val="231F20"/>
        </w:rPr>
      </w:pPr>
    </w:p>
    <w:p>
      <w:pPr>
        <w:ind w:left="1020" w:hanging="340"/>
        <w:spacing w:after="0"/>
        <w:tabs>
          <w:tab w:leader="none" w:pos="1020" w:val="left"/>
        </w:tabs>
        <w:numPr>
          <w:ilvl w:val="0"/>
          <w:numId w:val="42"/>
        </w:numPr>
        <w:rPr>
          <w:rFonts w:ascii="Arial" w:cs="Arial" w:eastAsia="Arial" w:hAnsi="Arial"/>
          <w:sz w:val="13"/>
          <w:szCs w:val="13"/>
          <w:color w:val="231F20"/>
        </w:rPr>
      </w:pPr>
      <w:r>
        <w:rPr>
          <w:rFonts w:ascii="Arial" w:cs="Arial" w:eastAsia="Arial" w:hAnsi="Arial"/>
          <w:sz w:val="13"/>
          <w:szCs w:val="13"/>
          <w:color w:val="231F20"/>
        </w:rPr>
        <w:t>CMOs may not be able to execute our manufacturing procedures appropriately;</w:t>
      </w:r>
    </w:p>
    <w:p>
      <w:pPr>
        <w:spacing w:after="0" w:line="90" w:lineRule="exact"/>
        <w:rPr>
          <w:rFonts w:ascii="Arial" w:cs="Arial" w:eastAsia="Arial" w:hAnsi="Arial"/>
          <w:sz w:val="13"/>
          <w:szCs w:val="13"/>
          <w:color w:val="231F20"/>
        </w:rPr>
      </w:pPr>
    </w:p>
    <w:p>
      <w:pPr>
        <w:ind w:left="1020" w:right="180" w:hanging="340"/>
        <w:spacing w:after="0" w:line="287" w:lineRule="auto"/>
        <w:tabs>
          <w:tab w:leader="none" w:pos="1020" w:val="left"/>
        </w:tabs>
        <w:numPr>
          <w:ilvl w:val="0"/>
          <w:numId w:val="42"/>
        </w:numPr>
        <w:rPr>
          <w:rFonts w:ascii="Arial" w:cs="Arial" w:eastAsia="Arial" w:hAnsi="Arial"/>
          <w:sz w:val="13"/>
          <w:szCs w:val="13"/>
          <w:color w:val="231F20"/>
        </w:rPr>
      </w:pPr>
      <w:r>
        <w:rPr>
          <w:rFonts w:ascii="Arial" w:cs="Arial" w:eastAsia="Arial" w:hAnsi="Arial"/>
          <w:sz w:val="13"/>
          <w:szCs w:val="13"/>
          <w:color w:val="231F20"/>
        </w:rPr>
        <w:t>our future CMOs may not perform as agreed or may not remain in the contract manufacturing business for the time required to supply our clinical trials or to successfully produce, store and distribute our products;</w:t>
      </w:r>
    </w:p>
    <w:p>
      <w:pPr>
        <w:spacing w:after="0" w:line="42" w:lineRule="exact"/>
        <w:rPr>
          <w:rFonts w:ascii="Arial" w:cs="Arial" w:eastAsia="Arial" w:hAnsi="Arial"/>
          <w:sz w:val="13"/>
          <w:szCs w:val="13"/>
          <w:color w:val="231F20"/>
        </w:rPr>
      </w:pPr>
    </w:p>
    <w:p>
      <w:pPr>
        <w:ind w:left="1020" w:right="80" w:hanging="340"/>
        <w:spacing w:after="0" w:line="272" w:lineRule="auto"/>
        <w:tabs>
          <w:tab w:leader="none" w:pos="1020" w:val="left"/>
        </w:tabs>
        <w:numPr>
          <w:ilvl w:val="0"/>
          <w:numId w:val="42"/>
        </w:numPr>
        <w:rPr>
          <w:rFonts w:ascii="Arial" w:cs="Arial" w:eastAsia="Arial" w:hAnsi="Arial"/>
          <w:sz w:val="13"/>
          <w:szCs w:val="13"/>
          <w:color w:val="231F20"/>
        </w:rPr>
      </w:pPr>
      <w:r>
        <w:rPr>
          <w:rFonts w:ascii="Arial" w:cs="Arial" w:eastAsia="Arial" w:hAnsi="Arial"/>
          <w:sz w:val="13"/>
          <w:szCs w:val="13"/>
          <w:color w:val="231F20"/>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third-party manufacturers’ compliance with these regulations and standards;</w:t>
      </w:r>
    </w:p>
    <w:p>
      <w:pPr>
        <w:spacing w:after="0" w:line="51" w:lineRule="exact"/>
        <w:rPr>
          <w:rFonts w:ascii="Arial" w:cs="Arial" w:eastAsia="Arial" w:hAnsi="Arial"/>
          <w:sz w:val="13"/>
          <w:szCs w:val="13"/>
          <w:color w:val="231F20"/>
        </w:rPr>
      </w:pPr>
    </w:p>
    <w:p>
      <w:pPr>
        <w:ind w:left="1020" w:hanging="340"/>
        <w:spacing w:after="0"/>
        <w:tabs>
          <w:tab w:leader="none" w:pos="1020" w:val="left"/>
        </w:tabs>
        <w:numPr>
          <w:ilvl w:val="0"/>
          <w:numId w:val="42"/>
        </w:numPr>
        <w:rPr>
          <w:rFonts w:ascii="Arial" w:cs="Arial" w:eastAsia="Arial" w:hAnsi="Arial"/>
          <w:sz w:val="13"/>
          <w:szCs w:val="13"/>
          <w:color w:val="231F20"/>
        </w:rPr>
      </w:pPr>
      <w:r>
        <w:rPr>
          <w:rFonts w:ascii="Arial" w:cs="Arial" w:eastAsia="Arial" w:hAnsi="Arial"/>
          <w:sz w:val="13"/>
          <w:szCs w:val="13"/>
          <w:color w:val="231F20"/>
        </w:rPr>
        <w:t>we may not own, or may have to share, the intellectual property rights to any improvements made by our third-party manufacturers in the manufacturing process for our products;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2"/>
        </w:numPr>
        <w:rPr>
          <w:rFonts w:ascii="Arial" w:cs="Arial" w:eastAsia="Arial" w:hAnsi="Arial"/>
          <w:sz w:val="13"/>
          <w:szCs w:val="13"/>
          <w:color w:val="231F20"/>
        </w:rPr>
      </w:pPr>
      <w:r>
        <w:rPr>
          <w:rFonts w:ascii="Arial" w:cs="Arial" w:eastAsia="Arial" w:hAnsi="Arial"/>
          <w:sz w:val="13"/>
          <w:szCs w:val="13"/>
          <w:color w:val="231F20"/>
        </w:rPr>
        <w:t>our third-party manufacturers could breach or terminate their agreement with us;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2"/>
        </w:numPr>
        <w:rPr>
          <w:rFonts w:ascii="Arial" w:cs="Arial" w:eastAsia="Arial" w:hAnsi="Arial"/>
          <w:sz w:val="13"/>
          <w:szCs w:val="13"/>
          <w:color w:val="231F20"/>
        </w:rPr>
      </w:pPr>
      <w:r>
        <w:rPr>
          <w:rFonts w:ascii="Arial" w:cs="Arial" w:eastAsia="Arial" w:hAnsi="Arial"/>
          <w:sz w:val="13"/>
          <w:szCs w:val="13"/>
          <w:color w:val="231F20"/>
        </w:rPr>
        <w:t>our CMOs would also be subject to the same risks we face in developing our own manufacturing capabilities, as described above.</w:t>
      </w:r>
    </w:p>
    <w:p>
      <w:pPr>
        <w:spacing w:after="0" w:line="170"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Each of these risks could delay our clinical trials, the approval, if any, of our product candidates by the FDA or regulatory authorities in other jurisdictions or the commercialization of our product candidates, or result in higher costs or deprive us of potential product sales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49" w:name="page50"/>
    <w:bookmarkEnd w:id="49"/>
    <w:p>
      <w:pPr>
        <w:ind w:left="560"/>
        <w:spacing w:after="0"/>
        <w:rPr>
          <w:sz w:val="20"/>
          <w:szCs w:val="20"/>
          <w:color w:val="auto"/>
        </w:rPr>
      </w:pPr>
      <w:r>
        <w:rPr>
          <w:rFonts w:ascii="Arial" w:cs="Arial" w:eastAsia="Arial" w:hAnsi="Arial"/>
          <w:sz w:val="13"/>
          <w:szCs w:val="13"/>
          <w:b w:val="1"/>
          <w:bCs w:val="1"/>
          <w:i w:val="1"/>
          <w:iCs w:val="1"/>
          <w:color w:val="231F20"/>
        </w:rPr>
        <w:t>We are dependent on single source suppliers for some of the components and materials used in, and the processes required to develop, our product candidates.</w:t>
      </w:r>
    </w:p>
    <w:p>
      <w:pPr>
        <w:spacing w:after="0" w:line="90"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231F20"/>
        </w:rPr>
        <w:t>We currently depend on single source suppliers for some of the components and materials used in, and manufacturing processes required to develop,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142" w:lineRule="exact"/>
        <w:rPr>
          <w:sz w:val="20"/>
          <w:szCs w:val="20"/>
          <w:color w:val="auto"/>
        </w:rPr>
      </w:pPr>
    </w:p>
    <w:p>
      <w:pPr>
        <w:ind w:right="160" w:firstLine="556"/>
        <w:spacing w:after="0" w:line="264" w:lineRule="auto"/>
        <w:rPr>
          <w:sz w:val="20"/>
          <w:szCs w:val="20"/>
          <w:color w:val="auto"/>
        </w:rPr>
      </w:pPr>
      <w:r>
        <w:rPr>
          <w:rFonts w:ascii="Arial" w:cs="Arial" w:eastAsia="Arial" w:hAnsi="Arial"/>
          <w:sz w:val="13"/>
          <w:szCs w:val="13"/>
          <w:color w:val="231F20"/>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product candidates.</w:t>
      </w:r>
    </w:p>
    <w:p>
      <w:pPr>
        <w:spacing w:after="0" w:line="138"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color w:val="231F20"/>
        </w:rPr>
        <w:t>In addition, as part of the FDA’s approval of our product candidates, we will also require FDA review of the individual components of our process, which include the manufacturing processes and facilities of our single source suppliers.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Our reliance on these suppliers, service providers and manufacturers subjects us to a number of risks that could harm our reputation, business and financial condition, including, among other things:</w:t>
      </w:r>
    </w:p>
    <w:p>
      <w:pPr>
        <w:spacing w:after="0" w:line="102" w:lineRule="exact"/>
        <w:rPr>
          <w:sz w:val="20"/>
          <w:szCs w:val="20"/>
          <w:color w:val="auto"/>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delays to the development timelines for our product candidates;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interruption of supply resulting from modifications to or discontinuation of a supplier’s operations;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delays in product shipments resulting from uncorrected defects, reliability issues, or a supplier’s variation in a component;</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a lack of long-term supply arrangements for key components with our suppliers;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inability to obtain adequate supply in a timely manner, or to obtain adequate supply on commercially reasonable terms;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difficulty and cost associated with locating and qualifying alternative suppliers for our components in a timely manner;</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production delays related to the evaluation and testing of components from alternative suppliers, and corresponding regulatory qualifications;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delay in delivery due to our suppliers’ prioritizing other customer orders over ours;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damage to our reputation caused by defective components produced by our suppliers;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3"/>
        </w:numPr>
        <w:rPr>
          <w:rFonts w:ascii="Arial" w:cs="Arial" w:eastAsia="Arial" w:hAnsi="Arial"/>
          <w:sz w:val="13"/>
          <w:szCs w:val="13"/>
          <w:color w:val="231F20"/>
        </w:rPr>
      </w:pPr>
      <w:r>
        <w:rPr>
          <w:rFonts w:ascii="Arial" w:cs="Arial" w:eastAsia="Arial" w:hAnsi="Arial"/>
          <w:sz w:val="13"/>
          <w:szCs w:val="13"/>
          <w:color w:val="231F20"/>
        </w:rPr>
        <w:t>fluctuation in delivery by our suppliers due to changes in demand from us or their other customers.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If any of these risks materialize, costs could significantly increase and our ability to meet demand for our products could be impacted.</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Our Intellectual Property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50" w:name="page51"/>
    <w:bookmarkEnd w:id="50"/>
    <w:p>
      <w:pPr>
        <w:ind w:right="360" w:firstLine="554"/>
        <w:spacing w:after="0" w:line="287" w:lineRule="auto"/>
        <w:rPr>
          <w:sz w:val="20"/>
          <w:szCs w:val="20"/>
          <w:color w:val="auto"/>
        </w:rPr>
      </w:pPr>
      <w:r>
        <w:rPr>
          <w:rFonts w:ascii="Arial" w:cs="Arial" w:eastAsia="Arial" w:hAnsi="Arial"/>
          <w:sz w:val="13"/>
          <w:szCs w:val="13"/>
          <w:b w:val="1"/>
          <w:bCs w:val="1"/>
          <w:i w:val="1"/>
          <w:iCs w:val="1"/>
          <w:color w:val="231F20"/>
        </w:rPr>
        <w:t>If our efforts to obtain, maintain, protect, defend and/or enforce the intellectual property related to our product candidates and technologies are not adequate, we may not be able to compete effectively in our market.</w:t>
      </w:r>
    </w:p>
    <w:p>
      <w:pPr>
        <w:spacing w:after="0" w:line="42" w:lineRule="exact"/>
        <w:rPr>
          <w:sz w:val="20"/>
          <w:szCs w:val="20"/>
          <w:color w:val="auto"/>
        </w:rPr>
      </w:pPr>
    </w:p>
    <w:p>
      <w:pPr>
        <w:ind w:firstLine="556"/>
        <w:spacing w:after="0" w:line="259" w:lineRule="auto"/>
        <w:rPr>
          <w:sz w:val="20"/>
          <w:szCs w:val="20"/>
          <w:color w:val="auto"/>
        </w:rPr>
      </w:pPr>
      <w:r>
        <w:rPr>
          <w:rFonts w:ascii="Arial" w:cs="Arial" w:eastAsia="Arial" w:hAnsi="Arial"/>
          <w:sz w:val="13"/>
          <w:szCs w:val="13"/>
          <w:color w:val="231F20"/>
        </w:rPr>
        <w:t>Our commercial success depends in part on our ability to obtain, maintain, protect, defend and enforce patent and other intellectual property, including trade secret and know-how, protection for our product candidates, proprietary technologies and their uses, as well as our ability to operate, develop, manufacture and commercialize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United States and abroad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the claims in our issued patents will not be found invalid or unenforceable if challenged. Accordingly, there can be no assurance that our patent applications or those of our licensors will result in additional patents being issued or that issued patents will adequately cover our product candidates or otherwise afford sufficient protection against competitors with similar technology, nor can there be any assurance that the patents issued will not be infringed, designed around, invalidated or held unenforceable. Furthermore, we may not be able to apply for patents on certain aspects of our current or future product candidates, proprietary technologies and their uses in a timely fashion, at a reasonable cost, in all jurisdictions, or at all, and any potential patent protection we obtain may not be sufficient to prevent substantial competition.</w:t>
      </w:r>
    </w:p>
    <w:p>
      <w:pPr>
        <w:spacing w:after="0" w:line="144" w:lineRule="exact"/>
        <w:rPr>
          <w:sz w:val="20"/>
          <w:szCs w:val="20"/>
          <w:color w:val="auto"/>
        </w:rPr>
      </w:pPr>
    </w:p>
    <w:p>
      <w:pPr>
        <w:ind w:right="40" w:firstLine="556"/>
        <w:spacing w:after="0" w:line="296" w:lineRule="auto"/>
        <w:rPr>
          <w:sz w:val="20"/>
          <w:szCs w:val="20"/>
          <w:color w:val="auto"/>
        </w:rPr>
      </w:pPr>
      <w:r>
        <w:rPr>
          <w:rFonts w:ascii="Arial" w:cs="Arial" w:eastAsia="Arial" w:hAnsi="Arial"/>
          <w:sz w:val="12"/>
          <w:szCs w:val="12"/>
          <w:color w:val="231F20"/>
        </w:rPr>
        <w:t>Even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w:t>
      </w:r>
    </w:p>
    <w:p>
      <w:pPr>
        <w:spacing w:after="0" w:line="119" w:lineRule="exact"/>
        <w:rPr>
          <w:sz w:val="20"/>
          <w:szCs w:val="20"/>
          <w:color w:val="auto"/>
        </w:rPr>
      </w:pPr>
    </w:p>
    <w:p>
      <w:pPr>
        <w:jc w:val="both"/>
        <w:ind w:right="380" w:firstLine="556"/>
        <w:spacing w:after="0" w:line="272" w:lineRule="auto"/>
        <w:rPr>
          <w:sz w:val="20"/>
          <w:szCs w:val="20"/>
          <w:color w:val="auto"/>
        </w:rPr>
      </w:pPr>
      <w:r>
        <w:rPr>
          <w:rFonts w:ascii="Arial" w:cs="Arial" w:eastAsia="Arial" w:hAnsi="Arial"/>
          <w:sz w:val="13"/>
          <w:szCs w:val="13"/>
          <w:color w:val="231F20"/>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 candidates, proprietary technologies (including methods of manufacture) and their uses. These risks and uncertainties include, from time to time, the following:</w:t>
      </w:r>
    </w:p>
    <w:p>
      <w:pPr>
        <w:spacing w:after="0" w:line="52" w:lineRule="exact"/>
        <w:rPr>
          <w:sz w:val="20"/>
          <w:szCs w:val="20"/>
          <w:color w:val="auto"/>
        </w:rPr>
      </w:pPr>
    </w:p>
    <w:p>
      <w:pPr>
        <w:jc w:val="both"/>
        <w:ind w:left="1020" w:right="240" w:hanging="340"/>
        <w:spacing w:after="0" w:line="272" w:lineRule="auto"/>
        <w:tabs>
          <w:tab w:leader="none" w:pos="1020" w:val="left"/>
        </w:tabs>
        <w:numPr>
          <w:ilvl w:val="0"/>
          <w:numId w:val="44"/>
        </w:numPr>
        <w:rPr>
          <w:rFonts w:ascii="Arial" w:cs="Arial" w:eastAsia="Arial" w:hAnsi="Arial"/>
          <w:sz w:val="13"/>
          <w:szCs w:val="13"/>
          <w:color w:val="231F20"/>
        </w:rPr>
      </w:pPr>
      <w:r>
        <w:rPr>
          <w:rFonts w:ascii="Arial" w:cs="Arial" w:eastAsia="Arial" w:hAnsi="Arial"/>
          <w:sz w:val="13"/>
          <w:szCs w:val="13"/>
          <w:color w:val="231F20"/>
        </w:rPr>
        <w:t>the USPTO and various other governmental patent agencies require compliance with a number of procedural, documentary, fee payment and other provisions during the patent process, the noncompliance with which can result in abandonment or lapse of a patent or patent application or a finding that a patent is unenforceable, and partial or complete loss of patent rights in the relevant jurisdiction;</w:t>
      </w:r>
    </w:p>
    <w:p>
      <w:pPr>
        <w:spacing w:after="0" w:line="51" w:lineRule="exact"/>
        <w:rPr>
          <w:rFonts w:ascii="Arial" w:cs="Arial" w:eastAsia="Arial" w:hAnsi="Arial"/>
          <w:sz w:val="13"/>
          <w:szCs w:val="13"/>
          <w:color w:val="231F20"/>
        </w:rPr>
      </w:pPr>
    </w:p>
    <w:p>
      <w:pPr>
        <w:ind w:left="1020" w:hanging="340"/>
        <w:spacing w:after="0"/>
        <w:tabs>
          <w:tab w:leader="none" w:pos="1020" w:val="left"/>
        </w:tabs>
        <w:numPr>
          <w:ilvl w:val="0"/>
          <w:numId w:val="44"/>
        </w:numPr>
        <w:rPr>
          <w:rFonts w:ascii="Arial" w:cs="Arial" w:eastAsia="Arial" w:hAnsi="Arial"/>
          <w:sz w:val="13"/>
          <w:szCs w:val="13"/>
          <w:color w:val="231F20"/>
        </w:rPr>
      </w:pPr>
      <w:r>
        <w:rPr>
          <w:rFonts w:ascii="Arial" w:cs="Arial" w:eastAsia="Arial" w:hAnsi="Arial"/>
          <w:sz w:val="13"/>
          <w:szCs w:val="13"/>
          <w:color w:val="231F20"/>
        </w:rPr>
        <w:t>patent applications may not result in any patents being issued;</w:t>
      </w:r>
    </w:p>
    <w:p>
      <w:pPr>
        <w:spacing w:after="0" w:line="90" w:lineRule="exact"/>
        <w:rPr>
          <w:rFonts w:ascii="Arial" w:cs="Arial" w:eastAsia="Arial" w:hAnsi="Arial"/>
          <w:sz w:val="13"/>
          <w:szCs w:val="13"/>
          <w:color w:val="231F20"/>
        </w:rPr>
      </w:pPr>
    </w:p>
    <w:p>
      <w:pPr>
        <w:ind w:left="1020" w:right="220" w:hanging="340"/>
        <w:spacing w:after="0" w:line="287" w:lineRule="auto"/>
        <w:tabs>
          <w:tab w:leader="none" w:pos="1020" w:val="left"/>
        </w:tabs>
        <w:numPr>
          <w:ilvl w:val="0"/>
          <w:numId w:val="44"/>
        </w:numPr>
        <w:rPr>
          <w:rFonts w:ascii="Arial" w:cs="Arial" w:eastAsia="Arial" w:hAnsi="Arial"/>
          <w:sz w:val="13"/>
          <w:szCs w:val="13"/>
          <w:color w:val="231F20"/>
        </w:rPr>
      </w:pPr>
      <w:r>
        <w:rPr>
          <w:rFonts w:ascii="Arial" w:cs="Arial" w:eastAsia="Arial" w:hAnsi="Arial"/>
          <w:sz w:val="13"/>
          <w:szCs w:val="13"/>
          <w:color w:val="231F20"/>
        </w:rPr>
        <w:t>issued patents that we own (solely or jointly) or have in-licensed may be challenged, invalidated, modified, revoked, circumvented, found to be unenforceable or otherwise may not provide any competitive advantage;</w:t>
      </w:r>
    </w:p>
    <w:p>
      <w:pPr>
        <w:spacing w:after="0" w:line="42" w:lineRule="exact"/>
        <w:rPr>
          <w:rFonts w:ascii="Arial" w:cs="Arial" w:eastAsia="Arial" w:hAnsi="Arial"/>
          <w:sz w:val="13"/>
          <w:szCs w:val="13"/>
          <w:color w:val="231F20"/>
        </w:rPr>
      </w:pPr>
    </w:p>
    <w:p>
      <w:pPr>
        <w:ind w:left="1020" w:right="340" w:hanging="340"/>
        <w:spacing w:after="0" w:line="331" w:lineRule="auto"/>
        <w:tabs>
          <w:tab w:leader="none" w:pos="1020" w:val="left"/>
        </w:tabs>
        <w:numPr>
          <w:ilvl w:val="0"/>
          <w:numId w:val="44"/>
        </w:numPr>
        <w:rPr>
          <w:rFonts w:ascii="Arial" w:cs="Arial" w:eastAsia="Arial" w:hAnsi="Arial"/>
          <w:sz w:val="12"/>
          <w:szCs w:val="12"/>
          <w:color w:val="231F20"/>
        </w:rPr>
      </w:pPr>
      <w:r>
        <w:rPr>
          <w:rFonts w:ascii="Arial" w:cs="Arial" w:eastAsia="Arial" w:hAnsi="Arial"/>
          <w:sz w:val="12"/>
          <w:szCs w:val="12"/>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sell, import or otherwise exploit our product candidates or other technologies;</w:t>
      </w:r>
    </w:p>
    <w:p>
      <w:pPr>
        <w:spacing w:after="0" w:line="19" w:lineRule="exact"/>
        <w:rPr>
          <w:rFonts w:ascii="Arial" w:cs="Arial" w:eastAsia="Arial" w:hAnsi="Arial"/>
          <w:sz w:val="12"/>
          <w:szCs w:val="12"/>
          <w:color w:val="231F20"/>
        </w:rPr>
      </w:pPr>
    </w:p>
    <w:p>
      <w:pPr>
        <w:jc w:val="both"/>
        <w:ind w:left="1020" w:right="60" w:hanging="340"/>
        <w:spacing w:after="0" w:line="272" w:lineRule="auto"/>
        <w:tabs>
          <w:tab w:leader="none" w:pos="1020" w:val="left"/>
        </w:tabs>
        <w:numPr>
          <w:ilvl w:val="0"/>
          <w:numId w:val="44"/>
        </w:numPr>
        <w:rPr>
          <w:rFonts w:ascii="Arial" w:cs="Arial" w:eastAsia="Arial" w:hAnsi="Arial"/>
          <w:sz w:val="13"/>
          <w:szCs w:val="13"/>
          <w:color w:val="231F20"/>
        </w:rPr>
      </w:pPr>
      <w:r>
        <w:rPr>
          <w:rFonts w:ascii="Arial" w:cs="Arial" w:eastAsia="Arial" w:hAnsi="Arial"/>
          <w:sz w:val="13"/>
          <w:szCs w:val="13"/>
          <w:color w:val="231F20"/>
        </w:rPr>
        <w:t>other parties may have designed around our patent claims or developed technologies that may be related or competitive to our product candidates or other technologies, may have filed or may file patent applications and may have received or may receive patents that overlap or conflict with our patent filings, either by claiming the same or overlapping methods, products, reagents or devices or by claiming subject matter that could dominate one or more of our patent claims;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51" w:name="page52"/>
    <w:bookmarkEnd w:id="51"/>
    <w:p>
      <w:pPr>
        <w:ind w:left="1020" w:right="620" w:hanging="340"/>
        <w:spacing w:after="0" w:line="287" w:lineRule="auto"/>
        <w:tabs>
          <w:tab w:leader="none" w:pos="1020" w:val="left"/>
        </w:tabs>
        <w:numPr>
          <w:ilvl w:val="0"/>
          <w:numId w:val="45"/>
        </w:numPr>
        <w:rPr>
          <w:rFonts w:ascii="Arial" w:cs="Arial" w:eastAsia="Arial" w:hAnsi="Arial"/>
          <w:sz w:val="13"/>
          <w:szCs w:val="13"/>
          <w:color w:val="231F20"/>
        </w:rPr>
      </w:pPr>
      <w:r>
        <w:rPr>
          <w:rFonts w:ascii="Arial" w:cs="Arial" w:eastAsia="Arial" w:hAnsi="Arial"/>
          <w:sz w:val="13"/>
          <w:szCs w:val="13"/>
          <w:color w:val="231F20"/>
        </w:rPr>
        <w:t>any successful opposition to any patents owned by or in-licensed to us could deprive us of rights necessary for the development and exploitation of our product candidates and other technologies or the successful commercialization of any product candidates and other technologies that we may develop;</w:t>
      </w:r>
    </w:p>
    <w:p>
      <w:pPr>
        <w:spacing w:after="0" w:line="42" w:lineRule="exact"/>
        <w:rPr>
          <w:rFonts w:ascii="Arial" w:cs="Arial" w:eastAsia="Arial" w:hAnsi="Arial"/>
          <w:sz w:val="13"/>
          <w:szCs w:val="13"/>
          <w:color w:val="231F20"/>
        </w:rPr>
      </w:pPr>
    </w:p>
    <w:p>
      <w:pPr>
        <w:ind w:left="1020" w:right="80" w:hanging="340"/>
        <w:spacing w:after="0" w:line="287" w:lineRule="auto"/>
        <w:tabs>
          <w:tab w:leader="none" w:pos="1020" w:val="left"/>
        </w:tabs>
        <w:numPr>
          <w:ilvl w:val="0"/>
          <w:numId w:val="45"/>
        </w:numPr>
        <w:rPr>
          <w:rFonts w:ascii="Arial" w:cs="Arial" w:eastAsia="Arial" w:hAnsi="Arial"/>
          <w:sz w:val="13"/>
          <w:szCs w:val="13"/>
          <w:color w:val="231F20"/>
        </w:rPr>
      </w:pPr>
      <w:r>
        <w:rPr>
          <w:rFonts w:ascii="Arial" w:cs="Arial" w:eastAsia="Arial" w:hAnsi="Arial"/>
          <w:sz w:val="13"/>
          <w:szCs w:val="13"/>
          <w:color w:val="231F20"/>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42" w:lineRule="exact"/>
        <w:rPr>
          <w:rFonts w:ascii="Arial" w:cs="Arial" w:eastAsia="Arial" w:hAnsi="Arial"/>
          <w:sz w:val="13"/>
          <w:szCs w:val="13"/>
          <w:color w:val="231F20"/>
        </w:rPr>
      </w:pPr>
    </w:p>
    <w:p>
      <w:pPr>
        <w:ind w:left="1020" w:right="300" w:hanging="340"/>
        <w:spacing w:after="0" w:line="287" w:lineRule="auto"/>
        <w:tabs>
          <w:tab w:leader="none" w:pos="1020" w:val="left"/>
        </w:tabs>
        <w:numPr>
          <w:ilvl w:val="0"/>
          <w:numId w:val="45"/>
        </w:numPr>
        <w:rPr>
          <w:rFonts w:ascii="Arial" w:cs="Arial" w:eastAsia="Arial" w:hAnsi="Arial"/>
          <w:sz w:val="13"/>
          <w:szCs w:val="13"/>
          <w:color w:val="231F20"/>
        </w:rPr>
      </w:pPr>
      <w:r>
        <w:rPr>
          <w:rFonts w:ascii="Arial" w:cs="Arial" w:eastAsia="Arial" w:hAnsi="Arial"/>
          <w:sz w:val="13"/>
          <w:szCs w:val="13"/>
          <w:color w:val="231F20"/>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42" w:lineRule="exact"/>
        <w:rPr>
          <w:rFonts w:ascii="Arial" w:cs="Arial" w:eastAsia="Arial" w:hAnsi="Arial"/>
          <w:sz w:val="13"/>
          <w:szCs w:val="13"/>
          <w:color w:val="231F20"/>
        </w:rPr>
      </w:pPr>
    </w:p>
    <w:p>
      <w:pPr>
        <w:ind w:left="1020" w:right="480" w:hanging="340"/>
        <w:spacing w:after="0" w:line="331" w:lineRule="auto"/>
        <w:tabs>
          <w:tab w:leader="none" w:pos="1020" w:val="left"/>
        </w:tabs>
        <w:numPr>
          <w:ilvl w:val="0"/>
          <w:numId w:val="45"/>
        </w:numPr>
        <w:rPr>
          <w:rFonts w:ascii="Arial" w:cs="Arial" w:eastAsia="Arial" w:hAnsi="Arial"/>
          <w:sz w:val="12"/>
          <w:szCs w:val="12"/>
          <w:color w:val="231F20"/>
        </w:rPr>
      </w:pPr>
      <w:r>
        <w:rPr>
          <w:rFonts w:ascii="Arial" w:cs="Arial" w:eastAsia="Arial" w:hAnsi="Arial"/>
          <w:sz w:val="12"/>
          <w:szCs w:val="12"/>
          <w:color w:val="231F20"/>
        </w:rPr>
        <w:t xml:space="preserve">a court or other patent proceeding, such as an </w:t>
      </w:r>
      <w:r>
        <w:rPr>
          <w:rFonts w:ascii="Arial" w:cs="Arial" w:eastAsia="Arial" w:hAnsi="Arial"/>
          <w:sz w:val="12"/>
          <w:szCs w:val="12"/>
          <w:i w:val="1"/>
          <w:iCs w:val="1"/>
          <w:color w:val="231F20"/>
        </w:rPr>
        <w:t>inter partes</w:t>
      </w:r>
      <w:r>
        <w:rPr>
          <w:rFonts w:ascii="Arial" w:cs="Arial" w:eastAsia="Arial" w:hAnsi="Arial"/>
          <w:sz w:val="12"/>
          <w:szCs w:val="12"/>
          <w:color w:val="231F20"/>
        </w:rPr>
        <w:t xml:space="preserve">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19" w:lineRule="exact"/>
        <w:rPr>
          <w:rFonts w:ascii="Arial" w:cs="Arial" w:eastAsia="Arial" w:hAnsi="Arial"/>
          <w:sz w:val="12"/>
          <w:szCs w:val="12"/>
          <w:color w:val="231F20"/>
        </w:rPr>
      </w:pPr>
    </w:p>
    <w:p>
      <w:pPr>
        <w:ind w:left="1020" w:right="260" w:hanging="340"/>
        <w:spacing w:after="0" w:line="287" w:lineRule="auto"/>
        <w:tabs>
          <w:tab w:leader="none" w:pos="1020" w:val="left"/>
        </w:tabs>
        <w:numPr>
          <w:ilvl w:val="0"/>
          <w:numId w:val="45"/>
        </w:numPr>
        <w:rPr>
          <w:rFonts w:ascii="Arial" w:cs="Arial" w:eastAsia="Arial" w:hAnsi="Arial"/>
          <w:sz w:val="13"/>
          <w:szCs w:val="13"/>
          <w:color w:val="231F20"/>
        </w:rPr>
      </w:pPr>
      <w:r>
        <w:rPr>
          <w:rFonts w:ascii="Arial" w:cs="Arial" w:eastAsia="Arial" w:hAnsi="Arial"/>
          <w:sz w:val="13"/>
          <w:szCs w:val="13"/>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42" w:lineRule="exact"/>
        <w:rPr>
          <w:rFonts w:ascii="Arial" w:cs="Arial" w:eastAsia="Arial" w:hAnsi="Arial"/>
          <w:sz w:val="13"/>
          <w:szCs w:val="13"/>
          <w:color w:val="231F20"/>
        </w:rPr>
      </w:pPr>
    </w:p>
    <w:p>
      <w:pPr>
        <w:ind w:left="1020" w:right="380" w:hanging="340"/>
        <w:spacing w:after="0" w:line="287" w:lineRule="auto"/>
        <w:tabs>
          <w:tab w:leader="none" w:pos="1020" w:val="left"/>
        </w:tabs>
        <w:numPr>
          <w:ilvl w:val="0"/>
          <w:numId w:val="45"/>
        </w:numPr>
        <w:rPr>
          <w:rFonts w:ascii="Arial" w:cs="Arial" w:eastAsia="Arial" w:hAnsi="Arial"/>
          <w:sz w:val="13"/>
          <w:szCs w:val="13"/>
          <w:color w:val="231F20"/>
        </w:rPr>
      </w:pPr>
      <w:r>
        <w:rPr>
          <w:rFonts w:ascii="Arial" w:cs="Arial" w:eastAsia="Arial" w:hAnsi="Arial"/>
          <w:sz w:val="13"/>
          <w:szCs w:val="13"/>
          <w:color w:val="231F20"/>
        </w:rPr>
        <w:t>countries other than the United States may have patent laws less favorable to patentees than those upheld by U.S. courts, allowing competitors a better opportunity to create, develop and market competing product candidates.</w:t>
      </w:r>
    </w:p>
    <w:p>
      <w:pPr>
        <w:spacing w:after="0" w:line="122"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231F20"/>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Congress of the United States and in international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laws, and those countries may lack adequate rules and procedures for granting, maintaining, protecting, defending and enforcing our intellectual property rights.</w:t>
      </w:r>
    </w:p>
    <w:p>
      <w:pPr>
        <w:spacing w:after="0" w:line="142" w:lineRule="exact"/>
        <w:rPr>
          <w:sz w:val="20"/>
          <w:szCs w:val="20"/>
          <w:color w:val="auto"/>
        </w:rPr>
      </w:pPr>
    </w:p>
    <w:p>
      <w:pPr>
        <w:ind w:right="40" w:firstLine="556"/>
        <w:spacing w:after="0" w:line="261" w:lineRule="auto"/>
        <w:rPr>
          <w:sz w:val="20"/>
          <w:szCs w:val="20"/>
          <w:color w:val="auto"/>
        </w:rPr>
      </w:pPr>
      <w:r>
        <w:rPr>
          <w:rFonts w:ascii="Arial" w:cs="Arial" w:eastAsia="Arial" w:hAnsi="Arial"/>
          <w:sz w:val="13"/>
          <w:szCs w:val="13"/>
          <w:color w:val="231F20"/>
        </w:rPr>
        <w:t>Furthermore, the patent prosecution process is also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142"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231F20"/>
        </w:rPr>
        <w:t xml:space="preserve">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w:t>
      </w:r>
      <w:r>
        <w:rPr>
          <w:rFonts w:ascii="Arial" w:cs="Arial" w:eastAsia="Arial" w:hAnsi="Arial"/>
          <w:sz w:val="12"/>
          <w:szCs w:val="12"/>
          <w:i w:val="1"/>
          <w:iCs w:val="1"/>
          <w:color w:val="231F20"/>
        </w:rPr>
        <w:t>inter partes</w:t>
      </w:r>
      <w:r>
        <w:rPr>
          <w:rFonts w:ascii="Arial" w:cs="Arial" w:eastAsia="Arial" w:hAnsi="Arial"/>
          <w:sz w:val="12"/>
          <w:szCs w:val="12"/>
          <w:color w:val="231F20"/>
        </w:rPr>
        <w:t xml:space="preserve">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2" w:name="page53"/>
    <w:bookmarkEnd w:id="52"/>
    <w:p>
      <w:pPr>
        <w:ind w:right="60"/>
        <w:spacing w:after="0" w:line="267" w:lineRule="auto"/>
        <w:rPr>
          <w:sz w:val="20"/>
          <w:szCs w:val="20"/>
          <w:color w:val="auto"/>
        </w:rPr>
      </w:pPr>
      <w:r>
        <w:rPr>
          <w:rFonts w:ascii="Arial" w:cs="Arial" w:eastAsia="Arial" w:hAnsi="Arial"/>
          <w:sz w:val="13"/>
          <w:szCs w:val="13"/>
          <w:color w:val="231F20"/>
        </w:rPr>
        <w:t>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product candidates or which effectively prevent others from commercializing competitive technologies and product candidates. As a result, our intellectual property may not provide us with sufficient rights to exclude others from commercializing products similar or identical to ours.</w:t>
      </w:r>
    </w:p>
    <w:p>
      <w:pPr>
        <w:spacing w:after="0" w:line="135" w:lineRule="exact"/>
        <w:rPr>
          <w:sz w:val="20"/>
          <w:szCs w:val="20"/>
          <w:color w:val="auto"/>
        </w:rPr>
      </w:pPr>
    </w:p>
    <w:p>
      <w:pPr>
        <w:ind w:right="80" w:firstLine="556"/>
        <w:spacing w:after="0" w:line="264" w:lineRule="auto"/>
        <w:rPr>
          <w:sz w:val="20"/>
          <w:szCs w:val="20"/>
          <w:color w:val="auto"/>
        </w:rPr>
      </w:pPr>
      <w:r>
        <w:rPr>
          <w:rFonts w:ascii="Arial" w:cs="Arial" w:eastAsia="Arial" w:hAnsi="Arial"/>
          <w:sz w:val="13"/>
          <w:szCs w:val="13"/>
          <w:color w:val="231F20"/>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138" w:lineRule="exact"/>
        <w:rPr>
          <w:sz w:val="20"/>
          <w:szCs w:val="20"/>
          <w:color w:val="auto"/>
        </w:rPr>
      </w:pPr>
    </w:p>
    <w:p>
      <w:pPr>
        <w:ind w:firstLine="556"/>
        <w:spacing w:after="0" w:line="287" w:lineRule="auto"/>
        <w:rPr>
          <w:sz w:val="20"/>
          <w:szCs w:val="20"/>
          <w:color w:val="auto"/>
        </w:rPr>
      </w:pPr>
      <w:r>
        <w:rPr>
          <w:rFonts w:ascii="Arial" w:cs="Arial" w:eastAsia="Arial" w:hAnsi="Arial"/>
          <w:sz w:val="12"/>
          <w:szCs w:val="12"/>
          <w:color w:val="231F20"/>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and technical personnel, even if the eventual outcome is favorable to us.</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The degree of future protection for our intellectual property and other proprietary rights is uncertain, and we cannot ensure that:</w:t>
      </w:r>
    </w:p>
    <w:p>
      <w:pPr>
        <w:spacing w:after="0" w:line="90" w:lineRule="exact"/>
        <w:rPr>
          <w:sz w:val="20"/>
          <w:szCs w:val="20"/>
          <w:color w:val="auto"/>
        </w:rPr>
      </w:pPr>
    </w:p>
    <w:p>
      <w:pPr>
        <w:ind w:left="1020" w:right="320" w:hanging="340"/>
        <w:spacing w:after="0" w:line="287" w:lineRule="auto"/>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any of our patents, or any of our pending patent applications, if issued, or those of our licensors, will include claims having a scope sufficient to protect our product candidates and other technologies;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any of our pending patent applications or those of our licensors may issue as patents;</w:t>
      </w:r>
    </w:p>
    <w:p>
      <w:pPr>
        <w:spacing w:after="0" w:line="90" w:lineRule="exact"/>
        <w:rPr>
          <w:rFonts w:ascii="Arial" w:cs="Arial" w:eastAsia="Arial" w:hAnsi="Arial"/>
          <w:sz w:val="13"/>
          <w:szCs w:val="13"/>
          <w:color w:val="231F20"/>
        </w:rPr>
      </w:pPr>
    </w:p>
    <w:p>
      <w:pPr>
        <w:ind w:left="1020" w:right="280" w:hanging="340"/>
        <w:spacing w:after="0" w:line="287" w:lineRule="auto"/>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others will not or may not be able to make, use, offer to sell or sell products that are the same as or similar to our own but that are not covered by the claims of the patents that we own or license;</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we will be able to successfully commercialize our products on a substantial scale, if approved, before the relevant patents that we own or license expire;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we were the first to make the inventions covered by each of the patents and pending patent applications that we own or license;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we, our co-owners or our licensors were the first to file patent applications for these inventions;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others will not develop similar or alternative products or technologies that do not infringe the patents we own or license;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any of the patents we own or license will be found to ultimately be valid and enforceable;</w:t>
      </w:r>
    </w:p>
    <w:p>
      <w:pPr>
        <w:spacing w:after="0" w:line="90" w:lineRule="exact"/>
        <w:rPr>
          <w:rFonts w:ascii="Arial" w:cs="Arial" w:eastAsia="Arial" w:hAnsi="Arial"/>
          <w:sz w:val="13"/>
          <w:szCs w:val="13"/>
          <w:color w:val="231F20"/>
        </w:rPr>
      </w:pPr>
    </w:p>
    <w:p>
      <w:pPr>
        <w:ind w:left="1020" w:right="420" w:hanging="340"/>
        <w:spacing w:after="0" w:line="287" w:lineRule="auto"/>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any patents issued to us or our licensors will provide a basis for an exclusive market for our commercially viable product candidates and other technologies or will provide us with any competitive advantages;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a third party may not challenge the patents we own or license and, if challenged, a court would hold that such patents are valid, enforceable and infringed;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we may develop or in-license additional proprietary technologies that are patentable;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6"/>
        </w:numPr>
        <w:rPr>
          <w:rFonts w:ascii="Arial" w:cs="Arial" w:eastAsia="Arial" w:hAnsi="Arial"/>
          <w:sz w:val="13"/>
          <w:szCs w:val="13"/>
          <w:color w:val="231F20"/>
        </w:rPr>
      </w:pPr>
      <w:r>
        <w:rPr>
          <w:rFonts w:ascii="Arial" w:cs="Arial" w:eastAsia="Arial" w:hAnsi="Arial"/>
          <w:sz w:val="13"/>
          <w:szCs w:val="13"/>
          <w:color w:val="231F20"/>
        </w:rPr>
        <w:t>the patents of others will not have an adverse effect on our business;</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00"/>
          </w:cols>
          <w:pgMar w:left="300" w:top="291" w:right="399" w:bottom="1440" w:gutter="0" w:footer="0" w:header="0"/>
        </w:sectPr>
      </w:pPr>
    </w:p>
    <w:bookmarkStart w:id="53" w:name="page54"/>
    <w:bookmarkEnd w:id="53"/>
    <w:p>
      <w:pPr>
        <w:ind w:left="1020" w:right="180" w:hanging="340"/>
        <w:spacing w:after="0" w:line="287" w:lineRule="auto"/>
        <w:tabs>
          <w:tab w:leader="none" w:pos="1020" w:val="left"/>
        </w:tabs>
        <w:numPr>
          <w:ilvl w:val="0"/>
          <w:numId w:val="47"/>
        </w:numPr>
        <w:rPr>
          <w:rFonts w:ascii="Arial" w:cs="Arial" w:eastAsia="Arial" w:hAnsi="Arial"/>
          <w:sz w:val="13"/>
          <w:szCs w:val="13"/>
          <w:color w:val="231F20"/>
        </w:rPr>
      </w:pPr>
      <w:r>
        <w:rPr>
          <w:rFonts w:ascii="Arial" w:cs="Arial" w:eastAsia="Arial" w:hAnsi="Arial"/>
          <w:sz w:val="13"/>
          <w:szCs w:val="13"/>
          <w:color w:val="231F20"/>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7"/>
        </w:numPr>
        <w:rPr>
          <w:rFonts w:ascii="Arial" w:cs="Arial" w:eastAsia="Arial" w:hAnsi="Arial"/>
          <w:sz w:val="13"/>
          <w:szCs w:val="13"/>
          <w:color w:val="231F20"/>
        </w:rPr>
      </w:pPr>
      <w:r>
        <w:rPr>
          <w:rFonts w:ascii="Arial" w:cs="Arial" w:eastAsia="Arial" w:hAnsi="Arial"/>
          <w:sz w:val="13"/>
          <w:szCs w:val="13"/>
          <w:color w:val="231F20"/>
        </w:rPr>
        <w:t>we will develop additional proprietary technologies or product candidates that are separately patentable; or</w:t>
      </w:r>
    </w:p>
    <w:p>
      <w:pPr>
        <w:spacing w:after="0" w:line="90" w:lineRule="exact"/>
        <w:rPr>
          <w:rFonts w:ascii="Arial" w:cs="Arial" w:eastAsia="Arial" w:hAnsi="Arial"/>
          <w:sz w:val="13"/>
          <w:szCs w:val="13"/>
          <w:color w:val="231F20"/>
        </w:rPr>
      </w:pPr>
    </w:p>
    <w:p>
      <w:pPr>
        <w:ind w:left="1020" w:hanging="340"/>
        <w:spacing w:after="0" w:line="287" w:lineRule="auto"/>
        <w:tabs>
          <w:tab w:leader="none" w:pos="1020" w:val="left"/>
        </w:tabs>
        <w:numPr>
          <w:ilvl w:val="0"/>
          <w:numId w:val="47"/>
        </w:numPr>
        <w:rPr>
          <w:rFonts w:ascii="Arial" w:cs="Arial" w:eastAsia="Arial" w:hAnsi="Arial"/>
          <w:sz w:val="13"/>
          <w:szCs w:val="13"/>
          <w:color w:val="231F20"/>
        </w:rPr>
      </w:pPr>
      <w:r>
        <w:rPr>
          <w:rFonts w:ascii="Arial" w:cs="Arial" w:eastAsia="Arial" w:hAnsi="Arial"/>
          <w:sz w:val="13"/>
          <w:szCs w:val="13"/>
          <w:color w:val="231F20"/>
        </w:rPr>
        <w:t>our development and commercialization activities, including our manufacturing processes, or products will not infringe upon the patents of our competitors or any other third parties, including any non-practicing entities or patent assertion entities.</w:t>
      </w:r>
    </w:p>
    <w:p>
      <w:pPr>
        <w:spacing w:after="0" w:line="122" w:lineRule="exact"/>
        <w:rPr>
          <w:sz w:val="20"/>
          <w:szCs w:val="20"/>
          <w:color w:val="auto"/>
        </w:rPr>
      </w:pPr>
    </w:p>
    <w:p>
      <w:pPr>
        <w:ind w:right="360" w:firstLine="556"/>
        <w:spacing w:after="0" w:line="287" w:lineRule="auto"/>
        <w:rPr>
          <w:sz w:val="20"/>
          <w:szCs w:val="20"/>
          <w:color w:val="auto"/>
        </w:rPr>
      </w:pPr>
      <w:r>
        <w:rPr>
          <w:rFonts w:ascii="Arial" w:cs="Arial" w:eastAsia="Arial" w:hAnsi="Arial"/>
          <w:sz w:val="13"/>
          <w:szCs w:val="13"/>
          <w:b w:val="1"/>
          <w:bCs w:val="1"/>
          <w:i w:val="1"/>
          <w:iCs w:val="1"/>
          <w:color w:val="231F20"/>
        </w:rPr>
        <w:t>Other companies or organizations may challenge our intellectual property rights or may assert intellectual property rights that prevent us from developing and commercializing our product candidates and other technologies.</w:t>
      </w:r>
    </w:p>
    <w:p>
      <w:pPr>
        <w:spacing w:after="0" w:line="42"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231F20"/>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and methods including uses and manufacturing methods, or features or aspects of any of these. These issued patents and pending patent applications claim certain compositions of matter and methods relating to the discovery, development, manufacture and commercialization of therapeutic modalities and our delivery technologies, including LNPs. If we, our co-owners or our licensors are unable to obtain, maintain, protect, defend or enforce patent protection with respect to our product candidates and other technology and any product candidates and technology we develop, our business, financial condition, results of operations and prospects could be materially harmed.</w:t>
      </w:r>
    </w:p>
    <w:p>
      <w:pPr>
        <w:spacing w:after="0" w:line="137" w:lineRule="exact"/>
        <w:rPr>
          <w:sz w:val="20"/>
          <w:szCs w:val="20"/>
          <w:color w:val="auto"/>
        </w:rPr>
      </w:pPr>
    </w:p>
    <w:p>
      <w:pPr>
        <w:jc w:val="both"/>
        <w:ind w:right="120" w:firstLine="556"/>
        <w:spacing w:after="0" w:line="304" w:lineRule="auto"/>
        <w:rPr>
          <w:sz w:val="20"/>
          <w:szCs w:val="20"/>
          <w:color w:val="auto"/>
        </w:rPr>
      </w:pPr>
      <w:r>
        <w:rPr>
          <w:rFonts w:ascii="Arial" w:cs="Arial" w:eastAsia="Arial" w:hAnsi="Arial"/>
          <w:sz w:val="12"/>
          <w:szCs w:val="12"/>
          <w:color w:val="231F20"/>
        </w:rPr>
        <w:t>As the scientific fields mature, our known competitors and other third parties have filed, and will continue to file, patent applications claiming inventions in the field in the United States and abroad.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16" w:lineRule="exact"/>
        <w:rPr>
          <w:sz w:val="20"/>
          <w:szCs w:val="20"/>
          <w:color w:val="auto"/>
        </w:rPr>
      </w:pPr>
    </w:p>
    <w:p>
      <w:pPr>
        <w:ind w:right="200" w:firstLine="556"/>
        <w:spacing w:after="0" w:line="291" w:lineRule="auto"/>
        <w:rPr>
          <w:sz w:val="20"/>
          <w:szCs w:val="20"/>
          <w:color w:val="auto"/>
        </w:rPr>
      </w:pPr>
      <w:r>
        <w:rPr>
          <w:rFonts w:ascii="Arial" w:cs="Arial" w:eastAsia="Arial" w:hAnsi="Arial"/>
          <w:sz w:val="12"/>
          <w:szCs w:val="12"/>
          <w:color w:val="231F20"/>
        </w:rPr>
        <w:t xml:space="preserve">We, our co-owners or our licensors may in the future become a party to patent proceedings or priority disputes in the United States, Europe or other jurisdictions. The Leahy-Smith America Invents Act, or the America Invents Act, enacted in September 2011, included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w:t>
      </w:r>
      <w:r>
        <w:rPr>
          <w:rFonts w:ascii="Arial" w:cs="Arial" w:eastAsia="Arial" w:hAnsi="Arial"/>
          <w:sz w:val="12"/>
          <w:szCs w:val="12"/>
          <w:i w:val="1"/>
          <w:iCs w:val="1"/>
          <w:color w:val="231F20"/>
        </w:rPr>
        <w:t>inter partes</w:t>
      </w:r>
      <w:r>
        <w:rPr>
          <w:rFonts w:ascii="Arial" w:cs="Arial" w:eastAsia="Arial" w:hAnsi="Arial"/>
          <w:sz w:val="12"/>
          <w:szCs w:val="12"/>
          <w:color w:val="231F20"/>
        </w:rPr>
        <w:t xml:space="preserve"> review and derivation proceedings. We expect that our competitors and other third parties will institute litigation and other proceedings, such as interference, reexamination and opposition proceedings, as well as </w:t>
      </w:r>
      <w:r>
        <w:rPr>
          <w:rFonts w:ascii="Arial" w:cs="Arial" w:eastAsia="Arial" w:hAnsi="Arial"/>
          <w:sz w:val="12"/>
          <w:szCs w:val="12"/>
          <w:i w:val="1"/>
          <w:iCs w:val="1"/>
          <w:color w:val="231F20"/>
        </w:rPr>
        <w:t>inter partes</w:t>
      </w:r>
      <w:r>
        <w:rPr>
          <w:rFonts w:ascii="Arial" w:cs="Arial" w:eastAsia="Arial" w:hAnsi="Arial"/>
          <w:sz w:val="12"/>
          <w:szCs w:val="12"/>
          <w:color w:val="231F20"/>
        </w:rPr>
        <w:t xml:space="preserve"> and post-grant review proceedings against us and the patents and patent applications that we own and in-license.</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We expect that we will be subject to similar proceedings or priority disputes, including oppositions, in Europe or other foreign jurisdictions relating to patents and patent applications in our portfolio.</w:t>
      </w:r>
    </w:p>
    <w:p>
      <w:pPr>
        <w:spacing w:after="0" w:line="18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2"/>
          <w:szCs w:val="12"/>
          <w:color w:val="231F20"/>
        </w:rPr>
        <w:t xml:space="preserve">If we, our co-owners or our licensors are unsuccessful in any interference proceedings or other priority or validity disputes, including any derivations, post-grant review, </w:t>
      </w:r>
      <w:r>
        <w:rPr>
          <w:rFonts w:ascii="Arial" w:cs="Arial" w:eastAsia="Arial" w:hAnsi="Arial"/>
          <w:sz w:val="12"/>
          <w:szCs w:val="12"/>
          <w:i w:val="1"/>
          <w:iCs w:val="1"/>
          <w:color w:val="231F20"/>
        </w:rPr>
        <w:t>inter partes</w:t>
      </w:r>
      <w:r>
        <w:rPr>
          <w:rFonts w:ascii="Arial" w:cs="Arial" w:eastAsia="Arial" w:hAnsi="Arial"/>
          <w:sz w:val="12"/>
          <w:szCs w:val="12"/>
          <w:color w:val="231F20"/>
        </w:rPr>
        <w:t xml:space="preserve">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adverse impact on our business and our ability to successfully compete against our current and future competitors.</w:t>
      </w:r>
    </w:p>
    <w:p>
      <w:pPr>
        <w:spacing w:after="0" w:line="125" w:lineRule="exact"/>
        <w:rPr>
          <w:sz w:val="20"/>
          <w:szCs w:val="20"/>
          <w:color w:val="auto"/>
        </w:rPr>
      </w:pPr>
    </w:p>
    <w:p>
      <w:pPr>
        <w:ind w:right="40" w:firstLine="556"/>
        <w:spacing w:after="0" w:line="287" w:lineRule="auto"/>
        <w:rPr>
          <w:sz w:val="20"/>
          <w:szCs w:val="20"/>
          <w:color w:val="auto"/>
        </w:rPr>
      </w:pPr>
      <w:r>
        <w:rPr>
          <w:rFonts w:ascii="Arial" w:cs="Arial" w:eastAsia="Arial" w:hAnsi="Arial"/>
          <w:sz w:val="13"/>
          <w:szCs w:val="13"/>
          <w:color w:val="231F20"/>
        </w:rPr>
        <w:t>There are many issued and pending patent filings that claim aspects of technologies that we may need for our mRNA product candidates or other product candidates, including patent filings that relate to relevant delivery technologies. There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54" w:name="page55"/>
    <w:bookmarkEnd w:id="54"/>
    <w:p>
      <w:pPr>
        <w:ind w:right="20"/>
        <w:spacing w:after="0" w:line="287" w:lineRule="auto"/>
        <w:rPr>
          <w:sz w:val="20"/>
          <w:szCs w:val="20"/>
          <w:color w:val="auto"/>
        </w:rPr>
      </w:pPr>
      <w:r>
        <w:rPr>
          <w:rFonts w:ascii="Arial" w:cs="Arial" w:eastAsia="Arial" w:hAnsi="Arial"/>
          <w:sz w:val="12"/>
          <w:szCs w:val="12"/>
          <w:color w:val="231F20"/>
        </w:rPr>
        <w:t>are also many issued patents that claim targeting genes or portions of genes that may be relevant for immunotherapies we wish to develop. In addition, there may be issued and pending patent applications that may be asserted against us in a court proceeding or otherwise based upon the asserting party’s belief that we may need such patents for the development, manufacturing and commercialization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or a court rules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and commercialization of one or more of the product candidates we may develop. Any of the foregoing could result in a material adverse effect on our business, financial condition, results of operations or prospects.</w:t>
      </w:r>
    </w:p>
    <w:p>
      <w:pPr>
        <w:spacing w:after="0" w:line="125"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b w:val="1"/>
          <w:bCs w:val="1"/>
          <w:i w:val="1"/>
          <w:iCs w:val="1"/>
          <w:color w:val="231F20"/>
        </w:rPr>
        <w:t>We may not be successful in obtaining, maintaining, protecting or defending the necessary intellectual property rights to allow us to identify and develop product candidates, product components and manufacturing processes for our development pipeline.</w:t>
      </w:r>
    </w:p>
    <w:p>
      <w:pPr>
        <w:spacing w:after="0" w:line="42" w:lineRule="exact"/>
        <w:rPr>
          <w:sz w:val="20"/>
          <w:szCs w:val="20"/>
          <w:color w:val="auto"/>
        </w:rPr>
      </w:pPr>
    </w:p>
    <w:p>
      <w:pPr>
        <w:ind w:right="40" w:firstLine="556"/>
        <w:spacing w:after="0" w:line="261" w:lineRule="auto"/>
        <w:rPr>
          <w:sz w:val="20"/>
          <w:szCs w:val="20"/>
          <w:color w:val="auto"/>
        </w:rPr>
      </w:pPr>
      <w:r>
        <w:rPr>
          <w:rFonts w:ascii="Arial" w:cs="Arial" w:eastAsia="Arial" w:hAnsi="Arial"/>
          <w:sz w:val="13"/>
          <w:szCs w:val="13"/>
          <w:color w:val="231F20"/>
        </w:rPr>
        <w:t>We currently have rights to certain intellectual property, through our owned and in-licensed patents and other intellectual property rights, relating to identification and development of our product candidates or other technologies. As our pipeline may involve additional product candidates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39" w:lineRule="exact"/>
        <w:rPr>
          <w:sz w:val="20"/>
          <w:szCs w:val="20"/>
          <w:color w:val="auto"/>
        </w:rPr>
      </w:pPr>
    </w:p>
    <w:p>
      <w:pPr>
        <w:ind w:right="100" w:firstLine="556"/>
        <w:spacing w:after="0" w:line="296" w:lineRule="auto"/>
        <w:rPr>
          <w:sz w:val="20"/>
          <w:szCs w:val="20"/>
          <w:color w:val="auto"/>
        </w:rPr>
      </w:pPr>
      <w:r>
        <w:rPr>
          <w:rFonts w:ascii="Arial" w:cs="Arial" w:eastAsia="Arial" w:hAnsi="Arial"/>
          <w:sz w:val="12"/>
          <w:szCs w:val="12"/>
          <w:color w:val="231F20"/>
        </w:rPr>
        <w:t>For example, we sometimes collaborate with academic institutions in certain aspects of our preclinical research or development under written agreements with these institutions. Typically, these institutions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w:t>
      </w:r>
    </w:p>
    <w:p>
      <w:pPr>
        <w:spacing w:after="0" w:line="119" w:lineRule="exact"/>
        <w:rPr>
          <w:sz w:val="20"/>
          <w:szCs w:val="20"/>
          <w:color w:val="auto"/>
        </w:rPr>
      </w:pPr>
    </w:p>
    <w:p>
      <w:pPr>
        <w:ind w:right="20" w:firstLine="556"/>
        <w:spacing w:after="0" w:line="296" w:lineRule="auto"/>
        <w:rPr>
          <w:sz w:val="20"/>
          <w:szCs w:val="20"/>
          <w:color w:val="auto"/>
        </w:rPr>
      </w:pPr>
      <w:r>
        <w:rPr>
          <w:rFonts w:ascii="Arial" w:cs="Arial" w:eastAsia="Arial" w:hAnsi="Arial"/>
          <w:sz w:val="12"/>
          <w:szCs w:val="12"/>
          <w:color w:val="231F20"/>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19"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lifespans of our patents may not be sufficient to effectively protect our product candidates, technologies and business.</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231F20"/>
        </w:rPr>
        <w:t>Patents have a limited lifespan. In the United States, the natural expiration of a patent is generally 20 years after its first effective non-provisional filing date, assuming maintenance fees are timely paid after the patent has issued. Most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55" w:name="page56"/>
    <w:bookmarkEnd w:id="55"/>
    <w:p>
      <w:pPr>
        <w:ind w:right="20"/>
        <w:spacing w:after="0" w:line="285" w:lineRule="auto"/>
        <w:rPr>
          <w:sz w:val="20"/>
          <w:szCs w:val="20"/>
          <w:color w:val="auto"/>
        </w:rPr>
      </w:pPr>
      <w:r>
        <w:rPr>
          <w:rFonts w:ascii="Arial" w:cs="Arial" w:eastAsia="Arial" w:hAnsi="Arial"/>
          <w:sz w:val="12"/>
          <w:szCs w:val="12"/>
          <w:color w:val="231F20"/>
        </w:rPr>
        <w:t>foreign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If we do not obtain patent term extension and data exclusivity for any product candidates we may develop, our business may be materially harmed.</w:t>
      </w:r>
    </w:p>
    <w:p>
      <w:pPr>
        <w:spacing w:after="0" w:line="90" w:lineRule="exact"/>
        <w:rPr>
          <w:sz w:val="20"/>
          <w:szCs w:val="20"/>
          <w:color w:val="auto"/>
        </w:rPr>
      </w:pPr>
    </w:p>
    <w:p>
      <w:pPr>
        <w:ind w:right="40" w:firstLine="556"/>
        <w:spacing w:after="0" w:line="261" w:lineRule="auto"/>
        <w:rPr>
          <w:sz w:val="20"/>
          <w:szCs w:val="20"/>
          <w:color w:val="auto"/>
        </w:rPr>
      </w:pPr>
      <w:r>
        <w:rPr>
          <w:rFonts w:ascii="Arial" w:cs="Arial" w:eastAsia="Arial" w:hAnsi="Arial"/>
          <w:sz w:val="13"/>
          <w:szCs w:val="13"/>
          <w:color w:val="231F20"/>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39"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2" w:lineRule="exact"/>
        <w:rPr>
          <w:sz w:val="20"/>
          <w:szCs w:val="20"/>
          <w:color w:val="auto"/>
        </w:rPr>
      </w:pPr>
    </w:p>
    <w:p>
      <w:pPr>
        <w:ind w:right="80" w:firstLine="556"/>
        <w:spacing w:after="0" w:line="264" w:lineRule="auto"/>
        <w:rPr>
          <w:sz w:val="20"/>
          <w:szCs w:val="20"/>
          <w:color w:val="auto"/>
        </w:rPr>
      </w:pPr>
      <w:r>
        <w:rPr>
          <w:rFonts w:ascii="Arial" w:cs="Arial" w:eastAsia="Arial" w:hAnsi="Arial"/>
          <w:sz w:val="13"/>
          <w:szCs w:val="13"/>
          <w:color w:val="231F20"/>
        </w:rPr>
        <w:t>We are heavily reliant upon licenses to certain intellectual property and other proprietary rights from third parties that are important or necessary to the development and commercialization of our technology and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any or all of our licenses.</w:t>
      </w:r>
    </w:p>
    <w:p>
      <w:pPr>
        <w:spacing w:after="0" w:line="138" w:lineRule="exact"/>
        <w:rPr>
          <w:sz w:val="20"/>
          <w:szCs w:val="20"/>
          <w:color w:val="auto"/>
        </w:rPr>
      </w:pPr>
    </w:p>
    <w:p>
      <w:pPr>
        <w:ind w:firstLine="556"/>
        <w:spacing w:after="0" w:line="284" w:lineRule="auto"/>
        <w:rPr>
          <w:sz w:val="20"/>
          <w:szCs w:val="20"/>
          <w:color w:val="auto"/>
        </w:rPr>
      </w:pPr>
      <w:r>
        <w:rPr>
          <w:rFonts w:ascii="Arial" w:cs="Arial" w:eastAsia="Arial" w:hAnsi="Arial"/>
          <w:sz w:val="12"/>
          <w:szCs w:val="12"/>
          <w:color w:val="231F20"/>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third parties, or such activities, if controlled by us, may require the input of such third parties. In some cases, patent prosecution of our in-licensed intellectual property is controlled solely by the licensor. We may also require the cooperation of our licensors and collaborators to enforce or defend any in-licensed patent rights, and such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Any of the foregoing could have a material adverse effect on our competitive position, business, financial conditions, results of operations and prospects.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56" w:name="page57"/>
    <w:bookmarkEnd w:id="56"/>
    <w:p>
      <w:pPr>
        <w:ind w:firstLine="556"/>
        <w:spacing w:after="0" w:line="260" w:lineRule="auto"/>
        <w:rPr>
          <w:sz w:val="20"/>
          <w:szCs w:val="20"/>
          <w:color w:val="auto"/>
        </w:rPr>
      </w:pPr>
      <w:r>
        <w:rPr>
          <w:rFonts w:ascii="Arial" w:cs="Arial" w:eastAsia="Arial" w:hAnsi="Arial"/>
          <w:sz w:val="13"/>
          <w:szCs w:val="13"/>
          <w:color w:val="231F20"/>
        </w:rPr>
        <w:t>Moreover, any failure to satisfy obligations or any material breach under any of our licenses to third-party intellectual property could give the licensor the right to terminate the license. Our existing license agreements impose, and we expect that future license agreements will impose, various diligence, milestone and royalty payment, exclusivity and other obligations on us. If we fail to comply with our obligations under these agreements, or we are subject to a bankruptcy, the licensor may have the right to terminate the license agreement, in which event we would not be able to develop, market and commercialize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and commercialize the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terminated, or if the underlying patents or other intellectual property fail to provide the intended exclusivity, competitors would have the freedom to seek regulatory approval of, and to market and commercialize, products similar or identical to ours.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40" w:lineRule="exact"/>
        <w:rPr>
          <w:sz w:val="20"/>
          <w:szCs w:val="20"/>
          <w:color w:val="auto"/>
        </w:rPr>
      </w:pPr>
    </w:p>
    <w:p>
      <w:pPr>
        <w:ind w:right="80" w:firstLine="556"/>
        <w:spacing w:after="0" w:line="296" w:lineRule="auto"/>
        <w:rPr>
          <w:sz w:val="20"/>
          <w:szCs w:val="20"/>
          <w:color w:val="auto"/>
        </w:rPr>
      </w:pPr>
      <w:r>
        <w:rPr>
          <w:rFonts w:ascii="Arial" w:cs="Arial" w:eastAsia="Arial" w:hAnsi="Arial"/>
          <w:sz w:val="12"/>
          <w:szCs w:val="12"/>
          <w:color w:val="231F20"/>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market and commercialize our product candidates could suffer. Moreover, if disputes over intellectual property that we have in-licensed prevent or impair our ability to maintain our current licensing arrangements on commercially acceptable terms, we may be unable to successfully develop, market and commercialize the affected product candidates, which could have a material adverse effect on our business, financial condition, results of operations and prospects.</w:t>
      </w:r>
    </w:p>
    <w:p>
      <w:pPr>
        <w:spacing w:after="0" w:line="119" w:lineRule="exact"/>
        <w:rPr>
          <w:sz w:val="20"/>
          <w:szCs w:val="20"/>
          <w:color w:val="auto"/>
        </w:rPr>
      </w:pPr>
    </w:p>
    <w:p>
      <w:pPr>
        <w:ind w:right="300" w:firstLine="554"/>
        <w:spacing w:after="0" w:line="287" w:lineRule="auto"/>
        <w:rPr>
          <w:sz w:val="20"/>
          <w:szCs w:val="20"/>
          <w:color w:val="auto"/>
        </w:rPr>
      </w:pPr>
      <w:r>
        <w:rPr>
          <w:rFonts w:ascii="Arial" w:cs="Arial" w:eastAsia="Arial" w:hAnsi="Arial"/>
          <w:sz w:val="13"/>
          <w:szCs w:val="13"/>
          <w:b w:val="1"/>
          <w:bCs w:val="1"/>
          <w:i w:val="1"/>
          <w:iCs w:val="1"/>
          <w:color w:val="231F20"/>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42" w:lineRule="exact"/>
        <w:rPr>
          <w:sz w:val="20"/>
          <w:szCs w:val="20"/>
          <w:color w:val="auto"/>
        </w:rPr>
      </w:pPr>
    </w:p>
    <w:p>
      <w:pPr>
        <w:ind w:right="40" w:firstLine="556"/>
        <w:spacing w:after="0" w:line="284" w:lineRule="auto"/>
        <w:rPr>
          <w:sz w:val="20"/>
          <w:szCs w:val="20"/>
          <w:color w:val="auto"/>
        </w:rPr>
      </w:pPr>
      <w:r>
        <w:rPr>
          <w:rFonts w:ascii="Arial" w:cs="Arial" w:eastAsia="Arial" w:hAnsi="Arial"/>
          <w:sz w:val="12"/>
          <w:szCs w:val="12"/>
          <w:color w:val="231F20"/>
        </w:rPr>
        <w:t>Certain intellectual property rights that have been in-licensed, including patent applications and patents that we in-license from the University of Pennsylvania and the Louisiana State University,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Bayh-Dole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also has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130" w:lineRule="exact"/>
        <w:rPr>
          <w:sz w:val="20"/>
          <w:szCs w:val="20"/>
          <w:color w:val="auto"/>
        </w:rPr>
      </w:pPr>
    </w:p>
    <w:p>
      <w:pPr>
        <w:ind w:right="20" w:firstLine="556"/>
        <w:spacing w:after="0" w:line="261" w:lineRule="auto"/>
        <w:rPr>
          <w:sz w:val="20"/>
          <w:szCs w:val="20"/>
          <w:color w:val="auto"/>
        </w:rPr>
      </w:pPr>
      <w:r>
        <w:rPr>
          <w:rFonts w:ascii="Arial" w:cs="Arial" w:eastAsia="Arial" w:hAnsi="Arial"/>
          <w:sz w:val="13"/>
          <w:szCs w:val="13"/>
          <w:color w:val="231F20"/>
        </w:rPr>
        <w:t>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are unable to comply with these manufacturing requirements, we may experience a material adverse effect on our competitive position, business, financial conditions, results of operations and prospects.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57" w:name="page58"/>
    <w:bookmarkEnd w:id="57"/>
    <w:p>
      <w:pPr>
        <w:ind w:right="240" w:firstLine="556"/>
        <w:spacing w:after="0" w:line="379" w:lineRule="auto"/>
        <w:rPr>
          <w:sz w:val="20"/>
          <w:szCs w:val="20"/>
          <w:color w:val="auto"/>
        </w:rPr>
      </w:pPr>
      <w:r>
        <w:rPr>
          <w:rFonts w:ascii="Arial" w:cs="Arial" w:eastAsia="Arial" w:hAnsi="Arial"/>
          <w:sz w:val="11"/>
          <w:szCs w:val="11"/>
          <w:b w:val="1"/>
          <w:bCs w:val="1"/>
          <w:i w:val="1"/>
          <w:iCs w:val="1"/>
          <w:color w:val="231F20"/>
        </w:rPr>
        <w:t>Our current proprietary position for certain product candidates depends upon our owned or in-licensed patent filings covering components of such product candidates, manufacturing-related methods, formulations and/or methods of use, which may not adequately prevent a competitor or other third party from using the same product candidate for the same or a different use.</w:t>
      </w:r>
    </w:p>
    <w:p>
      <w:pPr>
        <w:jc w:val="both"/>
        <w:ind w:right="40" w:firstLine="556"/>
        <w:spacing w:after="0" w:line="296" w:lineRule="auto"/>
        <w:rPr>
          <w:sz w:val="20"/>
          <w:szCs w:val="20"/>
          <w:color w:val="auto"/>
        </w:rPr>
      </w:pPr>
      <w:r>
        <w:rPr>
          <w:rFonts w:ascii="Arial" w:cs="Arial" w:eastAsia="Arial" w:hAnsi="Arial"/>
          <w:sz w:val="12"/>
          <w:szCs w:val="12"/>
          <w:color w:val="231F20"/>
        </w:rPr>
        <w:t>Composition of matter patent protection is generally considered to be desirable because it provides protection without regard to any particular method of use or manufacture or formulation. While we have obtained patent protection covering components of certain product candidates, manufacturing-related methods, formulations and/or methods of use, we do not currently have any claims in our owned or in-licensed issued U.S. patents that cover, for example, the overall construct used in our iNeST product candidates, and we cannot be certain that claims in any future patents issuing from our pending owned or in-licensed patent applications or our future owned or in-licensed patent applications will cover the composition of matter of our current or future product candidates.</w:t>
      </w:r>
    </w:p>
    <w:p>
      <w:pPr>
        <w:spacing w:after="0" w:line="119"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231F20"/>
        </w:rPr>
        <w:t>Method of use patents protect the use of a product for the specified method and formulation patents cover formulations to deliver therapeutics.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137"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b w:val="1"/>
          <w:bCs w:val="1"/>
          <w:i w:val="1"/>
          <w:iCs w:val="1"/>
          <w:color w:val="231F20"/>
        </w:rPr>
        <w:t>Intellectual property rights of third parties could adversely affect our ability to commercialize our product candidates, and we might be required to litigate or obtain licenses from third parties in order to develop or market our product candidates.</w:t>
      </w:r>
    </w:p>
    <w:p>
      <w:pPr>
        <w:spacing w:after="0" w:line="42" w:lineRule="exact"/>
        <w:rPr>
          <w:sz w:val="20"/>
          <w:szCs w:val="20"/>
          <w:color w:val="auto"/>
        </w:rPr>
      </w:pPr>
    </w:p>
    <w:p>
      <w:pPr>
        <w:ind w:right="20" w:firstLine="556"/>
        <w:spacing w:after="0" w:line="284" w:lineRule="auto"/>
        <w:rPr>
          <w:sz w:val="20"/>
          <w:szCs w:val="20"/>
          <w:color w:val="auto"/>
        </w:rPr>
      </w:pPr>
      <w:r>
        <w:rPr>
          <w:rFonts w:ascii="Arial" w:cs="Arial" w:eastAsia="Arial" w:hAnsi="Arial"/>
          <w:sz w:val="12"/>
          <w:szCs w:val="12"/>
          <w:color w:val="231F20"/>
        </w:rPr>
        <w:t>Because our product candidates are still in early developmental stages, and one or more features of the product candidates or related technologies such as their manufacture, formulation or use, may still change, we cannot be confident that we are aware of all third-party intellectual property that might be relevant to products that we eventually hope to commercialize.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is submitted. Given the uncertainty of clinical trials, we cannot be certain of the timing of their completion and it is possible that we might want to submit an NDA at a time when one or more relevant third-party patents is in force. Thus, it is possible that at the time that we commercialize our product candidates, one or more third parties may have issued patent claims that cover our products or critical features of their production or use. We may not be able to commercialize our products if patents issued to third parties or other third-party intellectual property rights cover, or may be alleged to cover, our products or elements thereof, or their methods of manufacture or use at the time that we seek to commercialize them. In such cases, we may not be in a position to develop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or not available on commercially reasonable terms or at all, and design-around could be prohibitively expensive or impossible.</w:t>
      </w:r>
    </w:p>
    <w:p>
      <w:pPr>
        <w:spacing w:after="0" w:line="127"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It is also possible that we have failed to identify relevant third-party patents that cover, or applications that will mature into patents that cover, one or more aspects of our platform or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138"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b w:val="1"/>
          <w:bCs w:val="1"/>
          <w:i w:val="1"/>
          <w:iCs w:val="1"/>
          <w:color w:val="231F20"/>
        </w:rPr>
        <w:t>We may be involved in lawsuits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58" w:name="page59"/>
    <w:bookmarkEnd w:id="58"/>
    <w:p>
      <w:pPr>
        <w:ind w:firstLine="556"/>
        <w:spacing w:after="0" w:line="261" w:lineRule="auto"/>
        <w:rPr>
          <w:sz w:val="20"/>
          <w:szCs w:val="20"/>
          <w:color w:val="auto"/>
        </w:rPr>
      </w:pPr>
      <w:r>
        <w:rPr>
          <w:rFonts w:ascii="Arial" w:cs="Arial" w:eastAsia="Arial" w:hAnsi="Arial"/>
          <w:sz w:val="13"/>
          <w:szCs w:val="13"/>
          <w:color w:val="231F20"/>
        </w:rPr>
        <w:t xml:space="preserve">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Arial" w:cs="Arial" w:eastAsia="Arial" w:hAnsi="Arial"/>
          <w:sz w:val="13"/>
          <w:szCs w:val="13"/>
          <w:i w:val="1"/>
          <w:iCs w:val="1"/>
          <w:color w:val="231F20"/>
        </w:rPr>
        <w:t>ex parte</w:t>
      </w:r>
      <w:r>
        <w:rPr>
          <w:rFonts w:ascii="Arial" w:cs="Arial" w:eastAsia="Arial" w:hAnsi="Arial"/>
          <w:sz w:val="13"/>
          <w:szCs w:val="13"/>
          <w:color w:val="231F20"/>
        </w:rPr>
        <w:t xml:space="preserve"> reexaminations, post-grant review, and </w:t>
      </w:r>
      <w:r>
        <w:rPr>
          <w:rFonts w:ascii="Arial" w:cs="Arial" w:eastAsia="Arial" w:hAnsi="Arial"/>
          <w:sz w:val="13"/>
          <w:szCs w:val="13"/>
          <w:i w:val="1"/>
          <w:iCs w:val="1"/>
          <w:color w:val="231F20"/>
        </w:rPr>
        <w:t>inter partes</w:t>
      </w:r>
      <w:r>
        <w:rPr>
          <w:rFonts w:ascii="Arial" w:cs="Arial" w:eastAsia="Arial" w:hAnsi="Arial"/>
          <w:sz w:val="13"/>
          <w:szCs w:val="13"/>
          <w:color w:val="231F20"/>
        </w:rPr>
        <w:t xml:space="preserve"> review proceedings before the USPTO and corresponding European and other non-U.S. patent offices. 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w:t>
      </w:r>
      <w:r>
        <w:rPr>
          <w:rFonts w:ascii="Arial" w:cs="Arial" w:eastAsia="Arial" w:hAnsi="Arial"/>
          <w:sz w:val="13"/>
          <w:szCs w:val="13"/>
          <w:i w:val="1"/>
          <w:iCs w:val="1"/>
          <w:color w:val="231F20"/>
        </w:rPr>
        <w:t>inter partes</w:t>
      </w:r>
      <w:r>
        <w:rPr>
          <w:rFonts w:ascii="Arial" w:cs="Arial" w:eastAsia="Arial" w:hAnsi="Arial"/>
          <w:sz w:val="13"/>
          <w:szCs w:val="13"/>
          <w:color w:val="231F20"/>
        </w:rPr>
        <w:t xml:space="preserve"> review proceedings against issued U.S. patents and opposition proceedings against European patents owned by third parties in the field of immunotherapy. We have a number of these opposition proceedings ongoing at the European Patent Office against third-party patents related to mRNA technologies. As the biotechnology and pharmaceutical industries expand and more patents are issued, the risk increases that our product candidates may be subject to claims of infringement of the patent rights of third parties.</w:t>
      </w:r>
    </w:p>
    <w:p>
      <w:pPr>
        <w:spacing w:after="0" w:line="142" w:lineRule="exact"/>
        <w:rPr>
          <w:sz w:val="20"/>
          <w:szCs w:val="20"/>
          <w:color w:val="auto"/>
        </w:rPr>
      </w:pPr>
    </w:p>
    <w:p>
      <w:pPr>
        <w:ind w:right="20" w:firstLine="556"/>
        <w:spacing w:after="0" w:line="284" w:lineRule="auto"/>
        <w:rPr>
          <w:sz w:val="20"/>
          <w:szCs w:val="20"/>
          <w:color w:val="auto"/>
        </w:rPr>
      </w:pPr>
      <w:r>
        <w:rPr>
          <w:rFonts w:ascii="Arial" w:cs="Arial" w:eastAsia="Arial" w:hAnsi="Arial"/>
          <w:sz w:val="12"/>
          <w:szCs w:val="12"/>
          <w:color w:val="231F20"/>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competitive position, business, financial conditions, results of operations and prospects.</w:t>
      </w:r>
    </w:p>
    <w:p>
      <w:pPr>
        <w:spacing w:after="0" w:line="130" w:lineRule="exact"/>
        <w:rPr>
          <w:sz w:val="20"/>
          <w:szCs w:val="20"/>
          <w:color w:val="auto"/>
        </w:rPr>
      </w:pPr>
    </w:p>
    <w:p>
      <w:pPr>
        <w:ind w:right="80" w:firstLine="556"/>
        <w:spacing w:after="0" w:line="284" w:lineRule="auto"/>
        <w:rPr>
          <w:sz w:val="20"/>
          <w:szCs w:val="20"/>
          <w:color w:val="auto"/>
        </w:rPr>
      </w:pPr>
      <w:r>
        <w:rPr>
          <w:rFonts w:ascii="Arial" w:cs="Arial" w:eastAsia="Arial" w:hAnsi="Arial"/>
          <w:sz w:val="12"/>
          <w:szCs w:val="12"/>
          <w:color w:val="231F20"/>
        </w:rPr>
        <w:t>Third parties, ranging from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methods of manufacture or methods for treatment related to the use, development, manufacture or commercialization of our product candidates. As patent applications can take many years to issue, there may be currently pending patent applications which may later result in issued patents that our product candidates may infringe. In addition, third parties may obtain patents in the future and claim that our technologies infringe upon these patents. If any third- party patents were held by a court of competent jurisdiction to cover the manufacturing process of any of our product candidates, any molecules formed during the manufacturing process or any final product itself, the holders of any such patents may obtain injunctive or other equitable relief, which could effectively block our ability to develop and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 or may be non-exclusive.</w:t>
      </w:r>
    </w:p>
    <w:p>
      <w:pPr>
        <w:spacing w:after="0" w:line="130"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231F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collaborations that would help us bring our product candidates to market.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59" w:name="page60"/>
    <w:bookmarkEnd w:id="59"/>
    <w:p>
      <w:pPr>
        <w:ind w:right="80" w:firstLine="556"/>
        <w:spacing w:after="0" w:line="264" w:lineRule="auto"/>
        <w:rPr>
          <w:sz w:val="20"/>
          <w:szCs w:val="20"/>
          <w:color w:val="auto"/>
        </w:rPr>
      </w:pPr>
      <w:r>
        <w:rPr>
          <w:rFonts w:ascii="Arial" w:cs="Arial" w:eastAsia="Arial" w:hAnsi="Arial"/>
          <w:sz w:val="13"/>
          <w:szCs w:val="13"/>
          <w:color w:val="231F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38" w:lineRule="exact"/>
        <w:rPr>
          <w:sz w:val="20"/>
          <w:szCs w:val="20"/>
          <w:color w:val="auto"/>
        </w:rPr>
      </w:pPr>
    </w:p>
    <w:p>
      <w:pPr>
        <w:ind w:right="260" w:firstLine="556"/>
        <w:spacing w:after="0" w:line="272" w:lineRule="auto"/>
        <w:rPr>
          <w:sz w:val="20"/>
          <w:szCs w:val="20"/>
          <w:color w:val="auto"/>
        </w:rPr>
      </w:pPr>
      <w:r>
        <w:rPr>
          <w:rFonts w:ascii="Arial" w:cs="Arial" w:eastAsia="Arial" w:hAnsi="Arial"/>
          <w:sz w:val="13"/>
          <w:szCs w:val="13"/>
          <w:color w:val="231F20"/>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132" w:lineRule="exact"/>
        <w:rPr>
          <w:sz w:val="20"/>
          <w:szCs w:val="20"/>
          <w:color w:val="auto"/>
        </w:rPr>
      </w:pPr>
    </w:p>
    <w:p>
      <w:pPr>
        <w:ind w:right="120" w:firstLine="556"/>
        <w:spacing w:after="0" w:line="264" w:lineRule="auto"/>
        <w:rPr>
          <w:sz w:val="20"/>
          <w:szCs w:val="20"/>
          <w:color w:val="auto"/>
        </w:rPr>
      </w:pPr>
      <w:r>
        <w:rPr>
          <w:rFonts w:ascii="Arial" w:cs="Arial" w:eastAsia="Arial" w:hAnsi="Arial"/>
          <w:sz w:val="13"/>
          <w:szCs w:val="13"/>
          <w:color w:val="231F20"/>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 candidates, which could limit our ability to generate revenues or achieve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138" w:lineRule="exact"/>
        <w:rPr>
          <w:sz w:val="20"/>
          <w:szCs w:val="20"/>
          <w:color w:val="auto"/>
        </w:rPr>
      </w:pPr>
    </w:p>
    <w:p>
      <w:pPr>
        <w:ind w:right="180" w:firstLine="556"/>
        <w:spacing w:after="0" w:line="331" w:lineRule="auto"/>
        <w:rPr>
          <w:sz w:val="20"/>
          <w:szCs w:val="20"/>
          <w:color w:val="auto"/>
        </w:rPr>
      </w:pPr>
      <w:r>
        <w:rPr>
          <w:rFonts w:ascii="Arial" w:cs="Arial" w:eastAsia="Arial" w:hAnsi="Arial"/>
          <w:sz w:val="12"/>
          <w:szCs w:val="12"/>
          <w:color w:val="231F20"/>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99"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231F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it could have a material adverse effect on the price of the ADSs.</w:t>
      </w:r>
    </w:p>
    <w:p>
      <w:pPr>
        <w:spacing w:after="0" w:line="132" w:lineRule="exact"/>
        <w:rPr>
          <w:sz w:val="20"/>
          <w:szCs w:val="20"/>
          <w:color w:val="auto"/>
        </w:rPr>
      </w:pPr>
    </w:p>
    <w:p>
      <w:pPr>
        <w:ind w:right="220" w:firstLine="556"/>
        <w:spacing w:after="0" w:line="287" w:lineRule="auto"/>
        <w:rPr>
          <w:sz w:val="20"/>
          <w:szCs w:val="20"/>
          <w:color w:val="auto"/>
        </w:rPr>
      </w:pPr>
      <w:r>
        <w:rPr>
          <w:rFonts w:ascii="Arial" w:cs="Arial" w:eastAsia="Arial" w:hAnsi="Arial"/>
          <w:sz w:val="13"/>
          <w:szCs w:val="13"/>
          <w:b w:val="1"/>
          <w:bCs w:val="1"/>
          <w:i w:val="1"/>
          <w:iCs w:val="1"/>
          <w:color w:val="231F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2"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231F20"/>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Changes in patent law in the United States or in other countries could diminish the value of patents in general, thereby impairing our ability to protect our products.</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231F20"/>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60" w:name="page61"/>
    <w:bookmarkEnd w:id="60"/>
    <w:p>
      <w:pPr>
        <w:jc w:val="both"/>
        <w:ind w:right="120"/>
        <w:spacing w:after="0" w:line="283" w:lineRule="auto"/>
        <w:rPr>
          <w:sz w:val="20"/>
          <w:szCs w:val="20"/>
          <w:color w:val="auto"/>
        </w:rPr>
      </w:pPr>
      <w:r>
        <w:rPr>
          <w:rFonts w:ascii="Arial" w:cs="Arial" w:eastAsia="Arial" w:hAnsi="Arial"/>
          <w:sz w:val="12"/>
          <w:szCs w:val="12"/>
          <w:color w:val="231F20"/>
        </w:rPr>
        <w:t>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w:t>
      </w:r>
    </w:p>
    <w:p>
      <w:pPr>
        <w:spacing w:after="0" w:line="1" w:lineRule="exact"/>
        <w:rPr>
          <w:sz w:val="20"/>
          <w:szCs w:val="20"/>
          <w:color w:val="auto"/>
        </w:rPr>
      </w:pPr>
    </w:p>
    <w:p>
      <w:pPr>
        <w:ind w:right="300"/>
        <w:spacing w:after="0" w:line="273" w:lineRule="auto"/>
        <w:rPr>
          <w:sz w:val="20"/>
          <w:szCs w:val="20"/>
          <w:color w:val="auto"/>
        </w:rPr>
      </w:pPr>
      <w:r>
        <w:rPr>
          <w:rFonts w:ascii="Arial" w:cs="Arial" w:eastAsia="Arial" w:hAnsi="Arial"/>
          <w:sz w:val="13"/>
          <w:szCs w:val="13"/>
          <w:color w:val="231F20"/>
        </w:rPr>
        <w:t>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1" w:lineRule="exact"/>
        <w:rPr>
          <w:sz w:val="20"/>
          <w:szCs w:val="20"/>
          <w:color w:val="auto"/>
        </w:rPr>
      </w:pPr>
    </w:p>
    <w:p>
      <w:pPr>
        <w:ind w:right="180" w:firstLine="556"/>
        <w:spacing w:after="0" w:line="296" w:lineRule="auto"/>
        <w:rPr>
          <w:sz w:val="20"/>
          <w:szCs w:val="20"/>
          <w:color w:val="auto"/>
        </w:rPr>
      </w:pPr>
      <w:r>
        <w:rPr>
          <w:rFonts w:ascii="Arial" w:cs="Arial" w:eastAsia="Arial" w:hAnsi="Arial"/>
          <w:sz w:val="12"/>
          <w:szCs w:val="12"/>
          <w:color w:val="231F20"/>
        </w:rPr>
        <w:t>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If we are unable to protect the confidentiality of our trade secrets, our business and competitive position would be harmed.</w:t>
      </w:r>
    </w:p>
    <w:p>
      <w:pPr>
        <w:spacing w:after="0" w:line="90" w:lineRule="exact"/>
        <w:rPr>
          <w:sz w:val="20"/>
          <w:szCs w:val="20"/>
          <w:color w:val="auto"/>
        </w:rPr>
      </w:pPr>
    </w:p>
    <w:p>
      <w:pPr>
        <w:ind w:right="160" w:firstLine="556"/>
        <w:spacing w:after="0" w:line="272" w:lineRule="auto"/>
        <w:rPr>
          <w:sz w:val="20"/>
          <w:szCs w:val="20"/>
          <w:color w:val="auto"/>
        </w:rPr>
      </w:pPr>
      <w:r>
        <w:rPr>
          <w:rFonts w:ascii="Arial" w:cs="Arial" w:eastAsia="Arial" w:hAnsi="Arial"/>
          <w:sz w:val="13"/>
          <w:szCs w:val="13"/>
          <w:color w:val="231F20"/>
        </w:rPr>
        <w:t>In addition to seeking patent protection for some of our technology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and development processes that involve proprietary know-how, information or technology that is not covered by patents. However, trade secrets and know-how may be difficult to protect.</w:t>
      </w:r>
    </w:p>
    <w:p>
      <w:pPr>
        <w:spacing w:after="0" w:line="132" w:lineRule="exact"/>
        <w:rPr>
          <w:sz w:val="20"/>
          <w:szCs w:val="20"/>
          <w:color w:val="auto"/>
        </w:rPr>
      </w:pPr>
    </w:p>
    <w:p>
      <w:pPr>
        <w:ind w:firstLine="556"/>
        <w:spacing w:after="0" w:line="284" w:lineRule="auto"/>
        <w:rPr>
          <w:sz w:val="20"/>
          <w:szCs w:val="20"/>
          <w:color w:val="auto"/>
        </w:rPr>
      </w:pPr>
      <w:r>
        <w:rPr>
          <w:rFonts w:ascii="Arial" w:cs="Arial" w:eastAsia="Arial" w:hAnsi="Arial"/>
          <w:sz w:val="12"/>
          <w:szCs w:val="12"/>
          <w:color w:val="231F20"/>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Despite our best efforts, any of these parties may breach the agreements and we cannot be certain that our trade secrets and other confidential proprietary information will not be disclosed or that competitors will not otherwise gain access to our trade secrets or independently develop substantially equivalent information and techniques.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will not be able to establish or maintain a competitive advantage in our market, which could materially adversely affect our business, operating results, financial condition and prospects.</w:t>
      </w:r>
    </w:p>
    <w:p>
      <w:pPr>
        <w:spacing w:after="0" w:line="127" w:lineRule="exact"/>
        <w:rPr>
          <w:sz w:val="20"/>
          <w:szCs w:val="20"/>
          <w:color w:val="auto"/>
        </w:rPr>
      </w:pPr>
    </w:p>
    <w:p>
      <w:pPr>
        <w:ind w:right="400" w:firstLine="556"/>
        <w:spacing w:after="0" w:line="287" w:lineRule="auto"/>
        <w:rPr>
          <w:sz w:val="20"/>
          <w:szCs w:val="20"/>
          <w:color w:val="auto"/>
        </w:rPr>
      </w:pPr>
      <w:r>
        <w:rPr>
          <w:rFonts w:ascii="Arial" w:cs="Arial" w:eastAsia="Arial" w:hAnsi="Arial"/>
          <w:sz w:val="13"/>
          <w:szCs w:val="13"/>
          <w:b w:val="1"/>
          <w:bCs w:val="1"/>
          <w:i w:val="1"/>
          <w:iCs w:val="1"/>
          <w:color w:val="231F20"/>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42" w:lineRule="exact"/>
        <w:rPr>
          <w:sz w:val="20"/>
          <w:szCs w:val="20"/>
          <w:color w:val="auto"/>
        </w:rPr>
      </w:pPr>
    </w:p>
    <w:p>
      <w:pPr>
        <w:ind w:right="40" w:firstLine="556"/>
        <w:spacing w:after="0" w:line="288" w:lineRule="auto"/>
        <w:rPr>
          <w:sz w:val="20"/>
          <w:szCs w:val="20"/>
          <w:color w:val="auto"/>
        </w:rPr>
      </w:pPr>
      <w:r>
        <w:rPr>
          <w:rFonts w:ascii="Arial" w:cs="Arial" w:eastAsia="Arial" w:hAnsi="Arial"/>
          <w:sz w:val="12"/>
          <w:szCs w:val="12"/>
          <w:color w:val="231F20"/>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61" w:name="page62"/>
    <w:bookmarkEnd w:id="61"/>
    <w:p>
      <w:pPr>
        <w:jc w:val="both"/>
        <w:ind w:right="220"/>
        <w:spacing w:after="0" w:line="272" w:lineRule="auto"/>
        <w:rPr>
          <w:sz w:val="20"/>
          <w:szCs w:val="20"/>
          <w:color w:val="auto"/>
        </w:rPr>
      </w:pPr>
      <w:r>
        <w:rPr>
          <w:rFonts w:ascii="Arial" w:cs="Arial" w:eastAsia="Arial" w:hAnsi="Arial"/>
          <w:sz w:val="13"/>
          <w:szCs w:val="13"/>
          <w:color w:val="231F20"/>
        </w:rPr>
        <w:t>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We may be subject to claims challenging the inventorship or ownership of our patents and other intellectual property.</w:t>
      </w:r>
    </w:p>
    <w:p>
      <w:pPr>
        <w:spacing w:after="0" w:line="90" w:lineRule="exact"/>
        <w:rPr>
          <w:sz w:val="20"/>
          <w:szCs w:val="20"/>
          <w:color w:val="auto"/>
        </w:rPr>
      </w:pPr>
    </w:p>
    <w:p>
      <w:pPr>
        <w:ind w:right="120" w:firstLine="556"/>
        <w:spacing w:after="0" w:line="260" w:lineRule="auto"/>
        <w:rPr>
          <w:sz w:val="20"/>
          <w:szCs w:val="20"/>
          <w:color w:val="auto"/>
        </w:rPr>
      </w:pPr>
      <w:r>
        <w:rPr>
          <w:rFonts w:ascii="Arial" w:cs="Arial" w:eastAsia="Arial" w:hAnsi="Arial"/>
          <w:sz w:val="13"/>
          <w:szCs w:val="13"/>
          <w:color w:val="231F20"/>
        </w:rPr>
        <w:t>We may in the future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The assignment of intellectual property rights may not be self-executing, or the assignment agreements may be breached. For example, we may have inventorship disputes arise from conflicting obligations of employees, consultants, independent contractors, collaborators or other third parties who are involved in developing and commercializing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and other employees.</w:t>
      </w:r>
    </w:p>
    <w:p>
      <w:pPr>
        <w:spacing w:after="0" w:line="142" w:lineRule="exact"/>
        <w:rPr>
          <w:sz w:val="20"/>
          <w:szCs w:val="20"/>
          <w:color w:val="auto"/>
        </w:rPr>
      </w:pPr>
    </w:p>
    <w:p>
      <w:pPr>
        <w:ind w:right="60" w:firstLine="556"/>
        <w:spacing w:after="0" w:line="287" w:lineRule="auto"/>
        <w:rPr>
          <w:sz w:val="20"/>
          <w:szCs w:val="20"/>
          <w:color w:val="auto"/>
        </w:rPr>
      </w:pPr>
      <w:r>
        <w:rPr>
          <w:rFonts w:ascii="Arial" w:cs="Arial" w:eastAsia="Arial" w:hAnsi="Arial"/>
          <w:sz w:val="12"/>
          <w:szCs w:val="12"/>
          <w:color w:val="231F20"/>
        </w:rPr>
        <w:t>Furthermore, the laws of some other countries do not protect intellectual property and other proprietary rights or establish ownership of inventions to the same extent or in the same manner as the laws of the United States. A majority of our employees work in Germany and are subject to German employment law. Ideas, developments, discoveries and inventions made by such employees and consultants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125" w:lineRule="exact"/>
        <w:rPr>
          <w:sz w:val="20"/>
          <w:szCs w:val="20"/>
          <w:color w:val="auto"/>
        </w:rPr>
      </w:pPr>
    </w:p>
    <w:p>
      <w:pPr>
        <w:ind w:right="420" w:firstLine="556"/>
        <w:spacing w:after="0" w:line="287" w:lineRule="auto"/>
        <w:rPr>
          <w:sz w:val="20"/>
          <w:szCs w:val="20"/>
          <w:color w:val="auto"/>
        </w:rPr>
      </w:pPr>
      <w:r>
        <w:rPr>
          <w:rFonts w:ascii="Arial" w:cs="Arial" w:eastAsia="Arial" w:hAnsi="Arial"/>
          <w:sz w:val="13"/>
          <w:szCs w:val="13"/>
          <w:b w:val="1"/>
          <w:bCs w:val="1"/>
          <w:i w:val="1"/>
          <w:iCs w:val="1"/>
          <w:color w:val="231F20"/>
        </w:rPr>
        <w:t>We will not seek to protect our intellectual property rights in all jurisdictions throughout the world, and we may not be able to adequately enforce our intellectual property rights even in the jurisdictions where we seek protection.</w:t>
      </w:r>
    </w:p>
    <w:p>
      <w:pPr>
        <w:spacing w:after="0" w:line="42" w:lineRule="exact"/>
        <w:rPr>
          <w:sz w:val="20"/>
          <w:szCs w:val="20"/>
          <w:color w:val="auto"/>
        </w:rPr>
      </w:pPr>
    </w:p>
    <w:p>
      <w:pPr>
        <w:ind w:right="20" w:firstLine="556"/>
        <w:spacing w:after="0" w:line="288" w:lineRule="auto"/>
        <w:rPr>
          <w:sz w:val="20"/>
          <w:szCs w:val="20"/>
          <w:color w:val="auto"/>
        </w:rPr>
      </w:pPr>
      <w:r>
        <w:rPr>
          <w:rFonts w:ascii="Arial" w:cs="Arial" w:eastAsia="Arial" w:hAnsi="Arial"/>
          <w:sz w:val="12"/>
          <w:szCs w:val="12"/>
          <w:color w:val="231F20"/>
        </w:rPr>
        <w:t>Filing, prosecuting and defending patents on product candidates and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26"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marketing and commercialization of competing products in violation of our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62" w:name="page63"/>
    <w:bookmarkEnd w:id="62"/>
    <w:p>
      <w:pPr>
        <w:jc w:val="both"/>
        <w:ind w:right="60"/>
        <w:spacing w:after="0" w:line="331" w:lineRule="auto"/>
        <w:rPr>
          <w:sz w:val="20"/>
          <w:szCs w:val="20"/>
          <w:color w:val="auto"/>
        </w:rPr>
      </w:pPr>
      <w:r>
        <w:rPr>
          <w:rFonts w:ascii="Arial" w:cs="Arial" w:eastAsia="Arial" w:hAnsi="Arial"/>
          <w:sz w:val="12"/>
          <w:szCs w:val="12"/>
          <w:color w:val="231F20"/>
        </w:rPr>
        <w:t>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w:t>
      </w:r>
    </w:p>
    <w:p>
      <w:pPr>
        <w:spacing w:after="0" w:line="99" w:lineRule="exact"/>
        <w:rPr>
          <w:sz w:val="20"/>
          <w:szCs w:val="20"/>
          <w:color w:val="auto"/>
        </w:rPr>
      </w:pPr>
    </w:p>
    <w:p>
      <w:pPr>
        <w:jc w:val="both"/>
        <w:ind w:right="80" w:firstLine="556"/>
        <w:spacing w:after="0" w:line="267" w:lineRule="auto"/>
        <w:rPr>
          <w:sz w:val="20"/>
          <w:szCs w:val="20"/>
          <w:color w:val="auto"/>
        </w:rPr>
      </w:pPr>
      <w:r>
        <w:rPr>
          <w:rFonts w:ascii="Arial" w:cs="Arial" w:eastAsia="Arial" w:hAnsi="Arial"/>
          <w:sz w:val="13"/>
          <w:szCs w:val="13"/>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02" w:lineRule="exact"/>
        <w:rPr>
          <w:sz w:val="20"/>
          <w:szCs w:val="20"/>
          <w:color w:val="auto"/>
        </w:rPr>
      </w:pPr>
    </w:p>
    <w:p>
      <w:pPr>
        <w:ind w:right="80" w:firstLine="556"/>
        <w:spacing w:after="0" w:line="260" w:lineRule="auto"/>
        <w:rPr>
          <w:sz w:val="20"/>
          <w:szCs w:val="20"/>
          <w:color w:val="auto"/>
        </w:rPr>
      </w:pPr>
      <w:r>
        <w:rPr>
          <w:rFonts w:ascii="Arial" w:cs="Arial" w:eastAsia="Arial" w:hAnsi="Arial"/>
          <w:sz w:val="13"/>
          <w:szCs w:val="13"/>
          <w:color w:val="231F20"/>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Intellectual property rights do not necessarily address all potential threats to our competitive advantage.</w:t>
      </w:r>
    </w:p>
    <w:p>
      <w:pPr>
        <w:spacing w:after="0" w:line="90"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2" w:lineRule="exact"/>
        <w:rPr>
          <w:sz w:val="20"/>
          <w:szCs w:val="20"/>
          <w:color w:val="auto"/>
        </w:rPr>
      </w:pPr>
    </w:p>
    <w:p>
      <w:pPr>
        <w:ind w:left="1020" w:right="280" w:hanging="340"/>
        <w:spacing w:after="0" w:line="287" w:lineRule="auto"/>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others may be able to make personalized cancer immunotherapies that are similar to any product candidates we may develop and commercialize or utilize similar technologies that are not covered by the claims of the patents that we now or may in the future own or have exclusively in-licensed;</w:t>
      </w:r>
    </w:p>
    <w:p>
      <w:pPr>
        <w:spacing w:after="0" w:line="42" w:lineRule="exact"/>
        <w:rPr>
          <w:rFonts w:ascii="Arial" w:cs="Arial" w:eastAsia="Arial" w:hAnsi="Arial"/>
          <w:sz w:val="13"/>
          <w:szCs w:val="13"/>
          <w:color w:val="231F20"/>
        </w:rPr>
      </w:pPr>
    </w:p>
    <w:p>
      <w:pPr>
        <w:ind w:left="1020" w:hanging="340"/>
        <w:spacing w:after="0" w:line="287" w:lineRule="auto"/>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we, our co-owners or our licensors or future collaborators might not have been the first to make the inventions covered by the issued patents or pending patent applications that we own or have exclusively in-licensed;</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we, our co-owners or our licensors or future collaborators might not have been the first to file patent applications covering certain of our or their inventions;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others may independently develop similar or alternative technologies or duplicate any of our technologies without infringing our owned or in-licensed intellectual property rights;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it is possible that our pending patent applications or those that we may own or in-license in the future will not lead to issued patents;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issued patents that we own or have exclusively in-licensed may be held invalid or unenforceable, including as a result of legal challenges by our competitors;</w:t>
      </w:r>
    </w:p>
    <w:p>
      <w:pPr>
        <w:spacing w:after="0" w:line="90" w:lineRule="exact"/>
        <w:rPr>
          <w:rFonts w:ascii="Arial" w:cs="Arial" w:eastAsia="Arial" w:hAnsi="Arial"/>
          <w:sz w:val="13"/>
          <w:szCs w:val="13"/>
          <w:color w:val="231F20"/>
        </w:rPr>
      </w:pPr>
    </w:p>
    <w:p>
      <w:pPr>
        <w:ind w:left="1020" w:right="420" w:hanging="340"/>
        <w:spacing w:after="0" w:line="287" w:lineRule="auto"/>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we may not develop additional proprietary technologies that are patentable;</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48"/>
        </w:numPr>
        <w:rPr>
          <w:rFonts w:ascii="Arial" w:cs="Arial" w:eastAsia="Arial" w:hAnsi="Arial"/>
          <w:sz w:val="13"/>
          <w:szCs w:val="13"/>
          <w:color w:val="231F20"/>
        </w:rPr>
      </w:pPr>
      <w:r>
        <w:rPr>
          <w:rFonts w:ascii="Arial" w:cs="Arial" w:eastAsia="Arial" w:hAnsi="Arial"/>
          <w:sz w:val="13"/>
          <w:szCs w:val="13"/>
          <w:color w:val="231F20"/>
        </w:rPr>
        <w:t>the patents of others may have an adverse effect on our business;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63" w:name="page64"/>
    <w:bookmarkEnd w:id="63"/>
    <w:p>
      <w:pPr>
        <w:ind w:left="560" w:right="980" w:firstLine="120"/>
        <w:spacing w:after="0" w:line="609" w:lineRule="auto"/>
        <w:tabs>
          <w:tab w:leader="none" w:pos="1023" w:val="left"/>
        </w:tabs>
        <w:numPr>
          <w:ilvl w:val="0"/>
          <w:numId w:val="49"/>
        </w:numPr>
        <w:rPr>
          <w:rFonts w:ascii="Arial" w:cs="Arial" w:eastAsia="Arial" w:hAnsi="Arial"/>
          <w:sz w:val="12"/>
          <w:szCs w:val="12"/>
          <w:color w:val="231F20"/>
        </w:rPr>
      </w:pPr>
      <w:r>
        <w:rPr>
          <w:rFonts w:ascii="Arial" w:cs="Arial" w:eastAsia="Arial" w:hAnsi="Arial"/>
          <w:sz w:val="12"/>
          <w:szCs w:val="12"/>
          <w:color w:val="231F20"/>
        </w:rPr>
        <w:t>we may choose not to file a patent in order to maintain certain trade secrets or know-how, and a third party may subsequently file a patent covering such intellectual property. Should any of these events occur, they could have a material adverse effect on our business, financial condition, results of operations and prospects.</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Government Regulation</w:t>
      </w:r>
    </w:p>
    <w:p>
      <w:pPr>
        <w:spacing w:after="0" w:line="64" w:lineRule="exact"/>
        <w:rPr>
          <w:sz w:val="20"/>
          <w:szCs w:val="20"/>
          <w:color w:val="auto"/>
        </w:rPr>
      </w:pPr>
    </w:p>
    <w:p>
      <w:pPr>
        <w:ind w:left="120" w:right="600" w:firstLine="439"/>
        <w:spacing w:after="0" w:line="287" w:lineRule="auto"/>
        <w:rPr>
          <w:sz w:val="20"/>
          <w:szCs w:val="20"/>
          <w:color w:val="auto"/>
        </w:rPr>
      </w:pPr>
      <w:r>
        <w:rPr>
          <w:rFonts w:ascii="Arial" w:cs="Arial" w:eastAsia="Arial" w:hAnsi="Arial"/>
          <w:sz w:val="13"/>
          <w:szCs w:val="13"/>
          <w:b w:val="1"/>
          <w:bCs w:val="1"/>
          <w:i w:val="1"/>
          <w:iCs w:val="1"/>
          <w:color w:val="231F20"/>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42"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231F20"/>
        </w:rPr>
        <w:t>We may be subject to additional healthcare regulation and enforcement by the U.S. federal government and by authorities in the United States, the European Union and other jurisdictions in which we conduct our business.</w:t>
      </w:r>
    </w:p>
    <w:p>
      <w:pPr>
        <w:spacing w:after="0" w:line="122" w:lineRule="exact"/>
        <w:rPr>
          <w:sz w:val="20"/>
          <w:szCs w:val="20"/>
          <w:color w:val="auto"/>
        </w:rPr>
      </w:pPr>
    </w:p>
    <w:p>
      <w:pPr>
        <w:ind w:right="100" w:firstLine="556"/>
        <w:spacing w:after="0" w:line="264" w:lineRule="auto"/>
        <w:rPr>
          <w:sz w:val="20"/>
          <w:szCs w:val="20"/>
          <w:color w:val="auto"/>
        </w:rPr>
      </w:pPr>
      <w:r>
        <w:rPr>
          <w:rFonts w:ascii="Arial" w:cs="Arial" w:eastAsia="Arial" w:hAnsi="Arial"/>
          <w:sz w:val="13"/>
          <w:szCs w:val="13"/>
          <w:color w:val="231F20"/>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58" w:lineRule="exact"/>
        <w:rPr>
          <w:sz w:val="20"/>
          <w:szCs w:val="20"/>
          <w:color w:val="auto"/>
        </w:rPr>
      </w:pPr>
    </w:p>
    <w:p>
      <w:pPr>
        <w:ind w:left="1020" w:right="20" w:hanging="340"/>
        <w:spacing w:after="0" w:line="264" w:lineRule="auto"/>
        <w:tabs>
          <w:tab w:leader="none" w:pos="1020" w:val="left"/>
        </w:tabs>
        <w:numPr>
          <w:ilvl w:val="0"/>
          <w:numId w:val="50"/>
        </w:numPr>
        <w:rPr>
          <w:rFonts w:ascii="Arial" w:cs="Arial" w:eastAsia="Arial" w:hAnsi="Arial"/>
          <w:sz w:val="13"/>
          <w:szCs w:val="13"/>
          <w:color w:val="231F20"/>
        </w:rPr>
      </w:pPr>
      <w:r>
        <w:rPr>
          <w:rFonts w:ascii="Arial" w:cs="Arial" w:eastAsia="Arial" w:hAnsi="Arial"/>
          <w:sz w:val="13"/>
          <w:szCs w:val="13"/>
          <w:color w:val="231F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57" w:lineRule="exact"/>
        <w:rPr>
          <w:rFonts w:ascii="Arial" w:cs="Arial" w:eastAsia="Arial" w:hAnsi="Arial"/>
          <w:sz w:val="13"/>
          <w:szCs w:val="13"/>
          <w:color w:val="231F20"/>
        </w:rPr>
      </w:pPr>
    </w:p>
    <w:p>
      <w:pPr>
        <w:ind w:left="1020" w:hanging="340"/>
        <w:spacing w:after="0"/>
        <w:tabs>
          <w:tab w:leader="none" w:pos="1020" w:val="left"/>
        </w:tabs>
        <w:numPr>
          <w:ilvl w:val="0"/>
          <w:numId w:val="50"/>
        </w:numPr>
        <w:rPr>
          <w:rFonts w:ascii="Arial" w:cs="Arial" w:eastAsia="Arial" w:hAnsi="Arial"/>
          <w:sz w:val="13"/>
          <w:szCs w:val="13"/>
          <w:color w:val="231F20"/>
        </w:rPr>
      </w:pPr>
      <w:r>
        <w:rPr>
          <w:rFonts w:ascii="Arial" w:cs="Arial" w:eastAsia="Arial" w:hAnsi="Arial"/>
          <w:sz w:val="13"/>
          <w:szCs w:val="13"/>
          <w:color w:val="231F20"/>
        </w:rPr>
        <w:t>The federal civil and criminal false claims laws and civil monetary penalty laws, which prohibit,</w:t>
      </w:r>
    </w:p>
    <w:p>
      <w:pPr>
        <w:spacing w:after="0" w:line="19" w:lineRule="exact"/>
        <w:rPr>
          <w:rFonts w:ascii="Arial" w:cs="Arial" w:eastAsia="Arial" w:hAnsi="Arial"/>
          <w:sz w:val="13"/>
          <w:szCs w:val="13"/>
          <w:color w:val="231F20"/>
        </w:rPr>
      </w:pPr>
    </w:p>
    <w:p>
      <w:pPr>
        <w:ind w:left="1020" w:right="20"/>
        <w:spacing w:after="0" w:line="265" w:lineRule="auto"/>
        <w:rPr>
          <w:rFonts w:ascii="Arial" w:cs="Arial" w:eastAsia="Arial" w:hAnsi="Arial"/>
          <w:sz w:val="13"/>
          <w:szCs w:val="13"/>
          <w:color w:val="231F20"/>
        </w:rPr>
      </w:pPr>
      <w:r>
        <w:rPr>
          <w:rFonts w:ascii="Arial" w:cs="Arial" w:eastAsia="Arial" w:hAnsi="Arial"/>
          <w:sz w:val="13"/>
          <w:szCs w:val="13"/>
          <w:color w:val="231F20"/>
        </w:rPr>
        <w:t>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35" w:lineRule="exact"/>
        <w:rPr>
          <w:rFonts w:ascii="Arial" w:cs="Arial" w:eastAsia="Arial" w:hAnsi="Arial"/>
          <w:sz w:val="13"/>
          <w:szCs w:val="13"/>
          <w:color w:val="231F20"/>
        </w:rPr>
      </w:pPr>
    </w:p>
    <w:p>
      <w:pPr>
        <w:ind w:left="1020" w:right="40" w:hanging="340"/>
        <w:spacing w:after="0" w:line="287" w:lineRule="auto"/>
        <w:tabs>
          <w:tab w:leader="none" w:pos="1020" w:val="left"/>
        </w:tabs>
        <w:numPr>
          <w:ilvl w:val="0"/>
          <w:numId w:val="50"/>
        </w:numPr>
        <w:rPr>
          <w:rFonts w:ascii="Arial" w:cs="Arial" w:eastAsia="Arial" w:hAnsi="Arial"/>
          <w:sz w:val="13"/>
          <w:szCs w:val="13"/>
          <w:color w:val="231F20"/>
        </w:rPr>
      </w:pPr>
      <w:r>
        <w:rPr>
          <w:rFonts w:ascii="Arial" w:cs="Arial" w:eastAsia="Arial" w:hAnsi="Arial"/>
          <w:sz w:val="13"/>
          <w:szCs w:val="13"/>
          <w:color w:val="231F20"/>
        </w:rPr>
        <w:t>The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w:t>
      </w:r>
      <w:r>
        <w:rPr>
          <w:rFonts w:ascii="Arial" w:cs="Arial" w:eastAsia="Arial" w:hAnsi="Arial"/>
          <w:sz w:val="13"/>
          <w:szCs w:val="13"/>
          <w:i w:val="1"/>
          <w:iCs w:val="1"/>
          <w:color w:val="231F20"/>
        </w:rPr>
        <w:t>e.g.</w:t>
      </w:r>
      <w:r>
        <w:rPr>
          <w:rFonts w:ascii="Arial" w:cs="Arial" w:eastAsia="Arial" w:hAnsi="Arial"/>
          <w:sz w:val="13"/>
          <w:szCs w:val="13"/>
          <w:color w:val="231F20"/>
        </w:rPr>
        <w:t>, public or private).</w:t>
      </w:r>
    </w:p>
    <w:p>
      <w:pPr>
        <w:spacing w:after="0" w:line="22" w:lineRule="exact"/>
        <w:rPr>
          <w:rFonts w:ascii="Arial" w:cs="Arial" w:eastAsia="Arial" w:hAnsi="Arial"/>
          <w:sz w:val="13"/>
          <w:szCs w:val="13"/>
          <w:color w:val="231F20"/>
        </w:rPr>
      </w:pPr>
    </w:p>
    <w:p>
      <w:pPr>
        <w:ind w:left="1020" w:right="340" w:hanging="340"/>
        <w:spacing w:after="0" w:line="272" w:lineRule="auto"/>
        <w:tabs>
          <w:tab w:leader="none" w:pos="1020" w:val="left"/>
        </w:tabs>
        <w:numPr>
          <w:ilvl w:val="0"/>
          <w:numId w:val="50"/>
        </w:numPr>
        <w:rPr>
          <w:rFonts w:ascii="Arial" w:cs="Arial" w:eastAsia="Arial" w:hAnsi="Arial"/>
          <w:sz w:val="13"/>
          <w:szCs w:val="13"/>
          <w:color w:val="231F20"/>
        </w:rPr>
      </w:pPr>
      <w:r>
        <w:rPr>
          <w:rFonts w:ascii="Arial" w:cs="Arial" w:eastAsia="Arial" w:hAnsi="Arial"/>
          <w:sz w:val="13"/>
          <w:szCs w:val="13"/>
          <w:color w:val="231F20"/>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31" w:lineRule="exact"/>
        <w:rPr>
          <w:rFonts w:ascii="Arial" w:cs="Arial" w:eastAsia="Arial" w:hAnsi="Arial"/>
          <w:sz w:val="13"/>
          <w:szCs w:val="13"/>
          <w:color w:val="231F20"/>
        </w:rPr>
      </w:pPr>
    </w:p>
    <w:p>
      <w:pPr>
        <w:ind w:left="1020" w:hanging="340"/>
        <w:spacing w:after="0"/>
        <w:tabs>
          <w:tab w:leader="none" w:pos="1020" w:val="left"/>
        </w:tabs>
        <w:numPr>
          <w:ilvl w:val="0"/>
          <w:numId w:val="50"/>
        </w:numPr>
        <w:rPr>
          <w:rFonts w:ascii="Arial" w:cs="Arial" w:eastAsia="Arial" w:hAnsi="Arial"/>
          <w:sz w:val="13"/>
          <w:szCs w:val="13"/>
          <w:color w:val="231F20"/>
        </w:rPr>
      </w:pPr>
      <w:r>
        <w:rPr>
          <w:rFonts w:ascii="Arial" w:cs="Arial" w:eastAsia="Arial" w:hAnsi="Arial"/>
          <w:sz w:val="13"/>
          <w:szCs w:val="13"/>
          <w:color w:val="231F20"/>
        </w:rPr>
        <w:t>The U.S. Federal Food, Drug, and Cosmetic Act, which prohibits, among other things, the adulteration or misbranding of drugs, biologics and medical devices.</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0"/>
        </w:numPr>
        <w:rPr>
          <w:rFonts w:ascii="Arial" w:cs="Arial" w:eastAsia="Arial" w:hAnsi="Arial"/>
          <w:sz w:val="12"/>
          <w:szCs w:val="12"/>
          <w:color w:val="231F20"/>
        </w:rPr>
      </w:pPr>
      <w:r>
        <w:rPr>
          <w:rFonts w:ascii="Arial" w:cs="Arial" w:eastAsia="Arial" w:hAnsi="Arial"/>
          <w:sz w:val="12"/>
          <w:szCs w:val="12"/>
          <w:color w:val="231F20"/>
        </w:rPr>
        <w:t>the U.S. Public Health Service Act, which prohibits, among other things, the introduction into interstate commerce of a biological product unless a biologics license is in effect for that product.</w:t>
      </w:r>
    </w:p>
    <w:p>
      <w:pPr>
        <w:spacing w:after="0" w:line="81" w:lineRule="exact"/>
        <w:rPr>
          <w:rFonts w:ascii="Arial" w:cs="Arial" w:eastAsia="Arial" w:hAnsi="Arial"/>
          <w:sz w:val="12"/>
          <w:szCs w:val="12"/>
          <w:color w:val="231F20"/>
        </w:rPr>
      </w:pPr>
    </w:p>
    <w:p>
      <w:pPr>
        <w:jc w:val="both"/>
        <w:ind w:left="1020" w:right="360" w:hanging="340"/>
        <w:spacing w:after="0" w:line="331" w:lineRule="auto"/>
        <w:tabs>
          <w:tab w:leader="none" w:pos="1020" w:val="left"/>
        </w:tabs>
        <w:numPr>
          <w:ilvl w:val="0"/>
          <w:numId w:val="50"/>
        </w:numPr>
        <w:rPr>
          <w:rFonts w:ascii="Arial" w:cs="Arial" w:eastAsia="Arial" w:hAnsi="Arial"/>
          <w:sz w:val="12"/>
          <w:szCs w:val="12"/>
          <w:color w:val="231F20"/>
        </w:rPr>
      </w:pPr>
      <w:r>
        <w:rPr>
          <w:rFonts w:ascii="Arial" w:cs="Arial" w:eastAsia="Arial" w:hAnsi="Arial"/>
          <w:sz w:val="12"/>
          <w:szCs w:val="12"/>
          <w:color w:val="231F20"/>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64" w:name="page65"/>
    <w:bookmarkEnd w:id="64"/>
    <w:p>
      <w:pPr>
        <w:ind w:left="1020" w:hanging="340"/>
        <w:spacing w:after="0" w:line="304" w:lineRule="auto"/>
        <w:tabs>
          <w:tab w:leader="none" w:pos="1020" w:val="left"/>
        </w:tabs>
        <w:numPr>
          <w:ilvl w:val="0"/>
          <w:numId w:val="51"/>
        </w:numPr>
        <w:rPr>
          <w:rFonts w:ascii="Arial" w:cs="Arial" w:eastAsia="Arial" w:hAnsi="Arial"/>
          <w:sz w:val="12"/>
          <w:szCs w:val="12"/>
          <w:color w:val="231F20"/>
        </w:rPr>
      </w:pPr>
      <w:r>
        <w:rPr>
          <w:rFonts w:ascii="Arial" w:cs="Arial" w:eastAsia="Arial" w:hAnsi="Arial"/>
          <w:sz w:val="12"/>
          <w:szCs w:val="12"/>
          <w:color w:val="231F20"/>
        </w:rPr>
        <w:t>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15" w:lineRule="exact"/>
        <w:rPr>
          <w:rFonts w:ascii="Arial" w:cs="Arial" w:eastAsia="Arial" w:hAnsi="Arial"/>
          <w:sz w:val="12"/>
          <w:szCs w:val="12"/>
          <w:color w:val="231F20"/>
        </w:rPr>
      </w:pPr>
    </w:p>
    <w:p>
      <w:pPr>
        <w:ind w:left="1020" w:hanging="340"/>
        <w:spacing w:after="0" w:line="267" w:lineRule="auto"/>
        <w:tabs>
          <w:tab w:leader="none" w:pos="1020" w:val="left"/>
        </w:tabs>
        <w:numPr>
          <w:ilvl w:val="0"/>
          <w:numId w:val="51"/>
        </w:numPr>
        <w:rPr>
          <w:rFonts w:ascii="Arial" w:cs="Arial" w:eastAsia="Arial" w:hAnsi="Arial"/>
          <w:sz w:val="13"/>
          <w:szCs w:val="13"/>
          <w:color w:val="231F20"/>
        </w:rPr>
      </w:pPr>
      <w:r>
        <w:rPr>
          <w:rFonts w:ascii="Arial" w:cs="Arial" w:eastAsia="Arial" w:hAnsi="Arial"/>
          <w:sz w:val="13"/>
          <w:szCs w:val="13"/>
          <w:color w:val="231F20"/>
        </w:rPr>
        <w:t>the U.S. Foreign Corrupt Practices Act of 1977, as amended, which prohibits, among other things, U.S. companies and their employees and agents, as well as non-U.S. companies that are registered with the Securities and Exchange Commission, or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54" w:lineRule="exact"/>
        <w:rPr>
          <w:rFonts w:ascii="Arial" w:cs="Arial" w:eastAsia="Arial" w:hAnsi="Arial"/>
          <w:sz w:val="13"/>
          <w:szCs w:val="13"/>
          <w:color w:val="231F20"/>
        </w:rPr>
      </w:pPr>
    </w:p>
    <w:p>
      <w:pPr>
        <w:ind w:left="1020" w:hanging="340"/>
        <w:spacing w:after="0"/>
        <w:tabs>
          <w:tab w:leader="none" w:pos="1020" w:val="left"/>
        </w:tabs>
        <w:numPr>
          <w:ilvl w:val="0"/>
          <w:numId w:val="51"/>
        </w:numPr>
        <w:rPr>
          <w:rFonts w:ascii="Arial" w:cs="Arial" w:eastAsia="Arial" w:hAnsi="Arial"/>
          <w:sz w:val="12"/>
          <w:szCs w:val="12"/>
          <w:color w:val="231F20"/>
        </w:rPr>
      </w:pPr>
      <w:r>
        <w:rPr>
          <w:rFonts w:ascii="Arial" w:cs="Arial" w:eastAsia="Arial" w:hAnsi="Arial"/>
          <w:sz w:val="12"/>
          <w:szCs w:val="12"/>
          <w:color w:val="231F20"/>
        </w:rPr>
        <w:t>similar healthcare laws and regulations in the European Union and other jurisdictions, including reporting requirements detailing interactions with and payments to healthcare providers.</w:t>
      </w:r>
    </w:p>
    <w:p>
      <w:pPr>
        <w:spacing w:after="0" w:line="182" w:lineRule="exact"/>
        <w:rPr>
          <w:sz w:val="20"/>
          <w:szCs w:val="20"/>
          <w:color w:val="auto"/>
        </w:rPr>
      </w:pPr>
    </w:p>
    <w:p>
      <w:pPr>
        <w:ind w:right="40" w:firstLine="556"/>
        <w:spacing w:after="0" w:line="267" w:lineRule="auto"/>
        <w:rPr>
          <w:sz w:val="20"/>
          <w:szCs w:val="20"/>
          <w:color w:val="auto"/>
        </w:rPr>
      </w:pPr>
      <w:r>
        <w:rPr>
          <w:rFonts w:ascii="Arial" w:cs="Arial" w:eastAsia="Arial" w:hAnsi="Arial"/>
          <w:sz w:val="13"/>
          <w:szCs w:val="13"/>
          <w:color w:val="231F20"/>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35" w:lineRule="exact"/>
        <w:rPr>
          <w:sz w:val="20"/>
          <w:szCs w:val="20"/>
          <w:color w:val="auto"/>
        </w:rPr>
      </w:pPr>
    </w:p>
    <w:p>
      <w:pPr>
        <w:jc w:val="both"/>
        <w:ind w:right="100" w:firstLine="556"/>
        <w:spacing w:after="0" w:line="272" w:lineRule="auto"/>
        <w:rPr>
          <w:sz w:val="20"/>
          <w:szCs w:val="20"/>
          <w:color w:val="auto"/>
        </w:rPr>
      </w:pPr>
      <w:r>
        <w:rPr>
          <w:rFonts w:ascii="Arial" w:cs="Arial" w:eastAsia="Arial" w:hAnsi="Arial"/>
          <w:sz w:val="13"/>
          <w:szCs w:val="13"/>
          <w:color w:val="231F20"/>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 bribery laws of European Union member states, such as the U.K. Bribery Act 2010. Infringement of these laws could result in substantial fines and imprisonment.</w:t>
      </w:r>
    </w:p>
    <w:p>
      <w:pPr>
        <w:spacing w:after="0" w:line="132" w:lineRule="exact"/>
        <w:rPr>
          <w:sz w:val="20"/>
          <w:szCs w:val="20"/>
          <w:color w:val="auto"/>
        </w:rPr>
      </w:pPr>
    </w:p>
    <w:p>
      <w:pPr>
        <w:jc w:val="both"/>
        <w:ind w:right="120" w:firstLine="556"/>
        <w:spacing w:after="0" w:line="267" w:lineRule="auto"/>
        <w:rPr>
          <w:sz w:val="20"/>
          <w:szCs w:val="20"/>
          <w:color w:val="auto"/>
        </w:rPr>
      </w:pPr>
      <w:r>
        <w:rPr>
          <w:rFonts w:ascii="Arial" w:cs="Arial" w:eastAsia="Arial" w:hAnsi="Arial"/>
          <w:sz w:val="13"/>
          <w:szCs w:val="13"/>
          <w:color w:val="231F20"/>
        </w:rPr>
        <w:t>Payments made to physicians in certain European Union member states must be publicly disclosed. Moreover, agreements with physicians often must be the subject of prior notification and approval by the physician’s employer, his or her competent professional organization 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We are subject to certain anti-corruption, anti-money laundering, export control, sanctions, and other trade laws and regulations. We can face serious consequences for violations.</w:t>
      </w:r>
    </w:p>
    <w:p>
      <w:pPr>
        <w:spacing w:after="0" w:line="102" w:lineRule="exact"/>
        <w:rPr>
          <w:sz w:val="20"/>
          <w:szCs w:val="20"/>
          <w:color w:val="auto"/>
        </w:rPr>
      </w:pPr>
    </w:p>
    <w:p>
      <w:pPr>
        <w:ind w:right="60" w:firstLine="556"/>
        <w:spacing w:after="0" w:line="261" w:lineRule="auto"/>
        <w:rPr>
          <w:sz w:val="20"/>
          <w:szCs w:val="20"/>
          <w:color w:val="auto"/>
        </w:rPr>
      </w:pPr>
      <w:r>
        <w:rPr>
          <w:rFonts w:ascii="Arial" w:cs="Arial" w:eastAsia="Arial" w:hAnsi="Arial"/>
          <w:sz w:val="13"/>
          <w:szCs w:val="13"/>
          <w:color w:val="231F20"/>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142"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b w:val="1"/>
          <w:bCs w:val="1"/>
          <w:i w:val="1"/>
          <w:iCs w:val="1"/>
          <w:color w:val="231F20"/>
        </w:rPr>
        <w:t>We are subject to stringent privacy laws, information security policies and contractual obligations governing the use, processing, and cross-border transfer of personal information and our data privacy and security practices.</w:t>
      </w:r>
    </w:p>
    <w:p>
      <w:pPr>
        <w:spacing w:after="0" w:line="42" w:lineRule="exact"/>
        <w:rPr>
          <w:sz w:val="20"/>
          <w:szCs w:val="20"/>
          <w:color w:val="auto"/>
        </w:rPr>
      </w:pPr>
    </w:p>
    <w:p>
      <w:pPr>
        <w:ind w:right="40" w:firstLine="556"/>
        <w:spacing w:after="0" w:line="304" w:lineRule="auto"/>
        <w:rPr>
          <w:sz w:val="20"/>
          <w:szCs w:val="20"/>
          <w:color w:val="auto"/>
        </w:rPr>
      </w:pPr>
      <w:r>
        <w:rPr>
          <w:rFonts w:ascii="Arial" w:cs="Arial" w:eastAsia="Arial" w:hAnsi="Arial"/>
          <w:sz w:val="12"/>
          <w:szCs w:val="12"/>
          <w:color w:val="231F20"/>
        </w:rPr>
        <w:t>We receive, generate and store significant and increasing volumes of sensitive information, such as employee, personal and patient data. 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231F20"/>
        </w:rPr>
        <w:t>to evolve and may result in ever-increasing public scrutiny and escalating levels of enforcement, sanctions and increased costs of compliance.</w:t>
      </w:r>
    </w:p>
    <w:p>
      <w:pPr>
        <w:spacing w:after="0" w:line="170"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231F20"/>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37" w:lineRule="exact"/>
        <w:rPr>
          <w:sz w:val="20"/>
          <w:szCs w:val="20"/>
          <w:color w:val="auto"/>
        </w:rPr>
      </w:pPr>
    </w:p>
    <w:p>
      <w:pPr>
        <w:ind w:right="20" w:firstLine="556"/>
        <w:spacing w:after="0" w:line="263" w:lineRule="auto"/>
        <w:rPr>
          <w:sz w:val="20"/>
          <w:szCs w:val="20"/>
          <w:color w:val="auto"/>
        </w:rPr>
      </w:pPr>
      <w:r>
        <w:rPr>
          <w:rFonts w:ascii="Arial" w:cs="Arial" w:eastAsia="Arial" w:hAnsi="Arial"/>
          <w:sz w:val="13"/>
          <w:szCs w:val="13"/>
          <w:color w:val="231F20"/>
        </w:rPr>
        <w:t>The collection and use of personal health data in the European Union had previously been governed by the provisions of the Data Protection Directive, which has been replaced by the European Union General Data Protection Regulation, or GDPR. While the Data Protection Directive did not apply to organizations based outside the European Union, the GDPR has expanded its reach to include any business, regardless of its location, that provides goods or services to residents in the European Union. The GDPR imposes strict requirements on controllers and processors of personal data, including special protections for “sensitive information” which includes health and genetic information of data subjects residing in the European Union. The GDPR also imposes strict rules on the transfer of personal data out of the European Union to the United States and other countries. In addition, the GDPR provides that European Union member states may make their own further laws and regulations limiting the processing of personal data, including genetic, biometric or health data.</w:t>
      </w:r>
    </w:p>
    <w:p>
      <w:pPr>
        <w:spacing w:after="0" w:line="137" w:lineRule="exact"/>
        <w:rPr>
          <w:sz w:val="20"/>
          <w:szCs w:val="20"/>
          <w:color w:val="auto"/>
        </w:rPr>
      </w:pPr>
    </w:p>
    <w:p>
      <w:pPr>
        <w:ind w:right="120" w:firstLine="556"/>
        <w:spacing w:after="0" w:line="267" w:lineRule="auto"/>
        <w:rPr>
          <w:sz w:val="20"/>
          <w:szCs w:val="20"/>
          <w:color w:val="auto"/>
        </w:rPr>
      </w:pPr>
      <w:r>
        <w:rPr>
          <w:rFonts w:ascii="Arial" w:cs="Arial" w:eastAsia="Arial" w:hAnsi="Arial"/>
          <w:sz w:val="13"/>
          <w:szCs w:val="13"/>
          <w:color w:val="231F20"/>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135" w:lineRule="exact"/>
        <w:rPr>
          <w:sz w:val="20"/>
          <w:szCs w:val="20"/>
          <w:color w:val="auto"/>
        </w:rPr>
      </w:pPr>
    </w:p>
    <w:p>
      <w:pPr>
        <w:ind w:right="40" w:firstLine="556"/>
        <w:spacing w:after="0" w:line="284" w:lineRule="auto"/>
        <w:rPr>
          <w:sz w:val="20"/>
          <w:szCs w:val="20"/>
          <w:color w:val="auto"/>
        </w:rPr>
      </w:pPr>
      <w:r>
        <w:rPr>
          <w:rFonts w:ascii="Arial" w:cs="Arial" w:eastAsia="Arial" w:hAnsi="Arial"/>
          <w:sz w:val="12"/>
          <w:szCs w:val="12"/>
          <w:color w:val="231F20"/>
        </w:rPr>
        <w:t>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especially with regard to clinical trial conduct.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may be onerous and adversely affect our business, financial condition, results of operations and prospects. If we fail to comply with the GDPR and the applicable national data protection laws of the European Union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130" w:lineRule="exact"/>
        <w:rPr>
          <w:sz w:val="20"/>
          <w:szCs w:val="20"/>
          <w:color w:val="auto"/>
        </w:rPr>
      </w:pPr>
    </w:p>
    <w:p>
      <w:pPr>
        <w:ind w:right="40" w:firstLine="556"/>
        <w:spacing w:after="0" w:line="263" w:lineRule="auto"/>
        <w:rPr>
          <w:sz w:val="20"/>
          <w:szCs w:val="20"/>
          <w:color w:val="auto"/>
        </w:rPr>
      </w:pPr>
      <w:r>
        <w:rPr>
          <w:rFonts w:ascii="Arial" w:cs="Arial" w:eastAsia="Arial" w:hAnsi="Arial"/>
          <w:sz w:val="13"/>
          <w:szCs w:val="13"/>
          <w:color w:val="231F20"/>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the United States, notice of breaches must be made to affected individuals and the U.S. Secretary of HHS, and for extensive breaches, notice may need to be made to the media or U.S. state Attorneys General. Such a notice could harm our reputation and our ability to compete. HHS has the discretion to impose penalties without attempting to resolve violations through informal means. In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66" w:name="page67"/>
    <w:bookmarkEnd w:id="66"/>
    <w:p>
      <w:pPr>
        <w:ind w:right="100"/>
        <w:spacing w:after="0" w:line="264" w:lineRule="auto"/>
        <w:rPr>
          <w:sz w:val="20"/>
          <w:szCs w:val="20"/>
          <w:color w:val="auto"/>
        </w:rPr>
      </w:pPr>
      <w:r>
        <w:rPr>
          <w:rFonts w:ascii="Arial" w:cs="Arial" w:eastAsia="Arial" w:hAnsi="Arial"/>
          <w:sz w:val="13"/>
          <w:szCs w:val="13"/>
          <w:color w:val="231F20"/>
        </w:rPr>
        <w:t>addition, U.S. state Attorneys General are authorized to bring civil actions seeking either injunctions or damages in response to violations that threaten the privacy of state residents.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1"/>
          <w:szCs w:val="11"/>
          <w:b w:val="1"/>
          <w:bCs w:val="1"/>
          <w:i w:val="1"/>
          <w:iCs w:val="1"/>
          <w:color w:val="231F20"/>
        </w:rPr>
        <w:t>If we or our third-party suppliers fail to comply with environmental, health and safety laws and regulations, we could become subject to fines or penalties or incur costs that could harm our</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business.</w:t>
      </w:r>
    </w:p>
    <w:p>
      <w:pPr>
        <w:spacing w:after="0" w:line="82"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We will become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38"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22" w:lineRule="exact"/>
        <w:rPr>
          <w:sz w:val="20"/>
          <w:szCs w:val="20"/>
          <w:color w:val="auto"/>
        </w:rPr>
      </w:pPr>
    </w:p>
    <w:p>
      <w:pPr>
        <w:ind w:right="40" w:firstLine="556"/>
        <w:spacing w:after="0" w:line="287" w:lineRule="auto"/>
        <w:rPr>
          <w:sz w:val="20"/>
          <w:szCs w:val="20"/>
          <w:color w:val="auto"/>
        </w:rPr>
      </w:pPr>
      <w:r>
        <w:rPr>
          <w:rFonts w:ascii="Arial" w:cs="Arial" w:eastAsia="Arial" w:hAnsi="Arial"/>
          <w:sz w:val="13"/>
          <w:szCs w:val="13"/>
          <w:color w:val="231F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22"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b w:val="1"/>
          <w:bCs w:val="1"/>
          <w:i w:val="1"/>
          <w:iCs w:val="1"/>
          <w:color w:val="231F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2"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3"/>
          <w:szCs w:val="13"/>
          <w:color w:val="231F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32"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231F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32"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General Risks Related to our Business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Our future success depends on our ability to retain key employees, consultants and advisors and to attract, retain and motivate qualified senior management and scientific personnel.</w:t>
      </w:r>
    </w:p>
    <w:p>
      <w:pPr>
        <w:spacing w:after="0" w:line="102" w:lineRule="exact"/>
        <w:rPr>
          <w:sz w:val="20"/>
          <w:szCs w:val="20"/>
          <w:color w:val="auto"/>
        </w:rPr>
      </w:pPr>
    </w:p>
    <w:p>
      <w:pPr>
        <w:ind w:right="540" w:firstLine="556"/>
        <w:spacing w:after="0" w:line="287" w:lineRule="auto"/>
        <w:rPr>
          <w:sz w:val="20"/>
          <w:szCs w:val="20"/>
          <w:color w:val="auto"/>
        </w:rPr>
      </w:pPr>
      <w:r>
        <w:rPr>
          <w:rFonts w:ascii="Arial" w:cs="Arial" w:eastAsia="Arial" w:hAnsi="Arial"/>
          <w:sz w:val="13"/>
          <w:szCs w:val="13"/>
          <w:color w:val="231F20"/>
        </w:rPr>
        <w:t>Our ability to compete in the highly competitive biotechnology and pharmaceutical industries depends upon our ability to attract and retain highly qualified managerial, scientific and medical personnel. We are highly dependent upon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67" w:name="page68"/>
    <w:bookmarkEnd w:id="67"/>
    <w:p>
      <w:pPr>
        <w:ind w:right="200"/>
        <w:spacing w:after="0" w:line="331" w:lineRule="auto"/>
        <w:rPr>
          <w:sz w:val="20"/>
          <w:szCs w:val="20"/>
          <w:color w:val="auto"/>
        </w:rPr>
      </w:pPr>
      <w:r>
        <w:rPr>
          <w:rFonts w:ascii="Arial" w:cs="Arial" w:eastAsia="Arial" w:hAnsi="Arial"/>
          <w:sz w:val="12"/>
          <w:szCs w:val="12"/>
          <w:color w:val="231F20"/>
        </w:rPr>
        <w:t>members of our management and scientific teams. We may not be able to retain these persons due to the competitive environment in the biotechnology industry. The loss of any of these persons’ services may adversely impact the achievement of our research, development, financing and commercialization objectives. We currently do not have “key person” insurance on any of our employees.</w:t>
      </w:r>
    </w:p>
    <w:p>
      <w:pPr>
        <w:spacing w:after="0" w:line="99"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231F20"/>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138" w:lineRule="exact"/>
        <w:rPr>
          <w:sz w:val="20"/>
          <w:szCs w:val="20"/>
          <w:color w:val="auto"/>
        </w:rPr>
      </w:pPr>
    </w:p>
    <w:p>
      <w:pPr>
        <w:ind w:right="80" w:firstLine="556"/>
        <w:spacing w:after="0" w:line="263" w:lineRule="auto"/>
        <w:rPr>
          <w:sz w:val="20"/>
          <w:szCs w:val="20"/>
          <w:color w:val="auto"/>
        </w:rPr>
      </w:pPr>
      <w:r>
        <w:rPr>
          <w:rFonts w:ascii="Arial" w:cs="Arial" w:eastAsia="Arial" w:hAnsi="Arial"/>
          <w:sz w:val="13"/>
          <w:szCs w:val="13"/>
          <w:color w:val="231F20"/>
        </w:rPr>
        <w:t>Recruiting and retaining other qualified employees, consultants and advisors for our business, including scientific and technical personnel, also will be critical to our success. Competition for skilled personnel, including in mRNA research, clinical operations, regulatory affairs, therapeutic area management and manufacturing,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failure to succeed in preclinical studies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137"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b w:val="1"/>
          <w:bCs w:val="1"/>
          <w:i w:val="1"/>
          <w:iCs w:val="1"/>
          <w:color w:val="231F20"/>
        </w:rPr>
        <w:t>Our employees, principal investigators and consultants may engage in misconduct or other improper activities, including non-compliance with regulatory standards and requirements and insider trading, which could have an adverse effect on our results of operations.</w:t>
      </w:r>
    </w:p>
    <w:p>
      <w:pPr>
        <w:spacing w:after="0" w:line="42" w:lineRule="exact"/>
        <w:rPr>
          <w:sz w:val="20"/>
          <w:szCs w:val="20"/>
          <w:color w:val="auto"/>
        </w:rPr>
      </w:pPr>
    </w:p>
    <w:p>
      <w:pPr>
        <w:ind w:right="140" w:firstLine="556"/>
        <w:spacing w:after="0" w:line="285" w:lineRule="auto"/>
        <w:rPr>
          <w:sz w:val="20"/>
          <w:szCs w:val="20"/>
          <w:color w:val="auto"/>
        </w:rPr>
      </w:pPr>
      <w:r>
        <w:rPr>
          <w:rFonts w:ascii="Arial" w:cs="Arial" w:eastAsia="Arial" w:hAnsi="Arial"/>
          <w:sz w:val="12"/>
          <w:szCs w:val="12"/>
          <w:color w:val="231F20"/>
        </w:rPr>
        <w:t>We are exposed to the risk of fraud or other misconduct by our employees, principal investigators and consultants.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Employee litigation and unfavorable publicity could negatively affect our future business.</w:t>
      </w:r>
    </w:p>
    <w:p>
      <w:pPr>
        <w:spacing w:after="0" w:line="90" w:lineRule="exact"/>
        <w:rPr>
          <w:sz w:val="20"/>
          <w:szCs w:val="20"/>
          <w:color w:val="auto"/>
        </w:rPr>
      </w:pPr>
    </w:p>
    <w:p>
      <w:pPr>
        <w:jc w:val="both"/>
        <w:ind w:firstLine="556"/>
        <w:spacing w:after="0" w:line="296" w:lineRule="auto"/>
        <w:rPr>
          <w:sz w:val="20"/>
          <w:szCs w:val="20"/>
          <w:color w:val="auto"/>
        </w:rPr>
      </w:pPr>
      <w:r>
        <w:rPr>
          <w:rFonts w:ascii="Arial" w:cs="Arial" w:eastAsia="Arial" w:hAnsi="Arial"/>
          <w:sz w:val="12"/>
          <w:szCs w:val="12"/>
          <w:color w:val="231F20"/>
        </w:rPr>
        <w:t>Our employees may, from time to time, bring lawsuits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 related claims, our business could be negatively affected.</w:t>
      </w:r>
    </w:p>
    <w:p>
      <w:pPr>
        <w:spacing w:after="0" w:line="119" w:lineRule="exact"/>
        <w:rPr>
          <w:sz w:val="20"/>
          <w:szCs w:val="20"/>
          <w:color w:val="auto"/>
        </w:rPr>
      </w:pPr>
    </w:p>
    <w:p>
      <w:pPr>
        <w:jc w:val="both"/>
        <w:ind w:right="60" w:firstLine="556"/>
        <w:spacing w:after="0" w:line="272" w:lineRule="auto"/>
        <w:rPr>
          <w:sz w:val="20"/>
          <w:szCs w:val="20"/>
          <w:color w:val="auto"/>
        </w:rPr>
      </w:pPr>
      <w:r>
        <w:rPr>
          <w:rFonts w:ascii="Arial" w:cs="Arial" w:eastAsia="Arial" w:hAnsi="Arial"/>
          <w:sz w:val="13"/>
          <w:szCs w:val="13"/>
          <w:b w:val="1"/>
          <w:bCs w:val="1"/>
          <w:i w:val="1"/>
          <w:iCs w:val="1"/>
          <w:color w:val="231F20"/>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52" w:lineRule="exact"/>
        <w:rPr>
          <w:sz w:val="20"/>
          <w:szCs w:val="20"/>
          <w:color w:val="auto"/>
        </w:rPr>
      </w:pPr>
    </w:p>
    <w:p>
      <w:pPr>
        <w:ind w:right="400" w:firstLine="556"/>
        <w:spacing w:after="0" w:line="287" w:lineRule="auto"/>
        <w:rPr>
          <w:sz w:val="20"/>
          <w:szCs w:val="20"/>
          <w:color w:val="auto"/>
        </w:rPr>
      </w:pPr>
      <w:r>
        <w:rPr>
          <w:rFonts w:ascii="Arial" w:cs="Arial" w:eastAsia="Arial" w:hAnsi="Arial"/>
          <w:sz w:val="13"/>
          <w:szCs w:val="13"/>
          <w:color w:val="231F20"/>
        </w:rPr>
        <w:t>Our internal computer systems and those of our current and any future collaborators, vendors, and other contractors or consultants are vulnerable to damage from computer viruses, unauthorized access, natural disasters, terrorism,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68" w:name="page69"/>
    <w:bookmarkEnd w:id="68"/>
    <w:p>
      <w:pPr>
        <w:ind w:right="60"/>
        <w:spacing w:after="0" w:line="261" w:lineRule="auto"/>
        <w:rPr>
          <w:sz w:val="20"/>
          <w:szCs w:val="20"/>
          <w:color w:val="auto"/>
        </w:rPr>
      </w:pPr>
      <w:r>
        <w:rPr>
          <w:rFonts w:ascii="Arial" w:cs="Arial" w:eastAsia="Arial" w:hAnsi="Arial"/>
          <w:sz w:val="13"/>
          <w:szCs w:val="13"/>
          <w:color w:val="231F20"/>
        </w:rPr>
        <w:t>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to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GDPR and relevant member state law in the European Union, and HIPAA and other relevant state and federal privacy laws in the United States.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39" w:lineRule="exact"/>
        <w:rPr>
          <w:sz w:val="20"/>
          <w:szCs w:val="20"/>
          <w:color w:val="auto"/>
        </w:rPr>
      </w:pPr>
    </w:p>
    <w:p>
      <w:pPr>
        <w:ind w:right="40" w:firstLine="556"/>
        <w:spacing w:after="0" w:line="267" w:lineRule="auto"/>
        <w:rPr>
          <w:sz w:val="20"/>
          <w:szCs w:val="20"/>
          <w:color w:val="auto"/>
        </w:rPr>
      </w:pPr>
      <w:r>
        <w:rPr>
          <w:rFonts w:ascii="Arial" w:cs="Arial" w:eastAsia="Arial" w:hAnsi="Arial"/>
          <w:sz w:val="13"/>
          <w:szCs w:val="13"/>
          <w:color w:val="231F20"/>
        </w:rPr>
        <w:t>While we have not experienced any material system failures, accidents or security breaches to date, we and a vendor have separately in the past been subject to a security breach resulting in us unknowingly making payments to third parties that were able to gain unauthorized access to our and the vendor’s email systems. We have since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Our business continuity and disaster recovery plans may not adequately protect us from a serious disaster.</w:t>
      </w:r>
    </w:p>
    <w:p>
      <w:pPr>
        <w:spacing w:after="0" w:line="90" w:lineRule="exact"/>
        <w:rPr>
          <w:sz w:val="20"/>
          <w:szCs w:val="20"/>
          <w:color w:val="auto"/>
        </w:rPr>
      </w:pPr>
    </w:p>
    <w:p>
      <w:pPr>
        <w:ind w:right="100" w:firstLine="556"/>
        <w:spacing w:after="0" w:line="304" w:lineRule="auto"/>
        <w:rPr>
          <w:sz w:val="20"/>
          <w:szCs w:val="20"/>
          <w:color w:val="auto"/>
        </w:rPr>
      </w:pPr>
      <w:r>
        <w:rPr>
          <w:rFonts w:ascii="Arial" w:cs="Arial" w:eastAsia="Arial" w:hAnsi="Arial"/>
          <w:sz w:val="12"/>
          <w:szCs w:val="12"/>
          <w:color w:val="231F20"/>
        </w:rPr>
        <w:t>We recognize the need for, and are in the early stages of, developing disaster recovery, business continuity and document retention plans that would allow us to be operational despite casualties or unforeseen events impacting our corporate headquarters or distribution center. Without disaster recovery, business continuity and document retention plans, if we encounter difficulties or disasters with our manufacturing facilities or at our corporate headquarters, our critical systems, operations and information may not be restored in a timely manner, or at all, and this could have an adverse effect on our business.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Product liability lawsuits against us could cause us to incur substantial liabilities and could limit commercialization of our current or future product candidates.</w:t>
      </w:r>
    </w:p>
    <w:p>
      <w:pPr>
        <w:spacing w:after="0" w:line="90"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231F20"/>
        </w:rPr>
        <w:t>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32" w:lineRule="exact"/>
        <w:rPr>
          <w:sz w:val="20"/>
          <w:szCs w:val="20"/>
          <w:color w:val="auto"/>
        </w:rPr>
      </w:pPr>
    </w:p>
    <w:p>
      <w:pPr>
        <w:ind w:left="1020" w:hanging="340"/>
        <w:spacing w:after="0"/>
        <w:tabs>
          <w:tab w:leader="none" w:pos="1020" w:val="left"/>
        </w:tabs>
        <w:numPr>
          <w:ilvl w:val="0"/>
          <w:numId w:val="52"/>
        </w:numPr>
        <w:rPr>
          <w:rFonts w:ascii="Arial" w:cs="Arial" w:eastAsia="Arial" w:hAnsi="Arial"/>
          <w:sz w:val="13"/>
          <w:szCs w:val="13"/>
          <w:color w:val="231F20"/>
        </w:rPr>
      </w:pPr>
      <w:r>
        <w:rPr>
          <w:rFonts w:ascii="Arial" w:cs="Arial" w:eastAsia="Arial" w:hAnsi="Arial"/>
          <w:sz w:val="13"/>
          <w:szCs w:val="13"/>
          <w:color w:val="231F20"/>
        </w:rPr>
        <w:t>decreased demand for any product candidate that we may develop;</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2"/>
        </w:numPr>
        <w:rPr>
          <w:rFonts w:ascii="Arial" w:cs="Arial" w:eastAsia="Arial" w:hAnsi="Arial"/>
          <w:sz w:val="13"/>
          <w:szCs w:val="13"/>
          <w:color w:val="231F20"/>
        </w:rPr>
      </w:pPr>
      <w:r>
        <w:rPr>
          <w:rFonts w:ascii="Arial" w:cs="Arial" w:eastAsia="Arial" w:hAnsi="Arial"/>
          <w:sz w:val="13"/>
          <w:szCs w:val="13"/>
          <w:color w:val="231F20"/>
        </w:rPr>
        <w:t>loss of revenue;</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2"/>
        </w:numPr>
        <w:rPr>
          <w:rFonts w:ascii="Arial" w:cs="Arial" w:eastAsia="Arial" w:hAnsi="Arial"/>
          <w:sz w:val="13"/>
          <w:szCs w:val="13"/>
          <w:color w:val="231F20"/>
        </w:rPr>
      </w:pPr>
      <w:r>
        <w:rPr>
          <w:rFonts w:ascii="Arial" w:cs="Arial" w:eastAsia="Arial" w:hAnsi="Arial"/>
          <w:sz w:val="13"/>
          <w:szCs w:val="13"/>
          <w:color w:val="231F20"/>
        </w:rPr>
        <w:t>substantial monetary awards to patients, healthy volunteers or their children;</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2"/>
        </w:numPr>
        <w:rPr>
          <w:rFonts w:ascii="Arial" w:cs="Arial" w:eastAsia="Arial" w:hAnsi="Arial"/>
          <w:sz w:val="13"/>
          <w:szCs w:val="13"/>
          <w:color w:val="231F20"/>
        </w:rPr>
      </w:pPr>
      <w:r>
        <w:rPr>
          <w:rFonts w:ascii="Arial" w:cs="Arial" w:eastAsia="Arial" w:hAnsi="Arial"/>
          <w:sz w:val="13"/>
          <w:szCs w:val="13"/>
          <w:color w:val="231F20"/>
        </w:rPr>
        <w:t>significant time and costs to defend the related litigation;</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2"/>
        </w:numPr>
        <w:rPr>
          <w:rFonts w:ascii="Arial" w:cs="Arial" w:eastAsia="Arial" w:hAnsi="Arial"/>
          <w:sz w:val="13"/>
          <w:szCs w:val="13"/>
          <w:color w:val="231F20"/>
        </w:rPr>
      </w:pPr>
      <w:r>
        <w:rPr>
          <w:rFonts w:ascii="Arial" w:cs="Arial" w:eastAsia="Arial" w:hAnsi="Arial"/>
          <w:sz w:val="13"/>
          <w:szCs w:val="13"/>
          <w:color w:val="231F20"/>
        </w:rPr>
        <w:t>withdrawal of clinical trial participants;</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2"/>
        </w:numPr>
        <w:rPr>
          <w:rFonts w:ascii="Arial" w:cs="Arial" w:eastAsia="Arial" w:hAnsi="Arial"/>
          <w:sz w:val="13"/>
          <w:szCs w:val="13"/>
          <w:color w:val="231F20"/>
        </w:rPr>
      </w:pPr>
      <w:r>
        <w:rPr>
          <w:rFonts w:ascii="Arial" w:cs="Arial" w:eastAsia="Arial" w:hAnsi="Arial"/>
          <w:sz w:val="13"/>
          <w:szCs w:val="13"/>
          <w:color w:val="231F20"/>
        </w:rPr>
        <w:t>the inability to commercialize any product candidates that we may develop; and</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2"/>
        </w:numPr>
        <w:rPr>
          <w:rFonts w:ascii="Arial" w:cs="Arial" w:eastAsia="Arial" w:hAnsi="Arial"/>
          <w:sz w:val="13"/>
          <w:szCs w:val="13"/>
          <w:color w:val="231F20"/>
        </w:rPr>
      </w:pPr>
      <w:r>
        <w:rPr>
          <w:rFonts w:ascii="Arial" w:cs="Arial" w:eastAsia="Arial" w:hAnsi="Arial"/>
          <w:sz w:val="13"/>
          <w:szCs w:val="13"/>
          <w:color w:val="231F20"/>
        </w:rPr>
        <w:t>injury to our reputation and significant negative media attention.</w:t>
      </w:r>
    </w:p>
    <w:p>
      <w:pPr>
        <w:spacing w:after="0" w:line="17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We carry clinical trial insurance, including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price of the ADS to decline and, if judgments exceed our insurance coverage, could adversely affect our results of operations and business.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If our products become subject to a product recall it could harm our reputation, business and financial results.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69" w:name="page70"/>
    <w:bookmarkEnd w:id="69"/>
    <w:p>
      <w:pPr>
        <w:ind w:right="100" w:firstLine="556"/>
        <w:spacing w:after="0" w:line="263" w:lineRule="auto"/>
        <w:rPr>
          <w:sz w:val="20"/>
          <w:szCs w:val="20"/>
          <w:color w:val="auto"/>
        </w:rPr>
      </w:pPr>
      <w:r>
        <w:rPr>
          <w:rFonts w:ascii="Arial" w:cs="Arial" w:eastAsia="Arial" w:hAnsi="Arial"/>
          <w:sz w:val="13"/>
          <w:szCs w:val="13"/>
          <w:color w:val="231F20"/>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 Recalls of any of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137" w:lineRule="exact"/>
        <w:rPr>
          <w:sz w:val="20"/>
          <w:szCs w:val="20"/>
          <w:color w:val="auto"/>
        </w:rPr>
      </w:pPr>
    </w:p>
    <w:p>
      <w:pPr>
        <w:ind w:right="200" w:firstLine="556"/>
        <w:spacing w:after="0" w:line="287" w:lineRule="auto"/>
        <w:rPr>
          <w:sz w:val="20"/>
          <w:szCs w:val="20"/>
          <w:color w:val="auto"/>
        </w:rPr>
      </w:pPr>
      <w:r>
        <w:rPr>
          <w:rFonts w:ascii="Arial" w:cs="Arial" w:eastAsia="Arial" w:hAnsi="Arial"/>
          <w:sz w:val="13"/>
          <w:szCs w:val="13"/>
          <w:b w:val="1"/>
          <w:bCs w:val="1"/>
          <w:i w:val="1"/>
          <w:iCs w:val="1"/>
          <w:color w:val="231F20"/>
        </w:rPr>
        <w:t>If we engage in future acquisitions, joint ventures or collaborations, this may increase our capital requirements, dilute our shareholders, cause us to incur debt or assume contingent liabilities, and subject us to other risks. We may not realize the benefits of these acquisitions, joint ventures or collaborations.</w:t>
      </w:r>
    </w:p>
    <w:p>
      <w:pPr>
        <w:spacing w:after="0" w:line="42"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231F20"/>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22" w:lineRule="exact"/>
        <w:rPr>
          <w:sz w:val="20"/>
          <w:szCs w:val="20"/>
          <w:color w:val="auto"/>
        </w:rPr>
      </w:pPr>
    </w:p>
    <w:p>
      <w:pPr>
        <w:ind w:left="1020" w:hanging="340"/>
        <w:spacing w:after="0"/>
        <w:tabs>
          <w:tab w:leader="none" w:pos="1020" w:val="left"/>
        </w:tabs>
        <w:numPr>
          <w:ilvl w:val="0"/>
          <w:numId w:val="53"/>
        </w:numPr>
        <w:rPr>
          <w:rFonts w:ascii="Arial" w:cs="Arial" w:eastAsia="Arial" w:hAnsi="Arial"/>
          <w:sz w:val="13"/>
          <w:szCs w:val="13"/>
          <w:color w:val="231F20"/>
        </w:rPr>
      </w:pPr>
      <w:r>
        <w:rPr>
          <w:rFonts w:ascii="Arial" w:cs="Arial" w:eastAsia="Arial" w:hAnsi="Arial"/>
          <w:sz w:val="13"/>
          <w:szCs w:val="13"/>
          <w:color w:val="231F20"/>
        </w:rPr>
        <w:t>increased operating expenses and cash requirements;</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3"/>
        </w:numPr>
        <w:rPr>
          <w:rFonts w:ascii="Arial" w:cs="Arial" w:eastAsia="Arial" w:hAnsi="Arial"/>
          <w:sz w:val="13"/>
          <w:szCs w:val="13"/>
          <w:color w:val="231F20"/>
        </w:rPr>
      </w:pPr>
      <w:r>
        <w:rPr>
          <w:rFonts w:ascii="Arial" w:cs="Arial" w:eastAsia="Arial" w:hAnsi="Arial"/>
          <w:sz w:val="13"/>
          <w:szCs w:val="13"/>
          <w:color w:val="231F20"/>
        </w:rPr>
        <w:t>the assumption of additional indebtedness or contingent liabilities;</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3"/>
        </w:numPr>
        <w:rPr>
          <w:rFonts w:ascii="Arial" w:cs="Arial" w:eastAsia="Arial" w:hAnsi="Arial"/>
          <w:sz w:val="13"/>
          <w:szCs w:val="13"/>
          <w:color w:val="231F20"/>
        </w:rPr>
      </w:pPr>
      <w:r>
        <w:rPr>
          <w:rFonts w:ascii="Arial" w:cs="Arial" w:eastAsia="Arial" w:hAnsi="Arial"/>
          <w:sz w:val="13"/>
          <w:szCs w:val="13"/>
          <w:color w:val="231F20"/>
        </w:rPr>
        <w:t>assimilation of operations, intellectual property and products of an acquired company, including difficulties associated with integrating new personnel;</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3"/>
        </w:numPr>
        <w:rPr>
          <w:rFonts w:ascii="Arial" w:cs="Arial" w:eastAsia="Arial" w:hAnsi="Arial"/>
          <w:sz w:val="13"/>
          <w:szCs w:val="13"/>
          <w:color w:val="231F20"/>
        </w:rPr>
      </w:pPr>
      <w:r>
        <w:rPr>
          <w:rFonts w:ascii="Arial" w:cs="Arial" w:eastAsia="Arial" w:hAnsi="Arial"/>
          <w:sz w:val="13"/>
          <w:szCs w:val="13"/>
          <w:color w:val="231F20"/>
        </w:rPr>
        <w:t>the diversion of our management’s attention from our existing product programs and initiatives in pursuing such a strategic merger or acquisition;</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3"/>
        </w:numPr>
        <w:rPr>
          <w:rFonts w:ascii="Arial" w:cs="Arial" w:eastAsia="Arial" w:hAnsi="Arial"/>
          <w:sz w:val="13"/>
          <w:szCs w:val="13"/>
          <w:color w:val="231F20"/>
        </w:rPr>
      </w:pPr>
      <w:r>
        <w:rPr>
          <w:rFonts w:ascii="Arial" w:cs="Arial" w:eastAsia="Arial" w:hAnsi="Arial"/>
          <w:sz w:val="13"/>
          <w:szCs w:val="13"/>
          <w:color w:val="231F20"/>
        </w:rPr>
        <w:t>retention of key employees, the loss of key personnel, and uncertainties in our ability to maintain key business relationships;</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3"/>
        </w:numPr>
        <w:rPr>
          <w:rFonts w:ascii="Arial" w:cs="Arial" w:eastAsia="Arial" w:hAnsi="Arial"/>
          <w:sz w:val="12"/>
          <w:szCs w:val="12"/>
          <w:color w:val="231F20"/>
        </w:rPr>
      </w:pPr>
      <w:r>
        <w:rPr>
          <w:rFonts w:ascii="Arial" w:cs="Arial" w:eastAsia="Arial" w:hAnsi="Arial"/>
          <w:sz w:val="12"/>
          <w:szCs w:val="12"/>
          <w:color w:val="231F20"/>
        </w:rPr>
        <w:t>risks and uncertainties associated with the other party to such a transaction, including the prospects of that party and their existing products or product candidates and regulatory approvals; and</w:t>
      </w:r>
    </w:p>
    <w:p>
      <w:pPr>
        <w:spacing w:after="0" w:line="81" w:lineRule="exact"/>
        <w:rPr>
          <w:rFonts w:ascii="Arial" w:cs="Arial" w:eastAsia="Arial" w:hAnsi="Arial"/>
          <w:sz w:val="12"/>
          <w:szCs w:val="12"/>
          <w:color w:val="231F20"/>
        </w:rPr>
      </w:pPr>
    </w:p>
    <w:p>
      <w:pPr>
        <w:ind w:left="1020" w:right="580" w:hanging="340"/>
        <w:spacing w:after="0" w:line="287" w:lineRule="auto"/>
        <w:tabs>
          <w:tab w:leader="none" w:pos="1020" w:val="left"/>
        </w:tabs>
        <w:numPr>
          <w:ilvl w:val="0"/>
          <w:numId w:val="53"/>
        </w:numPr>
        <w:rPr>
          <w:rFonts w:ascii="Arial" w:cs="Arial" w:eastAsia="Arial" w:hAnsi="Arial"/>
          <w:sz w:val="13"/>
          <w:szCs w:val="13"/>
          <w:color w:val="231F20"/>
        </w:rPr>
      </w:pPr>
      <w:r>
        <w:rPr>
          <w:rFonts w:ascii="Arial" w:cs="Arial" w:eastAsia="Arial" w:hAnsi="Arial"/>
          <w:sz w:val="13"/>
          <w:szCs w:val="13"/>
          <w:color w:val="231F20"/>
        </w:rPr>
        <w:t>our inability to generate revenue from acquired technology or products sufficient to meet our objectives in undertaking the acquisition or even to offset the associated acquisition and maintenance costs.</w:t>
      </w:r>
    </w:p>
    <w:p>
      <w:pPr>
        <w:spacing w:after="0" w:line="122"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231F20"/>
        </w:rPr>
        <w:t>In addition, if we undertake acquisitions, we may utilize our cash, issue dilutive securities, assume or incur debt obligations, incur large one-time expenses and acquire intangible assets that could result in significant future amortization expense.</w:t>
      </w:r>
    </w:p>
    <w:p>
      <w:pPr>
        <w:spacing w:after="0" w:line="122"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color w:val="231F20"/>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the Merger</w:t>
      </w:r>
    </w:p>
    <w:p>
      <w:pPr>
        <w:spacing w:after="0" w:line="64" w:lineRule="exact"/>
        <w:rPr>
          <w:sz w:val="20"/>
          <w:szCs w:val="20"/>
          <w:color w:val="auto"/>
        </w:rPr>
      </w:pPr>
    </w:p>
    <w:p>
      <w:pPr>
        <w:ind w:left="120" w:right="460" w:firstLine="438"/>
        <w:spacing w:after="0" w:line="331" w:lineRule="auto"/>
        <w:rPr>
          <w:sz w:val="20"/>
          <w:szCs w:val="20"/>
          <w:color w:val="auto"/>
        </w:rPr>
      </w:pPr>
      <w:r>
        <w:rPr>
          <w:rFonts w:ascii="Arial" w:cs="Arial" w:eastAsia="Arial" w:hAnsi="Arial"/>
          <w:sz w:val="12"/>
          <w:szCs w:val="12"/>
          <w:b w:val="1"/>
          <w:bCs w:val="1"/>
          <w:i w:val="1"/>
          <w:iCs w:val="1"/>
          <w:color w:val="231F20"/>
        </w:rPr>
        <w:t>Our agreement with Neon Therapeutics, Inc., or Neon, under which we will acquire Neon in an all-stock transaction, which we refer to as the Merger, is subject to a number of conditions, some of which are outside of the parties’ control, and, if these conditions are not satisfied, the Merger Agreement may be terminated and the Merger may not be completed.</w:t>
      </w:r>
    </w:p>
    <w:p>
      <w:pPr>
        <w:spacing w:after="0" w:line="19"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231F20"/>
        </w:rPr>
        <w:t>The Agreement and Plan of Merger, by and among us, Neon and our wholly owned subsidiary, Endor Lights, dated as of January 15, 2020, or the Merger Agreement, contains a number of conditions that must be fulfilled to complete the Merger. These conditions include, among other customary conditions, (i) the approval and adoption of the Merger Agreement by the shareholders of Neon, (ii) the absence of an enacted or promulgated law by any federal or state governmental entity of competent jurisdiction that precludes, restrains, enjoins or prohibits the consummation of the Merger, (iii) the absence of any temporary restraining order, preliminary or permanent injunction or any other order in effect precluding, restraining, enjoining, prohibiting, suspending or making illegal the consummation of the Merger, (iv) the SEC having declared effective a registration statement on Form F-4 to be filed with the SEC and the absence of a stop order suspending such effectiveness and the absence of any proceeding initiated for that purpose by the SEC, and not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70" w:name="page71"/>
    <w:bookmarkEnd w:id="70"/>
    <w:p>
      <w:pPr>
        <w:ind w:right="20"/>
        <w:spacing w:after="0" w:line="272" w:lineRule="auto"/>
        <w:rPr>
          <w:sz w:val="20"/>
          <w:szCs w:val="20"/>
          <w:color w:val="auto"/>
        </w:rPr>
      </w:pPr>
      <w:r>
        <w:rPr>
          <w:rFonts w:ascii="Arial" w:cs="Arial" w:eastAsia="Arial" w:hAnsi="Arial"/>
          <w:sz w:val="13"/>
          <w:szCs w:val="13"/>
          <w:color w:val="231F20"/>
        </w:rPr>
        <w:t>subsequently withdrawn, (v) the approval for listing on Nasdaq, subject to official notice of issuance, of our ADSs to be issued in the Merger, (vi) subject to certain materiality exceptions, the accuracy of certain representations and warranties of each of the parties contained in the Merger Agreement and the compliance by each party with the covenants contained in the Merger Agreement, and (vii) the absence of a material adverse effect with respect to each of the parties thereto.</w:t>
      </w:r>
    </w:p>
    <w:p>
      <w:pPr>
        <w:spacing w:after="0" w:line="132"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231F20"/>
        </w:rPr>
        <w:t>The required satisfaction (or waiver) of the foregoing conditions could delay the completion of the Merger for a significant period of time or prevent it from occurring. Any delay in completing the Merger could cause the combined company not to realize some or all of the benefits that the parties expect the combined company to achieve. Further, there can be no assurance that the conditions to the closing of the Merger will be satisfied or waived or that the Merger will be completed.</w:t>
      </w:r>
    </w:p>
    <w:p>
      <w:pPr>
        <w:spacing w:after="0" w:line="132"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231F20"/>
        </w:rPr>
        <w:t>In addition, if the Merger is not completed by October 15, 2020 (subject to potential extensions), either we or Neon may choose to terminate the Merger Agreement. Either party may also elect to terminate the Merger Agreement in certain other circumstances, and the parties can mutually decide to terminate the Merger Agreement at any time prior to the closing of the Merger, before or after shareholder approval, as applicable.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Failure to complete the Merger could negatively affect our share price.</w:t>
      </w:r>
    </w:p>
    <w:p>
      <w:pPr>
        <w:spacing w:after="0" w:line="90" w:lineRule="exact"/>
        <w:rPr>
          <w:sz w:val="20"/>
          <w:szCs w:val="20"/>
          <w:color w:val="auto"/>
        </w:rPr>
      </w:pPr>
    </w:p>
    <w:p>
      <w:pPr>
        <w:ind w:right="120" w:firstLine="556"/>
        <w:spacing w:after="0" w:line="331" w:lineRule="auto"/>
        <w:rPr>
          <w:sz w:val="20"/>
          <w:szCs w:val="20"/>
          <w:color w:val="auto"/>
        </w:rPr>
      </w:pPr>
      <w:r>
        <w:rPr>
          <w:rFonts w:ascii="Arial" w:cs="Arial" w:eastAsia="Arial" w:hAnsi="Arial"/>
          <w:sz w:val="12"/>
          <w:szCs w:val="12"/>
          <w:color w:val="231F20"/>
        </w:rPr>
        <w:t>We have incurred and will continue to incur significant transaction expenses in connection with the Merger regardless of whether the Merger is completed. Furthermore, we may experience negative reactions from the financial markets, including negative impacts on our stock price, or negative reactions from suppliers or other business partners, should the Merger not be completed.</w:t>
      </w:r>
    </w:p>
    <w:p>
      <w:pPr>
        <w:spacing w:after="0" w:line="99" w:lineRule="exact"/>
        <w:rPr>
          <w:sz w:val="20"/>
          <w:szCs w:val="20"/>
          <w:color w:val="auto"/>
        </w:rPr>
      </w:pPr>
    </w:p>
    <w:p>
      <w:pPr>
        <w:jc w:val="both"/>
        <w:ind w:right="80" w:firstLine="556"/>
        <w:spacing w:after="0" w:line="272" w:lineRule="auto"/>
        <w:rPr>
          <w:sz w:val="20"/>
          <w:szCs w:val="20"/>
          <w:color w:val="auto"/>
        </w:rPr>
      </w:pPr>
      <w:r>
        <w:rPr>
          <w:rFonts w:ascii="Arial" w:cs="Arial" w:eastAsia="Arial" w:hAnsi="Arial"/>
          <w:sz w:val="13"/>
          <w:szCs w:val="13"/>
          <w:color w:val="231F20"/>
        </w:rPr>
        <w:t>The foregoing risks, or other risks arising in connection with the failure to consummate the Merger, including the diversion of management attention from conducting our business and pursuing other opportunities during the pendency of the Merger, may have a material adverse effect on our business, operations, financial results and share price. We could also be subject to litigation related to any failure to consummate the Merger or any related action that could be brought to enforce a party’s obligations under the Merger Agreement.</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exchange ratio is fixed and will not be adjusted in the event of any changes in either party’s stock price.</w:t>
      </w:r>
    </w:p>
    <w:p>
      <w:pPr>
        <w:spacing w:after="0" w:line="90" w:lineRule="exact"/>
        <w:rPr>
          <w:sz w:val="20"/>
          <w:szCs w:val="20"/>
          <w:color w:val="auto"/>
        </w:rPr>
      </w:pPr>
    </w:p>
    <w:p>
      <w:pPr>
        <w:ind w:firstLine="556"/>
        <w:spacing w:after="0" w:line="296" w:lineRule="auto"/>
        <w:rPr>
          <w:sz w:val="20"/>
          <w:szCs w:val="20"/>
          <w:color w:val="auto"/>
        </w:rPr>
      </w:pPr>
      <w:r>
        <w:rPr>
          <w:rFonts w:ascii="Arial" w:cs="Arial" w:eastAsia="Arial" w:hAnsi="Arial"/>
          <w:sz w:val="12"/>
          <w:szCs w:val="12"/>
          <w:color w:val="231F20"/>
        </w:rPr>
        <w:t>Upon completion of the Merger, each share of Neon common stock outstanding immediately prior to the completion of the Merger will be converted into the right to receive 0.063 of an ADS of BioNTech without interest. This exchange ratio will not be adjusted for changes in the market price of either our ADSs or Neon common stock between the date the Merger Agreement was signed and completion of the Merger. As a result, changes in the price of our ADSs prior to the completion of the Merger will affect the value of our ADSs delivered upon completion of the Merger. An increase in the price of our ADSs will increase the value of the consideration we deliver. Similarly, a decrease in the price of Neon’s shares will increase the premium that we pay per Neon share.</w:t>
      </w:r>
    </w:p>
    <w:p>
      <w:pPr>
        <w:spacing w:after="0" w:line="119" w:lineRule="exact"/>
        <w:rPr>
          <w:sz w:val="20"/>
          <w:szCs w:val="20"/>
          <w:color w:val="auto"/>
        </w:rPr>
      </w:pPr>
    </w:p>
    <w:p>
      <w:pPr>
        <w:jc w:val="both"/>
        <w:ind w:right="20" w:firstLine="556"/>
        <w:spacing w:after="0" w:line="272" w:lineRule="auto"/>
        <w:rPr>
          <w:sz w:val="20"/>
          <w:szCs w:val="20"/>
          <w:color w:val="auto"/>
        </w:rPr>
      </w:pPr>
      <w:r>
        <w:rPr>
          <w:rFonts w:ascii="Arial" w:cs="Arial" w:eastAsia="Arial" w:hAnsi="Arial"/>
          <w:sz w:val="13"/>
          <w:szCs w:val="13"/>
          <w:color w:val="231F20"/>
        </w:rPr>
        <w:t>Stock price changes may result from a variety of factors, including, among others, general market and economic conditions, changes in our and Neon’s respective businesses, operations and prospects, risks inherent in their respective businesses, changes in market assessments of the likelihood that the Merger will be completed and/or the value that may be generated by the Merger, and changes with respect to expectations regarding the timing of the Merger and regulatory considerations.</w:t>
      </w:r>
    </w:p>
    <w:p>
      <w:pPr>
        <w:spacing w:after="0" w:line="132"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3"/>
          <w:szCs w:val="13"/>
          <w:b w:val="1"/>
          <w:bCs w:val="1"/>
          <w:i w:val="1"/>
          <w:iCs w:val="1"/>
          <w:color w:val="231F20"/>
        </w:rPr>
        <w:t>Litigation against us and/or Neon, or the members of the Neon Board of Directors, could prevent or delay the completion of the Merger or result in the payment of damages following completion of the Merger.</w:t>
      </w:r>
    </w:p>
    <w:p>
      <w:pPr>
        <w:spacing w:after="0" w:line="42" w:lineRule="exact"/>
        <w:rPr>
          <w:sz w:val="20"/>
          <w:szCs w:val="20"/>
          <w:color w:val="auto"/>
        </w:rPr>
      </w:pPr>
    </w:p>
    <w:p>
      <w:pPr>
        <w:ind w:right="20" w:firstLine="556"/>
        <w:spacing w:after="0" w:line="291" w:lineRule="auto"/>
        <w:rPr>
          <w:sz w:val="20"/>
          <w:szCs w:val="20"/>
          <w:color w:val="auto"/>
        </w:rPr>
      </w:pPr>
      <w:r>
        <w:rPr>
          <w:rFonts w:ascii="Arial" w:cs="Arial" w:eastAsia="Arial" w:hAnsi="Arial"/>
          <w:sz w:val="12"/>
          <w:szCs w:val="12"/>
          <w:color w:val="231F20"/>
        </w:rPr>
        <w:t>It is a condition to the Merger that 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No party to the Merger Agreement is aware of any lawsuit or proceeding specific to the Merger having been filed to date. If such a lawsuit or other proceeding is commenced and if in any such litigation or proceeding a plaintiff is successful in obtaining a restraining order or injunction prohibiting the consummation of the Merger Agreement or the transactions contemplated thereby, then the closing of the Merger may be delayed or may never occur. Even if the Merger is permitted to occur, the parties may be required to pay damages, fees or expenses in respect of claims related to the Merger or the transactions contemplated thereby.</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20"/>
          </w:cols>
          <w:pgMar w:left="300" w:top="211" w:right="379" w:bottom="1440" w:gutter="0" w:footer="0" w:header="0"/>
        </w:sectPr>
      </w:pPr>
    </w:p>
    <w:bookmarkStart w:id="71" w:name="page72"/>
    <w:bookmarkEnd w:id="71"/>
    <w:p>
      <w:pPr>
        <w:ind w:left="560"/>
        <w:spacing w:after="0"/>
        <w:rPr>
          <w:sz w:val="20"/>
          <w:szCs w:val="20"/>
          <w:color w:val="auto"/>
        </w:rPr>
      </w:pPr>
      <w:r>
        <w:rPr>
          <w:rFonts w:ascii="Arial" w:cs="Arial" w:eastAsia="Arial" w:hAnsi="Arial"/>
          <w:sz w:val="13"/>
          <w:szCs w:val="13"/>
          <w:b w:val="1"/>
          <w:bCs w:val="1"/>
          <w:i w:val="1"/>
          <w:iCs w:val="1"/>
          <w:color w:val="231F20"/>
        </w:rPr>
        <w:t>Uncertainty about the Merger may adversely affect the relationships of the parties with their respective suppliers and employees, whether or not the Merger is completed.</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In response to the announcement of the Merger, existing or prospective suppliers of either party may:</w:t>
      </w:r>
    </w:p>
    <w:p>
      <w:pPr>
        <w:spacing w:after="0" w:line="70" w:lineRule="exact"/>
        <w:rPr>
          <w:sz w:val="20"/>
          <w:szCs w:val="20"/>
          <w:color w:val="auto"/>
        </w:rPr>
      </w:pPr>
    </w:p>
    <w:p>
      <w:pPr>
        <w:ind w:left="1020" w:hanging="340"/>
        <w:spacing w:after="0"/>
        <w:tabs>
          <w:tab w:leader="none" w:pos="1020" w:val="left"/>
        </w:tabs>
        <w:numPr>
          <w:ilvl w:val="0"/>
          <w:numId w:val="54"/>
        </w:numPr>
        <w:rPr>
          <w:rFonts w:ascii="Arial" w:cs="Arial" w:eastAsia="Arial" w:hAnsi="Arial"/>
          <w:sz w:val="13"/>
          <w:szCs w:val="13"/>
          <w:color w:val="231F20"/>
        </w:rPr>
      </w:pPr>
      <w:r>
        <w:rPr>
          <w:rFonts w:ascii="Arial" w:cs="Arial" w:eastAsia="Arial" w:hAnsi="Arial"/>
          <w:sz w:val="13"/>
          <w:szCs w:val="13"/>
          <w:color w:val="231F20"/>
        </w:rPr>
        <w:t>delay, defer or cease providing goods or services to us, Neon or the consolidated company;</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4"/>
        </w:numPr>
        <w:rPr>
          <w:rFonts w:ascii="Arial" w:cs="Arial" w:eastAsia="Arial" w:hAnsi="Arial"/>
          <w:sz w:val="13"/>
          <w:szCs w:val="13"/>
          <w:color w:val="231F20"/>
        </w:rPr>
      </w:pPr>
      <w:r>
        <w:rPr>
          <w:rFonts w:ascii="Arial" w:cs="Arial" w:eastAsia="Arial" w:hAnsi="Arial"/>
          <w:sz w:val="13"/>
          <w:szCs w:val="13"/>
          <w:color w:val="231F20"/>
        </w:rPr>
        <w:t>delay or defer other decisions concerning us, Neon or the consolidated company, or refuse to extend credit to us, Neon or the consolidated company; or</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54"/>
        </w:numPr>
        <w:rPr>
          <w:rFonts w:ascii="Arial" w:cs="Arial" w:eastAsia="Arial" w:hAnsi="Arial"/>
          <w:sz w:val="13"/>
          <w:szCs w:val="13"/>
          <w:color w:val="231F20"/>
        </w:rPr>
      </w:pPr>
      <w:r>
        <w:rPr>
          <w:rFonts w:ascii="Arial" w:cs="Arial" w:eastAsia="Arial" w:hAnsi="Arial"/>
          <w:sz w:val="13"/>
          <w:szCs w:val="13"/>
          <w:color w:val="231F20"/>
        </w:rPr>
        <w:t>otherwise seek to change the terms on which they do business with us, Neon or the consolidated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Any such delays or changes to terms could harm the business of each company or, if the Merger is completed, the consolidated company.</w:t>
      </w:r>
    </w:p>
    <w:p>
      <w:pPr>
        <w:spacing w:after="0" w:line="170" w:lineRule="exact"/>
        <w:rPr>
          <w:sz w:val="20"/>
          <w:szCs w:val="20"/>
          <w:color w:val="auto"/>
        </w:rPr>
      </w:pPr>
    </w:p>
    <w:p>
      <w:pPr>
        <w:ind w:right="700" w:firstLine="556"/>
        <w:spacing w:after="0" w:line="287" w:lineRule="auto"/>
        <w:rPr>
          <w:sz w:val="20"/>
          <w:szCs w:val="20"/>
          <w:color w:val="auto"/>
        </w:rPr>
      </w:pPr>
      <w:r>
        <w:rPr>
          <w:rFonts w:ascii="Arial" w:cs="Arial" w:eastAsia="Arial" w:hAnsi="Arial"/>
          <w:sz w:val="13"/>
          <w:szCs w:val="13"/>
          <w:color w:val="231F20"/>
        </w:rPr>
        <w:t>In addition, as a result of the Merger, current and prospective employees could experience uncertainty about their future with the consolidated company. These uncertainties may impair the consolidated company’s ability to retain, recruit or motivate key management, technical and other personnel.</w:t>
      </w:r>
    </w:p>
    <w:p>
      <w:pPr>
        <w:spacing w:after="0" w:line="122" w:lineRule="exact"/>
        <w:rPr>
          <w:sz w:val="20"/>
          <w:szCs w:val="20"/>
          <w:color w:val="auto"/>
        </w:rPr>
      </w:pPr>
    </w:p>
    <w:p>
      <w:pPr>
        <w:ind w:right="40" w:firstLine="556"/>
        <w:spacing w:after="0" w:line="331" w:lineRule="auto"/>
        <w:rPr>
          <w:sz w:val="20"/>
          <w:szCs w:val="20"/>
          <w:color w:val="auto"/>
        </w:rPr>
      </w:pPr>
      <w:r>
        <w:rPr>
          <w:rFonts w:ascii="Arial" w:cs="Arial" w:eastAsia="Arial" w:hAnsi="Arial"/>
          <w:sz w:val="12"/>
          <w:szCs w:val="12"/>
          <w:b w:val="1"/>
          <w:bCs w:val="1"/>
          <w:i w:val="1"/>
          <w:iCs w:val="1"/>
          <w:color w:val="231F20"/>
        </w:rPr>
        <w:t>Until the completion of the Merger or the termination of the Merger Agreement in accordance with its terms, in consideration of the agreements made by the parties in the Merger Agreement, the parties are each prohibited from entering into certain transactions and taking certain actions that might otherwise be beneficial to the parties and their respective shareholders.</w:t>
      </w:r>
    </w:p>
    <w:p>
      <w:pPr>
        <w:spacing w:after="0" w:line="19"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Until the Merger is completed, the Merger Agreement restricts us and Neon from taking specified actions without the consent of the other party, and requires Neon to operate in the ordinary course of business consistent with past practices. These restrictions may prevent Neon or us from making appropriate business changes or pursuing attractive business opportunities that may arise prior to the completion of the Merger.</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the Consolidated Company</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consolidated company may not fully realize the anticipated benefits of the Merger or realize such benefits within the timing anticipated.</w:t>
      </w:r>
    </w:p>
    <w:p>
      <w:pPr>
        <w:spacing w:after="0" w:line="90" w:lineRule="exact"/>
        <w:rPr>
          <w:sz w:val="20"/>
          <w:szCs w:val="20"/>
          <w:color w:val="auto"/>
        </w:rPr>
      </w:pPr>
    </w:p>
    <w:p>
      <w:pPr>
        <w:ind w:right="100" w:firstLine="556"/>
        <w:spacing w:after="0" w:line="296" w:lineRule="auto"/>
        <w:rPr>
          <w:sz w:val="20"/>
          <w:szCs w:val="20"/>
          <w:color w:val="auto"/>
        </w:rPr>
      </w:pPr>
      <w:r>
        <w:rPr>
          <w:rFonts w:ascii="Arial" w:cs="Arial" w:eastAsia="Arial" w:hAnsi="Arial"/>
          <w:sz w:val="12"/>
          <w:szCs w:val="12"/>
          <w:color w:val="231F20"/>
        </w:rPr>
        <w:t>The parties entered into the Merger Agreement because each company believes that the Merger will be beneficial to each company and its respective shareholders. The consolidated company may not be able to achieve the anticipated long-term strategic benefits of the Merger within the timing anticipated or at all. For example, the benefits from the Merger will be partially offset by the costs incurred in completing the transaction. Any delays and challenges that may be encountered in completing the Merger or in the post-Merger process of consolidation could have an adverse effect on the business and results of operations of the consolidated company, and may affect the value of our ordinary shares and the ADSs representing our ordinary shares after the completion of the Merger.</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consolidated company will incur significant transaction-related costs in connection with the Merger.</w:t>
      </w:r>
    </w:p>
    <w:p>
      <w:pPr>
        <w:spacing w:after="0" w:line="90"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We and Neon expect to incur significant costs associated with the Merger. The amount of these costs may not be determined as of the Effective Time and may be material to the financial position and results of operations of the consolidated company. We expect that the substantial majority of expenses resulting from the Merger will be comprised of transaction costs related to the Merger and employee-related costs. We and Neon will also incur fees and costs related to integration and systems consolidation. The elimination of duplicative costs may not offset incremental transaction-related and other integration costs in the near term.</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consolidated company’s goodwill or other intangible assets may become impaired, which could result in material non-cash charges to its results of operations.</w:t>
      </w:r>
    </w:p>
    <w:p>
      <w:pPr>
        <w:spacing w:after="0" w:line="90" w:lineRule="exact"/>
        <w:rPr>
          <w:sz w:val="20"/>
          <w:szCs w:val="20"/>
          <w:color w:val="auto"/>
        </w:rPr>
      </w:pPr>
    </w:p>
    <w:p>
      <w:pPr>
        <w:ind w:right="80" w:firstLine="556"/>
        <w:spacing w:after="0" w:line="264" w:lineRule="auto"/>
        <w:rPr>
          <w:sz w:val="20"/>
          <w:szCs w:val="20"/>
          <w:color w:val="auto"/>
        </w:rPr>
      </w:pPr>
      <w:r>
        <w:rPr>
          <w:rFonts w:ascii="Arial" w:cs="Arial" w:eastAsia="Arial" w:hAnsi="Arial"/>
          <w:sz w:val="13"/>
          <w:szCs w:val="13"/>
          <w:color w:val="231F20"/>
        </w:rPr>
        <w:t>The consolidated company will have a substantial amount of goodwill and other intangible assets resulting from the Merger. At least annually, or whenever events or changes in circumstances indicate a potential impairment in the carrying value as defined by IFRS, the consolidated company will evaluate this goodwill for impairment based on the recoverable value, being the higher of fair value less costs to sell and value in use, of the cash generating units to which goodwill has been allocated. Estimated fair values could change if there are changes in the consolidated company’s capital structure, cost of debt, interest rates, capital expenditure levels, operating cash flows or market capitalization. Impairments of goodwill or other intangible assets could require material non-cash charges to the consolidated company’s results of operations.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72" w:name="page73"/>
    <w:bookmarkEnd w:id="72"/>
    <w:p>
      <w:pPr>
        <w:ind w:left="560"/>
        <w:spacing w:after="0"/>
        <w:rPr>
          <w:sz w:val="20"/>
          <w:szCs w:val="20"/>
          <w:color w:val="auto"/>
        </w:rPr>
      </w:pPr>
      <w:r>
        <w:rPr>
          <w:rFonts w:ascii="Arial" w:cs="Arial" w:eastAsia="Arial" w:hAnsi="Arial"/>
          <w:sz w:val="13"/>
          <w:szCs w:val="13"/>
          <w:b w:val="1"/>
          <w:bCs w:val="1"/>
          <w:i w:val="1"/>
          <w:iCs w:val="1"/>
          <w:color w:val="231F20"/>
        </w:rPr>
        <w:t>Future results of the consolidated company may differ materially from the unaudited pro forma financial information included in subsequent reports.</w:t>
      </w:r>
    </w:p>
    <w:p>
      <w:pPr>
        <w:spacing w:after="0" w:line="90"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231F20"/>
        </w:rPr>
        <w:t>The consolidated company’s future results may be materially different from those shown in the unaudited pro forma financial information presented in this report that show only a combination of our and Neon’s historical results. We expect to incur significant costs associated with completing the Merger and combining the operations of the two companies, and the exact magnitude of these costs is not yet known. Furthermore, these costs may decrease capital that could be used by us for future income-earning investments.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financial analyses and forecasts considered by us, Neon and our respective financial advisors may not be realized.</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2"/>
          <w:szCs w:val="12"/>
          <w:color w:val="231F20"/>
        </w:rPr>
        <w:t>While the financial projections utilized by us, Neon and our respective advisors in connection with the Merger were prepared in good faith based on information available at the time of preparation, no assurances can be made regarding future events or that the assumptions made in preparing such projections will accurately reflect future conditions. In preparing such projections, our management and the management of and Neon made assumptions regarding, among other things, future economic, competitive, regulatory and financial market conditions and future business decisions that may not be realized and that are inherently subject to significant uncertainties and contingencies, including, among others, risks and uncertainties described or incorporated by reference in this section and in “Cautionary Statement Regarding Forward-Looking Statements,” all of which are difficult to predict and many of which are beyond the control of us and Neon and will be beyond the control of the consolidated company. There can be no assurance that the underlying assumptions or projected results will be realized, and actual results will likely differ, and may differ materially, from such projections, which could result in a material adverse effect on the consolidated company’s business, financial condition, results of operations and prospects.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Risks Related to Ownership of our ADSs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price of the ADSs may be volatile and fluctuate substantially, which could result in substantial losses for purchasers of the ADSs.</w:t>
      </w:r>
    </w:p>
    <w:p>
      <w:pPr>
        <w:spacing w:after="0" w:line="90"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231F20"/>
        </w:rPr>
        <w:t>The market price of the ADSs is likely to be volatile. The stock market in general, and the market for biopharmaceutical companies in particular, has experienced extreme volatility that has often been unrelated to the operating performance of particular companies. As a result of this volatility, our ADS holders may not be able to sell the ADSs at or above the price at which they purchased them. The market price for the ADSs may be influenced by many factors, including:</w:t>
      </w:r>
    </w:p>
    <w:p>
      <w:pPr>
        <w:spacing w:after="0" w:line="52" w:lineRule="exact"/>
        <w:rPr>
          <w:sz w:val="20"/>
          <w:szCs w:val="20"/>
          <w:color w:val="auto"/>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results of clinical trials of our product candidates or those of our competitors;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the success of competitive products or technologies;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commencement or termination of collaborations;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regulatory or legal developments in the United States and other countries;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developments or disputes concerning patent applications, issued patents, or other intellectual property or proprietary rights;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the recruitment or departure of key personnel;</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the level of expenses related to any of our product candidates or clinical development programs;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the results of our efforts to discover, develop, acquire or in-license additional product candidates;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actual or anticipated changes in estimates as to financial results, development timelines or recommendations by securities analysts;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variations in our financial results or those of companies that are perceived to be similar to us;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changes in the structure of healthcare payment systems;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market conditions in the pharmaceutical and biotechnology sectors;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5"/>
        </w:numPr>
        <w:rPr>
          <w:rFonts w:ascii="Arial" w:cs="Arial" w:eastAsia="Arial" w:hAnsi="Arial"/>
          <w:sz w:val="13"/>
          <w:szCs w:val="13"/>
          <w:color w:val="231F20"/>
        </w:rPr>
      </w:pPr>
      <w:r>
        <w:rPr>
          <w:rFonts w:ascii="Arial" w:cs="Arial" w:eastAsia="Arial" w:hAnsi="Arial"/>
          <w:sz w:val="13"/>
          <w:szCs w:val="13"/>
          <w:color w:val="231F20"/>
        </w:rPr>
        <w:t>general economic, industry and market conditions; and</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20"/>
          </w:cols>
          <w:pgMar w:left="300" w:top="291" w:right="379" w:bottom="1440" w:gutter="0" w:footer="0" w:header="0"/>
        </w:sectPr>
      </w:pPr>
    </w:p>
    <w:bookmarkStart w:id="73" w:name="page74"/>
    <w:bookmarkEnd w:id="73"/>
    <w:p>
      <w:pPr>
        <w:ind w:left="1020" w:right="100" w:hanging="340"/>
        <w:spacing w:after="0" w:line="287" w:lineRule="auto"/>
        <w:tabs>
          <w:tab w:leader="none" w:pos="1020" w:val="left"/>
        </w:tabs>
        <w:numPr>
          <w:ilvl w:val="0"/>
          <w:numId w:val="56"/>
        </w:numPr>
        <w:rPr>
          <w:rFonts w:ascii="Arial" w:cs="Arial" w:eastAsia="Arial" w:hAnsi="Arial"/>
          <w:sz w:val="13"/>
          <w:szCs w:val="13"/>
          <w:color w:val="231F20"/>
        </w:rPr>
      </w:pPr>
      <w:r>
        <w:rPr>
          <w:rFonts w:ascii="Arial" w:cs="Arial" w:eastAsia="Arial" w:hAnsi="Arial"/>
          <w:sz w:val="13"/>
          <w:szCs w:val="13"/>
          <w:color w:val="231F20"/>
        </w:rPr>
        <w:t>the numerous programs in our pipeline, the development of which could each generate news or significant adverse events that could impact financial results or recommendations by securities analysts.</w:t>
      </w:r>
    </w:p>
    <w:p>
      <w:pPr>
        <w:spacing w:after="0" w:line="122" w:lineRule="exact"/>
        <w:rPr>
          <w:sz w:val="20"/>
          <w:szCs w:val="20"/>
          <w:color w:val="auto"/>
        </w:rPr>
      </w:pPr>
    </w:p>
    <w:p>
      <w:pPr>
        <w:ind w:right="200" w:firstLine="556"/>
        <w:spacing w:after="0" w:line="272" w:lineRule="auto"/>
        <w:rPr>
          <w:sz w:val="20"/>
          <w:szCs w:val="20"/>
          <w:color w:val="auto"/>
        </w:rPr>
      </w:pPr>
      <w:r>
        <w:rPr>
          <w:rFonts w:ascii="Arial" w:cs="Arial" w:eastAsia="Arial" w:hAnsi="Arial"/>
          <w:sz w:val="13"/>
          <w:szCs w:val="13"/>
          <w:color w:val="231F20"/>
        </w:rPr>
        <w:t>If our quarterly or annual results fall below the expectations of investors or securities analysts, the price of the ADSs could decline substantially. Furthermore, any quarterly or annual fluctuations in our results may, in turn, cause the price of the ADSs to fluctuate substantially. We believe that period-to-period comparisons of our results are not necessarily meaningful and should not be relied upon as an indication of our future performance.</w:t>
      </w:r>
    </w:p>
    <w:p>
      <w:pPr>
        <w:spacing w:after="0" w:line="132"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231F20"/>
        </w:rPr>
        <w:t>In the past, following periods of volatility in the market price of a company’s securities, securities class- 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132" w:lineRule="exact"/>
        <w:rPr>
          <w:sz w:val="20"/>
          <w:szCs w:val="20"/>
          <w:color w:val="auto"/>
        </w:rPr>
      </w:pPr>
    </w:p>
    <w:p>
      <w:pPr>
        <w:ind w:right="140" w:firstLine="556"/>
        <w:spacing w:after="0" w:line="304" w:lineRule="auto"/>
        <w:rPr>
          <w:sz w:val="20"/>
          <w:szCs w:val="20"/>
          <w:color w:val="auto"/>
        </w:rPr>
      </w:pPr>
      <w:r>
        <w:rPr>
          <w:rFonts w:ascii="Arial" w:cs="Arial" w:eastAsia="Arial" w:hAnsi="Arial"/>
          <w:sz w:val="12"/>
          <w:szCs w:val="12"/>
          <w:b w:val="1"/>
          <w:bCs w:val="1"/>
          <w:i w:val="1"/>
          <w:iCs w:val="1"/>
          <w:color w:val="231F20"/>
        </w:rPr>
        <w:t>We have incurred increased costs as a result of operating as a public company, and our management has been required to devote substantial time to new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36"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231F20"/>
        </w:rPr>
        <w:t>As a public company, and particularly after we are no longer an “emerging growth company” as defined in the Jumpstart Our Business Startups Act of 2012, or the JOBS Act, we expect to incur significant legal, accounting and other expenses that we did not incur as a private company. We expect that we will cease to be an emerging growth company beginning January 1, 2021, and thus will not be able to rely on emerging growth company rules for our 20-F filed for FY2020. In addition, the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have made some activities more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129" w:lineRule="exact"/>
        <w:rPr>
          <w:sz w:val="20"/>
          <w:szCs w:val="20"/>
          <w:color w:val="auto"/>
        </w:rPr>
      </w:pPr>
    </w:p>
    <w:p>
      <w:pPr>
        <w:ind w:right="40" w:firstLine="556"/>
        <w:spacing w:after="0" w:line="284" w:lineRule="auto"/>
        <w:rPr>
          <w:sz w:val="20"/>
          <w:szCs w:val="20"/>
          <w:color w:val="auto"/>
        </w:rPr>
      </w:pPr>
      <w:r>
        <w:rPr>
          <w:rFonts w:ascii="Arial" w:cs="Arial" w:eastAsia="Arial" w:hAnsi="Arial"/>
          <w:sz w:val="12"/>
          <w:szCs w:val="12"/>
          <w:color w:val="231F20"/>
        </w:rPr>
        <w:t>Pursuant to Section 404 of the Sarbanes-Oxley Act, or Section 404, concurrent with our second Annual Report on Form 20-F we are required to furnish a report by our management on our internal control over financial reporting, including the attestation report on internal control over financial reporting issued by our independent registered public accounting firm. Per the above, we will likely be subject to this requirement in our 20-F to be filed for FY2020; however, while we remain an emerging growth company, we will not be required to include an attestation report on internal control over financial reporting issued by our independent registered public accounting firm in our annual filings with the SEC. To achieve compliance with Section 404 within the prescribed period, we have initiated the process to document and evaluate our internal control over financial reporting, which is both costly and challenging. In this regard, we will need to continue to dedicate internal resources, have engaged outside consultants, and are adopting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(once we are no longer an emerging growth company)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30" w:lineRule="exact"/>
        <w:rPr>
          <w:sz w:val="20"/>
          <w:szCs w:val="20"/>
          <w:color w:val="auto"/>
        </w:rPr>
      </w:pPr>
    </w:p>
    <w:p>
      <w:pPr>
        <w:ind w:right="100" w:firstLine="556"/>
        <w:spacing w:after="0" w:line="264" w:lineRule="auto"/>
        <w:rPr>
          <w:sz w:val="20"/>
          <w:szCs w:val="20"/>
          <w:color w:val="auto"/>
        </w:rPr>
      </w:pPr>
      <w:r>
        <w:rPr>
          <w:rFonts w:ascii="Arial" w:cs="Arial" w:eastAsia="Arial" w:hAnsi="Arial"/>
          <w:sz w:val="13"/>
          <w:szCs w:val="13"/>
          <w:color w:val="231F20"/>
        </w:rPr>
        <w:t>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our initial public offering. We intend to take advantage of this new legislation but cannot guarantee that we will not be required to implement these requirements sooner than budgeted or planned and thereby incur unexpected expenses. Shareholder activism, the current political environment, and the current high level of government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4" w:name="page75"/>
    <w:bookmarkEnd w:id="74"/>
    <w:p>
      <w:pPr>
        <w:ind w:right="80"/>
        <w:spacing w:after="0" w:line="287" w:lineRule="auto"/>
        <w:rPr>
          <w:sz w:val="20"/>
          <w:szCs w:val="20"/>
          <w:color w:val="auto"/>
        </w:rPr>
      </w:pPr>
      <w:r>
        <w:rPr>
          <w:rFonts w:ascii="Arial" w:cs="Arial" w:eastAsia="Arial" w:hAnsi="Arial"/>
          <w:sz w:val="13"/>
          <w:szCs w:val="13"/>
          <w:color w:val="231F20"/>
        </w:rPr>
        <w:t>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12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b w:val="1"/>
          <w:bCs w:val="1"/>
          <w:i w:val="1"/>
          <w:iCs w:val="1"/>
          <w:color w:val="231F20"/>
        </w:rPr>
        <w:t>We have identified a material weakness in our internal control over financial reporting and may identify additional material weaknesses in the future that may cause us to fail to meet our reporting obligations or result in material misstatements in our financial statements. If we fail to remediate our material weakness, we may not be able to report our financial results accurately or to prevent fraud.</w:t>
      </w:r>
    </w:p>
    <w:p>
      <w:pPr>
        <w:spacing w:after="0" w:line="52" w:lineRule="exact"/>
        <w:rPr>
          <w:sz w:val="20"/>
          <w:szCs w:val="20"/>
          <w:color w:val="auto"/>
        </w:rPr>
      </w:pPr>
    </w:p>
    <w:p>
      <w:pPr>
        <w:ind w:firstLine="556"/>
        <w:spacing w:after="0" w:line="296" w:lineRule="auto"/>
        <w:rPr>
          <w:sz w:val="20"/>
          <w:szCs w:val="20"/>
          <w:color w:val="auto"/>
        </w:rPr>
      </w:pPr>
      <w:r>
        <w:rPr>
          <w:rFonts w:ascii="Arial" w:cs="Arial" w:eastAsia="Arial" w:hAnsi="Arial"/>
          <w:sz w:val="12"/>
          <w:szCs w:val="12"/>
          <w:color w:val="231F20"/>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Prior to our initial public offering, we operated as a private company that was not required to comply with the obligations of a public company with respect to internal control over financial reporting.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231F20"/>
        </w:rPr>
        <w:t>We have historically operated with limited accounting personnel and other resources with which to address our internal control over financial reporting.</w:t>
      </w:r>
    </w:p>
    <w:p>
      <w:pPr>
        <w:spacing w:after="0" w:line="162" w:lineRule="exact"/>
        <w:rPr>
          <w:sz w:val="20"/>
          <w:szCs w:val="20"/>
          <w:color w:val="auto"/>
        </w:rPr>
      </w:pPr>
    </w:p>
    <w:p>
      <w:pPr>
        <w:ind w:right="100" w:firstLine="556"/>
        <w:spacing w:after="0" w:line="263" w:lineRule="auto"/>
        <w:rPr>
          <w:sz w:val="20"/>
          <w:szCs w:val="20"/>
          <w:color w:val="auto"/>
        </w:rPr>
      </w:pPr>
      <w:r>
        <w:rPr>
          <w:rFonts w:ascii="Arial" w:cs="Arial" w:eastAsia="Arial" w:hAnsi="Arial"/>
          <w:sz w:val="13"/>
          <w:szCs w:val="13"/>
          <w:color w:val="231F20"/>
        </w:rPr>
        <w:t>We and our auditors identified a material weakness primarily related to (i) a lack of sufficient accounting and supervisory personnel who have the appropriate level of technical accounting experience and training, (ii) a lack of supervision over external consultants providing technical accounting services and (iii) a lack of consistent application of accounting processes and procedures by our accounting personnel. These deficiencies constitute a material weakness in our internal control over financial reporting in both design and operation. As a result of the material weakness, management failed to identify adjustments in various areas, including but not limited to revenue, capitalization of tangible and intangible assets, and share-based compensation. We have relied on the assistance of outside advisors with expertise in these matters to assist us in the preparation of our financial statements and in our compliance with SEC reporting obligations related to our initial public offering, and we expect to continue to do so while we remediate this material weakness.</w:t>
      </w:r>
    </w:p>
    <w:p>
      <w:pPr>
        <w:spacing w:after="0" w:line="137" w:lineRule="exact"/>
        <w:rPr>
          <w:sz w:val="20"/>
          <w:szCs w:val="20"/>
          <w:color w:val="auto"/>
        </w:rPr>
      </w:pPr>
    </w:p>
    <w:p>
      <w:pPr>
        <w:ind w:right="60" w:firstLine="556"/>
        <w:spacing w:after="0" w:line="261" w:lineRule="auto"/>
        <w:rPr>
          <w:sz w:val="20"/>
          <w:szCs w:val="20"/>
          <w:color w:val="auto"/>
        </w:rPr>
      </w:pPr>
      <w:r>
        <w:rPr>
          <w:rFonts w:ascii="Arial" w:cs="Arial" w:eastAsia="Arial" w:hAnsi="Arial"/>
          <w:sz w:val="13"/>
          <w:szCs w:val="13"/>
          <w:color w:val="231F20"/>
        </w:rPr>
        <w:t>We are continuing to develop and implement a remediation plan to address the material weakness; however, our overall control environment still requires enhancement and may expose us to errors, losses or fraud. Our remediation plan includes the hiring of additional suitably qualified staff. Additionally, we intend to document and implement consistent accounting policies and procedures and provide additional training to our accounting and finance staff. While we are working to remediate the material weakness as quickly and efficiently as possible, we cannot at this time provide an estimate of the costs we expect to incur or the expected timeline in connection with implementing our remediation plan. These remediation measures may be time-consuming and costly, and might place significant demands on our financial and operational resources. If we are unable to successfully remediate this material weakness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ADSs to decline.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i w:val="1"/>
          <w:iCs w:val="1"/>
          <w:color w:val="231F20"/>
        </w:rPr>
        <w:t>We are an “emerging growth company” and the reduced disclosure requirements applicable to emerging growth companies may make our ordinary shares and the ADSs less attractive to</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investors.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We are an “emerging growth company” under the JOBS Act, and we will remain an emerging growth company until the earlier of:</w:t>
      </w:r>
    </w:p>
    <w:p>
      <w:pPr>
        <w:spacing w:after="0" w:line="90" w:lineRule="exact"/>
        <w:rPr>
          <w:sz w:val="20"/>
          <w:szCs w:val="20"/>
          <w:color w:val="auto"/>
        </w:rPr>
      </w:pPr>
    </w:p>
    <w:p>
      <w:pPr>
        <w:ind w:left="1020" w:hanging="340"/>
        <w:spacing w:after="0"/>
        <w:tabs>
          <w:tab w:leader="none" w:pos="1020" w:val="left"/>
        </w:tabs>
        <w:numPr>
          <w:ilvl w:val="0"/>
          <w:numId w:val="57"/>
        </w:numPr>
        <w:rPr>
          <w:rFonts w:ascii="Arial" w:cs="Arial" w:eastAsia="Arial" w:hAnsi="Arial"/>
          <w:sz w:val="13"/>
          <w:szCs w:val="13"/>
          <w:color w:val="231F20"/>
        </w:rPr>
      </w:pPr>
      <w:r>
        <w:rPr>
          <w:rFonts w:ascii="Arial" w:cs="Arial" w:eastAsia="Arial" w:hAnsi="Arial"/>
          <w:sz w:val="13"/>
          <w:szCs w:val="13"/>
          <w:color w:val="231F20"/>
        </w:rPr>
        <w:t>the last day of the first fiscal year in which our annual gross revenues exceed $1.07 billion;</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7"/>
        </w:numPr>
        <w:rPr>
          <w:rFonts w:ascii="Arial" w:cs="Arial" w:eastAsia="Arial" w:hAnsi="Arial"/>
          <w:sz w:val="13"/>
          <w:szCs w:val="13"/>
          <w:color w:val="231F20"/>
        </w:rPr>
      </w:pPr>
      <w:r>
        <w:rPr>
          <w:rFonts w:ascii="Arial" w:cs="Arial" w:eastAsia="Arial" w:hAnsi="Arial"/>
          <w:sz w:val="13"/>
          <w:szCs w:val="13"/>
          <w:color w:val="231F20"/>
        </w:rPr>
        <w:t>the date on which we have issued more than $1 billion in nonconvertible debt securities during the previous three years;</w:t>
      </w:r>
    </w:p>
    <w:p>
      <w:pPr>
        <w:spacing w:after="0" w:line="90" w:lineRule="exact"/>
        <w:rPr>
          <w:rFonts w:ascii="Arial" w:cs="Arial" w:eastAsia="Arial" w:hAnsi="Arial"/>
          <w:sz w:val="13"/>
          <w:szCs w:val="13"/>
          <w:color w:val="231F20"/>
        </w:rPr>
      </w:pPr>
    </w:p>
    <w:p>
      <w:pPr>
        <w:ind w:left="1020" w:right="40" w:hanging="340"/>
        <w:spacing w:after="0" w:line="287" w:lineRule="auto"/>
        <w:tabs>
          <w:tab w:leader="none" w:pos="1020" w:val="left"/>
        </w:tabs>
        <w:numPr>
          <w:ilvl w:val="0"/>
          <w:numId w:val="57"/>
        </w:numPr>
        <w:rPr>
          <w:rFonts w:ascii="Arial" w:cs="Arial" w:eastAsia="Arial" w:hAnsi="Arial"/>
          <w:sz w:val="13"/>
          <w:szCs w:val="13"/>
          <w:color w:val="231F20"/>
        </w:rPr>
      </w:pPr>
      <w:r>
        <w:rPr>
          <w:rFonts w:ascii="Arial" w:cs="Arial" w:eastAsia="Arial" w:hAnsi="Arial"/>
          <w:sz w:val="13"/>
          <w:szCs w:val="13"/>
          <w:color w:val="231F20"/>
        </w:rPr>
        <w:t>the date on which we are deemed to be a large accelerated filer under the rules of the SEC, which means the first day of the year following the first year in which, as of the last business day of our most recently completed second fiscal quarter, the market value of our common equity held by non-affiliates exceeds $700 million; and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75" w:name="page76"/>
    <w:bookmarkEnd w:id="75"/>
    <w:p>
      <w:pPr>
        <w:ind w:left="1020" w:hanging="340"/>
        <w:spacing w:after="0"/>
        <w:tabs>
          <w:tab w:leader="none" w:pos="1020" w:val="left"/>
        </w:tabs>
        <w:numPr>
          <w:ilvl w:val="0"/>
          <w:numId w:val="58"/>
        </w:numPr>
        <w:rPr>
          <w:rFonts w:ascii="Arial" w:cs="Arial" w:eastAsia="Arial" w:hAnsi="Arial"/>
          <w:sz w:val="13"/>
          <w:szCs w:val="13"/>
          <w:color w:val="231F20"/>
        </w:rPr>
      </w:pPr>
      <w:r>
        <w:rPr>
          <w:rFonts w:ascii="Arial" w:cs="Arial" w:eastAsia="Arial" w:hAnsi="Arial"/>
          <w:sz w:val="13"/>
          <w:szCs w:val="13"/>
          <w:color w:val="231F20"/>
        </w:rPr>
        <w:t>the last day of the fiscal year following the fifth anniversary of the date of the completion of our initial public offering.</w:t>
      </w:r>
    </w:p>
    <w:p>
      <w:pPr>
        <w:spacing w:after="0" w:line="170"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231F20"/>
        </w:rPr>
        <w:t>We expect that we will cease to be an emerging growth company beginning January 1, 2021. For so long as we remain an emerging growth company, we are permitted and intend to rely on exemptions from certain disclosure requirements that are applicable to public companies that are not emerging growth companies. These exemptions include:</w:t>
      </w:r>
    </w:p>
    <w:p>
      <w:pPr>
        <w:spacing w:after="0" w:line="42" w:lineRule="exact"/>
        <w:rPr>
          <w:sz w:val="20"/>
          <w:szCs w:val="20"/>
          <w:color w:val="auto"/>
        </w:rPr>
      </w:pPr>
    </w:p>
    <w:p>
      <w:pPr>
        <w:ind w:left="1020" w:hanging="340"/>
        <w:spacing w:after="0"/>
        <w:tabs>
          <w:tab w:leader="none" w:pos="1020" w:val="left"/>
        </w:tabs>
        <w:numPr>
          <w:ilvl w:val="0"/>
          <w:numId w:val="59"/>
        </w:numPr>
        <w:rPr>
          <w:rFonts w:ascii="Arial" w:cs="Arial" w:eastAsia="Arial" w:hAnsi="Arial"/>
          <w:sz w:val="13"/>
          <w:szCs w:val="13"/>
          <w:color w:val="231F20"/>
        </w:rPr>
      </w:pPr>
      <w:r>
        <w:rPr>
          <w:rFonts w:ascii="Arial" w:cs="Arial" w:eastAsia="Arial" w:hAnsi="Arial"/>
          <w:sz w:val="13"/>
          <w:szCs w:val="13"/>
          <w:color w:val="231F20"/>
        </w:rPr>
        <w:t>not being required to comply with the auditor attestation requirements of Section 404 of the Sarbanes- Oxley Act;</w:t>
      </w:r>
    </w:p>
    <w:p>
      <w:pPr>
        <w:spacing w:after="0" w:line="90" w:lineRule="exact"/>
        <w:rPr>
          <w:rFonts w:ascii="Arial" w:cs="Arial" w:eastAsia="Arial" w:hAnsi="Arial"/>
          <w:sz w:val="13"/>
          <w:szCs w:val="13"/>
          <w:color w:val="231F20"/>
        </w:rPr>
      </w:pPr>
    </w:p>
    <w:p>
      <w:pPr>
        <w:ind w:left="1020" w:right="160" w:hanging="340"/>
        <w:spacing w:after="0" w:line="287" w:lineRule="auto"/>
        <w:tabs>
          <w:tab w:leader="none" w:pos="1020" w:val="left"/>
        </w:tabs>
        <w:numPr>
          <w:ilvl w:val="0"/>
          <w:numId w:val="59"/>
        </w:numPr>
        <w:rPr>
          <w:rFonts w:ascii="Arial" w:cs="Arial" w:eastAsia="Arial" w:hAnsi="Arial"/>
          <w:sz w:val="13"/>
          <w:szCs w:val="13"/>
          <w:color w:val="231F20"/>
        </w:rPr>
      </w:pPr>
      <w:r>
        <w:rPr>
          <w:rFonts w:ascii="Arial" w:cs="Arial" w:eastAsia="Arial" w:hAnsi="Arial"/>
          <w:sz w:val="13"/>
          <w:szCs w:val="13"/>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59"/>
        </w:numPr>
        <w:rPr>
          <w:rFonts w:ascii="Arial" w:cs="Arial" w:eastAsia="Arial" w:hAnsi="Arial"/>
          <w:sz w:val="13"/>
          <w:szCs w:val="13"/>
          <w:color w:val="231F20"/>
        </w:rPr>
      </w:pPr>
      <w:r>
        <w:rPr>
          <w:rFonts w:ascii="Arial" w:cs="Arial" w:eastAsia="Arial" w:hAnsi="Arial"/>
          <w:sz w:val="13"/>
          <w:szCs w:val="13"/>
          <w:color w:val="231F20"/>
        </w:rPr>
        <w:t>reduced disclosure obligations regarding executive compensation;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59"/>
        </w:numPr>
        <w:rPr>
          <w:rFonts w:ascii="Arial" w:cs="Arial" w:eastAsia="Arial" w:hAnsi="Arial"/>
          <w:sz w:val="12"/>
          <w:szCs w:val="12"/>
          <w:color w:val="231F20"/>
        </w:rPr>
      </w:pPr>
      <w:r>
        <w:rPr>
          <w:rFonts w:ascii="Arial" w:cs="Arial" w:eastAsia="Arial" w:hAnsi="Arial"/>
          <w:sz w:val="12"/>
          <w:szCs w:val="12"/>
          <w:color w:val="231F20"/>
        </w:rPr>
        <w:t>exemptions from the requirements of holding a nonbinding advisory vote on executive compensation and shareholder approval of any golden parachute payments not previously approved.</w:t>
      </w:r>
    </w:p>
    <w:p>
      <w:pPr>
        <w:spacing w:after="0" w:line="182" w:lineRule="exact"/>
        <w:rPr>
          <w:sz w:val="20"/>
          <w:szCs w:val="20"/>
          <w:color w:val="auto"/>
        </w:rPr>
      </w:pPr>
    </w:p>
    <w:p>
      <w:pPr>
        <w:jc w:val="both"/>
        <w:ind w:right="20" w:firstLine="556"/>
        <w:spacing w:after="0" w:line="304" w:lineRule="auto"/>
        <w:rPr>
          <w:sz w:val="20"/>
          <w:szCs w:val="20"/>
          <w:color w:val="auto"/>
        </w:rPr>
      </w:pPr>
      <w:r>
        <w:rPr>
          <w:rFonts w:ascii="Arial" w:cs="Arial" w:eastAsia="Arial" w:hAnsi="Arial"/>
          <w:sz w:val="12"/>
          <w:szCs w:val="12"/>
          <w:color w:val="231F20"/>
        </w:rPr>
        <w:t>We may choose to take advantage of some, but not all, of the available exemptions. We have taken advantage of reduced reporting burdens in this Annual Report. In particular, we have not included all of the executive compensation information that would be required if we were not an emerging growth company. We cannot predict whether investors will find the ADSs less attractive if we rely on certain or all of these exemptions. If some investors find the ADSs less attractive as a result, there may be a less active trading market for the ADSs and the price per ADS may be more volatile.</w:t>
      </w:r>
    </w:p>
    <w:p>
      <w:pPr>
        <w:spacing w:after="0" w:line="116" w:lineRule="exact"/>
        <w:rPr>
          <w:sz w:val="20"/>
          <w:szCs w:val="20"/>
          <w:color w:val="auto"/>
        </w:rPr>
      </w:pPr>
    </w:p>
    <w:p>
      <w:pPr>
        <w:ind w:right="180" w:firstLine="556"/>
        <w:spacing w:after="0" w:line="272" w:lineRule="auto"/>
        <w:rPr>
          <w:sz w:val="20"/>
          <w:szCs w:val="20"/>
          <w:color w:val="auto"/>
        </w:rPr>
      </w:pPr>
      <w:r>
        <w:rPr>
          <w:rFonts w:ascii="Arial" w:cs="Arial" w:eastAsia="Arial" w:hAnsi="Arial"/>
          <w:sz w:val="13"/>
          <w:szCs w:val="13"/>
          <w:color w:val="231F20"/>
        </w:rPr>
        <w:t>In addition, the JOBS Act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Such provisions are only applicable under U.S. GAAP. As a result, we will adopt new or revised accounting standards on the relevant dates on which adoption of such standards is required or permitted by the IASB.</w:t>
      </w:r>
    </w:p>
    <w:p>
      <w:pPr>
        <w:spacing w:after="0" w:line="132" w:lineRule="exact"/>
        <w:rPr>
          <w:sz w:val="20"/>
          <w:szCs w:val="20"/>
          <w:color w:val="auto"/>
        </w:rPr>
      </w:pPr>
    </w:p>
    <w:p>
      <w:pPr>
        <w:ind w:right="200" w:firstLine="556"/>
        <w:spacing w:after="0" w:line="331" w:lineRule="auto"/>
        <w:rPr>
          <w:sz w:val="20"/>
          <w:szCs w:val="20"/>
          <w:color w:val="auto"/>
        </w:rPr>
      </w:pPr>
      <w:r>
        <w:rPr>
          <w:rFonts w:ascii="Arial" w:cs="Arial" w:eastAsia="Arial" w:hAnsi="Arial"/>
          <w:sz w:val="12"/>
          <w:szCs w:val="12"/>
          <w:b w:val="1"/>
          <w:bCs w:val="1"/>
          <w:i w:val="1"/>
          <w:iCs w:val="1"/>
          <w:color w:val="231F20"/>
        </w:rPr>
        <w:t>As a “foreign private issuer,” we are exempt from a number of rules under the U.S. securities laws, as well as Nasdaq rules, and we are permitted to file less information with the SEC than are U.S. companies. This may limit the information available to holders of the ADSs and may make our ordinary shares and the ADSs less attractive to investors.</w:t>
      </w:r>
    </w:p>
    <w:p>
      <w:pPr>
        <w:spacing w:after="0" w:line="19"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231F20"/>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37" w:lineRule="exact"/>
        <w:rPr>
          <w:sz w:val="20"/>
          <w:szCs w:val="20"/>
          <w:color w:val="auto"/>
        </w:rPr>
      </w:pPr>
    </w:p>
    <w:p>
      <w:pPr>
        <w:ind w:right="20" w:firstLine="556"/>
        <w:spacing w:after="0" w:line="288" w:lineRule="auto"/>
        <w:rPr>
          <w:sz w:val="20"/>
          <w:szCs w:val="20"/>
          <w:color w:val="auto"/>
        </w:rPr>
      </w:pPr>
      <w:r>
        <w:rPr>
          <w:rFonts w:ascii="Arial" w:cs="Arial" w:eastAsia="Arial" w:hAnsi="Arial"/>
          <w:sz w:val="12"/>
          <w:szCs w:val="12"/>
          <w:color w:val="231F20"/>
        </w:rPr>
        <w:t>As a foreign private issuer, we will file an Annual Report on Form 20-F within four months of the close of each fiscal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and the German Stock Corporation Act (</w:t>
      </w:r>
      <w:r>
        <w:rPr>
          <w:rFonts w:ascii="Arial" w:cs="Arial" w:eastAsia="Arial" w:hAnsi="Arial"/>
          <w:sz w:val="12"/>
          <w:szCs w:val="12"/>
          <w:i w:val="1"/>
          <w:iCs w:val="1"/>
          <w:color w:val="231F20"/>
        </w:rPr>
        <w:t>Aktiengesetz</w:t>
      </w:r>
      <w:r>
        <w:rPr>
          <w:rFonts w:ascii="Arial" w:cs="Arial" w:eastAsia="Arial" w:hAnsi="Arial"/>
          <w:sz w:val="12"/>
          <w:szCs w:val="12"/>
          <w:color w:val="231F20"/>
        </w:rPr>
        <w:t>), the Council Regulation (EC) No 2157/2001 of October 8, 2001 on the Statute for a European company (SE), or the SE Regulation, and the German Act on the Implementation of Council Regulation (EC) No 2157/2001 of October 8, 2001 on the Statute for a European company (SE) (</w:t>
      </w:r>
      <w:r>
        <w:rPr>
          <w:rFonts w:ascii="Arial" w:cs="Arial" w:eastAsia="Arial" w:hAnsi="Arial"/>
          <w:sz w:val="12"/>
          <w:szCs w:val="12"/>
          <w:i w:val="1"/>
          <w:iCs w:val="1"/>
          <w:color w:val="231F20"/>
        </w:rPr>
        <w:t>Gesetz zur Ausführung der Verordnung</w:t>
      </w:r>
      <w:r>
        <w:rPr>
          <w:rFonts w:ascii="Arial" w:cs="Arial" w:eastAsia="Arial" w:hAnsi="Arial"/>
          <w:sz w:val="12"/>
          <w:szCs w:val="12"/>
          <w:color w:val="231F20"/>
        </w:rPr>
        <w:t xml:space="preserve"> (EG) NR. 2157/2001 </w:t>
      </w:r>
      <w:r>
        <w:rPr>
          <w:rFonts w:ascii="Arial" w:cs="Arial" w:eastAsia="Arial" w:hAnsi="Arial"/>
          <w:sz w:val="12"/>
          <w:szCs w:val="12"/>
          <w:i w:val="1"/>
          <w:iCs w:val="1"/>
          <w:color w:val="231F20"/>
        </w:rPr>
        <w:t>des Rates vom 8. Oktober 2001 über das Statut der Europäischen Gesellschaft (</w:t>
      </w:r>
      <w:r>
        <w:rPr>
          <w:rFonts w:ascii="Arial" w:cs="Arial" w:eastAsia="Arial" w:hAnsi="Arial"/>
          <w:sz w:val="12"/>
          <w:szCs w:val="12"/>
          <w:color w:val="231F20"/>
        </w:rPr>
        <w:t>SE</w:t>
      </w:r>
      <w:r>
        <w:rPr>
          <w:rFonts w:ascii="Arial" w:cs="Arial" w:eastAsia="Arial" w:hAnsi="Arial"/>
          <w:sz w:val="12"/>
          <w:szCs w:val="12"/>
          <w:i w:val="1"/>
          <w:iCs w:val="1"/>
          <w:color w:val="231F20"/>
        </w:rPr>
        <w:t>)) (</w:t>
      </w:r>
      <w:r>
        <w:rPr>
          <w:rFonts w:ascii="Arial" w:cs="Arial" w:eastAsia="Arial" w:hAnsi="Arial"/>
          <w:sz w:val="12"/>
          <w:szCs w:val="12"/>
          <w:color w:val="231F20"/>
        </w:rPr>
        <w:t>SE</w:t>
      </w:r>
      <w:r>
        <w:rPr>
          <w:rFonts w:ascii="Arial" w:cs="Arial" w:eastAsia="Arial" w:hAnsi="Arial"/>
          <w:sz w:val="12"/>
          <w:szCs w:val="12"/>
          <w:i w:val="1"/>
          <w:iCs w:val="1"/>
          <w:color w:val="231F20"/>
        </w:rPr>
        <w:t>-Ausführungsgesetz</w:t>
      </w:r>
      <w:r>
        <w:rPr>
          <w:rFonts w:ascii="Arial" w:cs="Arial" w:eastAsia="Arial" w:hAnsi="Arial"/>
          <w:sz w:val="12"/>
          <w:szCs w:val="12"/>
          <w:color w:val="231F20"/>
        </w:rPr>
        <w:t>—SEAG), in particular with regard to certain aspects of corporate governance. This allows us to follow certain corporate governance practices that differ in significant respects from the corporate governance requirements applicable to U.S. companies listed on Nasdaq.</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76" w:name="page77"/>
    <w:bookmarkEnd w:id="76"/>
    <w:p>
      <w:pPr>
        <w:ind w:left="560"/>
        <w:spacing w:after="0"/>
        <w:rPr>
          <w:sz w:val="20"/>
          <w:szCs w:val="20"/>
          <w:color w:val="auto"/>
        </w:rPr>
      </w:pPr>
      <w:r>
        <w:rPr>
          <w:rFonts w:ascii="Arial" w:cs="Arial" w:eastAsia="Arial" w:hAnsi="Arial"/>
          <w:sz w:val="13"/>
          <w:szCs w:val="13"/>
          <w:color w:val="231F20"/>
        </w:rPr>
        <w:t>For example, we are exempt from regulations of Nasdaq that require a listed U.S. company to:</w:t>
      </w:r>
    </w:p>
    <w:p>
      <w:pPr>
        <w:spacing w:after="0" w:line="70" w:lineRule="exact"/>
        <w:rPr>
          <w:sz w:val="20"/>
          <w:szCs w:val="20"/>
          <w:color w:val="auto"/>
        </w:rPr>
      </w:pPr>
    </w:p>
    <w:p>
      <w:pPr>
        <w:ind w:left="1020" w:hanging="340"/>
        <w:spacing w:after="0"/>
        <w:tabs>
          <w:tab w:leader="none" w:pos="1020" w:val="left"/>
        </w:tabs>
        <w:numPr>
          <w:ilvl w:val="0"/>
          <w:numId w:val="60"/>
        </w:numPr>
        <w:rPr>
          <w:rFonts w:ascii="Arial" w:cs="Arial" w:eastAsia="Arial" w:hAnsi="Arial"/>
          <w:sz w:val="13"/>
          <w:szCs w:val="13"/>
          <w:color w:val="231F20"/>
        </w:rPr>
      </w:pPr>
      <w:r>
        <w:rPr>
          <w:rFonts w:ascii="Arial" w:cs="Arial" w:eastAsia="Arial" w:hAnsi="Arial"/>
          <w:sz w:val="13"/>
          <w:szCs w:val="13"/>
          <w:color w:val="231F20"/>
        </w:rPr>
        <w:t>have a majority of the board of directors consist of independent directors;</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60"/>
        </w:numPr>
        <w:rPr>
          <w:rFonts w:ascii="Arial" w:cs="Arial" w:eastAsia="Arial" w:hAnsi="Arial"/>
          <w:sz w:val="13"/>
          <w:szCs w:val="13"/>
          <w:color w:val="231F20"/>
        </w:rPr>
      </w:pPr>
      <w:r>
        <w:rPr>
          <w:rFonts w:ascii="Arial" w:cs="Arial" w:eastAsia="Arial" w:hAnsi="Arial"/>
          <w:sz w:val="13"/>
          <w:szCs w:val="13"/>
          <w:color w:val="231F20"/>
        </w:rPr>
        <w:t>require non-management directors to meet on a regular basis without management present;</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60"/>
        </w:numPr>
        <w:rPr>
          <w:rFonts w:ascii="Arial" w:cs="Arial" w:eastAsia="Arial" w:hAnsi="Arial"/>
          <w:sz w:val="13"/>
          <w:szCs w:val="13"/>
          <w:color w:val="231F20"/>
        </w:rPr>
      </w:pPr>
      <w:r>
        <w:rPr>
          <w:rFonts w:ascii="Arial" w:cs="Arial" w:eastAsia="Arial" w:hAnsi="Arial"/>
          <w:sz w:val="13"/>
          <w:szCs w:val="13"/>
          <w:color w:val="231F20"/>
        </w:rPr>
        <w:t>adopt a code of conduct and promptly disclose any waivers of the code for directors or executive officers that should address certain specified items;</w:t>
      </w:r>
    </w:p>
    <w:p>
      <w:pPr>
        <w:spacing w:after="0" w:line="19" w:lineRule="exact"/>
        <w:rPr>
          <w:rFonts w:ascii="Arial" w:cs="Arial" w:eastAsia="Arial" w:hAnsi="Arial"/>
          <w:sz w:val="13"/>
          <w:szCs w:val="13"/>
          <w:color w:val="231F20"/>
        </w:rPr>
      </w:pPr>
    </w:p>
    <w:p>
      <w:pPr>
        <w:ind w:left="1020" w:hanging="340"/>
        <w:spacing w:after="0"/>
        <w:tabs>
          <w:tab w:leader="none" w:pos="1020" w:val="left"/>
        </w:tabs>
        <w:numPr>
          <w:ilvl w:val="0"/>
          <w:numId w:val="60"/>
        </w:numPr>
        <w:rPr>
          <w:rFonts w:ascii="Arial" w:cs="Arial" w:eastAsia="Arial" w:hAnsi="Arial"/>
          <w:sz w:val="13"/>
          <w:szCs w:val="13"/>
          <w:color w:val="231F20"/>
        </w:rPr>
      </w:pPr>
      <w:r>
        <w:rPr>
          <w:rFonts w:ascii="Arial" w:cs="Arial" w:eastAsia="Arial" w:hAnsi="Arial"/>
          <w:sz w:val="13"/>
          <w:szCs w:val="13"/>
          <w:color w:val="231F20"/>
        </w:rPr>
        <w:t>have an independent compensation committee;</w:t>
      </w:r>
    </w:p>
    <w:p>
      <w:pPr>
        <w:spacing w:after="0" w:line="61" w:lineRule="exact"/>
        <w:rPr>
          <w:rFonts w:ascii="Arial" w:cs="Arial" w:eastAsia="Arial" w:hAnsi="Arial"/>
          <w:sz w:val="13"/>
          <w:szCs w:val="13"/>
          <w:color w:val="231F20"/>
        </w:rPr>
      </w:pPr>
    </w:p>
    <w:p>
      <w:pPr>
        <w:ind w:left="1020" w:hanging="340"/>
        <w:spacing w:after="0"/>
        <w:tabs>
          <w:tab w:leader="none" w:pos="1020" w:val="left"/>
        </w:tabs>
        <w:numPr>
          <w:ilvl w:val="0"/>
          <w:numId w:val="60"/>
        </w:numPr>
        <w:rPr>
          <w:rFonts w:ascii="Arial" w:cs="Arial" w:eastAsia="Arial" w:hAnsi="Arial"/>
          <w:sz w:val="13"/>
          <w:szCs w:val="13"/>
          <w:color w:val="231F20"/>
        </w:rPr>
      </w:pPr>
      <w:r>
        <w:rPr>
          <w:rFonts w:ascii="Arial" w:cs="Arial" w:eastAsia="Arial" w:hAnsi="Arial"/>
          <w:sz w:val="13"/>
          <w:szCs w:val="13"/>
          <w:color w:val="231F20"/>
        </w:rPr>
        <w:t>have an independent nominating committee;</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60"/>
        </w:numPr>
        <w:rPr>
          <w:rFonts w:ascii="Arial" w:cs="Arial" w:eastAsia="Arial" w:hAnsi="Arial"/>
          <w:sz w:val="13"/>
          <w:szCs w:val="13"/>
          <w:color w:val="231F20"/>
        </w:rPr>
      </w:pPr>
      <w:r>
        <w:rPr>
          <w:rFonts w:ascii="Arial" w:cs="Arial" w:eastAsia="Arial" w:hAnsi="Arial"/>
          <w:sz w:val="13"/>
          <w:szCs w:val="13"/>
          <w:color w:val="231F20"/>
        </w:rPr>
        <w:t>solicit proxies and provide proxy statements for all shareholder meetings;</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60"/>
        </w:numPr>
        <w:rPr>
          <w:rFonts w:ascii="Arial" w:cs="Arial" w:eastAsia="Arial" w:hAnsi="Arial"/>
          <w:sz w:val="13"/>
          <w:szCs w:val="13"/>
          <w:color w:val="231F20"/>
        </w:rPr>
      </w:pPr>
      <w:r>
        <w:rPr>
          <w:rFonts w:ascii="Arial" w:cs="Arial" w:eastAsia="Arial" w:hAnsi="Arial"/>
          <w:sz w:val="13"/>
          <w:szCs w:val="13"/>
          <w:color w:val="231F20"/>
        </w:rPr>
        <w:t>review related party transactions; and</w:t>
      </w:r>
    </w:p>
    <w:p>
      <w:pPr>
        <w:spacing w:after="0" w:line="70" w:lineRule="exact"/>
        <w:rPr>
          <w:rFonts w:ascii="Arial" w:cs="Arial" w:eastAsia="Arial" w:hAnsi="Arial"/>
          <w:sz w:val="13"/>
          <w:szCs w:val="13"/>
          <w:color w:val="231F20"/>
        </w:rPr>
      </w:pPr>
    </w:p>
    <w:p>
      <w:pPr>
        <w:ind w:left="1020" w:hanging="340"/>
        <w:spacing w:after="0"/>
        <w:tabs>
          <w:tab w:leader="none" w:pos="1020" w:val="left"/>
        </w:tabs>
        <w:numPr>
          <w:ilvl w:val="0"/>
          <w:numId w:val="60"/>
        </w:numPr>
        <w:rPr>
          <w:rFonts w:ascii="Arial" w:cs="Arial" w:eastAsia="Arial" w:hAnsi="Arial"/>
          <w:sz w:val="13"/>
          <w:szCs w:val="13"/>
          <w:color w:val="231F20"/>
        </w:rPr>
      </w:pPr>
      <w:r>
        <w:rPr>
          <w:rFonts w:ascii="Arial" w:cs="Arial" w:eastAsia="Arial" w:hAnsi="Arial"/>
          <w:sz w:val="13"/>
          <w:szCs w:val="13"/>
          <w:color w:val="231F20"/>
        </w:rPr>
        <w:t>seek shareholder approval for the implementation of certain equity compensation plans and issuances of ordinary shares.</w:t>
      </w:r>
    </w:p>
    <w:p>
      <w:pPr>
        <w:spacing w:after="0" w:line="170"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Supervisory Board, proxy solicitation in connection with shareholders’ meetings, and obtaining shareholder approval in connection with the establishment of or material amendment to certain equity- based compensation plans.</w:t>
      </w:r>
    </w:p>
    <w:p>
      <w:pPr>
        <w:spacing w:after="0" w:line="135"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231F20"/>
        </w:rPr>
        <w:t>In accordance with our Nasdaq listing, 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the Nasdaq applicable to listed U.S. companies, including an affirmative determination that all members of the audit committee are “independent,” using more stringent criteria than those applicable to us as a foreign private issuer.</w:t>
      </w:r>
    </w:p>
    <w:p>
      <w:pPr>
        <w:spacing w:after="0" w:line="116"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231F20"/>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122"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b w:val="1"/>
          <w:bCs w:val="1"/>
          <w:i w:val="1"/>
          <w:iCs w:val="1"/>
          <w:color w:val="231F20"/>
        </w:rPr>
        <w:t>A significant portion of our total outstanding ordinary shares will be restricted from immediate resale but may be sold in the near future. The large number of shares eligible for sale or subject to rights requiring us to register them for sale could cause the market price of the ADSs to drop significantly, even if our business is performing well.</w:t>
      </w:r>
    </w:p>
    <w:p>
      <w:pPr>
        <w:spacing w:after="0" w:line="42"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231F20"/>
        </w:rPr>
        <w:t>Sales of a substantial number of ordinary shares or the ADSs could occur at any time, subject to certain restrictions described below. These sales, or the perception in the market that holders of a large number of shares intend to sell shares, could reduce the market price of the ADSs. As of December 31, 2019, we have 226,779,744 ordinary shares outstanding.</w:t>
      </w:r>
    </w:p>
    <w:p>
      <w:pPr>
        <w:spacing w:after="0" w:line="122"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231F20"/>
        </w:rPr>
        <w:t>In connection with our initial public offering, we, all of our directors and officers, and substantially all of our shareholders entered into lock-up agreements with the underwriters and/or are subject to market standoff agreements or other agreements with us under which we and they agreed, subject to specific exceptions, not to sell any of our shares for at least 180 days following the date of our initial public offering. The remaining ordinary shares are available for sale since they are not subject to contractual and legal restrictions on resale. Any or all of the shares subject to lock-up agreements may be released prior to the expiration of the lock-up period at the discretion of the lead underwriters for our initial public offering. To the extent shares are released before the expiration of the lock-up period and these shares are sold into the market, the market price of the ADSs could decline.</w:t>
      </w:r>
    </w:p>
    <w:p>
      <w:pPr>
        <w:spacing w:after="0" w:line="138"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231F20"/>
        </w:rPr>
        <w:t>We intend to file one or more registration statements on Form S-8 under the Securities Act of 1933, as amended, or the Securities Act, to register all ordinary shares issued or issuable under our equity plans. Any such Form S-8 registration statements will automatically become effective upon filing. Accordingly, shares registered under such registration statements will be available for sale in the open market following the expiration of the applicable lock-up period.</w:t>
      </w:r>
    </w:p>
    <w:p>
      <w:pPr>
        <w:spacing w:after="0" w:line="132"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color w:val="231F20"/>
        </w:rPr>
        <w:t>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for our ADS holders to sell the ADSs.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77" w:name="page78"/>
    <w:bookmarkEnd w:id="77"/>
    <w:p>
      <w:pPr>
        <w:ind w:left="560"/>
        <w:spacing w:after="0"/>
        <w:rPr>
          <w:sz w:val="20"/>
          <w:szCs w:val="20"/>
          <w:color w:val="auto"/>
        </w:rPr>
      </w:pPr>
      <w:r>
        <w:rPr>
          <w:rFonts w:ascii="Arial" w:cs="Arial" w:eastAsia="Arial" w:hAnsi="Arial"/>
          <w:sz w:val="13"/>
          <w:szCs w:val="13"/>
          <w:b w:val="1"/>
          <w:bCs w:val="1"/>
          <w:i w:val="1"/>
          <w:iCs w:val="1"/>
          <w:color w:val="231F20"/>
        </w:rPr>
        <w:t>Holders of the ADSs are not treated as shareholders of our company and will not have the same voting rights as our shareholders, which may affect the value of the ADSs.</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2"/>
          <w:szCs w:val="12"/>
          <w:color w:val="231F20"/>
        </w:rPr>
        <w:t>Holders of ADSs are not treated as our shareholders unless they cancel the ADSs and withdraw the ordinary shares underlying the ADSs from the depositary, which is the holder of the ordinary shares underlying the ADSs. Holders of ADSs, therefore, do not have any rights as shareholders of our company, other than the rights that they have pursuant to the deposit agreement. As such, holders of ADSs will not be able to directly vote underlying ordinary shares. Holders of ADSs may instruct the depositary how to vote the ordinary shares underlying their ADSs. If we ask it to, the depositary will send out information about shareholder meetings and solicit voting instructions and will try to carry out voting instructions it receives. However, we are not required to instruct the depositary to take action with respect to shareholder meetings. If we do not do so, holders of the ADSs can still send voting instructions to the depositary, and the depositary may try to carry out those instructions, but it is not required to do so. Holders of the ADSs may not become aware of shareholder meetings if the depositary does not send out information. Even if the depositary does solicit voting instructions, holders of ADSs may not receive the information in time. As a result of these factors, holders of ADSs may not be able to effectively exercise voting rights that they would have if they held our ordinary shares directly.</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If we sell our ordinary shares or the ADSs in future financings, holders of ADSs may experience immediate dilution and, as a result, the price of the ADSs may decline.</w:t>
      </w:r>
    </w:p>
    <w:p>
      <w:pPr>
        <w:spacing w:after="0" w:line="90"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231F20"/>
        </w:rPr>
        <w:t>We may from time to time issue additional ordinary shares or sell ADSs at a discount from the current trading price of our ordinary shares or the ADSs. As a result, holders of ADSs would experience further immediate dilution upon the purchase of any ordinary shares or ADSs sold at such discount. In addition, as opportunities present themselves, we may enter into financing or similar arrangements in the future, including the issuance of debt securities, ordinary shares or ADSs. If we issue ordinary shares or securities convertible or exchangeable into ordinary shares, such as ADSs, holders of the ADSs would experience additional dilution and, as a result, the price of the ADSs may decline.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Raising additional capital may cause dilution to our existing shareholders, restrict our operations, or require us to relinquish rights to our technologies or product candidates.</w:t>
      </w:r>
    </w:p>
    <w:p>
      <w:pPr>
        <w:spacing w:after="0" w:line="102" w:lineRule="exact"/>
        <w:rPr>
          <w:sz w:val="20"/>
          <w:szCs w:val="20"/>
          <w:color w:val="auto"/>
        </w:rPr>
      </w:pPr>
    </w:p>
    <w:p>
      <w:pPr>
        <w:ind w:right="160" w:firstLine="556"/>
        <w:spacing w:after="0" w:line="263" w:lineRule="auto"/>
        <w:rPr>
          <w:sz w:val="20"/>
          <w:szCs w:val="20"/>
          <w:color w:val="auto"/>
        </w:rPr>
      </w:pPr>
      <w:r>
        <w:rPr>
          <w:rFonts w:ascii="Arial" w:cs="Arial" w:eastAsia="Arial" w:hAnsi="Arial"/>
          <w:sz w:val="13"/>
          <w:szCs w:val="13"/>
          <w:color w:val="231F20"/>
        </w:rPr>
        <w:t>We may seek additional capital through a combination of public and private equity offerings, debt financings, collaborations and licensing arrangements. To the extent that we raise additional capital through the sale of equity securities, including securities convertible or exchangeable into ordinary shares, the ownership interest of existing shareholders and ADS holders will be diluted and the terms may include liquidation or other preferences that adversely affect their rights as a holder of ADSs of our securities.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licensing arrangements with third parties or through asset sales, we may have to relinquish valuable rights to our technologies or product candidates, or grant licenses on terms unfavorable to us.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1"/>
          <w:szCs w:val="11"/>
          <w:b w:val="1"/>
          <w:bCs w:val="1"/>
          <w:i w:val="1"/>
          <w:iCs w:val="1"/>
          <w:color w:val="231F20"/>
        </w:rPr>
        <w:t>Holders of the ADSs may not be able to participate in any future preemptive subscription rights issues or elect to receive dividends in shares, which may cause additional dilution to their holdings.</w:t>
      </w:r>
    </w:p>
    <w:p>
      <w:pPr>
        <w:spacing w:after="0" w:line="113" w:lineRule="exact"/>
        <w:rPr>
          <w:sz w:val="20"/>
          <w:szCs w:val="20"/>
          <w:color w:val="auto"/>
        </w:rPr>
      </w:pPr>
    </w:p>
    <w:p>
      <w:pPr>
        <w:jc w:val="both"/>
        <w:ind w:right="360" w:firstLine="556"/>
        <w:spacing w:after="0" w:line="304" w:lineRule="auto"/>
        <w:rPr>
          <w:sz w:val="20"/>
          <w:szCs w:val="20"/>
          <w:color w:val="auto"/>
        </w:rPr>
      </w:pPr>
      <w:r>
        <w:rPr>
          <w:rFonts w:ascii="Arial" w:cs="Arial" w:eastAsia="Arial" w:hAnsi="Arial"/>
          <w:sz w:val="12"/>
          <w:szCs w:val="12"/>
          <w:color w:val="231F20"/>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16" w:lineRule="exact"/>
        <w:rPr>
          <w:sz w:val="20"/>
          <w:szCs w:val="20"/>
          <w:color w:val="auto"/>
        </w:rPr>
      </w:pPr>
    </w:p>
    <w:p>
      <w:pPr>
        <w:ind w:right="80" w:firstLine="556"/>
        <w:spacing w:after="0" w:line="288" w:lineRule="auto"/>
        <w:rPr>
          <w:sz w:val="20"/>
          <w:szCs w:val="20"/>
          <w:color w:val="auto"/>
        </w:rPr>
      </w:pPr>
      <w:r>
        <w:rPr>
          <w:rFonts w:ascii="Arial" w:cs="Arial" w:eastAsia="Arial" w:hAnsi="Arial"/>
          <w:sz w:val="12"/>
          <w:szCs w:val="12"/>
          <w:color w:val="231F20"/>
        </w:rPr>
        <w:t>ADS holders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ADS holders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ADS holders will receive no value for these rights.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78" w:name="page79"/>
    <w:bookmarkEnd w:id="78"/>
    <w:p>
      <w:pPr>
        <w:ind w:left="560"/>
        <w:spacing w:after="0"/>
        <w:rPr>
          <w:sz w:val="20"/>
          <w:szCs w:val="20"/>
          <w:color w:val="auto"/>
        </w:rPr>
      </w:pPr>
      <w:r>
        <w:rPr>
          <w:rFonts w:ascii="Arial" w:cs="Arial" w:eastAsia="Arial" w:hAnsi="Arial"/>
          <w:sz w:val="13"/>
          <w:szCs w:val="13"/>
          <w:b w:val="1"/>
          <w:bCs w:val="1"/>
          <w:i w:val="1"/>
          <w:iCs w:val="1"/>
          <w:color w:val="231F20"/>
        </w:rPr>
        <w:t>U.S. holders of ADSs may suffer adverse tax consequences if we are characterized as a passive foreign investment company.</w:t>
      </w:r>
    </w:p>
    <w:p>
      <w:pPr>
        <w:spacing w:after="0" w:line="90" w:lineRule="exact"/>
        <w:rPr>
          <w:sz w:val="20"/>
          <w:szCs w:val="20"/>
          <w:color w:val="auto"/>
        </w:rPr>
      </w:pPr>
    </w:p>
    <w:p>
      <w:pPr>
        <w:ind w:right="20" w:firstLine="556"/>
        <w:spacing w:after="0" w:line="259" w:lineRule="auto"/>
        <w:rPr>
          <w:sz w:val="20"/>
          <w:szCs w:val="20"/>
          <w:color w:val="auto"/>
        </w:rPr>
      </w:pPr>
      <w:r>
        <w:rPr>
          <w:rFonts w:ascii="Arial" w:cs="Arial" w:eastAsia="Arial" w:hAnsi="Arial"/>
          <w:sz w:val="13"/>
          <w:szCs w:val="13"/>
          <w:color w:val="231F20"/>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more than 25% (by value) of the stock. Based on the current composition of our income and assets and the value of our assets, including goodwill, which is based on the current market price of the ADSs, we do not expect to be treated as a PFIC for our current taxable year or in any future taxable year.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 If we were to be or become a PFIC for any taxable year during which a U.S. holder (defined below in “Taxation—Material United States Federal Income Tax Considerations”) holds ADSs, certain adverse U.S. federal income tax consequences could apply to such U.S. holder. See “Taxation— Material United States Federal Income Tax Considerations—Passive Foreign Investment Company Considerations.”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The interpretation of the treatment of ADSs by the German tax authorities is subject to change.</w:t>
      </w:r>
    </w:p>
    <w:p>
      <w:pPr>
        <w:spacing w:after="0" w:line="90" w:lineRule="exact"/>
        <w:rPr>
          <w:sz w:val="20"/>
          <w:szCs w:val="20"/>
          <w:color w:val="auto"/>
        </w:rPr>
      </w:pPr>
    </w:p>
    <w:p>
      <w:pPr>
        <w:ind w:right="80" w:firstLine="556"/>
        <w:spacing w:after="0" w:line="285" w:lineRule="auto"/>
        <w:rPr>
          <w:sz w:val="20"/>
          <w:szCs w:val="20"/>
          <w:color w:val="auto"/>
        </w:rPr>
      </w:pPr>
      <w:r>
        <w:rPr>
          <w:rFonts w:ascii="Arial" w:cs="Arial" w:eastAsia="Arial" w:hAnsi="Arial"/>
          <w:sz w:val="12"/>
          <w:szCs w:val="12"/>
          <w:color w:val="231F20"/>
        </w:rPr>
        <w:t>The specific treatment of ADSs under German tax law is based on administrative provisions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2"/>
          <w:szCs w:val="12"/>
          <w:i w:val="1"/>
          <w:iCs w:val="1"/>
          <w:color w:val="231F20"/>
        </w:rPr>
        <w:t>BMF-Schreiben</w:t>
      </w:r>
      <w:r>
        <w:rPr>
          <w:rFonts w:ascii="Arial" w:cs="Arial" w:eastAsia="Arial" w:hAnsi="Arial"/>
          <w:sz w:val="12"/>
          <w:szCs w:val="12"/>
          <w:color w:val="231F20"/>
        </w:rPr>
        <w:t>), dated May 21, 2019, (reference number IV C 1</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3"/>
          <w:szCs w:val="13"/>
          <w:color w:val="231F20"/>
        </w:rPr>
        <w:t>– S 1980-1/16/10010 :001, ADSs are not treated as capital participation (</w:t>
      </w:r>
      <w:r>
        <w:rPr>
          <w:rFonts w:ascii="Arial" w:cs="Arial" w:eastAsia="Arial" w:hAnsi="Arial"/>
          <w:sz w:val="13"/>
          <w:szCs w:val="13"/>
          <w:i w:val="1"/>
          <w:iCs w:val="1"/>
          <w:color w:val="231F20"/>
        </w:rPr>
        <w:t>Kapitalbeteiligung</w:t>
      </w:r>
      <w:r>
        <w:rPr>
          <w:rFonts w:ascii="Arial" w:cs="Arial" w:eastAsia="Arial" w:hAnsi="Arial"/>
          <w:sz w:val="13"/>
          <w:szCs w:val="13"/>
          <w:color w:val="231F20"/>
        </w:rPr>
        <w:t>) within the meaning of Section 2 Para. 8 of the Investment Tax Code (</w:t>
      </w:r>
      <w:r>
        <w:rPr>
          <w:rFonts w:ascii="Arial" w:cs="Arial" w:eastAsia="Arial" w:hAnsi="Arial"/>
          <w:sz w:val="13"/>
          <w:szCs w:val="13"/>
          <w:i w:val="1"/>
          <w:iCs w:val="1"/>
          <w:color w:val="231F20"/>
        </w:rPr>
        <w:t>Investmentsteuergesetz</w:t>
      </w:r>
      <w:r>
        <w:rPr>
          <w:rFonts w:ascii="Arial" w:cs="Arial" w:eastAsia="Arial" w:hAnsi="Arial"/>
          <w:sz w:val="13"/>
          <w:szCs w:val="13"/>
          <w:color w:val="231F20"/>
        </w:rPr>
        <w:t>). Such interpretation by the fiscal authorities may have adverse effects on the taxation of investors.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U.S. investors may have difficulty enforcing civil liabilities against our company and members of our Supervisory Board and Management Board and the experts named in this report.</w:t>
      </w:r>
    </w:p>
    <w:p>
      <w:pPr>
        <w:spacing w:after="0" w:line="102" w:lineRule="exact"/>
        <w:rPr>
          <w:sz w:val="20"/>
          <w:szCs w:val="20"/>
          <w:color w:val="auto"/>
        </w:rPr>
      </w:pPr>
    </w:p>
    <w:p>
      <w:pPr>
        <w:ind w:firstLine="556"/>
        <w:spacing w:after="0" w:line="283" w:lineRule="auto"/>
        <w:rPr>
          <w:sz w:val="20"/>
          <w:szCs w:val="20"/>
          <w:color w:val="auto"/>
        </w:rPr>
      </w:pPr>
      <w:r>
        <w:rPr>
          <w:rFonts w:ascii="Arial" w:cs="Arial" w:eastAsia="Arial" w:hAnsi="Arial"/>
          <w:sz w:val="12"/>
          <w:szCs w:val="12"/>
          <w:color w:val="231F20"/>
        </w:rPr>
        <w:t>We are incorporated under the laws of Germany as a European stock corporation (</w:t>
      </w:r>
      <w:r>
        <w:rPr>
          <w:rFonts w:ascii="Arial" w:cs="Arial" w:eastAsia="Arial" w:hAnsi="Arial"/>
          <w:sz w:val="12"/>
          <w:szCs w:val="12"/>
          <w:i w:val="1"/>
          <w:iCs w:val="1"/>
          <w:color w:val="231F20"/>
        </w:rPr>
        <w:t>Societas Europaea</w:t>
      </w:r>
      <w:r>
        <w:rPr>
          <w:rFonts w:ascii="Arial" w:cs="Arial" w:eastAsia="Arial" w:hAnsi="Arial"/>
          <w:sz w:val="12"/>
          <w:szCs w:val="12"/>
          <w:color w:val="231F20"/>
        </w:rPr>
        <w:t>) pursuant to the SE Regulation. The majority of our assets are located outside the United States and all of the members of our Management Board and Supervisory Board reside outside of the United States. As a result, it may not be possible for investors to effect service of process within the United States upon such persons or to enforce against them or us in U.S. courts’ judgments predicated upon the civil liability provisions of the federal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There is currently no treaty between the United States and Germany providing for reciprocal recognition and enforceability of judgments rendered in connection with civil and commercial disputes and, accordingly, a final judgment rendered by a U.S. court based on civil liability would, except where explicitly ruled enforceable by a competent German court, not be enforceable in Germany as such. However, a U.S. court’s judgment may carry evidentiary value in any proceedings for civil liability brought in the German courts. Litigation in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or any members of our Management or Supervisory Boards.</w:t>
      </w:r>
    </w:p>
    <w:p>
      <w:pPr>
        <w:spacing w:after="0" w:line="130"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231F20"/>
        </w:rPr>
        <w:t>German and other non-U.S. courts may refuse to hear a U.S. securities law claim because such courts may not be the most appropriate forums in which to bring such a claim. Even if a non-U.S. court agrees to hear a claim, it may determine that the law of the jurisdiction in which the court resides, and not U.S. law, is applicable to the claim. Further, if U.S. law is found to be applicable, the content of applicable U.S. law must be proved as fact, which can be a time-consuming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79" w:name="page80"/>
    <w:bookmarkEnd w:id="79"/>
    <w:p>
      <w:pPr>
        <w:spacing w:after="0"/>
        <w:rPr>
          <w:sz w:val="20"/>
          <w:szCs w:val="20"/>
          <w:color w:val="auto"/>
        </w:rPr>
      </w:pPr>
      <w:r>
        <w:rPr>
          <w:rFonts w:ascii="Arial" w:cs="Arial" w:eastAsia="Arial" w:hAnsi="Arial"/>
          <w:sz w:val="13"/>
          <w:szCs w:val="13"/>
          <w:color w:val="231F20"/>
        </w:rPr>
        <w:t>costly process, and certain matters of procedure would still be governed by the law of the jurisdiction in which the foreign court resides.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The rights of shareholders in a stock corporation subject to German law differ in material respects from the rights of shareholders of corporations incorporated in the United States.</w:t>
      </w:r>
    </w:p>
    <w:p>
      <w:pPr>
        <w:spacing w:after="0" w:line="102"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231F20"/>
        </w:rPr>
        <w:t>We are a European stock corporation (</w:t>
      </w:r>
      <w:r>
        <w:rPr>
          <w:rFonts w:ascii="Arial" w:cs="Arial" w:eastAsia="Arial" w:hAnsi="Arial"/>
          <w:sz w:val="13"/>
          <w:szCs w:val="13"/>
          <w:i w:val="1"/>
          <w:iCs w:val="1"/>
          <w:color w:val="231F20"/>
        </w:rPr>
        <w:t>Societas Europaea</w:t>
      </w:r>
      <w:r>
        <w:rPr>
          <w:rFonts w:ascii="Arial" w:cs="Arial" w:eastAsia="Arial" w:hAnsi="Arial"/>
          <w:sz w:val="13"/>
          <w:szCs w:val="13"/>
          <w:color w:val="231F20"/>
        </w:rPr>
        <w:t>) with our registered office in Germany. Our corporate affairs are governed by the laws governing stock corporations and European stock corporations incorporated in Germany, the SE Regulation and our articles of association. The rights of shareholders may be different from the rights and obligations of shareholders in companies governed by the laws of U.S. jurisdictions. Among other differences in shareholder rights, under German law, certain important resolutions, including, for example, capital decreases, measures under the German Transformation Act (</w:t>
      </w:r>
      <w:r>
        <w:rPr>
          <w:rFonts w:ascii="Arial" w:cs="Arial" w:eastAsia="Arial" w:hAnsi="Arial"/>
          <w:sz w:val="13"/>
          <w:szCs w:val="13"/>
          <w:i w:val="1"/>
          <w:iCs w:val="1"/>
          <w:color w:val="231F20"/>
        </w:rPr>
        <w:t>Umwandlungsgesetz</w:t>
      </w:r>
      <w:r>
        <w:rPr>
          <w:rFonts w:ascii="Arial" w:cs="Arial" w:eastAsia="Arial" w:hAnsi="Arial"/>
          <w:sz w:val="13"/>
          <w:szCs w:val="13"/>
          <w:color w:val="231F20"/>
        </w:rPr>
        <w:t>), such as mergers, conversions and spin-offs and the dissolution of the German stock corporation apart from insolvency and certain other proceedings, require the vote of a 75% majority of the capital present or represented at the relevant shareholders’ meeting.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other shareholders.</w:t>
      </w:r>
    </w:p>
    <w:p>
      <w:pPr>
        <w:spacing w:after="0" w:line="142"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As a general rule under German law, in the case of a two-tier European stock corporation a shareholder has no direct recourse against the members of the management board and the supervisory board, in the event that it is alleged that they have breached their duty of loyalty or duty of care to the corporation. Apart from insolvency or other special circumstances, only the European stock corporation itself has the right to claim damages from members of the management and supervisory boards. A European stock corporation may waive or settle these damages claims only if at least three years have passed and the shareholders approve the waiver or settlement at the shareholders’ meeting with a simple majority of the votes cast, provided that a minority holding, in the aggregate, 10% or more of the European stock corporation’s share capital does not have its opposition formally noted in the minutes.</w:t>
      </w:r>
    </w:p>
    <w:p>
      <w:pPr>
        <w:spacing w:after="0" w:line="138" w:lineRule="exact"/>
        <w:rPr>
          <w:sz w:val="20"/>
          <w:szCs w:val="20"/>
          <w:color w:val="auto"/>
        </w:rPr>
      </w:pPr>
    </w:p>
    <w:p>
      <w:pPr>
        <w:ind w:right="240" w:firstLine="556"/>
        <w:spacing w:after="0" w:line="304" w:lineRule="auto"/>
        <w:rPr>
          <w:sz w:val="20"/>
          <w:szCs w:val="20"/>
          <w:color w:val="auto"/>
        </w:rPr>
      </w:pPr>
      <w:r>
        <w:rPr>
          <w:rFonts w:ascii="Arial" w:cs="Arial" w:eastAsia="Arial" w:hAnsi="Arial"/>
          <w:sz w:val="12"/>
          <w:szCs w:val="12"/>
          <w:color w:val="231F20"/>
        </w:rPr>
        <w:t>In addition, the responsibilities of members of our Management Board and Supervisory Board may differ from the duties of directors of U.S. corporations. For example, in the performance of their duties, our Management Board and Supervisory Board may take into account a broad range of considerations, including our interests, the interests of our shareholders, employees, creditors and, to a limited extent, the general public. It is possible that some of these parties will have interests that are different from, or in addition to, the interests of a holder of our ADSs.</w:t>
      </w:r>
    </w:p>
    <w:p>
      <w:pPr>
        <w:spacing w:after="0" w:line="116" w:lineRule="exact"/>
        <w:rPr>
          <w:sz w:val="20"/>
          <w:szCs w:val="20"/>
          <w:color w:val="auto"/>
        </w:rPr>
      </w:pPr>
    </w:p>
    <w:p>
      <w:pPr>
        <w:ind w:right="340" w:firstLine="556"/>
        <w:spacing w:after="0" w:line="287" w:lineRule="auto"/>
        <w:rPr>
          <w:sz w:val="20"/>
          <w:szCs w:val="20"/>
          <w:color w:val="auto"/>
        </w:rPr>
      </w:pPr>
      <w:r>
        <w:rPr>
          <w:rFonts w:ascii="Arial" w:cs="Arial" w:eastAsia="Arial" w:hAnsi="Arial"/>
          <w:sz w:val="13"/>
          <w:szCs w:val="13"/>
          <w:color w:val="231F20"/>
        </w:rPr>
        <w:t>For more information, we have provided summaries of relevant German corporation law and of our articles of association under “Management” and “Description of Share Capital and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If securities analysts publish negative evaluations of us, the price of the ADSs could decline.</w:t>
      </w:r>
    </w:p>
    <w:p>
      <w:pPr>
        <w:spacing w:after="0" w:line="90" w:lineRule="exact"/>
        <w:rPr>
          <w:sz w:val="20"/>
          <w:szCs w:val="20"/>
          <w:color w:val="auto"/>
        </w:rPr>
      </w:pPr>
    </w:p>
    <w:p>
      <w:pPr>
        <w:jc w:val="both"/>
        <w:ind w:right="140" w:firstLine="556"/>
        <w:spacing w:after="0" w:line="272" w:lineRule="auto"/>
        <w:rPr>
          <w:sz w:val="20"/>
          <w:szCs w:val="20"/>
          <w:color w:val="auto"/>
        </w:rPr>
      </w:pPr>
      <w:r>
        <w:rPr>
          <w:rFonts w:ascii="Arial" w:cs="Arial" w:eastAsia="Arial" w:hAnsi="Arial"/>
          <w:sz w:val="13"/>
          <w:szCs w:val="13"/>
          <w:color w:val="231F20"/>
        </w:rPr>
        <w:t xml:space="preserve">The trading market for the ADSs will rely, in part, on the research and reports that industry or financial analysts publish </w:t>
      </w:r>
      <w:r>
        <w:rPr>
          <w:rFonts w:ascii="Arial" w:cs="Arial" w:eastAsia="Arial" w:hAnsi="Arial"/>
          <w:sz w:val="13"/>
          <w:szCs w:val="13"/>
          <w:color w:val="000000"/>
        </w:rPr>
        <w:t>about</w:t>
      </w:r>
      <w:r>
        <w:rPr>
          <w:rFonts w:ascii="Arial" w:cs="Arial" w:eastAsia="Arial" w:hAnsi="Arial"/>
          <w:sz w:val="13"/>
          <w:szCs w:val="13"/>
          <w:color w:val="231F20"/>
        </w:rPr>
        <w:t xml:space="preserve"> us or our business. If one </w:t>
      </w:r>
      <w:r>
        <w:rPr>
          <w:rFonts w:ascii="Arial" w:cs="Arial" w:eastAsia="Arial" w:hAnsi="Arial"/>
          <w:sz w:val="13"/>
          <w:szCs w:val="13"/>
          <w:color w:val="000000"/>
        </w:rPr>
        <w:t>or</w:t>
      </w:r>
      <w:r>
        <w:rPr>
          <w:rFonts w:ascii="Arial" w:cs="Arial" w:eastAsia="Arial" w:hAnsi="Arial"/>
          <w:sz w:val="13"/>
          <w:szCs w:val="13"/>
          <w:color w:val="231F20"/>
        </w:rPr>
        <w:t xml:space="preserve"> more of the analysts covering our business downgrade their evaluations of us, the price of the ADSs could decline. If one or more of these analysts cease to cover the ADSs, we could lose visibility in the market for the ADSs, which in turn could cause price of the ADSs to decline.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231F20"/>
        </w:rPr>
        <w:t>Our principal shareholders and management own a significant percentage of our ordinary shares and will be able to exert significant control over matters subject to shareholder approval.</w:t>
      </w:r>
    </w:p>
    <w:p>
      <w:pPr>
        <w:spacing w:after="0" w:line="102"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231F20"/>
        </w:rPr>
        <w:t xml:space="preserve">Our executive officers, directors, five percent shareholders, and their affiliates beneficially own approximately 83.40% of our </w:t>
      </w:r>
      <w:r>
        <w:rPr>
          <w:rFonts w:ascii="Arial" w:cs="Arial" w:eastAsia="Arial" w:hAnsi="Arial"/>
          <w:sz w:val="13"/>
          <w:szCs w:val="13"/>
          <w:color w:val="000000"/>
        </w:rPr>
        <w:t>ordinary</w:t>
      </w:r>
      <w:r>
        <w:rPr>
          <w:rFonts w:ascii="Arial" w:cs="Arial" w:eastAsia="Arial" w:hAnsi="Arial"/>
          <w:sz w:val="13"/>
          <w:szCs w:val="13"/>
          <w:color w:val="231F20"/>
        </w:rPr>
        <w:t xml:space="preserve"> shares as of January 31, 2020. Therefore, these shareholders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holders may believe are in their best interest as one of our shareholders.</w:t>
      </w:r>
    </w:p>
    <w:p>
      <w:pPr>
        <w:spacing w:after="0" w:line="135"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b w:val="1"/>
          <w:bCs w:val="1"/>
          <w:i w:val="1"/>
          <w:iCs w:val="1"/>
          <w:color w:val="231F20"/>
        </w:rPr>
        <w:t>Because we do not currently pay cash dividends on our ordinary shares and do not anticipate doing so in the foreseeable future, capital appreciation, if any, will be the sole source of gain on investments in the ADSs.</w:t>
      </w:r>
    </w:p>
    <w:p>
      <w:pPr>
        <w:spacing w:after="0" w:line="42"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231F20"/>
        </w:rPr>
        <w:t>There is no plan to declare or pay cash dividends on our ordinary shares. The intention is to retain all future earnings, if any, to finance the growth and development of the business. Additionally, the terms of any future debt agreements may preclude dividend payments. Our ability to pay dividends is also limited under the terms of the investment agreement we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80" w:name="page81"/>
    <w:bookmarkEnd w:id="80"/>
    <w:p>
      <w:pPr>
        <w:spacing w:after="0"/>
        <w:rPr>
          <w:sz w:val="20"/>
          <w:szCs w:val="20"/>
          <w:color w:val="auto"/>
        </w:rPr>
      </w:pPr>
      <w:r>
        <w:rPr>
          <w:rFonts w:ascii="Arial" w:cs="Arial" w:eastAsia="Arial" w:hAnsi="Arial"/>
          <w:sz w:val="13"/>
          <w:szCs w:val="13"/>
          <w:color w:val="231F20"/>
        </w:rPr>
        <w:t>have entered into with BMGF. As a result, capital appreciation, if any, on the ADSs will be the sole source of gain for the foreseeable future.</w:t>
      </w:r>
    </w:p>
    <w:p>
      <w:pPr>
        <w:spacing w:after="0" w:line="170" w:lineRule="exact"/>
        <w:rPr>
          <w:sz w:val="20"/>
          <w:szCs w:val="20"/>
          <w:color w:val="auto"/>
        </w:rPr>
      </w:pPr>
    </w:p>
    <w:p>
      <w:pPr>
        <w:ind w:right="40" w:firstLine="556"/>
        <w:spacing w:after="0" w:line="287" w:lineRule="auto"/>
        <w:rPr>
          <w:sz w:val="20"/>
          <w:szCs w:val="20"/>
          <w:color w:val="auto"/>
        </w:rPr>
      </w:pPr>
      <w:r>
        <w:rPr>
          <w:rFonts w:ascii="Arial" w:cs="Arial" w:eastAsia="Arial" w:hAnsi="Arial"/>
          <w:sz w:val="13"/>
          <w:szCs w:val="13"/>
          <w:b w:val="1"/>
          <w:bCs w:val="1"/>
          <w:i w:val="1"/>
          <w:iCs w:val="1"/>
          <w:color w:val="231F20"/>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42" w:lineRule="exact"/>
        <w:rPr>
          <w:sz w:val="20"/>
          <w:szCs w:val="20"/>
          <w:color w:val="auto"/>
        </w:rPr>
      </w:pPr>
    </w:p>
    <w:p>
      <w:pPr>
        <w:ind w:firstLine="556"/>
        <w:spacing w:after="0" w:line="282" w:lineRule="auto"/>
        <w:rPr>
          <w:sz w:val="20"/>
          <w:szCs w:val="20"/>
          <w:color w:val="auto"/>
        </w:rPr>
      </w:pPr>
      <w:r>
        <w:rPr>
          <w:rFonts w:ascii="Arial" w:cs="Arial" w:eastAsia="Arial" w:hAnsi="Arial"/>
          <w:sz w:val="12"/>
          <w:szCs w:val="12"/>
          <w:color w:val="231F20"/>
        </w:rPr>
        <w:t xml:space="preserve">As a German tax resident company, if we were to pay dividends, such dividends will be subject to German withholding tax. Currently, the applicable German withholding tax rate is 26.375% of the gross dividend. This German tax can be </w:t>
      </w:r>
      <w:r>
        <w:rPr>
          <w:rFonts w:ascii="Arial" w:cs="Arial" w:eastAsia="Arial" w:hAnsi="Arial"/>
          <w:sz w:val="12"/>
          <w:szCs w:val="12"/>
          <w:color w:val="000000"/>
        </w:rPr>
        <w:t>reduced</w:t>
      </w:r>
      <w:r>
        <w:rPr>
          <w:rFonts w:ascii="Arial" w:cs="Arial" w:eastAsia="Arial" w:hAnsi="Arial"/>
          <w:sz w:val="12"/>
          <w:szCs w:val="12"/>
          <w:color w:val="231F20"/>
        </w:rPr>
        <w:t xml:space="preserve"> to the applicable U.S.-</w:t>
      </w:r>
      <w:r>
        <w:rPr>
          <w:rFonts w:ascii="Arial" w:cs="Arial" w:eastAsia="Arial" w:hAnsi="Arial"/>
          <w:sz w:val="12"/>
          <w:szCs w:val="12"/>
          <w:color w:val="000000"/>
        </w:rPr>
        <w:t>Germany</w:t>
      </w:r>
      <w:r>
        <w:rPr>
          <w:rFonts w:ascii="Arial" w:cs="Arial" w:eastAsia="Arial" w:hAnsi="Arial"/>
          <w:sz w:val="12"/>
          <w:szCs w:val="12"/>
          <w:color w:val="231F20"/>
        </w:rPr>
        <w:t xml:space="preserve"> income tax treaty, or Treaty, rate, which is generally 15%, if the applicable taxpayer is eligible for such Treaty rate and files an application containing a specific German tax certificate with the German Federal Central Tax Office (</w:t>
      </w:r>
      <w:r>
        <w:rPr>
          <w:rFonts w:ascii="Arial" w:cs="Arial" w:eastAsia="Arial" w:hAnsi="Arial"/>
          <w:sz w:val="12"/>
          <w:szCs w:val="12"/>
          <w:i w:val="1"/>
          <w:iCs w:val="1"/>
          <w:color w:val="231F20"/>
        </w:rPr>
        <w:t>Bundeszentralamt für Steuern</w:t>
      </w:r>
      <w:r>
        <w:rPr>
          <w:rFonts w:ascii="Arial" w:cs="Arial" w:eastAsia="Arial" w:hAnsi="Arial"/>
          <w:sz w:val="12"/>
          <w:szCs w:val="12"/>
          <w:color w:val="231F20"/>
        </w:rPr>
        <w:t>). If such a tax certificate cannot be delivered to the ADS holder due to applicable settlement mechanics or lack of information regarding the 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2"/>
          <w:szCs w:val="12"/>
          <w:i w:val="1"/>
          <w:iCs w:val="1"/>
          <w:color w:val="231F20"/>
        </w:rPr>
        <w:t>Besteuerung von American</w:t>
      </w:r>
      <w:r>
        <w:rPr>
          <w:rFonts w:ascii="Arial" w:cs="Arial" w:eastAsia="Arial" w:hAnsi="Arial"/>
          <w:sz w:val="12"/>
          <w:szCs w:val="12"/>
          <w:color w:val="231F20"/>
        </w:rPr>
        <w:t xml:space="preserve"> </w:t>
      </w:r>
      <w:r>
        <w:rPr>
          <w:rFonts w:ascii="Arial" w:cs="Arial" w:eastAsia="Arial" w:hAnsi="Arial"/>
          <w:sz w:val="12"/>
          <w:szCs w:val="12"/>
          <w:i w:val="1"/>
          <w:iCs w:val="1"/>
          <w:color w:val="231F20"/>
        </w:rPr>
        <w:t>Depositary Receipts (ADR) auf inländische Aktien</w:t>
      </w:r>
      <w:r>
        <w:rPr>
          <w:rFonts w:ascii="Arial" w:cs="Arial" w:eastAsia="Arial" w:hAnsi="Arial"/>
          <w:sz w:val="12"/>
          <w:szCs w:val="12"/>
          <w:color w:val="231F20"/>
        </w:rPr>
        <w:t>) issued by the German Federal Ministry of Finance</w:t>
      </w:r>
      <w:r>
        <w:rPr>
          <w:rFonts w:ascii="Arial" w:cs="Arial" w:eastAsia="Arial" w:hAnsi="Arial"/>
          <w:sz w:val="12"/>
          <w:szCs w:val="12"/>
          <w:i w:val="1"/>
          <w:iCs w:val="1"/>
          <w:color w:val="231F20"/>
        </w:rPr>
        <w:t xml:space="preserve"> (Bundesministerium der Finanzen</w:t>
      </w:r>
      <w:r>
        <w:rPr>
          <w:rFonts w:ascii="Arial" w:cs="Arial" w:eastAsia="Arial" w:hAnsi="Arial"/>
          <w:sz w:val="12"/>
          <w:szCs w:val="12"/>
          <w:color w:val="231F20"/>
        </w:rPr>
        <w:t>), dated May 24, 2013 (</w:t>
      </w:r>
      <w:r>
        <w:rPr>
          <w:rFonts w:ascii="Arial" w:cs="Arial" w:eastAsia="Arial" w:hAnsi="Arial"/>
          <w:sz w:val="12"/>
          <w:szCs w:val="12"/>
          <w:color w:val="000000"/>
        </w:rPr>
        <w:t>reference</w:t>
      </w:r>
      <w:r>
        <w:rPr>
          <w:rFonts w:ascii="Arial" w:cs="Arial" w:eastAsia="Arial" w:hAnsi="Arial"/>
          <w:sz w:val="12"/>
          <w:szCs w:val="12"/>
          <w:i w:val="1"/>
          <w:iCs w:val="1"/>
          <w:color w:val="231F20"/>
        </w:rPr>
        <w:t xml:space="preserve"> </w:t>
      </w:r>
      <w:r>
        <w:rPr>
          <w:rFonts w:ascii="Arial" w:cs="Arial" w:eastAsia="Arial" w:hAnsi="Arial"/>
          <w:sz w:val="12"/>
          <w:szCs w:val="12"/>
          <w:color w:val="231F20"/>
        </w:rPr>
        <w:t>number IV C 1-S2204/12/10003), as</w:t>
      </w:r>
      <w:r>
        <w:rPr>
          <w:rFonts w:ascii="Arial" w:cs="Arial" w:eastAsia="Arial" w:hAnsi="Arial"/>
          <w:sz w:val="12"/>
          <w:szCs w:val="12"/>
          <w:i w:val="1"/>
          <w:iCs w:val="1"/>
          <w:color w:val="231F20"/>
        </w:rPr>
        <w:t xml:space="preserve"> </w:t>
      </w:r>
      <w:r>
        <w:rPr>
          <w:rFonts w:ascii="Arial" w:cs="Arial" w:eastAsia="Arial" w:hAnsi="Arial"/>
          <w:sz w:val="12"/>
          <w:szCs w:val="12"/>
          <w:color w:val="231F20"/>
        </w:rPr>
        <w:t xml:space="preserve">amended by the circular dated December 18, 2018 (reference number IV C 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w:t>
      </w:r>
      <w:r>
        <w:rPr>
          <w:rFonts w:ascii="Arial" w:cs="Arial" w:eastAsia="Arial" w:hAnsi="Arial"/>
          <w:sz w:val="12"/>
          <w:szCs w:val="12"/>
          <w:color w:val="000000"/>
        </w:rPr>
        <w:t>Tax</w:t>
      </w:r>
      <w:r>
        <w:rPr>
          <w:rFonts w:ascii="Arial" w:cs="Arial" w:eastAsia="Arial" w:hAnsi="Arial"/>
          <w:sz w:val="12"/>
          <w:szCs w:val="12"/>
          <w:color w:val="231F20"/>
        </w:rPr>
        <w:t xml:space="preserve">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We could be subject to securities class action litigation.</w:t>
      </w:r>
    </w:p>
    <w:p>
      <w:pPr>
        <w:spacing w:after="0" w:line="90"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231F20"/>
        </w:rPr>
        <w:t xml:space="preserve">In </w:t>
      </w:r>
      <w:r>
        <w:rPr>
          <w:rFonts w:ascii="Arial" w:cs="Arial" w:eastAsia="Arial" w:hAnsi="Arial"/>
          <w:sz w:val="13"/>
          <w:szCs w:val="13"/>
          <w:color w:val="000000"/>
        </w:rPr>
        <w:t>the</w:t>
      </w:r>
      <w:r>
        <w:rPr>
          <w:rFonts w:ascii="Arial" w:cs="Arial" w:eastAsia="Arial" w:hAnsi="Arial"/>
          <w:sz w:val="13"/>
          <w:szCs w:val="13"/>
          <w:color w:val="231F20"/>
        </w:rPr>
        <w:t xml:space="preserve"> past, securities class action litigation has often been brought against a company following a decline in the market price </w:t>
      </w:r>
      <w:r>
        <w:rPr>
          <w:rFonts w:ascii="Arial" w:cs="Arial" w:eastAsia="Arial" w:hAnsi="Arial"/>
          <w:sz w:val="13"/>
          <w:szCs w:val="13"/>
          <w:color w:val="000000"/>
        </w:rPr>
        <w:t>of</w:t>
      </w:r>
      <w:r>
        <w:rPr>
          <w:rFonts w:ascii="Arial" w:cs="Arial" w:eastAsia="Arial" w:hAnsi="Arial"/>
          <w:sz w:val="13"/>
          <w:szCs w:val="13"/>
          <w:color w:val="231F20"/>
        </w:rPr>
        <w:t xml:space="preserve"> its securities. This risk is especially relevant for us because biopharmaceutical companies have experienced significant </w:t>
      </w:r>
      <w:r>
        <w:rPr>
          <w:rFonts w:ascii="Arial" w:cs="Arial" w:eastAsia="Arial" w:hAnsi="Arial"/>
          <w:sz w:val="13"/>
          <w:szCs w:val="13"/>
          <w:color w:val="000000"/>
        </w:rPr>
        <w:t>price</w:t>
      </w:r>
      <w:r>
        <w:rPr>
          <w:rFonts w:ascii="Arial" w:cs="Arial" w:eastAsia="Arial" w:hAnsi="Arial"/>
          <w:sz w:val="13"/>
          <w:szCs w:val="13"/>
          <w:color w:val="231F20"/>
        </w:rPr>
        <w:t xml:space="preserve"> volatility in recent years. If we face such litigation, it could result in substantial </w:t>
      </w:r>
      <w:r>
        <w:rPr>
          <w:rFonts w:ascii="Arial" w:cs="Arial" w:eastAsia="Arial" w:hAnsi="Arial"/>
          <w:sz w:val="13"/>
          <w:szCs w:val="13"/>
          <w:color w:val="000000"/>
        </w:rPr>
        <w:t>costs</w:t>
      </w:r>
      <w:r>
        <w:rPr>
          <w:rFonts w:ascii="Arial" w:cs="Arial" w:eastAsia="Arial" w:hAnsi="Arial"/>
          <w:sz w:val="13"/>
          <w:szCs w:val="13"/>
          <w:color w:val="231F20"/>
        </w:rPr>
        <w:t xml:space="preserve"> and a diversion of management’s attention and resources, which could harm our business.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1"/>
          <w:szCs w:val="11"/>
          <w:b w:val="1"/>
          <w:bCs w:val="1"/>
          <w:i w:val="1"/>
          <w:iCs w:val="1"/>
          <w:color w:val="231F20"/>
        </w:rPr>
        <w:t xml:space="preserve">ADS </w:t>
      </w:r>
      <w:r>
        <w:rPr>
          <w:rFonts w:ascii="Arial" w:cs="Arial" w:eastAsia="Arial" w:hAnsi="Arial"/>
          <w:sz w:val="11"/>
          <w:szCs w:val="11"/>
          <w:b w:val="1"/>
          <w:bCs w:val="1"/>
          <w:i w:val="1"/>
          <w:iCs w:val="1"/>
          <w:color w:val="000000"/>
        </w:rPr>
        <w:t>holders</w:t>
      </w:r>
      <w:r>
        <w:rPr>
          <w:rFonts w:ascii="Arial" w:cs="Arial" w:eastAsia="Arial" w:hAnsi="Arial"/>
          <w:sz w:val="11"/>
          <w:szCs w:val="11"/>
          <w:b w:val="1"/>
          <w:bCs w:val="1"/>
          <w:i w:val="1"/>
          <w:iCs w:val="1"/>
          <w:color w:val="231F20"/>
        </w:rPr>
        <w:t xml:space="preserve"> may not be entitled to a jury trial with respect to claims arising under the deposit agreement, which could </w:t>
      </w:r>
      <w:r>
        <w:rPr>
          <w:rFonts w:ascii="Arial" w:cs="Arial" w:eastAsia="Arial" w:hAnsi="Arial"/>
          <w:sz w:val="11"/>
          <w:szCs w:val="11"/>
          <w:b w:val="1"/>
          <w:bCs w:val="1"/>
          <w:i w:val="1"/>
          <w:iCs w:val="1"/>
          <w:color w:val="000000"/>
        </w:rPr>
        <w:t>result</w:t>
      </w:r>
      <w:r>
        <w:rPr>
          <w:rFonts w:ascii="Arial" w:cs="Arial" w:eastAsia="Arial" w:hAnsi="Arial"/>
          <w:sz w:val="11"/>
          <w:szCs w:val="11"/>
          <w:b w:val="1"/>
          <w:bCs w:val="1"/>
          <w:i w:val="1"/>
          <w:iCs w:val="1"/>
          <w:color w:val="231F20"/>
        </w:rPr>
        <w:t xml:space="preserve"> in less favorable outcomes to the plaintiffs in an action of that kind.</w:t>
      </w:r>
    </w:p>
    <w:p>
      <w:pPr>
        <w:spacing w:after="0" w:line="113"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color w:val="231F20"/>
        </w:rPr>
        <w:t>deposit agreement governing the ADSs representing our ordinary shares provides that, to the fullest extent permitted by</w:t>
      </w:r>
      <w:r>
        <w:rPr>
          <w:rFonts w:ascii="Arial" w:cs="Arial" w:eastAsia="Arial" w:hAnsi="Arial"/>
          <w:sz w:val="13"/>
          <w:szCs w:val="13"/>
          <w:color w:val="auto"/>
        </w:rPr>
        <w:t xml:space="preserve"> law</w:t>
      </w:r>
      <w:r>
        <w:rPr>
          <w:rFonts w:ascii="Arial" w:cs="Arial" w:eastAsia="Arial" w:hAnsi="Arial"/>
          <w:sz w:val="13"/>
          <w:szCs w:val="13"/>
          <w:color w:val="231F20"/>
        </w:rPr>
        <w:t>, ADS holders waive the right to a jury trial of any claim they may have</w:t>
      </w:r>
      <w:r>
        <w:rPr>
          <w:rFonts w:ascii="Arial" w:cs="Arial" w:eastAsia="Arial" w:hAnsi="Arial"/>
          <w:sz w:val="13"/>
          <w:szCs w:val="13"/>
          <w:color w:val="auto"/>
        </w:rPr>
        <w:t xml:space="preserve"> </w:t>
      </w:r>
      <w:r>
        <w:rPr>
          <w:rFonts w:ascii="Arial" w:cs="Arial" w:eastAsia="Arial" w:hAnsi="Arial"/>
          <w:sz w:val="13"/>
          <w:szCs w:val="13"/>
          <w:color w:val="231F20"/>
        </w:rPr>
        <w:t>against us or the depositary arising out of or relating to our ordinary shares, the ADSs or the deposit agreement, including any claim under U.S. federal securities laws.</w:t>
      </w:r>
    </w:p>
    <w:p>
      <w:pPr>
        <w:spacing w:after="0" w:line="122" w:lineRule="exact"/>
        <w:rPr>
          <w:sz w:val="20"/>
          <w:szCs w:val="20"/>
          <w:color w:val="auto"/>
        </w:rPr>
      </w:pPr>
    </w:p>
    <w:p>
      <w:pPr>
        <w:ind w:right="20" w:firstLine="556"/>
        <w:spacing w:after="0" w:line="288" w:lineRule="auto"/>
        <w:rPr>
          <w:sz w:val="20"/>
          <w:szCs w:val="20"/>
          <w:color w:val="auto"/>
        </w:rPr>
      </w:pPr>
      <w:r>
        <w:rPr>
          <w:rFonts w:ascii="Arial" w:cs="Arial" w:eastAsia="Arial" w:hAnsi="Arial"/>
          <w:sz w:val="12"/>
          <w:szCs w:val="12"/>
          <w:color w:val="231F20"/>
        </w:rPr>
        <w:t xml:space="preserve">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w:t>
      </w:r>
      <w:r>
        <w:rPr>
          <w:rFonts w:ascii="Arial" w:cs="Arial" w:eastAsia="Arial" w:hAnsi="Arial"/>
          <w:sz w:val="12"/>
          <w:szCs w:val="12"/>
          <w:color w:val="000000"/>
        </w:rPr>
        <w:t>intelligently</w:t>
      </w:r>
      <w:r>
        <w:rPr>
          <w:rFonts w:ascii="Arial" w:cs="Arial" w:eastAsia="Arial" w:hAnsi="Arial"/>
          <w:sz w:val="12"/>
          <w:szCs w:val="12"/>
          <w:color w:val="231F20"/>
        </w:rPr>
        <w:t xml:space="preserve"> and voluntarily waived the right to a jury trial. We believe that this is the case with respect to the deposit agreement and the ADSs. It is advisable that ADS holders consult legal counsel regarding the jury waiver provision before entering into the deposit agreement.</w:t>
      </w:r>
    </w:p>
    <w:p>
      <w:pPr>
        <w:spacing w:after="0" w:line="126" w:lineRule="exact"/>
        <w:rPr>
          <w:sz w:val="20"/>
          <w:szCs w:val="20"/>
          <w:color w:val="auto"/>
        </w:rPr>
      </w:pPr>
    </w:p>
    <w:p>
      <w:pPr>
        <w:ind w:right="180" w:firstLine="556"/>
        <w:spacing w:after="0" w:line="287" w:lineRule="auto"/>
        <w:rPr>
          <w:sz w:val="20"/>
          <w:szCs w:val="20"/>
          <w:color w:val="auto"/>
        </w:rPr>
      </w:pPr>
      <w:r>
        <w:rPr>
          <w:rFonts w:ascii="Arial" w:cs="Arial" w:eastAsia="Arial" w:hAnsi="Arial"/>
          <w:sz w:val="13"/>
          <w:szCs w:val="13"/>
          <w:color w:val="231F20"/>
        </w:rPr>
        <w:t xml:space="preserve">If ADS holders bring a claim against us or the depositary in connection with matters arising under the deposit agreement or relating to the ADSs, </w:t>
      </w:r>
      <w:r>
        <w:rPr>
          <w:rFonts w:ascii="Arial" w:cs="Arial" w:eastAsia="Arial" w:hAnsi="Arial"/>
          <w:sz w:val="13"/>
          <w:szCs w:val="13"/>
          <w:color w:val="000000"/>
        </w:rPr>
        <w:t>including</w:t>
      </w:r>
      <w:r>
        <w:rPr>
          <w:rFonts w:ascii="Arial" w:cs="Arial" w:eastAsia="Arial" w:hAnsi="Arial"/>
          <w:sz w:val="13"/>
          <w:szCs w:val="13"/>
          <w:color w:val="231F20"/>
        </w:rPr>
        <w:t xml:space="preserve"> claims under federal securities laws, they may not be entitled to a jury trial</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11" w:right="359" w:bottom="1440" w:gutter="0" w:footer="0" w:header="0"/>
        </w:sectPr>
      </w:pPr>
    </w:p>
    <w:bookmarkStart w:id="81" w:name="page82"/>
    <w:bookmarkEnd w:id="81"/>
    <w:p>
      <w:pPr>
        <w:jc w:val="both"/>
        <w:spacing w:after="0" w:line="272" w:lineRule="auto"/>
        <w:rPr>
          <w:sz w:val="20"/>
          <w:szCs w:val="20"/>
          <w:color w:val="auto"/>
        </w:rPr>
      </w:pPr>
      <w:r>
        <w:rPr>
          <w:rFonts w:ascii="Arial" w:cs="Arial" w:eastAsia="Arial" w:hAnsi="Arial"/>
          <w:sz w:val="13"/>
          <w:szCs w:val="13"/>
          <w:color w:val="231F20"/>
        </w:rPr>
        <w:t>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 xml:space="preserve">Nevertheless, if this jury trial waiver provision is not permitted by applicable law, an action could proceed under </w:t>
      </w:r>
      <w:r>
        <w:rPr>
          <w:rFonts w:ascii="Arial" w:cs="Arial" w:eastAsia="Arial" w:hAnsi="Arial"/>
          <w:sz w:val="13"/>
          <w:szCs w:val="13"/>
          <w:color w:val="000000"/>
        </w:rPr>
        <w:t>the terms</w:t>
      </w:r>
      <w:r>
        <w:rPr>
          <w:rFonts w:ascii="Arial" w:cs="Arial" w:eastAsia="Arial" w:hAnsi="Arial"/>
          <w:sz w:val="13"/>
          <w:szCs w:val="13"/>
          <w:color w:val="231F20"/>
        </w:rPr>
        <w:t xml:space="preserve"> of the deposit agreement with a jury trial.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 xml:space="preserve">No condition, stipulation or provision of the deposit agreement or the ADSs serves as a waiver by any ADS holder or </w:t>
      </w:r>
      <w:r>
        <w:rPr>
          <w:rFonts w:ascii="Arial" w:cs="Arial" w:eastAsia="Arial" w:hAnsi="Arial"/>
          <w:sz w:val="12"/>
          <w:szCs w:val="12"/>
          <w:color w:val="231F20"/>
        </w:rPr>
        <w:t>by us or the</w:t>
      </w:r>
      <w:r>
        <w:rPr>
          <w:rFonts w:ascii="Arial" w:cs="Arial" w:eastAsia="Arial" w:hAnsi="Arial"/>
          <w:sz w:val="12"/>
          <w:szCs w:val="12"/>
          <w:color w:val="auto"/>
        </w:rPr>
        <w:t xml:space="preserve"> depositary </w:t>
      </w:r>
      <w:r>
        <w:rPr>
          <w:rFonts w:ascii="Arial" w:cs="Arial" w:eastAsia="Arial" w:hAnsi="Arial"/>
          <w:sz w:val="12"/>
          <w:szCs w:val="12"/>
          <w:color w:val="231F20"/>
        </w:rPr>
        <w:t>of compliance with any substantive provision of the U.S.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231F20"/>
        </w:rPr>
        <w:t>federal securities laws and the rules and regulations promulgated thereunder.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color w:val="auto"/>
        </w:rPr>
        <w:t>Item 4. Information on the Company</w:t>
      </w:r>
    </w:p>
    <w:p>
      <w:pPr>
        <w:spacing w:after="0" w:line="90" w:lineRule="exact"/>
        <w:rPr>
          <w:sz w:val="20"/>
          <w:szCs w:val="20"/>
          <w:color w:val="auto"/>
        </w:rPr>
      </w:pPr>
    </w:p>
    <w:p>
      <w:pPr>
        <w:ind w:left="1100" w:hanging="550"/>
        <w:spacing w:after="0"/>
        <w:tabs>
          <w:tab w:leader="none" w:pos="110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History and Development of the Company</w:t>
      </w:r>
    </w:p>
    <w:p>
      <w:pPr>
        <w:spacing w:after="0" w:line="94"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We were founded and incorporated on June 2, 2008 as Petersberg 91, V AG, a German stock corporation (</w:t>
      </w:r>
      <w:r>
        <w:rPr>
          <w:rFonts w:ascii="Arial" w:cs="Arial" w:eastAsia="Arial" w:hAnsi="Arial"/>
          <w:sz w:val="13"/>
          <w:szCs w:val="13"/>
          <w:i w:val="1"/>
          <w:iCs w:val="1"/>
          <w:color w:val="auto"/>
        </w:rPr>
        <w:t>Aktiengesellschaft</w:t>
      </w:r>
      <w:r>
        <w:rPr>
          <w:rFonts w:ascii="Arial" w:cs="Arial" w:eastAsia="Arial" w:hAnsi="Arial"/>
          <w:sz w:val="13"/>
          <w:szCs w:val="13"/>
          <w:color w:val="auto"/>
        </w:rPr>
        <w:t>). We changed our name to BioNTech AG on December 11, 2008. On March 8, 2019, we converted to a European stock corporation (</w:t>
      </w:r>
      <w:r>
        <w:rPr>
          <w:rFonts w:ascii="Arial" w:cs="Arial" w:eastAsia="Arial" w:hAnsi="Arial"/>
          <w:sz w:val="13"/>
          <w:szCs w:val="13"/>
          <w:i w:val="1"/>
          <w:iCs w:val="1"/>
          <w:color w:val="auto"/>
        </w:rPr>
        <w:t>Societas Europaea</w:t>
      </w:r>
      <w:r>
        <w:rPr>
          <w:rFonts w:ascii="Arial" w:cs="Arial" w:eastAsia="Arial" w:hAnsi="Arial"/>
          <w:sz w:val="13"/>
          <w:szCs w:val="13"/>
          <w:color w:val="auto"/>
        </w:rPr>
        <w:t>, or SE) under the laws of Germany and the European Union called BioNTech SE. We completed our initial public offering in October 2019. ADSs representing our ordinary shares are currently listed on the Nasdaq Global Select Market under the symbol “BNTX.”</w:t>
      </w:r>
    </w:p>
    <w:p>
      <w:pPr>
        <w:spacing w:after="0" w:line="132"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auto"/>
        </w:rPr>
        <w:t>Our principal executive offices are located at An der Goldgrube 12, D-55131 Mainz, Germany. Our telephone number is +49 6131-9084-0. Our website address is http://www.biontech.de. The information contained on, or that can be accessed through, our website is not part of this document. Our agent for service of process in the United States is BioNTech USA Holding, LLC, 228 E 45th Street, Suite 9e, New York, NY 10017, +1 (347) 694-5321.</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11"/>
          <w:szCs w:val="11"/>
          <w:b w:val="1"/>
          <w:bCs w:val="1"/>
          <w:color w:val="auto"/>
        </w:rPr>
        <w:t>Business Overview</w:t>
      </w:r>
    </w:p>
    <w:p>
      <w:pPr>
        <w:spacing w:after="0" w:line="90" w:lineRule="exact"/>
        <w:rPr>
          <w:sz w:val="20"/>
          <w:szCs w:val="20"/>
          <w:color w:val="auto"/>
        </w:rPr>
      </w:pPr>
    </w:p>
    <w:p>
      <w:pPr>
        <w:ind w:left="540" w:hanging="540"/>
        <w:spacing w:after="0"/>
        <w:tabs>
          <w:tab w:leader="none" w:pos="54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Overview</w:t>
      </w:r>
    </w:p>
    <w:p>
      <w:pPr>
        <w:spacing w:after="0" w:line="94"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2"/>
          <w:szCs w:val="12"/>
          <w:color w:val="auto"/>
        </w:rPr>
        <w:t>BioNTech was founded in 2008 on the understanding that every cancer patient’s tumor is unique and that in order to effectively address this challenge, we must create individualized treatments for each</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3"/>
          <w:szCs w:val="13"/>
          <w:color w:val="auto"/>
        </w:rPr>
        <w:t>patient. To realize this vision, we combine decades of groundbreaking research in immunology, cutting-edge therapeutic platforms, and a variety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38" w:lineRule="exact"/>
        <w:rPr>
          <w:sz w:val="20"/>
          <w:szCs w:val="20"/>
          <w:color w:val="auto"/>
        </w:rPr>
      </w:pPr>
    </w:p>
    <w:p>
      <w:pPr>
        <w:ind w:right="180" w:firstLine="556"/>
        <w:spacing w:after="0" w:line="267" w:lineRule="auto"/>
        <w:rPr>
          <w:sz w:val="20"/>
          <w:szCs w:val="20"/>
          <w:color w:val="auto"/>
        </w:rPr>
      </w:pPr>
      <w:r>
        <w:rPr>
          <w:rFonts w:ascii="Arial" w:cs="Arial" w:eastAsia="Arial" w:hAnsi="Arial"/>
          <w:sz w:val="13"/>
          <w:szCs w:val="13"/>
          <w:color w:val="auto"/>
        </w:rPr>
        <w:t>We and our collaborators have advanced a development pipeline of over 20 product candidates, of which 10 have entered into 11 ongoing clinical trials. While we believe our approach is broadly applicable across a number of therapeutic areas, our most advanced programs are focused on oncology, where we have treated over 400 patients across 17 tumor types to date. Our immunotherapy drug classes consist of messenger ribonucleic acid, or mRNA, therapeutics, engineered cell therapies, antibodies and small molecule immunomodulators. Our product candidates span oncology, infectious diseases and rare diseases.</w:t>
      </w:r>
    </w:p>
    <w:p>
      <w:pPr>
        <w:spacing w:after="0" w:line="135"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auto"/>
        </w:rPr>
        <w:t>We have assembled an exceptional team of over 1,300 employees and have established relationships with eight pharmaceutical collaborators, including Genentech, Inc., or Genentech, Sanofi S.A., or Sanofi, Genmab A/S, or Genmab, Genevant Sciences GmbH, or Genevant, Eli Lilly and Company, or Eli Lilly, Bayer AG, or Bayer, Pfizer Inc., or Pfizer, and Shanghai Fosun Pharmaceutical (Group) Co., Ltd., or Fosun Pharma (the latter was agreed to as of March 16, 2020). We have built out comprehensive, highly automated, on-demand in-house manufacturing capabilities that complement the development of our individualized immunotherapies.</w:t>
      </w:r>
    </w:p>
    <w:p>
      <w:pPr>
        <w:spacing w:after="0" w:line="135" w:lineRule="exact"/>
        <w:rPr>
          <w:sz w:val="20"/>
          <w:szCs w:val="20"/>
          <w:color w:val="auto"/>
        </w:rPr>
      </w:pPr>
    </w:p>
    <w:p>
      <w:pPr>
        <w:ind w:right="320" w:firstLine="556"/>
        <w:spacing w:after="0" w:line="287" w:lineRule="auto"/>
        <w:rPr>
          <w:sz w:val="20"/>
          <w:szCs w:val="20"/>
          <w:color w:val="auto"/>
        </w:rPr>
      </w:pPr>
      <w:r>
        <w:rPr>
          <w:rFonts w:ascii="Arial" w:cs="Arial" w:eastAsia="Arial" w:hAnsi="Arial"/>
          <w:sz w:val="13"/>
          <w:szCs w:val="13"/>
          <w:color w:val="auto"/>
        </w:rPr>
        <w:t>Our programs are based on our pioneering development of numerous immunotherapeutic platforms, designed to provide patients with highly tailored treatment options. Our platforms leverage the following four drug classes:</w:t>
      </w:r>
    </w:p>
    <w:p>
      <w:pPr>
        <w:spacing w:after="0" w:line="38" w:lineRule="exact"/>
        <w:rPr>
          <w:sz w:val="20"/>
          <w:szCs w:val="20"/>
          <w:color w:val="auto"/>
        </w:rPr>
      </w:pPr>
    </w:p>
    <w:p>
      <w:pPr>
        <w:ind w:left="1020" w:hanging="340"/>
        <w:spacing w:after="0" w:line="264" w:lineRule="auto"/>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 xml:space="preserve">mRNA Therapeutics. </w:t>
      </w:r>
      <w:r>
        <w:rPr>
          <w:rFonts w:ascii="Arial" w:cs="Arial" w:eastAsia="Arial" w:hAnsi="Arial"/>
          <w:sz w:val="13"/>
          <w:szCs w:val="13"/>
          <w:color w:val="auto"/>
        </w:rPr>
        <w:t>We are</w:t>
      </w:r>
      <w:r>
        <w:rPr>
          <w:rFonts w:ascii="Arial" w:cs="Arial" w:eastAsia="Arial" w:hAnsi="Arial"/>
          <w:sz w:val="13"/>
          <w:szCs w:val="13"/>
          <w:b w:val="1"/>
          <w:bCs w:val="1"/>
          <w:color w:val="auto"/>
        </w:rPr>
        <w:t xml:space="preserve"> </w:t>
      </w:r>
      <w:r>
        <w:rPr>
          <w:rFonts w:ascii="Arial" w:cs="Arial" w:eastAsia="Arial" w:hAnsi="Arial"/>
          <w:sz w:val="13"/>
          <w:szCs w:val="13"/>
          <w:color w:val="231F20"/>
        </w:rPr>
        <w:t>utilizing</w:t>
      </w:r>
      <w:r>
        <w:rPr>
          <w:rFonts w:ascii="Arial" w:cs="Arial" w:eastAsia="Arial" w:hAnsi="Arial"/>
          <w:sz w:val="13"/>
          <w:szCs w:val="13"/>
          <w:b w:val="1"/>
          <w:bCs w:val="1"/>
          <w:color w:val="auto"/>
        </w:rPr>
        <w:t xml:space="preserve"> </w:t>
      </w:r>
      <w:r>
        <w:rPr>
          <w:rFonts w:ascii="Arial" w:cs="Arial" w:eastAsia="Arial" w:hAnsi="Arial"/>
          <w:sz w:val="13"/>
          <w:szCs w:val="13"/>
          <w:color w:val="auto"/>
        </w:rPr>
        <w:t>messenger ribonucleic acid, or mRNA, to deliver genetic information to cells, where it is used to express proteins for therapeutic effect. We are</w:t>
      </w:r>
      <w:r>
        <w:rPr>
          <w:rFonts w:ascii="Arial" w:cs="Arial" w:eastAsia="Arial" w:hAnsi="Arial"/>
          <w:sz w:val="13"/>
          <w:szCs w:val="13"/>
          <w:b w:val="1"/>
          <w:bCs w:val="1"/>
          <w:color w:val="auto"/>
        </w:rPr>
        <w:t xml:space="preserve"> </w:t>
      </w:r>
      <w:r>
        <w:rPr>
          <w:rFonts w:ascii="Arial" w:cs="Arial" w:eastAsia="Arial" w:hAnsi="Arial"/>
          <w:sz w:val="13"/>
          <w:szCs w:val="13"/>
          <w:color w:val="auto"/>
        </w:rPr>
        <w:t>developing a portfolio of immunotherapies that utilize four different mRNA formats and three different formulations to derive five distinct platforms for the treatment of cancer. Three of these platforms are currently in human testing: (i) our off-the-shelf shared antigen immunotherapy, or FixVac; (ii) our individualized neoantigen specific immunotherapy, or iNeST, in collaboration with Genentech; and (iii) our intratumoral immunotherapy, in collaboration with Sanofi. In addition, we are developing two platforms in which we use mRNA to express directly in the patient either (a) particular antibodies, or RiboMabs, or (b) specific cytokines, or RiboCytokines. In collaboration with Pfizer, the University of Pennsylvania, Genevant, and Fosun Pharma we are also leveraging our mRNA technology beyond oncology to treat influenza, other infectious diseases and rare diseases.</w:t>
      </w:r>
    </w:p>
    <w:p>
      <w:pPr>
        <w:spacing w:after="0" w:line="53" w:lineRule="exact"/>
        <w:rPr>
          <w:rFonts w:ascii="Arial" w:cs="Arial" w:eastAsia="Arial" w:hAnsi="Arial"/>
          <w:sz w:val="13"/>
          <w:szCs w:val="13"/>
          <w:color w:val="auto"/>
        </w:rPr>
      </w:pPr>
    </w:p>
    <w:p>
      <w:pPr>
        <w:ind w:left="1020" w:right="20" w:hanging="340"/>
        <w:spacing w:after="0" w:line="294" w:lineRule="auto"/>
        <w:tabs>
          <w:tab w:leader="none" w:pos="1020"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 xml:space="preserve">Engineered Cell Therapies. </w:t>
      </w:r>
      <w:r>
        <w:rPr>
          <w:rFonts w:ascii="Arial" w:cs="Arial" w:eastAsia="Arial" w:hAnsi="Arial"/>
          <w:sz w:val="13"/>
          <w:szCs w:val="13"/>
          <w:color w:val="auto"/>
        </w:rPr>
        <w:t>We are developing a range of novel cell therapies in which the patient’s T cells are modified to target cancer-specific antigens. These include two platforms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treatment of solid tumors: chimeric antigen receptor, or CAR, T cells and T cell receptor, or TCR, programs. We are also combining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67" w:right="319" w:bottom="1440" w:gutter="0" w:footer="0" w:header="0"/>
        </w:sectPr>
      </w:pPr>
    </w:p>
    <w:bookmarkStart w:id="83" w:name="page84"/>
    <w:bookmarkEnd w:id="83"/>
    <w:p>
      <w:pPr>
        <w:ind w:left="1020"/>
        <w:spacing w:after="0"/>
        <w:rPr>
          <w:sz w:val="20"/>
          <w:szCs w:val="20"/>
          <w:color w:val="auto"/>
        </w:rPr>
      </w:pPr>
      <w:r>
        <w:rPr>
          <w:rFonts w:ascii="Arial" w:cs="Arial" w:eastAsia="Arial" w:hAnsi="Arial"/>
          <w:sz w:val="13"/>
          <w:szCs w:val="13"/>
          <w:color w:val="auto"/>
        </w:rPr>
        <w:t xml:space="preserve">mRNA FixVac platform with our first CAR-T product candidates, using “CARVac” immune boosters to enhance the persistence of CAR-T cells </w:t>
      </w:r>
      <w:r>
        <w:rPr>
          <w:rFonts w:ascii="Arial" w:cs="Arial" w:eastAsia="Arial" w:hAnsi="Arial"/>
          <w:sz w:val="13"/>
          <w:szCs w:val="13"/>
          <w:i w:val="1"/>
          <w:iCs w:val="1"/>
          <w:color w:val="auto"/>
        </w:rPr>
        <w:t>in vivo</w:t>
      </w:r>
      <w:r>
        <w:rPr>
          <w:rFonts w:ascii="Arial" w:cs="Arial" w:eastAsia="Arial" w:hAnsi="Arial"/>
          <w:sz w:val="13"/>
          <w:szCs w:val="13"/>
          <w:color w:val="auto"/>
        </w:rPr>
        <w:t>.</w:t>
      </w:r>
    </w:p>
    <w:p>
      <w:pPr>
        <w:spacing w:after="0" w:line="86" w:lineRule="exact"/>
        <w:rPr>
          <w:sz w:val="20"/>
          <w:szCs w:val="20"/>
          <w:color w:val="auto"/>
        </w:rPr>
      </w:pPr>
    </w:p>
    <w:p>
      <w:pPr>
        <w:ind w:left="1020" w:right="400" w:hanging="340"/>
        <w:spacing w:after="0" w:line="338" w:lineRule="auto"/>
        <w:tabs>
          <w:tab w:leader="none" w:pos="1020"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Antibodies. </w:t>
      </w:r>
      <w:r>
        <w:rPr>
          <w:rFonts w:ascii="Arial" w:cs="Arial" w:eastAsia="Arial" w:hAnsi="Arial"/>
          <w:sz w:val="12"/>
          <w:szCs w:val="12"/>
          <w:color w:val="auto"/>
        </w:rPr>
        <w:t>We are developing, in collaboration with Genmab, next-generation bispecific antibodies that are designed to target immune checkpoints that modulate the patient’s immune</w:t>
      </w:r>
      <w:r>
        <w:rPr>
          <w:rFonts w:ascii="Arial" w:cs="Arial" w:eastAsia="Arial" w:hAnsi="Arial"/>
          <w:sz w:val="12"/>
          <w:szCs w:val="12"/>
          <w:b w:val="1"/>
          <w:bCs w:val="1"/>
          <w:color w:val="auto"/>
        </w:rPr>
        <w:t xml:space="preserve"> </w:t>
      </w:r>
      <w:r>
        <w:rPr>
          <w:rFonts w:ascii="Arial" w:cs="Arial" w:eastAsia="Arial" w:hAnsi="Arial"/>
          <w:sz w:val="12"/>
          <w:szCs w:val="12"/>
          <w:color w:val="auto"/>
        </w:rPr>
        <w:t>response to cancer. We are also exploring additional targeted cancer antibody approaches utilizing our in-house and recently acquired antibody capabilities.</w:t>
      </w:r>
    </w:p>
    <w:p>
      <w:pPr>
        <w:spacing w:after="0" w:line="11" w:lineRule="exact"/>
        <w:rPr>
          <w:rFonts w:ascii="Arial" w:cs="Arial" w:eastAsia="Arial" w:hAnsi="Arial"/>
          <w:sz w:val="12"/>
          <w:szCs w:val="12"/>
          <w:color w:val="auto"/>
        </w:rPr>
      </w:pPr>
    </w:p>
    <w:p>
      <w:pPr>
        <w:ind w:left="1020" w:right="540" w:hanging="340"/>
        <w:spacing w:after="0" w:line="294" w:lineRule="auto"/>
        <w:tabs>
          <w:tab w:leader="none" w:pos="1020"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 xml:space="preserve">Small Molecule Immunomodulators. </w:t>
      </w:r>
      <w:r>
        <w:rPr>
          <w:rFonts w:ascii="Arial" w:cs="Arial" w:eastAsia="Arial" w:hAnsi="Arial"/>
          <w:sz w:val="13"/>
          <w:szCs w:val="13"/>
          <w:color w:val="auto"/>
        </w:rPr>
        <w:t>We use small molecules to augment the activity of other drug classes by inducing specific and discrete patterns of immunomodulation. We are</w:t>
      </w:r>
      <w:r>
        <w:rPr>
          <w:rFonts w:ascii="Arial" w:cs="Arial" w:eastAsia="Arial" w:hAnsi="Arial"/>
          <w:sz w:val="13"/>
          <w:szCs w:val="13"/>
          <w:b w:val="1"/>
          <w:bCs w:val="1"/>
          <w:color w:val="auto"/>
        </w:rPr>
        <w:t xml:space="preserve"> </w:t>
      </w:r>
      <w:r>
        <w:rPr>
          <w:rFonts w:ascii="Arial" w:cs="Arial" w:eastAsia="Arial" w:hAnsi="Arial"/>
          <w:sz w:val="13"/>
          <w:szCs w:val="13"/>
          <w:color w:val="auto"/>
        </w:rPr>
        <w:t>developing a small molecule toll-like receptor 7, or TLR7, immunomodulator for the treatment of solid tumors.</w:t>
      </w:r>
    </w:p>
    <w:p>
      <w:pPr>
        <w:spacing w:after="0" w:line="118"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auto"/>
        </w:rPr>
        <w:t>We have leveraged these four drug classes to build a robust pipeline of product candidates. Our pipeline includes 10 product candidates in 11 ongoing clinical trials. Our most advanced programs are focused on oncology, where we have to-date treated over 400 patients across 17 solid tumor types. We also are developing more than 10 additional preclinical programs and expect to initiate clinical testing with several of them in the near future. We are targeting the advancement of up to three product candidates into the clinic in 2020, with clinical data updates for up to five programs expected by the end of 2020. In our Phase 1 trials, we have observed antigen-specific immune responses in over 90% of advanced melanoma patients treated with BNT111, our lead FixVac off-the-shelf product candidate, as a single agent. In addition, we have observed single-agent antigen-specific immune responses in patients treated with BNT121, the precursor to RO7198457 (BNT122), our lead iNeST product candidate. In both trials, we have observed durable objective responses (reduction in tumor volume) in both the monotherapy and checkpoint-combination settings.</w:t>
      </w:r>
    </w:p>
    <w:p>
      <w:pPr>
        <w:spacing w:after="0" w:line="126" w:lineRule="exact"/>
        <w:rPr>
          <w:sz w:val="20"/>
          <w:szCs w:val="20"/>
          <w:color w:val="auto"/>
        </w:rPr>
      </w:pPr>
    </w:p>
    <w:p>
      <w:pPr>
        <w:ind w:right="20" w:firstLine="556"/>
        <w:spacing w:after="0" w:line="260" w:lineRule="auto"/>
        <w:rPr>
          <w:sz w:val="20"/>
          <w:szCs w:val="20"/>
          <w:color w:val="auto"/>
        </w:rPr>
      </w:pPr>
      <w:r>
        <w:rPr>
          <w:rFonts w:ascii="Arial" w:cs="Arial" w:eastAsia="Arial" w:hAnsi="Arial"/>
          <w:sz w:val="13"/>
          <w:szCs w:val="13"/>
          <w:color w:val="auto"/>
        </w:rPr>
        <w:t>We have established multiple collaborations to advance our science and development capabilities and provide non-dilutive capital. We have entered into selective collaborations with leading pharmaceutical companies where a collaborator may bring incremental expertise or resources that we currently do not possess in-house. To date, we have formed relationships with eight pharmaceutical companies, which comprise Genentech, Sanofi, Genmab, Genevant, Eli Lilly, Bayer, Pfizer and Fosun Pharma. We have entered into some of these collaborations in order to advance our technologies and business outside of our initial focus on cancer. We are collaborating with Pfizer to develop an influenza vaccine and Pfizer and Fosun Pharma to develop a COVID-19 vaccine, each through our mRNA-based immunotherapy technology. We also have a collaboration with Genevant to develop protein replacement therapies in up to five rare disease indications. We have also collaborated with the University of Pennsylvania, or Penn, to develop mRNA-based vaccines in up to 10 additional infectious disease indications. In addition, we have a relationship with Translational Oncology at the University Medical Center of the Johannes Gutenberg University Mainz (Translationale Onkologie an der Universitätsmedizin der Johannes Gutenberg Universität Mainz gemeinnützige GmbH), or TRON, to further our immunotherapy research.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42" w:lineRule="exact"/>
        <w:rPr>
          <w:sz w:val="20"/>
          <w:szCs w:val="20"/>
          <w:color w:val="auto"/>
        </w:rPr>
      </w:pPr>
    </w:p>
    <w:p>
      <w:pPr>
        <w:ind w:right="120" w:firstLine="556"/>
        <w:spacing w:after="0" w:line="296" w:lineRule="auto"/>
        <w:rPr>
          <w:sz w:val="20"/>
          <w:szCs w:val="20"/>
          <w:color w:val="auto"/>
        </w:rPr>
      </w:pPr>
      <w:r>
        <w:rPr>
          <w:rFonts w:ascii="Arial" w:cs="Arial" w:eastAsia="Arial" w:hAnsi="Arial"/>
          <w:sz w:val="12"/>
          <w:szCs w:val="12"/>
          <w:color w:val="auto"/>
        </w:rPr>
        <w:t>Our ability to develop, control and optimize the manufacturing process is a core strategic pillar and competitive advantage across our portfolio, in particular for our individualized product candidates. We operate three Good Manufacturing Practice, or GMP, certified manufacturing facilities in Germany, where we manufacture mRNA therapeutics and engineered cell therapies for our own pipeline and for external customers. We operate a fourth manufacturing facility in Germany where we manufacture custom peptides to support our extensive immunomonitoring activities within our development programs. We have collaborated with Siemens AG, or Siemens, to develop efficient, semi-automated processes to produce our individualized mRNA immunotherapies on demand.</w:t>
      </w:r>
    </w:p>
    <w:p>
      <w:pPr>
        <w:spacing w:after="0" w:line="119"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auto"/>
        </w:rPr>
        <w:t>We were founded in 2008, and to date we have raised $1.4 billion of capital in private placements of our shares, our initial public offering and from our collaborators. Our investors include the Strüngmann family office, which is our majority shareholder, MIG Fonds, Fidelity Management &amp; Research Company, Redmile Group, Janus Henderson Investors, the Invus Group, LLC and the Bill &amp; Melinda Gates Foundation.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Team</w:t>
      </w:r>
    </w:p>
    <w:p>
      <w:pPr>
        <w:spacing w:after="0" w:line="90" w:lineRule="exact"/>
        <w:rPr>
          <w:sz w:val="20"/>
          <w:szCs w:val="20"/>
          <w:color w:val="auto"/>
        </w:rPr>
      </w:pPr>
    </w:p>
    <w:p>
      <w:pPr>
        <w:jc w:val="both"/>
        <w:ind w:right="20" w:firstLine="556"/>
        <w:spacing w:after="0" w:line="304" w:lineRule="auto"/>
        <w:rPr>
          <w:sz w:val="20"/>
          <w:szCs w:val="20"/>
          <w:color w:val="auto"/>
        </w:rPr>
      </w:pPr>
      <w:r>
        <w:rPr>
          <w:rFonts w:ascii="Arial" w:cs="Arial" w:eastAsia="Arial" w:hAnsi="Arial"/>
          <w:sz w:val="12"/>
          <w:szCs w:val="12"/>
          <w:color w:val="auto"/>
        </w:rPr>
        <w:t>Our team combines proven biotechnology entrepreneurs, world-renowned immunologists and sophisticated biopharma investors. We were founded in 2008 by our scientific founders, Prof. Ugur Sahin, M.D., Prof. Christoph Huber, M.D. and Özlem Türeci, M.D., with a seed investment of €150 million from the Strüngmann family, through its investment vehicle AT Impf, and MIG Fonds, or MIG. Andreas and Thomas Strüngmann are serial entrepreneurs, having co-founded Hexal AG, a German pharmaceutical firm, which they built and sold to Novartis, along with their majority stake in Eon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84" w:name="page85"/>
    <w:bookmarkEnd w:id="84"/>
    <w:p>
      <w:pPr>
        <w:spacing w:after="0" w:line="267" w:lineRule="auto"/>
        <w:rPr>
          <w:sz w:val="20"/>
          <w:szCs w:val="20"/>
          <w:color w:val="auto"/>
        </w:rPr>
      </w:pPr>
      <w:r>
        <w:rPr>
          <w:rFonts w:ascii="Arial" w:cs="Arial" w:eastAsia="Arial" w:hAnsi="Arial"/>
          <w:sz w:val="13"/>
          <w:szCs w:val="13"/>
          <w:color w:val="auto"/>
        </w:rPr>
        <w:t>Labs, Inc., a U.S. public pharmaceutical firm, for a combined €5.6 billion (at the time, $8.3 billion). After selling Hexal, they founded a family office focused on healthcare. The Strüngmann family office and MIG have invested in, helped build and sold, either on their own or together, a number of biotechnology and healthcare companies, such as SuppreMol, Ganymed AG, or Ganymed, CorImmun, Sivantos (former Siemens hearing aid business), Press Ganey (surgery survey company) and Apceth (cell therapy manufacturing company). Helmut Jeggle and Michael Motschmann, on behalf of the Strüngmann family and MIG, respectively, along with Dr. Huber, were founding members of our Supervisory Board.</w:t>
      </w:r>
    </w:p>
    <w:p>
      <w:pPr>
        <w:spacing w:after="0" w:line="135"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auto"/>
        </w:rPr>
        <w:t>BioNTech has been supported since its inception by Prof. Rolf Zinkernagel, M.D., Ph.D. and Prof. Hans Hengartner, Ph.D., who serve on our Scientific Advisory Board. Dr. Zinkernagel is a Professor Emeritus at the University of Zurich, University Hospital, and former head of the Institute of Experimental Immunology in Zurich. Prof. Zinkernagel was awarded the Nobel Prize in 1996 for the discovery of how the immune system recognizes virus-infected cells. Prof. Hengartner is a world-renowned immunologist and Professor Emeritus at the Federal Institute of Technology ETH Zurich and the University of Zurich.</w:t>
      </w:r>
    </w:p>
    <w:p>
      <w:pPr>
        <w:spacing w:after="0" w:line="135"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At the time of BioNTech’s founding, Dr. Sahin and Dr. Türeci were the Chief Scientific Officer and the Chief Medical Officer, respectively, of Ganymed, a private biotechnology company that was founded in 2001 and was focused on developing a monoclonal antibody targeting CLDN18.2 (zolbetuximab). The Strüngmann family office and MIG were majority investors in Ganymed. When Dr. Sahin became Chief Executive Officer of BioNTech, he stepped down from the management board of Ganymed and became the chair of its Scientific Advisory Board. Dr. Türeci continued to lead Ganymed as its Chief Executive Officer until it was sold to Astellas Pharma Inc. in 2016 for up to $1.4 billion.</w:t>
      </w:r>
    </w:p>
    <w:p>
      <w:pPr>
        <w:spacing w:after="0" w:line="135"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auto"/>
        </w:rPr>
        <w:t>Our initial group of scientific founders have been joined by experienced pharmaceutical executives, immunologists and biotechnology specialty investors. Sean Marett, our Chief Business Officer and Chief Commercial Officer, led the business development teams at Evotec, and previously was an executive at GlaxoSmithKline in the United States. Dr. Sierk Poetting, our Chief Financial Officer and Chief Operating Officer, joined us from Sandoz, where he served as the Chief Financial Officer in North America. Ryan Richardson, our Chief Strategy Officer, joined BioNTech from J.P. Morgan Securities LLC, where he served as the Executive Director, Healthcare Investment Banking. We have also attracted talented scientists such as Katalin Karikó, our Senior Vice President &amp; Head of RNA Protein Replacement, who has more than 30 years of experience working with RNA, has published more than 70 peer-reviewed papers and is co-inventor on mRNA-related patents, including a foundational patent relating to modified mRNA. In addition to the Strüngmann family and MIG, our investors include Fidelity Management &amp; Research Company, Redmile Group, Janus Henderson Investors, the Invus Group, LLC, Salvia GmbH, Eli Lilly, Sanofi, Pfizer and the Bill &amp; Melinda Gates Foundation.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85" w:name="page86"/>
    <w:bookmarkEnd w:id="85"/>
    <w:p>
      <w:pPr>
        <w:ind w:left="550" w:hanging="550"/>
        <w:spacing w:after="0"/>
        <w:tabs>
          <w:tab w:leader="none" w:pos="55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Our Pipeline of Product Candidates</w:t>
      </w:r>
    </w:p>
    <w:p>
      <w:pPr>
        <w:spacing w:after="0" w:line="94" w:lineRule="exact"/>
        <w:rPr>
          <w:sz w:val="20"/>
          <w:szCs w:val="20"/>
          <w:color w:val="auto"/>
        </w:rPr>
      </w:pPr>
    </w:p>
    <w:p>
      <w:pPr>
        <w:ind w:left="10"/>
        <w:spacing w:after="0"/>
        <w:rPr>
          <w:sz w:val="20"/>
          <w:szCs w:val="20"/>
          <w:color w:val="auto"/>
        </w:rPr>
      </w:pPr>
      <w:r>
        <w:rPr>
          <w:rFonts w:ascii="Arial" w:cs="Arial" w:eastAsia="Arial" w:hAnsi="Arial"/>
          <w:sz w:val="11"/>
          <w:szCs w:val="11"/>
          <w:color w:val="auto"/>
        </w:rPr>
        <w:t>We are advancing a deep and broad portfolio of product candidates derived from our four drug classes focused on the treatment of cancer, infectious and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77470</wp:posOffset>
            </wp:positionV>
            <wp:extent cx="4196715" cy="46412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96715" cy="464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03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62865</wp:posOffset>
            </wp:positionV>
            <wp:extent cx="7180580"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9609"/>
          </w:cols>
          <w:pgMar w:left="850" w:top="127" w:right="1440" w:bottom="1440" w:gutter="0" w:footer="0" w:header="0"/>
        </w:sectPr>
      </w:pPr>
    </w:p>
    <w:bookmarkStart w:id="86" w:name="page87"/>
    <w:bookmarkEnd w:id="86"/>
    <w:p>
      <w:pPr>
        <w:ind w:left="1100" w:hanging="547"/>
        <w:spacing w:after="0"/>
        <w:tabs>
          <w:tab w:leader="none" w:pos="1100" w:val="left"/>
        </w:tabs>
        <w:numPr>
          <w:ilvl w:val="0"/>
          <w:numId w:val="6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Oncology</w:t>
      </w:r>
    </w:p>
    <w:p>
      <w:pPr>
        <w:spacing w:after="0" w:line="90" w:lineRule="exact"/>
        <w:rPr>
          <w:sz w:val="20"/>
          <w:szCs w:val="20"/>
          <w:color w:val="auto"/>
        </w:rPr>
      </w:pPr>
    </w:p>
    <w:p>
      <w:pPr>
        <w:ind w:right="160" w:firstLine="527"/>
        <w:spacing w:after="0" w:line="264" w:lineRule="auto"/>
        <w:rPr>
          <w:sz w:val="20"/>
          <w:szCs w:val="20"/>
          <w:color w:val="auto"/>
        </w:rPr>
      </w:pPr>
      <w:r>
        <w:rPr>
          <w:rFonts w:ascii="Arial" w:cs="Arial" w:eastAsia="Arial" w:hAnsi="Arial"/>
          <w:sz w:val="13"/>
          <w:szCs w:val="13"/>
          <w:i w:val="1"/>
          <w:iCs w:val="1"/>
          <w:color w:val="auto"/>
        </w:rPr>
        <w:t xml:space="preserve">FixVac. </w:t>
      </w:r>
      <w:r>
        <w:rPr>
          <w:rFonts w:ascii="Arial" w:cs="Arial" w:eastAsia="Arial" w:hAnsi="Arial"/>
          <w:sz w:val="13"/>
          <w:szCs w:val="13"/>
          <w:color w:val="auto"/>
        </w:rPr>
        <w:t>Our FixVac product candidates contain selected combinations of pharmacologically optimized uridine mRNA encoding known cancer-specific shared antigens. They feature our</w:t>
      </w:r>
      <w:r>
        <w:rPr>
          <w:rFonts w:ascii="Arial" w:cs="Arial" w:eastAsia="Arial" w:hAnsi="Arial"/>
          <w:sz w:val="13"/>
          <w:szCs w:val="13"/>
          <w:i w:val="1"/>
          <w:iCs w:val="1"/>
          <w:color w:val="auto"/>
        </w:rPr>
        <w:t xml:space="preserve"> </w:t>
      </w:r>
      <w:r>
        <w:rPr>
          <w:rFonts w:ascii="Arial" w:cs="Arial" w:eastAsia="Arial" w:hAnsi="Arial"/>
          <w:sz w:val="13"/>
          <w:szCs w:val="13"/>
          <w:color w:val="auto"/>
        </w:rPr>
        <w:t>proprietary immunogenic mRNA backbone and proprietary RNA-lipoplex, or RNA-LPX, delivery formulation, designed to enhance stability and translation, target dendritic cells and trigger both innate and adaptive immune responses. We and investigators are currently evaluating five FixVac product candidates in clinical trials, including BNT111 in a Phase 1 trial in advanced melanoma, BNT112 in a Phase 1/2 trial in prostate cancer, BNT113 in a Phase 1 trial in HPV+ head and neck cancers, BNT114 in a Phase 1 trial in triple negative breast cancer and BNT115 in a Phase 1 trial in ovarian cancer.</w:t>
      </w:r>
    </w:p>
    <w:p>
      <w:pPr>
        <w:spacing w:after="0" w:line="58" w:lineRule="exact"/>
        <w:rPr>
          <w:sz w:val="20"/>
          <w:szCs w:val="20"/>
          <w:color w:val="auto"/>
        </w:rPr>
      </w:pPr>
    </w:p>
    <w:p>
      <w:pPr>
        <w:ind w:right="20" w:firstLine="527"/>
        <w:spacing w:after="0" w:line="264" w:lineRule="auto"/>
        <w:rPr>
          <w:sz w:val="20"/>
          <w:szCs w:val="20"/>
          <w:color w:val="auto"/>
        </w:rPr>
      </w:pPr>
      <w:r>
        <w:rPr>
          <w:rFonts w:ascii="Arial" w:cs="Arial" w:eastAsia="Arial" w:hAnsi="Arial"/>
          <w:sz w:val="13"/>
          <w:szCs w:val="13"/>
          <w:color w:val="auto"/>
        </w:rPr>
        <w:t>As of the July 2019 interim cut-off, 95 patients with metastatic melanoma had been dosed at least once in our Phase 1 clinical trial of BNT111. Forty-two of these patients had macroscopic tumor lesions at the time they were enrolled, and these patients were evaluated for preliminary clinical activity, with 25 receiving BNT111 as a monotherapy and 17 receiving BNT in combination with a checkpoint inhibitor. Three of the 25 patients who received BNT111 as a monotherapy demonstrated a partial response, one patient had a metabolic complete response as measured by FGD-PET imaging and seven had stable disease following treatment. Six of the 17 patients who received BNT111 in combination with a checkpoint inhibitor demonstrated a partial response and two had stable disease following treatment.</w:t>
      </w:r>
    </w:p>
    <w:p>
      <w:pPr>
        <w:spacing w:after="0" w:line="58" w:lineRule="exact"/>
        <w:rPr>
          <w:sz w:val="20"/>
          <w:szCs w:val="20"/>
          <w:color w:val="auto"/>
        </w:rPr>
      </w:pPr>
    </w:p>
    <w:p>
      <w:pPr>
        <w:ind w:right="100" w:firstLine="527"/>
        <w:spacing w:after="0" w:line="272" w:lineRule="auto"/>
        <w:rPr>
          <w:sz w:val="20"/>
          <w:szCs w:val="20"/>
          <w:color w:val="auto"/>
        </w:rPr>
      </w:pPr>
      <w:r>
        <w:rPr>
          <w:rFonts w:ascii="Arial" w:cs="Arial" w:eastAsia="Arial" w:hAnsi="Arial"/>
          <w:sz w:val="13"/>
          <w:szCs w:val="13"/>
          <w:color w:val="auto"/>
        </w:rPr>
        <w:t xml:space="preserve">We expect to initiate a Phase 2 trial with registrational potential for BNT111 in metastatic melanoma in the second half of 2020. We </w:t>
      </w:r>
      <w:r>
        <w:rPr>
          <w:rFonts w:ascii="Arial" w:cs="Arial" w:eastAsia="Arial" w:hAnsi="Arial"/>
          <w:sz w:val="13"/>
          <w:szCs w:val="13"/>
          <w:i w:val="1"/>
          <w:iCs w:val="1"/>
          <w:color w:val="auto"/>
        </w:rPr>
        <w:t>enrolled</w:t>
      </w:r>
      <w:r>
        <w:rPr>
          <w:rFonts w:ascii="Arial" w:cs="Arial" w:eastAsia="Arial" w:hAnsi="Arial"/>
          <w:sz w:val="13"/>
          <w:szCs w:val="13"/>
          <w:color w:val="auto"/>
        </w:rPr>
        <w:t xml:space="preserve"> the first patient in a Phase 1/2 trial for BNT112, our FixVac product candidate targeting prostate cancer, in the second half of 2019. In addition, we are planning to initiate a Phase 2 trial with registrational potential for BNT113 in HPV+ head and neck cancers by the second half of 2020.</w:t>
      </w:r>
    </w:p>
    <w:p>
      <w:pPr>
        <w:spacing w:after="0" w:line="52" w:lineRule="exact"/>
        <w:rPr>
          <w:sz w:val="20"/>
          <w:szCs w:val="20"/>
          <w:color w:val="auto"/>
        </w:rPr>
      </w:pPr>
    </w:p>
    <w:p>
      <w:pPr>
        <w:ind w:firstLine="527"/>
        <w:spacing w:after="0" w:line="259" w:lineRule="auto"/>
        <w:rPr>
          <w:sz w:val="20"/>
          <w:szCs w:val="20"/>
          <w:color w:val="auto"/>
        </w:rPr>
      </w:pPr>
      <w:r>
        <w:rPr>
          <w:rFonts w:ascii="Arial" w:cs="Arial" w:eastAsia="Arial" w:hAnsi="Arial"/>
          <w:sz w:val="13"/>
          <w:szCs w:val="13"/>
          <w:i w:val="1"/>
          <w:iCs w:val="1"/>
          <w:color w:val="auto"/>
        </w:rPr>
        <w:t xml:space="preserve">Individualized neoantigen specific immunotherapy (iNeST). </w:t>
      </w:r>
      <w:r>
        <w:rPr>
          <w:rFonts w:ascii="Arial" w:cs="Arial" w:eastAsia="Arial" w:hAnsi="Arial"/>
          <w:sz w:val="13"/>
          <w:szCs w:val="13"/>
          <w:color w:val="auto"/>
        </w:rPr>
        <w:t>Our iNeST immunotherapies contain unmodified, pharmacologically optimized mRNA encoding up to 20 patient-specific</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neoantigens and also feature our proprietary RNA-LPX formulation. We are conducting, in collaboration with Genentech, clinical trials of our iNeST product candidate, RO7198457 (BNT122). The iNeST Phase 1a (monotherapy)/1b (in combination with atezolizumab) trial is a non-registrational, signal seeking study recruiting mostly patients with late stage advanced cancers, including patients that failed multiple lines of </w:t>
      </w:r>
      <w:r>
        <w:rPr>
          <w:rFonts w:ascii="Arial" w:cs="Arial" w:eastAsia="Arial" w:hAnsi="Arial"/>
          <w:sz w:val="13"/>
          <w:szCs w:val="13"/>
          <w:i w:val="1"/>
          <w:iCs w:val="1"/>
          <w:color w:val="auto"/>
        </w:rPr>
        <w:t>prior</w:t>
      </w:r>
      <w:r>
        <w:rPr>
          <w:rFonts w:ascii="Arial" w:cs="Arial" w:eastAsia="Arial" w:hAnsi="Arial"/>
          <w:sz w:val="13"/>
          <w:szCs w:val="13"/>
          <w:color w:val="auto"/>
        </w:rPr>
        <w:t xml:space="preserve"> treatment. We believe that iNeST is particularly well suited for patients with a lower tumor burden. This notion is supported by clinical activity shown in our previously reported Phase 1 trial, in which BNT121 was administered intranodally in 13 patients with metastatic melanoma. In this trial, as of October 2019 we have observed stable, progression-free survival in nine patients for up to 41 months following surgery and treatment with BNT121. In addition, three out of five patients had an objective response, two patients received iNeST alone and the third patient also received checkpoint immunotherapy. We also observed a significant decrease in the cumulative recurrence rate post-treatment as compared to pre-treatment. Based on these findings, we, in collaboration with Genentech, initiated a randomized iNeST Phase 2 trial in first-line metastatic melanoma in combination with pembrolizumab. We and Genentech expect to report a data update from our RO7198457 (BNT122) Phase 1 trial in multiple solid tumors in 2020, and topline data update from our RO7198457 (BNT122) Phase 2 trial in first-line melanoma in the second half of 2020. We expect this topline data update to include an update on the ongoing study, including patient enrollment numbers, with full efficacy and safety data for an interim update expected in the second half of 2021. We and Genentech plan to initiate two additional clinical trials for RO7198457 (BNT122) in 2020 in first-line solid cancers in the adjuvant setting, one in combination with atezolizumab and the other as a monotherapy.</w:t>
      </w:r>
    </w:p>
    <w:p>
      <w:pPr>
        <w:spacing w:after="0" w:line="64" w:lineRule="exact"/>
        <w:rPr>
          <w:sz w:val="20"/>
          <w:szCs w:val="20"/>
          <w:color w:val="auto"/>
        </w:rPr>
      </w:pPr>
    </w:p>
    <w:p>
      <w:pPr>
        <w:ind w:right="160" w:firstLine="527"/>
        <w:spacing w:after="0" w:line="267" w:lineRule="auto"/>
        <w:rPr>
          <w:sz w:val="20"/>
          <w:szCs w:val="20"/>
          <w:color w:val="auto"/>
        </w:rPr>
      </w:pPr>
      <w:r>
        <w:rPr>
          <w:rFonts w:ascii="Arial" w:cs="Arial" w:eastAsia="Arial" w:hAnsi="Arial"/>
          <w:sz w:val="13"/>
          <w:szCs w:val="13"/>
          <w:i w:val="1"/>
          <w:iCs w:val="1"/>
          <w:color w:val="auto"/>
        </w:rPr>
        <w:t xml:space="preserve">mRNA intratumoral immunotherapy. </w:t>
      </w:r>
      <w:r>
        <w:rPr>
          <w:rFonts w:ascii="Arial" w:cs="Arial" w:eastAsia="Arial" w:hAnsi="Arial"/>
          <w:sz w:val="13"/>
          <w:szCs w:val="13"/>
          <w:color w:val="auto"/>
        </w:rPr>
        <w:t>In collaboration with Sanofi, we are conducting a Phase 1 trial of SAR441000 (BNT131), our first mRNA-based intratumoral immunotherapy, as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monotherapy and in combination with cemiplimab in patients with solid tumors. SAR441000 (BNT131) consists of a modified mRNA that encodes the IL-12sc, IL-15sushi, GM-CSF and IFN-a cytokines. SAR441000 (BNT131) is designed to be administered directly into the tumor in order to alter the tumor </w:t>
      </w:r>
      <w:r>
        <w:rPr>
          <w:rFonts w:ascii="Arial" w:cs="Arial" w:eastAsia="Arial" w:hAnsi="Arial"/>
          <w:sz w:val="13"/>
          <w:szCs w:val="13"/>
          <w:i w:val="1"/>
          <w:iCs w:val="1"/>
          <w:color w:val="auto"/>
        </w:rPr>
        <w:t>microenvironment</w:t>
      </w:r>
      <w:r>
        <w:rPr>
          <w:rFonts w:ascii="Arial" w:cs="Arial" w:eastAsia="Arial" w:hAnsi="Arial"/>
          <w:sz w:val="13"/>
          <w:szCs w:val="13"/>
          <w:color w:val="auto"/>
        </w:rPr>
        <w:t xml:space="preserve"> and enhance the immune system’s ability to recognize and fight cancer within the tumor (proximal) as well as in other untreated locations (distal).</w:t>
      </w:r>
    </w:p>
    <w:p>
      <w:pPr>
        <w:spacing w:after="0" w:line="55" w:lineRule="exact"/>
        <w:rPr>
          <w:sz w:val="20"/>
          <w:szCs w:val="20"/>
          <w:color w:val="auto"/>
        </w:rPr>
      </w:pPr>
    </w:p>
    <w:p>
      <w:pPr>
        <w:ind w:firstLine="527"/>
        <w:spacing w:after="0" w:line="272" w:lineRule="auto"/>
        <w:rPr>
          <w:sz w:val="20"/>
          <w:szCs w:val="20"/>
          <w:color w:val="auto"/>
        </w:rPr>
      </w:pPr>
      <w:r>
        <w:rPr>
          <w:rFonts w:ascii="Arial" w:cs="Arial" w:eastAsia="Arial" w:hAnsi="Arial"/>
          <w:sz w:val="13"/>
          <w:szCs w:val="13"/>
          <w:i w:val="1"/>
          <w:iCs w:val="1"/>
          <w:color w:val="auto"/>
        </w:rPr>
        <w:t xml:space="preserve">CLDN6 CAR-T cell immunotherapy. </w:t>
      </w:r>
      <w:r>
        <w:rPr>
          <w:rFonts w:ascii="Arial" w:cs="Arial" w:eastAsia="Arial" w:hAnsi="Arial"/>
          <w:sz w:val="13"/>
          <w:szCs w:val="13"/>
          <w:color w:val="auto"/>
        </w:rPr>
        <w:t>We are developing a proprietary chimeric antigen receptor T cell, or CAR-T, product candidate, BNT211, targeting Claudin-6, or CLDN6, a novel solid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tumor-specific antigen. We developed BNT211 utilizing our target </w:t>
      </w:r>
      <w:r>
        <w:rPr>
          <w:rFonts w:ascii="Arial" w:cs="Arial" w:eastAsia="Arial" w:hAnsi="Arial"/>
          <w:sz w:val="13"/>
          <w:szCs w:val="13"/>
          <w:i w:val="1"/>
          <w:iCs w:val="1"/>
          <w:color w:val="auto"/>
        </w:rPr>
        <w:t>discovery</w:t>
      </w:r>
      <w:r>
        <w:rPr>
          <w:rFonts w:ascii="Arial" w:cs="Arial" w:eastAsia="Arial" w:hAnsi="Arial"/>
          <w:sz w:val="13"/>
          <w:szCs w:val="13"/>
          <w:color w:val="auto"/>
        </w:rPr>
        <w:t xml:space="preserve"> engine, and we plan to administer it along with a CARVac “primer” to boost the immune response and promote CAR-T cell persistence. We expect to initiate a Phase 1/2 clinical trial for BNT211 in patients with advanced CLDN6 + solid tumors in the first half of 2020.</w:t>
      </w:r>
    </w:p>
    <w:p>
      <w:pPr>
        <w:spacing w:after="0" w:line="132"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87" w:name="page88"/>
    <w:bookmarkEnd w:id="87"/>
    <w:p>
      <w:pPr>
        <w:ind w:firstLine="527"/>
        <w:spacing w:after="0" w:line="264" w:lineRule="auto"/>
        <w:rPr>
          <w:sz w:val="20"/>
          <w:szCs w:val="20"/>
          <w:color w:val="auto"/>
        </w:rPr>
      </w:pPr>
      <w:r>
        <w:rPr>
          <w:rFonts w:ascii="Arial" w:cs="Arial" w:eastAsia="Arial" w:hAnsi="Arial"/>
          <w:sz w:val="13"/>
          <w:szCs w:val="13"/>
          <w:i w:val="1"/>
          <w:iCs w:val="1"/>
          <w:color w:val="auto"/>
        </w:rPr>
        <w:t xml:space="preserve">Next-generation checkpoint immunomodulators. </w:t>
      </w:r>
      <w:r>
        <w:rPr>
          <w:rFonts w:ascii="Arial" w:cs="Arial" w:eastAsia="Arial" w:hAnsi="Arial"/>
          <w:sz w:val="13"/>
          <w:szCs w:val="13"/>
          <w:color w:val="auto"/>
        </w:rPr>
        <w:t>We are developing, in collaboration with Genmab, novel next-generation bispecific antibodies that are designed for conditional activation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immunostimulatory checkpoint molecules. Our first bispecific candidates are GEN1046 (BNT311), which targets PD-L1 in conjunction with 4-1BB, and GEN1042 (BNT312), which targets </w:t>
      </w:r>
      <w:r>
        <w:rPr>
          <w:rFonts w:ascii="Arial" w:cs="Arial" w:eastAsia="Arial" w:hAnsi="Arial"/>
          <w:sz w:val="13"/>
          <w:szCs w:val="13"/>
          <w:i w:val="1"/>
          <w:iCs w:val="1"/>
          <w:color w:val="auto"/>
        </w:rPr>
        <w:t>CD40</w:t>
      </w:r>
      <w:r>
        <w:rPr>
          <w:rFonts w:ascii="Arial" w:cs="Arial" w:eastAsia="Arial" w:hAnsi="Arial"/>
          <w:sz w:val="13"/>
          <w:szCs w:val="13"/>
          <w:color w:val="auto"/>
        </w:rPr>
        <w:t xml:space="preserve"> in conjunction with 4-1BB. While 4-1BB is a known immune checkpoint target that is expressed on T cells and natural killer, or NK, cells, prior attempts to target 4-1BB with monoclonal antibodies have been severely limited by liver toxicities. Our 4-1BB targeting product candidates are designed to avoid toxicities by conditionally activating a 4-1BB receptor only together with the binding of either PD-L1 or CD40. We have initiated Phase 1/2a trials of GEN1046 (BNT311) and GEN1042 (BNT312) in solid tumors.</w:t>
      </w:r>
    </w:p>
    <w:p>
      <w:pPr>
        <w:spacing w:after="0" w:line="58" w:lineRule="exact"/>
        <w:rPr>
          <w:sz w:val="20"/>
          <w:szCs w:val="20"/>
          <w:color w:val="auto"/>
        </w:rPr>
      </w:pPr>
    </w:p>
    <w:p>
      <w:pPr>
        <w:ind w:right="80" w:firstLine="527"/>
        <w:spacing w:after="0" w:line="226" w:lineRule="auto"/>
        <w:rPr>
          <w:sz w:val="20"/>
          <w:szCs w:val="20"/>
          <w:color w:val="auto"/>
        </w:rPr>
      </w:pPr>
      <w:r>
        <w:rPr>
          <w:rFonts w:ascii="Arial" w:cs="Arial" w:eastAsia="Arial" w:hAnsi="Arial"/>
          <w:sz w:val="13"/>
          <w:szCs w:val="13"/>
          <w:i w:val="1"/>
          <w:iCs w:val="1"/>
          <w:color w:val="auto"/>
        </w:rPr>
        <w:t xml:space="preserve">Targeted Cancer Antibodies. </w:t>
      </w:r>
      <w:r>
        <w:rPr>
          <w:rFonts w:ascii="Arial" w:cs="Arial" w:eastAsia="Arial" w:hAnsi="Arial"/>
          <w:sz w:val="13"/>
          <w:szCs w:val="13"/>
          <w:color w:val="auto"/>
        </w:rPr>
        <w:t>We recently acquired an antibody with a novel mode of action, MVT-5873 (BNT321). BNT321 is a fully human</w:t>
      </w:r>
      <w:r>
        <w:rPr>
          <w:rFonts w:ascii="Arial" w:cs="Arial" w:eastAsia="Arial" w:hAnsi="Arial"/>
          <w:sz w:val="13"/>
          <w:szCs w:val="13"/>
          <w:i w:val="1"/>
          <w:iCs w:val="1"/>
          <w:color w:val="auto"/>
        </w:rPr>
        <w:t xml:space="preserve"> IgG1 </w:t>
      </w:r>
      <w:r>
        <w:rPr>
          <w:rFonts w:ascii="Arial" w:cs="Arial" w:eastAsia="Arial" w:hAnsi="Arial"/>
          <w:sz w:val="13"/>
          <w:szCs w:val="13"/>
          <w:color w:val="auto"/>
        </w:rPr>
        <w:t>monoclonal antibody targeting sialyl</w:t>
      </w:r>
      <w:r>
        <w:rPr>
          <w:rFonts w:ascii="Arial" w:cs="Arial" w:eastAsia="Arial" w:hAnsi="Arial"/>
          <w:sz w:val="13"/>
          <w:szCs w:val="13"/>
          <w:i w:val="1"/>
          <w:iCs w:val="1"/>
          <w:color w:val="auto"/>
        </w:rPr>
        <w:t xml:space="preserve"> </w:t>
      </w:r>
      <w:r>
        <w:rPr>
          <w:rFonts w:ascii="Arial" w:cs="Arial" w:eastAsia="Arial" w:hAnsi="Arial"/>
          <w:sz w:val="13"/>
          <w:szCs w:val="13"/>
          <w:color w:val="auto"/>
        </w:rPr>
        <w:t>Lewis A (sLe</w:t>
      </w:r>
      <w:r>
        <w:rPr>
          <w:rFonts w:ascii="Arial" w:cs="Arial" w:eastAsia="Arial" w:hAnsi="Arial"/>
          <w:sz w:val="19"/>
          <w:szCs w:val="19"/>
          <w:color w:val="auto"/>
          <w:vertAlign w:val="superscript"/>
        </w:rPr>
        <w:t>a</w:t>
      </w:r>
      <w:r>
        <w:rPr>
          <w:rFonts w:ascii="Arial" w:cs="Arial" w:eastAsia="Arial" w:hAnsi="Arial"/>
          <w:sz w:val="13"/>
          <w:szCs w:val="13"/>
          <w:color w:val="auto"/>
        </w:rPr>
        <w:t>), a novel epitope expressed specifically in pancreatic and other solid tumors. MVT-5873 (BNT321) is currently in Phase 1 clinical development in pancreatic cancer, which we resumed in December 2019 upon the enrollment of the first patient. Positive interim data were announced in February 2018.</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In addition, </w:t>
      </w:r>
      <w:r>
        <w:rPr>
          <w:rFonts w:ascii="Arial" w:cs="Arial" w:eastAsia="Arial" w:hAnsi="Arial"/>
          <w:sz w:val="13"/>
          <w:szCs w:val="13"/>
          <w:i w:val="1"/>
          <w:iCs w:val="1"/>
          <w:color w:val="auto"/>
        </w:rPr>
        <w:t>we</w:t>
      </w:r>
      <w:r>
        <w:rPr>
          <w:rFonts w:ascii="Arial" w:cs="Arial" w:eastAsia="Arial" w:hAnsi="Arial"/>
          <w:sz w:val="13"/>
          <w:szCs w:val="13"/>
          <w:color w:val="auto"/>
        </w:rPr>
        <w:t xml:space="preserve"> have several other cancer immunotherapy programs in development, including:</w:t>
      </w:r>
    </w:p>
    <w:p>
      <w:pPr>
        <w:spacing w:after="0" w:line="90" w:lineRule="exact"/>
        <w:rPr>
          <w:sz w:val="20"/>
          <w:szCs w:val="20"/>
          <w:color w:val="auto"/>
        </w:rPr>
      </w:pPr>
    </w:p>
    <w:p>
      <w:pPr>
        <w:ind w:left="880" w:right="80" w:hanging="330"/>
        <w:spacing w:after="0" w:line="287" w:lineRule="auto"/>
        <w:tabs>
          <w:tab w:leader="none" w:pos="88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RiboMabs: </w:t>
      </w:r>
      <w:r>
        <w:rPr>
          <w:rFonts w:ascii="Arial" w:cs="Arial" w:eastAsia="Arial" w:hAnsi="Arial"/>
          <w:sz w:val="13"/>
          <w:szCs w:val="13"/>
          <w:color w:val="auto"/>
        </w:rPr>
        <w:t>novel classes of mRNA-based therapeutics that are designed to encode antibodies directly in the patient’s body. We expect to initiate Phase 1 clinical trials for our first two</w:t>
      </w:r>
      <w:r>
        <w:rPr>
          <w:rFonts w:ascii="Arial" w:cs="Arial" w:eastAsia="Arial" w:hAnsi="Arial"/>
          <w:sz w:val="13"/>
          <w:szCs w:val="13"/>
          <w:i w:val="1"/>
          <w:iCs w:val="1"/>
          <w:color w:val="auto"/>
        </w:rPr>
        <w:t xml:space="preserve"> </w:t>
      </w:r>
      <w:r>
        <w:rPr>
          <w:rFonts w:ascii="Arial" w:cs="Arial" w:eastAsia="Arial" w:hAnsi="Arial"/>
          <w:sz w:val="13"/>
          <w:szCs w:val="13"/>
          <w:color w:val="auto"/>
        </w:rPr>
        <w:t>RiboMab product candidates, BNT141 and BNT142, in the first half of 2021.</w:t>
      </w:r>
    </w:p>
    <w:p>
      <w:pPr>
        <w:spacing w:after="0" w:line="42" w:lineRule="exact"/>
        <w:rPr>
          <w:rFonts w:ascii="Arial" w:cs="Arial" w:eastAsia="Arial" w:hAnsi="Arial"/>
          <w:sz w:val="13"/>
          <w:szCs w:val="13"/>
          <w:color w:val="auto"/>
        </w:rPr>
      </w:pPr>
    </w:p>
    <w:p>
      <w:pPr>
        <w:ind w:left="880" w:right="120" w:hanging="330"/>
        <w:spacing w:after="0" w:line="287" w:lineRule="auto"/>
        <w:tabs>
          <w:tab w:leader="none" w:pos="88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RiboCytokines</w:t>
      </w:r>
      <w:r>
        <w:rPr>
          <w:rFonts w:ascii="Arial" w:cs="Arial" w:eastAsia="Arial" w:hAnsi="Arial"/>
          <w:sz w:val="13"/>
          <w:szCs w:val="13"/>
          <w:color w:val="auto"/>
        </w:rPr>
        <w:t>: novel classes of mRNA-based therapeutics that are designed to encode cytokines directly in the patient’s body. We expect to initiate Phase 1 clinical trials for our first</w:t>
      </w:r>
      <w:r>
        <w:rPr>
          <w:rFonts w:ascii="Arial" w:cs="Arial" w:eastAsia="Arial" w:hAnsi="Arial"/>
          <w:sz w:val="13"/>
          <w:szCs w:val="13"/>
          <w:i w:val="1"/>
          <w:iCs w:val="1"/>
          <w:color w:val="auto"/>
        </w:rPr>
        <w:t xml:space="preserve"> </w:t>
      </w:r>
      <w:r>
        <w:rPr>
          <w:rFonts w:ascii="Arial" w:cs="Arial" w:eastAsia="Arial" w:hAnsi="Arial"/>
          <w:sz w:val="13"/>
          <w:szCs w:val="13"/>
          <w:color w:val="auto"/>
        </w:rPr>
        <w:t>RiboCytokine product candidates, BNT151 and BNT152/BNT153 (combination), in the first half of 2021.</w:t>
      </w:r>
    </w:p>
    <w:p>
      <w:pPr>
        <w:spacing w:after="0" w:line="42" w:lineRule="exact"/>
        <w:rPr>
          <w:rFonts w:ascii="Arial" w:cs="Arial" w:eastAsia="Arial" w:hAnsi="Arial"/>
          <w:sz w:val="13"/>
          <w:szCs w:val="13"/>
          <w:color w:val="auto"/>
        </w:rPr>
      </w:pPr>
    </w:p>
    <w:p>
      <w:pPr>
        <w:ind w:left="880" w:hanging="330"/>
        <w:spacing w:after="0"/>
        <w:tabs>
          <w:tab w:leader="none" w:pos="88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TCR therapy</w:t>
      </w:r>
      <w:r>
        <w:rPr>
          <w:rFonts w:ascii="Arial" w:cs="Arial" w:eastAsia="Arial" w:hAnsi="Arial"/>
          <w:sz w:val="13"/>
          <w:szCs w:val="13"/>
          <w:color w:val="auto"/>
        </w:rPr>
        <w:t>: T cells with engineered TCRs that are designed to specifically target cancer cells.</w:t>
      </w:r>
    </w:p>
    <w:p>
      <w:pPr>
        <w:spacing w:after="0" w:line="90" w:lineRule="exact"/>
        <w:rPr>
          <w:rFonts w:ascii="Arial" w:cs="Arial" w:eastAsia="Arial" w:hAnsi="Arial"/>
          <w:sz w:val="13"/>
          <w:szCs w:val="13"/>
          <w:color w:val="auto"/>
        </w:rPr>
      </w:pPr>
    </w:p>
    <w:p>
      <w:pPr>
        <w:ind w:left="880" w:right="20" w:hanging="330"/>
        <w:spacing w:after="0" w:line="272" w:lineRule="auto"/>
        <w:tabs>
          <w:tab w:leader="none" w:pos="88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Small molecule immunomodulators: </w:t>
      </w:r>
      <w:r>
        <w:rPr>
          <w:rFonts w:ascii="Arial" w:cs="Arial" w:eastAsia="Arial" w:hAnsi="Arial"/>
          <w:sz w:val="13"/>
          <w:szCs w:val="13"/>
          <w:color w:val="auto"/>
        </w:rPr>
        <w:t>novel intratumoral agents that trigger inflammation and improvement of antigen presentation by antigen-presenting cells. We filed an IND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first small molecule immunomodulator product candidate, BNT411, in the fourth quarter of 2019 and expect to initiate a Phase 1 clinical trial for BNT411 in solid tumors in the second half of 2020.</w:t>
      </w:r>
    </w:p>
    <w:p>
      <w:pPr>
        <w:spacing w:after="0" w:line="212" w:lineRule="exact"/>
        <w:rPr>
          <w:sz w:val="20"/>
          <w:szCs w:val="20"/>
          <w:color w:val="auto"/>
        </w:rPr>
      </w:pPr>
    </w:p>
    <w:p>
      <w:pPr>
        <w:ind w:left="1100" w:hanging="550"/>
        <w:spacing w:after="0"/>
        <w:tabs>
          <w:tab w:leader="none" w:pos="1100" w:val="left"/>
        </w:tabs>
        <w:numPr>
          <w:ilvl w:val="0"/>
          <w:numId w:val="6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Infectious Disease Immunotherapies</w:t>
      </w:r>
    </w:p>
    <w:p>
      <w:pPr>
        <w:spacing w:after="0" w:line="90" w:lineRule="exact"/>
        <w:rPr>
          <w:sz w:val="20"/>
          <w:szCs w:val="20"/>
          <w:color w:val="auto"/>
        </w:rPr>
      </w:pPr>
    </w:p>
    <w:p>
      <w:pPr>
        <w:ind w:firstLine="527"/>
        <w:spacing w:after="0" w:line="287" w:lineRule="auto"/>
        <w:rPr>
          <w:sz w:val="20"/>
          <w:szCs w:val="20"/>
          <w:color w:val="auto"/>
        </w:rPr>
      </w:pPr>
      <w:r>
        <w:rPr>
          <w:rFonts w:ascii="Arial" w:cs="Arial" w:eastAsia="Arial" w:hAnsi="Arial"/>
          <w:sz w:val="13"/>
          <w:szCs w:val="13"/>
          <w:color w:val="auto"/>
        </w:rPr>
        <w:t xml:space="preserve">We have collaborated with third parties to exploit the immunotherapeutic properties of our mRNA drug class for the treatment and prevention of </w:t>
      </w:r>
      <w:r>
        <w:rPr>
          <w:rFonts w:ascii="Arial" w:cs="Arial" w:eastAsia="Arial" w:hAnsi="Arial"/>
          <w:sz w:val="13"/>
          <w:szCs w:val="13"/>
          <w:i w:val="1"/>
          <w:iCs w:val="1"/>
          <w:color w:val="auto"/>
        </w:rPr>
        <w:t>infectious</w:t>
      </w:r>
      <w:r>
        <w:rPr>
          <w:rFonts w:ascii="Arial" w:cs="Arial" w:eastAsia="Arial" w:hAnsi="Arial"/>
          <w:sz w:val="13"/>
          <w:szCs w:val="13"/>
          <w:color w:val="auto"/>
        </w:rPr>
        <w:t xml:space="preserve"> diseases. We expect to advance our flu vaccine into the clinic by the first half of 2021, and our first programs under our Penn collaboration into the clinic by the first half of 2021.</w:t>
      </w:r>
    </w:p>
    <w:p>
      <w:pPr>
        <w:spacing w:after="0" w:line="42" w:lineRule="exact"/>
        <w:rPr>
          <w:sz w:val="20"/>
          <w:szCs w:val="20"/>
          <w:color w:val="auto"/>
        </w:rPr>
      </w:pPr>
    </w:p>
    <w:p>
      <w:pPr>
        <w:ind w:left="880" w:hanging="330"/>
        <w:spacing w:after="0"/>
        <w:tabs>
          <w:tab w:leader="none" w:pos="880" w:val="left"/>
        </w:tabs>
        <w:numPr>
          <w:ilvl w:val="0"/>
          <w:numId w:val="70"/>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Flu vaccine: </w:t>
      </w:r>
      <w:r>
        <w:rPr>
          <w:rFonts w:ascii="Arial" w:cs="Arial" w:eastAsia="Arial" w:hAnsi="Arial"/>
          <w:sz w:val="12"/>
          <w:szCs w:val="12"/>
          <w:color w:val="auto"/>
        </w:rPr>
        <w:t>In August 2018, we entered into a collaboration with Pfizer to the develop mRNA-based immunotherapies for the prevention of influenza, product candidate</w:t>
      </w:r>
      <w:r>
        <w:rPr>
          <w:rFonts w:ascii="Arial" w:cs="Arial" w:eastAsia="Arial" w:hAnsi="Arial"/>
          <w:sz w:val="12"/>
          <w:szCs w:val="12"/>
          <w:i w:val="1"/>
          <w:iCs w:val="1"/>
          <w:color w:val="auto"/>
        </w:rPr>
        <w:t xml:space="preserve"> BNT161</w:t>
      </w:r>
      <w:r>
        <w:rPr>
          <w:rFonts w:ascii="Arial" w:cs="Arial" w:eastAsia="Arial" w:hAnsi="Arial"/>
          <w:sz w:val="12"/>
          <w:szCs w:val="12"/>
          <w:color w:val="auto"/>
        </w:rPr>
        <w:t>.</w:t>
      </w:r>
    </w:p>
    <w:p>
      <w:pPr>
        <w:spacing w:after="0" w:line="101" w:lineRule="exact"/>
        <w:rPr>
          <w:rFonts w:ascii="Arial" w:cs="Arial" w:eastAsia="Arial" w:hAnsi="Arial"/>
          <w:sz w:val="12"/>
          <w:szCs w:val="12"/>
          <w:i w:val="1"/>
          <w:iCs w:val="1"/>
          <w:color w:val="auto"/>
        </w:rPr>
      </w:pPr>
    </w:p>
    <w:p>
      <w:pPr>
        <w:ind w:left="880" w:right="240" w:hanging="330"/>
        <w:spacing w:after="0" w:line="304" w:lineRule="auto"/>
        <w:tabs>
          <w:tab w:leader="none" w:pos="880" w:val="left"/>
        </w:tabs>
        <w:numPr>
          <w:ilvl w:val="0"/>
          <w:numId w:val="70"/>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Infectious diseases: </w:t>
      </w:r>
      <w:r>
        <w:rPr>
          <w:rFonts w:ascii="Arial" w:cs="Arial" w:eastAsia="Arial" w:hAnsi="Arial"/>
          <w:sz w:val="12"/>
          <w:szCs w:val="12"/>
          <w:color w:val="auto"/>
        </w:rPr>
        <w:t>In October 2018, we entered into a research collaboration with Penn, under which we have the exclusive option to develop and commercialize mRNA</w:t>
      </w:r>
      <w:r>
        <w:rPr>
          <w:rFonts w:ascii="Arial" w:cs="Arial" w:eastAsia="Arial" w:hAnsi="Arial"/>
          <w:sz w:val="12"/>
          <w:szCs w:val="12"/>
          <w:i w:val="1"/>
          <w:iCs w:val="1"/>
          <w:color w:val="auto"/>
        </w:rPr>
        <w:t xml:space="preserve"> </w:t>
      </w:r>
      <w:r>
        <w:rPr>
          <w:rFonts w:ascii="Arial" w:cs="Arial" w:eastAsia="Arial" w:hAnsi="Arial"/>
          <w:sz w:val="12"/>
          <w:szCs w:val="12"/>
          <w:color w:val="auto"/>
        </w:rPr>
        <w:t>immunotherapies for the treatment of up to 10 infectious disease indications. 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36" w:lineRule="exact"/>
        <w:rPr>
          <w:sz w:val="20"/>
          <w:szCs w:val="20"/>
          <w:color w:val="auto"/>
        </w:rPr>
      </w:pPr>
    </w:p>
    <w:p>
      <w:pPr>
        <w:jc w:val="both"/>
        <w:ind w:right="80" w:firstLine="527"/>
        <w:spacing w:after="0" w:line="272" w:lineRule="auto"/>
        <w:rPr>
          <w:sz w:val="20"/>
          <w:szCs w:val="20"/>
          <w:color w:val="auto"/>
        </w:rPr>
      </w:pPr>
      <w:r>
        <w:rPr>
          <w:rFonts w:ascii="Arial" w:cs="Arial" w:eastAsia="Arial" w:hAnsi="Arial"/>
          <w:sz w:val="13"/>
          <w:szCs w:val="13"/>
          <w:color w:val="auto"/>
        </w:rPr>
        <w:t>In response to the Coronavirus global pandemic, we are developing a potential vaccine based on mRNA technology to induce immunity and prevent COVID-19 infection in response to the growing global health threat posed by the disease. We intend to initiate clinical testing for the product candidate, BNT162, in late April 2020, subject to regulatory approval, as part of a global clinical development program in Europe (commencing in Germany), the United States and China.</w:t>
      </w:r>
    </w:p>
    <w:p>
      <w:pPr>
        <w:spacing w:after="0" w:line="52" w:lineRule="exact"/>
        <w:rPr>
          <w:sz w:val="20"/>
          <w:szCs w:val="20"/>
          <w:color w:val="auto"/>
        </w:rPr>
      </w:pPr>
    </w:p>
    <w:p>
      <w:pPr>
        <w:ind w:firstLine="527"/>
        <w:spacing w:after="0" w:line="287" w:lineRule="auto"/>
        <w:rPr>
          <w:sz w:val="20"/>
          <w:szCs w:val="20"/>
          <w:color w:val="auto"/>
        </w:rPr>
      </w:pPr>
      <w:r>
        <w:rPr>
          <w:rFonts w:ascii="Arial" w:cs="Arial" w:eastAsia="Arial" w:hAnsi="Arial"/>
          <w:sz w:val="13"/>
          <w:szCs w:val="13"/>
          <w:color w:val="auto"/>
        </w:rPr>
        <w:t xml:space="preserve">In March 2020, we entered into a strategic alliance with Fosun Pharma to co-develop a COVID-19 vaccine in China. Upon </w:t>
      </w:r>
      <w:r>
        <w:rPr>
          <w:rFonts w:ascii="Arial" w:cs="Arial" w:eastAsia="Arial" w:hAnsi="Arial"/>
          <w:sz w:val="13"/>
          <w:szCs w:val="13"/>
          <w:i w:val="1"/>
          <w:iCs w:val="1"/>
          <w:color w:val="auto"/>
        </w:rPr>
        <w:t>regulatory</w:t>
      </w:r>
      <w:r>
        <w:rPr>
          <w:rFonts w:ascii="Arial" w:cs="Arial" w:eastAsia="Arial" w:hAnsi="Arial"/>
          <w:sz w:val="13"/>
          <w:szCs w:val="13"/>
          <w:color w:val="auto"/>
        </w:rPr>
        <w:t xml:space="preserve"> approval, Fosun Pharma will commercialize the vaccine in China, while we retain the full rights to develop and commercialize the vaccine in the rest of the world.</w:t>
      </w:r>
    </w:p>
    <w:p>
      <w:pPr>
        <w:spacing w:after="0" w:line="42" w:lineRule="exact"/>
        <w:rPr>
          <w:sz w:val="20"/>
          <w:szCs w:val="20"/>
          <w:color w:val="auto"/>
        </w:rPr>
      </w:pPr>
    </w:p>
    <w:p>
      <w:pPr>
        <w:ind w:right="200" w:firstLine="527"/>
        <w:spacing w:after="0" w:line="287" w:lineRule="auto"/>
        <w:rPr>
          <w:sz w:val="20"/>
          <w:szCs w:val="20"/>
          <w:color w:val="auto"/>
        </w:rPr>
      </w:pPr>
      <w:r>
        <w:rPr>
          <w:rFonts w:ascii="Arial" w:cs="Arial" w:eastAsia="Arial" w:hAnsi="Arial"/>
          <w:sz w:val="13"/>
          <w:szCs w:val="13"/>
          <w:color w:val="auto"/>
        </w:rPr>
        <w:t>Building on our existing collaboration with Pfizer, in March 2020, we signed a letter of intent to co-develop and distribute a COVID-</w:t>
      </w:r>
      <w:r>
        <w:rPr>
          <w:rFonts w:ascii="Arial" w:cs="Arial" w:eastAsia="Arial" w:hAnsi="Arial"/>
          <w:sz w:val="13"/>
          <w:szCs w:val="13"/>
          <w:i w:val="1"/>
          <w:iCs w:val="1"/>
          <w:color w:val="auto"/>
        </w:rPr>
        <w:t>19</w:t>
      </w:r>
      <w:r>
        <w:rPr>
          <w:rFonts w:ascii="Arial" w:cs="Arial" w:eastAsia="Arial" w:hAnsi="Arial"/>
          <w:sz w:val="13"/>
          <w:szCs w:val="13"/>
          <w:color w:val="auto"/>
        </w:rPr>
        <w:t xml:space="preserve"> vaccine outside of China. We have also executed a Material Transfer and Collaboration Agreement to enable immediate collaboration.</w:t>
      </w:r>
    </w:p>
    <w:p>
      <w:pPr>
        <w:spacing w:after="0" w:line="122"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00"/>
          </w:cols>
          <w:pgMar w:left="860" w:top="211" w:right="339" w:bottom="1440" w:gutter="0" w:footer="0" w:header="0"/>
        </w:sectPr>
      </w:pPr>
    </w:p>
    <w:bookmarkStart w:id="88" w:name="page89"/>
    <w:bookmarkEnd w:id="88"/>
    <w:p>
      <w:pPr>
        <w:ind w:left="1660" w:hanging="550"/>
        <w:spacing w:after="0"/>
        <w:tabs>
          <w:tab w:leader="none" w:pos="1660" w:val="left"/>
        </w:tabs>
        <w:numPr>
          <w:ilvl w:val="0"/>
          <w:numId w:val="7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Rare Disease Protein Replacement Therapies</w:t>
      </w:r>
    </w:p>
    <w:p>
      <w:pPr>
        <w:spacing w:after="0" w:line="90" w:lineRule="exact"/>
        <w:rPr>
          <w:sz w:val="20"/>
          <w:szCs w:val="20"/>
          <w:color w:val="auto"/>
        </w:rPr>
      </w:pPr>
    </w:p>
    <w:p>
      <w:pPr>
        <w:ind w:left="560" w:right="60" w:firstLine="527"/>
        <w:spacing w:after="0" w:line="272" w:lineRule="auto"/>
        <w:rPr>
          <w:sz w:val="20"/>
          <w:szCs w:val="20"/>
          <w:color w:val="auto"/>
        </w:rPr>
      </w:pPr>
      <w:r>
        <w:rPr>
          <w:rFonts w:ascii="Arial" w:cs="Arial" w:eastAsia="Arial" w:hAnsi="Arial"/>
          <w:sz w:val="13"/>
          <w:szCs w:val="13"/>
          <w:color w:val="auto"/>
        </w:rPr>
        <w:t xml:space="preserve">We are collaborating with Genevant in order to capitalize on opportunities for our mRNA technology in rare disease indications potentially </w:t>
      </w:r>
      <w:r>
        <w:rPr>
          <w:rFonts w:ascii="Arial" w:cs="Arial" w:eastAsia="Arial" w:hAnsi="Arial"/>
          <w:sz w:val="13"/>
          <w:szCs w:val="13"/>
          <w:i w:val="1"/>
          <w:iCs w:val="1"/>
          <w:color w:val="auto"/>
        </w:rPr>
        <w:t>featuring</w:t>
      </w:r>
      <w:r>
        <w:rPr>
          <w:rFonts w:ascii="Arial" w:cs="Arial" w:eastAsia="Arial" w:hAnsi="Arial"/>
          <w:sz w:val="13"/>
          <w:szCs w:val="13"/>
          <w:color w:val="auto"/>
        </w:rPr>
        <w:t xml:space="preserve"> expedited paths to market. We are combining our mRNA technology with Genevant’s lipid nanoparticle, or LNP, delivery technology to create up to five mRNA protein replacement therapies for the treatment of rare diseases with high unmet medical needs. We expect our first compound to enter the clinic in the first half of 2021.</w:t>
      </w:r>
    </w:p>
    <w:p>
      <w:pPr>
        <w:spacing w:after="0" w:line="208" w:lineRule="exact"/>
        <w:rPr>
          <w:sz w:val="20"/>
          <w:szCs w:val="20"/>
          <w:color w:val="auto"/>
        </w:rPr>
      </w:pPr>
    </w:p>
    <w:p>
      <w:pPr>
        <w:ind w:left="540" w:hanging="540"/>
        <w:spacing w:after="0"/>
        <w:tabs>
          <w:tab w:leader="none" w:pos="54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Our Strengths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are developing a broad portfolio of technologies and product candidates that we believe position us at the forefront of the next generation of targeted, specific immunotherapies. Our key strengths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include:</w:t>
      </w:r>
    </w:p>
    <w:p>
      <w:pPr>
        <w:spacing w:after="0" w:line="162" w:lineRule="exact"/>
        <w:rPr>
          <w:sz w:val="20"/>
          <w:szCs w:val="20"/>
          <w:color w:val="auto"/>
        </w:rPr>
      </w:pPr>
    </w:p>
    <w:p>
      <w:pPr>
        <w:ind w:right="460" w:firstLine="556"/>
        <w:spacing w:after="0" w:line="287" w:lineRule="auto"/>
        <w:rPr>
          <w:sz w:val="20"/>
          <w:szCs w:val="20"/>
          <w:color w:val="auto"/>
        </w:rPr>
      </w:pPr>
      <w:r>
        <w:rPr>
          <w:rFonts w:ascii="Arial" w:cs="Arial" w:eastAsia="Arial" w:hAnsi="Arial"/>
          <w:sz w:val="13"/>
          <w:szCs w:val="13"/>
          <w:b w:val="1"/>
          <w:bCs w:val="1"/>
          <w:i w:val="1"/>
          <w:iCs w:val="1"/>
          <w:color w:val="auto"/>
        </w:rPr>
        <w:t>We are a next-generation immunotherapy powerhouse pioneering individualized immunotherapies to address the shortcomings of existing treatments for cancer and other indications with significant unmet need.</w:t>
      </w:r>
    </w:p>
    <w:p>
      <w:pPr>
        <w:spacing w:after="0" w:line="42" w:lineRule="exact"/>
        <w:rPr>
          <w:sz w:val="20"/>
          <w:szCs w:val="20"/>
          <w:color w:val="auto"/>
        </w:rPr>
      </w:pPr>
    </w:p>
    <w:p>
      <w:pPr>
        <w:ind w:left="1020" w:right="320" w:hanging="340"/>
        <w:spacing w:after="0" w:line="287" w:lineRule="auto"/>
        <w:tabs>
          <w:tab w:leader="none" w:pos="1020" w:val="left"/>
        </w:tabs>
        <w:numPr>
          <w:ilvl w:val="0"/>
          <w:numId w:val="73"/>
        </w:numPr>
        <w:rPr>
          <w:rFonts w:ascii="Arial" w:cs="Arial" w:eastAsia="Arial" w:hAnsi="Arial"/>
          <w:sz w:val="13"/>
          <w:szCs w:val="13"/>
          <w:color w:val="auto"/>
        </w:rPr>
      </w:pPr>
      <w:r>
        <w:rPr>
          <w:rFonts w:ascii="Arial" w:cs="Arial" w:eastAsia="Arial" w:hAnsi="Arial"/>
          <w:sz w:val="13"/>
          <w:szCs w:val="13"/>
          <w:color w:val="231F20"/>
        </w:rPr>
        <w:t>We have established leadership and expertise in immunology and oncology. Through 11 years of rigorous scientific investigation and clinical translation, we have developed a portfolio of disruptive immunotherapy technologies designed to address the challenges of disease heterogeneity and patient variability.</w:t>
      </w:r>
    </w:p>
    <w:p>
      <w:pPr>
        <w:spacing w:after="0" w:line="42" w:lineRule="exact"/>
        <w:rPr>
          <w:rFonts w:ascii="Arial" w:cs="Arial" w:eastAsia="Arial" w:hAnsi="Arial"/>
          <w:sz w:val="13"/>
          <w:szCs w:val="13"/>
          <w:color w:val="auto"/>
        </w:rPr>
      </w:pPr>
    </w:p>
    <w:p>
      <w:pPr>
        <w:ind w:left="1020" w:right="220" w:hanging="340"/>
        <w:spacing w:after="0" w:line="272" w:lineRule="auto"/>
        <w:tabs>
          <w:tab w:leader="none" w:pos="1020" w:val="left"/>
        </w:tabs>
        <w:numPr>
          <w:ilvl w:val="0"/>
          <w:numId w:val="73"/>
        </w:numPr>
        <w:rPr>
          <w:rFonts w:ascii="Arial" w:cs="Arial" w:eastAsia="Arial" w:hAnsi="Arial"/>
          <w:sz w:val="13"/>
          <w:szCs w:val="13"/>
          <w:color w:val="231F20"/>
        </w:rPr>
      </w:pPr>
      <w:r>
        <w:rPr>
          <w:rFonts w:ascii="Arial" w:cs="Arial" w:eastAsia="Arial" w:hAnsi="Arial"/>
          <w:sz w:val="13"/>
          <w:szCs w:val="13"/>
          <w:color w:val="231F20"/>
        </w:rPr>
        <w:t xml:space="preserve">Our team has consistently been first-movers and has published over 150 scientific papers in leading peer-reviewed journals. We were the first to develop an intravenously delivered mRNA-based human therapeutic, the first </w:t>
      </w:r>
      <w:r>
        <w:rPr>
          <w:rFonts w:ascii="Arial" w:cs="Arial" w:eastAsia="Arial" w:hAnsi="Arial"/>
          <w:sz w:val="13"/>
          <w:szCs w:val="13"/>
          <w:color w:val="000000"/>
        </w:rPr>
        <w:t>to</w:t>
      </w:r>
      <w:r>
        <w:rPr>
          <w:rFonts w:ascii="Arial" w:cs="Arial" w:eastAsia="Arial" w:hAnsi="Arial"/>
          <w:sz w:val="13"/>
          <w:szCs w:val="13"/>
          <w:color w:val="231F20"/>
        </w:rPr>
        <w:t xml:space="preserve"> advance an individualized mRNA-based cancer immunotherapy into clinical trials, and the first to establish scaled in-house manufacturing for such a product candidate.</w:t>
      </w:r>
    </w:p>
    <w:p>
      <w:pPr>
        <w:spacing w:after="0" w:line="51" w:lineRule="exact"/>
        <w:rPr>
          <w:rFonts w:ascii="Arial" w:cs="Arial" w:eastAsia="Arial" w:hAnsi="Arial"/>
          <w:sz w:val="13"/>
          <w:szCs w:val="13"/>
          <w:color w:val="231F20"/>
        </w:rPr>
      </w:pPr>
    </w:p>
    <w:p>
      <w:pPr>
        <w:ind w:left="1020" w:right="20" w:hanging="340"/>
        <w:spacing w:after="0" w:line="272" w:lineRule="auto"/>
        <w:tabs>
          <w:tab w:leader="none" w:pos="1020" w:val="left"/>
        </w:tabs>
        <w:numPr>
          <w:ilvl w:val="0"/>
          <w:numId w:val="73"/>
        </w:numPr>
        <w:rPr>
          <w:rFonts w:ascii="Arial" w:cs="Arial" w:eastAsia="Arial" w:hAnsi="Arial"/>
          <w:sz w:val="13"/>
          <w:szCs w:val="13"/>
          <w:color w:val="231F20"/>
        </w:rPr>
      </w:pPr>
      <w:r>
        <w:rPr>
          <w:rFonts w:ascii="Arial" w:cs="Arial" w:eastAsia="Arial" w:hAnsi="Arial"/>
          <w:sz w:val="13"/>
          <w:szCs w:val="13"/>
          <w:color w:val="231F20"/>
        </w:rPr>
        <w:t xml:space="preserve">Since our founding in 2008, we have advanced four of our therapeutic platforms into human clinical trials, generated promising early evidence of clinical activity in several cancer types, raised $1.4 billion of capital from </w:t>
      </w:r>
      <w:r>
        <w:rPr>
          <w:rFonts w:ascii="Arial" w:cs="Arial" w:eastAsia="Arial" w:hAnsi="Arial"/>
          <w:sz w:val="13"/>
          <w:szCs w:val="13"/>
          <w:color w:val="000000"/>
        </w:rPr>
        <w:t>renowned</w:t>
      </w:r>
      <w:r>
        <w:rPr>
          <w:rFonts w:ascii="Arial" w:cs="Arial" w:eastAsia="Arial" w:hAnsi="Arial"/>
          <w:sz w:val="13"/>
          <w:szCs w:val="13"/>
          <w:color w:val="231F20"/>
        </w:rPr>
        <w:t xml:space="preserve"> global biopharmaceutical investors, formed collaborations with eight leading pharmaceutical companies, and acquired complementary assets ranging from research and manufacturing units to clinical programs.</w:t>
      </w:r>
    </w:p>
    <w:p>
      <w:pPr>
        <w:spacing w:after="0" w:line="51" w:lineRule="exact"/>
        <w:rPr>
          <w:rFonts w:ascii="Arial" w:cs="Arial" w:eastAsia="Arial" w:hAnsi="Arial"/>
          <w:sz w:val="13"/>
          <w:szCs w:val="13"/>
          <w:color w:val="231F20"/>
        </w:rPr>
      </w:pPr>
    </w:p>
    <w:p>
      <w:pPr>
        <w:ind w:left="1020" w:right="260" w:hanging="340"/>
        <w:spacing w:after="0" w:line="287" w:lineRule="auto"/>
        <w:tabs>
          <w:tab w:leader="none" w:pos="1020" w:val="left"/>
        </w:tabs>
        <w:numPr>
          <w:ilvl w:val="0"/>
          <w:numId w:val="73"/>
        </w:numPr>
        <w:rPr>
          <w:rFonts w:ascii="Arial" w:cs="Arial" w:eastAsia="Arial" w:hAnsi="Arial"/>
          <w:sz w:val="13"/>
          <w:szCs w:val="13"/>
          <w:color w:val="231F20"/>
        </w:rPr>
      </w:pPr>
      <w:r>
        <w:rPr>
          <w:rFonts w:ascii="Arial" w:cs="Arial" w:eastAsia="Arial" w:hAnsi="Arial"/>
          <w:sz w:val="13"/>
          <w:szCs w:val="13"/>
          <w:color w:val="231F20"/>
        </w:rPr>
        <w:t xml:space="preserve">Our </w:t>
      </w:r>
      <w:r>
        <w:rPr>
          <w:rFonts w:ascii="Arial" w:cs="Arial" w:eastAsia="Arial" w:hAnsi="Arial"/>
          <w:sz w:val="13"/>
          <w:szCs w:val="13"/>
          <w:color w:val="000000"/>
        </w:rPr>
        <w:t>efforts</w:t>
      </w:r>
      <w:r>
        <w:rPr>
          <w:rFonts w:ascii="Arial" w:cs="Arial" w:eastAsia="Arial" w:hAnsi="Arial"/>
          <w:sz w:val="13"/>
          <w:szCs w:val="13"/>
          <w:color w:val="231F20"/>
        </w:rPr>
        <w:t xml:space="preserve"> are driven by a group of over 1,300 employees including over 400 in research and development, overseen by our founders who are internationally recognized thought leaders in their disciplines.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We are developing product candidates addressing highly specific immuno-oncology targets, employing a technology-agnostic approach.</w:t>
      </w:r>
    </w:p>
    <w:p>
      <w:pPr>
        <w:spacing w:after="0" w:line="90" w:lineRule="exact"/>
        <w:rPr>
          <w:sz w:val="20"/>
          <w:szCs w:val="20"/>
          <w:color w:val="auto"/>
        </w:rPr>
      </w:pPr>
    </w:p>
    <w:p>
      <w:pPr>
        <w:ind w:left="1020" w:hanging="340"/>
        <w:spacing w:after="0" w:line="331" w:lineRule="auto"/>
        <w:tabs>
          <w:tab w:leader="none" w:pos="1020" w:val="left"/>
        </w:tabs>
        <w:numPr>
          <w:ilvl w:val="0"/>
          <w:numId w:val="74"/>
        </w:numPr>
        <w:rPr>
          <w:rFonts w:ascii="Arial" w:cs="Arial" w:eastAsia="Arial" w:hAnsi="Arial"/>
          <w:sz w:val="12"/>
          <w:szCs w:val="12"/>
          <w:color w:val="auto"/>
        </w:rPr>
      </w:pPr>
      <w:r>
        <w:rPr>
          <w:rFonts w:ascii="Arial" w:cs="Arial" w:eastAsia="Arial" w:hAnsi="Arial"/>
          <w:sz w:val="12"/>
          <w:szCs w:val="12"/>
          <w:color w:val="231F20"/>
        </w:rPr>
        <w:t xml:space="preserve">Our portfolio includes four drug classes, spanning mRNA therapeutics, engineered cell therapies, antibodies and small </w:t>
      </w:r>
      <w:r>
        <w:rPr>
          <w:rFonts w:ascii="Arial" w:cs="Arial" w:eastAsia="Arial" w:hAnsi="Arial"/>
          <w:sz w:val="12"/>
          <w:szCs w:val="12"/>
          <w:color w:val="000000"/>
        </w:rPr>
        <w:t>molecule</w:t>
      </w:r>
      <w:r>
        <w:rPr>
          <w:rFonts w:ascii="Arial" w:cs="Arial" w:eastAsia="Arial" w:hAnsi="Arial"/>
          <w:sz w:val="12"/>
          <w:szCs w:val="12"/>
          <w:color w:val="231F20"/>
        </w:rPr>
        <w:t xml:space="preserve"> immunomodulators, which can be used alone or in combination to enhance therapeutic effect and produce potentially synergistic effects, as demonstrated in our combination of our BNT211 CAR-T product candidate with a CARVac immune primer.</w:t>
      </w:r>
    </w:p>
    <w:p>
      <w:pPr>
        <w:spacing w:after="0" w:line="19" w:lineRule="exact"/>
        <w:rPr>
          <w:rFonts w:ascii="Arial" w:cs="Arial" w:eastAsia="Arial" w:hAnsi="Arial"/>
          <w:sz w:val="12"/>
          <w:szCs w:val="12"/>
          <w:color w:val="auto"/>
        </w:rPr>
      </w:pPr>
    </w:p>
    <w:p>
      <w:pPr>
        <w:ind w:left="1020" w:hanging="340"/>
        <w:spacing w:after="0"/>
        <w:tabs>
          <w:tab w:leader="none" w:pos="1020" w:val="left"/>
        </w:tabs>
        <w:numPr>
          <w:ilvl w:val="0"/>
          <w:numId w:val="74"/>
        </w:numPr>
        <w:rPr>
          <w:rFonts w:ascii="Arial" w:cs="Arial" w:eastAsia="Arial" w:hAnsi="Arial"/>
          <w:sz w:val="13"/>
          <w:szCs w:val="13"/>
          <w:color w:val="231F20"/>
        </w:rPr>
      </w:pPr>
      <w:r>
        <w:rPr>
          <w:rFonts w:ascii="Arial" w:cs="Arial" w:eastAsia="Arial" w:hAnsi="Arial"/>
          <w:sz w:val="13"/>
          <w:szCs w:val="13"/>
          <w:color w:val="231F20"/>
        </w:rPr>
        <w:t xml:space="preserve">Our </w:t>
      </w:r>
      <w:r>
        <w:rPr>
          <w:rFonts w:ascii="Arial" w:cs="Arial" w:eastAsia="Arial" w:hAnsi="Arial"/>
          <w:sz w:val="13"/>
          <w:szCs w:val="13"/>
          <w:color w:val="000000"/>
        </w:rPr>
        <w:t>oncology</w:t>
      </w:r>
      <w:r>
        <w:rPr>
          <w:rFonts w:ascii="Arial" w:cs="Arial" w:eastAsia="Arial" w:hAnsi="Arial"/>
          <w:sz w:val="13"/>
          <w:szCs w:val="13"/>
          <w:color w:val="231F20"/>
        </w:rPr>
        <w:t xml:space="preserve"> pipeline includes 10 product candidates in 11 ongoing clinical trials, and more than 10 preclinical programs.</w:t>
      </w:r>
    </w:p>
    <w:p>
      <w:pPr>
        <w:spacing w:after="0" w:line="90" w:lineRule="exact"/>
        <w:rPr>
          <w:rFonts w:ascii="Arial" w:cs="Arial" w:eastAsia="Arial" w:hAnsi="Arial"/>
          <w:sz w:val="13"/>
          <w:szCs w:val="13"/>
          <w:color w:val="231F20"/>
        </w:rPr>
      </w:pPr>
    </w:p>
    <w:p>
      <w:pPr>
        <w:ind w:left="1020" w:right="20" w:hanging="340"/>
        <w:spacing w:after="0" w:line="331" w:lineRule="auto"/>
        <w:tabs>
          <w:tab w:leader="none" w:pos="1020"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 xml:space="preserve">We have developed significant expertise in the selection of optimal combinations of targets for the specific and </w:t>
      </w:r>
      <w:r>
        <w:rPr>
          <w:rFonts w:ascii="Arial" w:cs="Arial" w:eastAsia="Arial" w:hAnsi="Arial"/>
          <w:sz w:val="12"/>
          <w:szCs w:val="12"/>
          <w:color w:val="000000"/>
        </w:rPr>
        <w:t>individualized</w:t>
      </w:r>
      <w:r>
        <w:rPr>
          <w:rFonts w:ascii="Arial" w:cs="Arial" w:eastAsia="Arial" w:hAnsi="Arial"/>
          <w:sz w:val="12"/>
          <w:szCs w:val="12"/>
          <w:color w:val="231F20"/>
        </w:rPr>
        <w:t xml:space="preserve"> treatment of particular cancers. We have assembled libraries of more than 200 proprietary or known shared antigens and have developed predictive algorithms capable of efficiently identifying multiple neoantigens on an individualized basis for any patient.</w:t>
      </w:r>
    </w:p>
    <w:p>
      <w:pPr>
        <w:spacing w:after="0" w:line="19" w:lineRule="exact"/>
        <w:rPr>
          <w:rFonts w:ascii="Arial" w:cs="Arial" w:eastAsia="Arial" w:hAnsi="Arial"/>
          <w:sz w:val="12"/>
          <w:szCs w:val="12"/>
          <w:color w:val="231F20"/>
        </w:rPr>
      </w:pPr>
    </w:p>
    <w:p>
      <w:pPr>
        <w:ind w:left="1020" w:right="280" w:hanging="340"/>
        <w:spacing w:after="0" w:line="287" w:lineRule="auto"/>
        <w:tabs>
          <w:tab w:leader="none" w:pos="1020" w:val="left"/>
        </w:tabs>
        <w:numPr>
          <w:ilvl w:val="0"/>
          <w:numId w:val="74"/>
        </w:numPr>
        <w:rPr>
          <w:rFonts w:ascii="Arial" w:cs="Arial" w:eastAsia="Arial" w:hAnsi="Arial"/>
          <w:sz w:val="13"/>
          <w:szCs w:val="13"/>
          <w:color w:val="231F20"/>
        </w:rPr>
      </w:pPr>
      <w:r>
        <w:rPr>
          <w:rFonts w:ascii="Arial" w:cs="Arial" w:eastAsia="Arial" w:hAnsi="Arial"/>
          <w:sz w:val="13"/>
          <w:szCs w:val="13"/>
          <w:color w:val="231F20"/>
        </w:rPr>
        <w:t xml:space="preserve">Our approach enables real-time monitoring of therapeutic effect on the immune system in a feedback loop of biological </w:t>
      </w:r>
      <w:r>
        <w:rPr>
          <w:rFonts w:ascii="Arial" w:cs="Arial" w:eastAsia="Arial" w:hAnsi="Arial"/>
          <w:sz w:val="13"/>
          <w:szCs w:val="13"/>
          <w:color w:val="000000"/>
        </w:rPr>
        <w:t>surveillance</w:t>
      </w:r>
      <w:r>
        <w:rPr>
          <w:rFonts w:ascii="Arial" w:cs="Arial" w:eastAsia="Arial" w:hAnsi="Arial"/>
          <w:sz w:val="13"/>
          <w:szCs w:val="13"/>
          <w:color w:val="231F20"/>
        </w:rPr>
        <w:t xml:space="preserve"> that we believe has the potential to further enhance the success of individualized immunotherapy approaches.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We have tested our lead mRNA candidates in over 250 patients and have already demonstrated signs of single-agent clinical activity in our two lead programs.</w:t>
      </w:r>
    </w:p>
    <w:p>
      <w:pPr>
        <w:spacing w:after="0" w:line="90" w:lineRule="exact"/>
        <w:rPr>
          <w:sz w:val="20"/>
          <w:szCs w:val="20"/>
          <w:color w:val="auto"/>
        </w:rPr>
      </w:pPr>
    </w:p>
    <w:p>
      <w:pPr>
        <w:ind w:left="1020" w:hanging="340"/>
        <w:spacing w:after="0"/>
        <w:tabs>
          <w:tab w:leader="none" w:pos="1020" w:val="left"/>
        </w:tabs>
        <w:numPr>
          <w:ilvl w:val="0"/>
          <w:numId w:val="75"/>
        </w:numPr>
        <w:rPr>
          <w:rFonts w:ascii="Arial" w:cs="Arial" w:eastAsia="Arial" w:hAnsi="Arial"/>
          <w:sz w:val="13"/>
          <w:szCs w:val="13"/>
          <w:color w:val="auto"/>
        </w:rPr>
      </w:pPr>
      <w:r>
        <w:rPr>
          <w:rFonts w:ascii="Arial" w:cs="Arial" w:eastAsia="Arial" w:hAnsi="Arial"/>
          <w:sz w:val="13"/>
          <w:szCs w:val="13"/>
          <w:color w:val="231F20"/>
        </w:rPr>
        <w:t xml:space="preserve">Our most </w:t>
      </w:r>
      <w:r>
        <w:rPr>
          <w:rFonts w:ascii="Arial" w:cs="Arial" w:eastAsia="Arial" w:hAnsi="Arial"/>
          <w:sz w:val="13"/>
          <w:szCs w:val="13"/>
          <w:color w:val="000000"/>
        </w:rPr>
        <w:t>advanced</w:t>
      </w:r>
      <w:r>
        <w:rPr>
          <w:rFonts w:ascii="Arial" w:cs="Arial" w:eastAsia="Arial" w:hAnsi="Arial"/>
          <w:sz w:val="13"/>
          <w:szCs w:val="13"/>
          <w:color w:val="231F20"/>
        </w:rPr>
        <w:t xml:space="preserve"> programs are focused on oncology where we have to-date dosed over 400 patients across 17 solid tumor types.</w:t>
      </w:r>
    </w:p>
    <w:p>
      <w:pPr>
        <w:spacing w:after="0" w:line="90" w:lineRule="exact"/>
        <w:rPr>
          <w:rFonts w:ascii="Arial" w:cs="Arial" w:eastAsia="Arial" w:hAnsi="Arial"/>
          <w:sz w:val="13"/>
          <w:szCs w:val="13"/>
          <w:color w:val="auto"/>
        </w:rPr>
      </w:pPr>
    </w:p>
    <w:p>
      <w:pPr>
        <w:ind w:left="1020" w:right="240" w:hanging="340"/>
        <w:spacing w:after="0" w:line="287" w:lineRule="auto"/>
        <w:tabs>
          <w:tab w:leader="none" w:pos="1020" w:val="left"/>
        </w:tabs>
        <w:numPr>
          <w:ilvl w:val="0"/>
          <w:numId w:val="75"/>
        </w:numPr>
        <w:rPr>
          <w:rFonts w:ascii="Arial" w:cs="Arial" w:eastAsia="Arial" w:hAnsi="Arial"/>
          <w:sz w:val="13"/>
          <w:szCs w:val="13"/>
          <w:color w:val="231F20"/>
        </w:rPr>
      </w:pPr>
      <w:r>
        <w:rPr>
          <w:rFonts w:ascii="Arial" w:cs="Arial" w:eastAsia="Arial" w:hAnsi="Arial"/>
          <w:sz w:val="13"/>
          <w:szCs w:val="13"/>
          <w:color w:val="231F20"/>
        </w:rPr>
        <w:t>In our Phase 1 trials, we observed single-agent antigen specific immune responses in over 90% of advanced melanoma patients treated with BNT111, our lead off-the-shelf immunotherapy product candidate leveraging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9" w:name="page90"/>
    <w:bookmarkEnd w:id="89"/>
    <w:p>
      <w:pPr>
        <w:ind w:left="460" w:right="340"/>
        <w:spacing w:after="0" w:line="272" w:lineRule="auto"/>
        <w:rPr>
          <w:sz w:val="20"/>
          <w:szCs w:val="20"/>
          <w:color w:val="auto"/>
        </w:rPr>
      </w:pPr>
      <w:r>
        <w:rPr>
          <w:rFonts w:ascii="Arial" w:cs="Arial" w:eastAsia="Arial" w:hAnsi="Arial"/>
          <w:sz w:val="13"/>
          <w:szCs w:val="13"/>
          <w:color w:val="231F20"/>
        </w:rPr>
        <w:t>our wholly owned FixVac platform. In addition, we observed single-agent antigen-specific immune responses in patients treated with BNT121, the precursor to our lead individualized neoantigen specific immunotherapy product candidate derived from our iNeST platform. For both candidates, we have observed durable objective responses in both the monotherapy and checkpoint combination settings.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developed a very broad and advanced mRNA therapeutic portfolio for the treatment of cancer.</w:t>
      </w:r>
    </w:p>
    <w:p>
      <w:pPr>
        <w:spacing w:after="0" w:line="90" w:lineRule="exact"/>
        <w:rPr>
          <w:sz w:val="20"/>
          <w:szCs w:val="20"/>
          <w:color w:val="auto"/>
        </w:rPr>
      </w:pPr>
    </w:p>
    <w:p>
      <w:pPr>
        <w:ind w:left="460" w:right="40" w:hanging="340"/>
        <w:spacing w:after="0" w:line="287" w:lineRule="auto"/>
        <w:tabs>
          <w:tab w:leader="none" w:pos="460" w:val="left"/>
        </w:tabs>
        <w:numPr>
          <w:ilvl w:val="0"/>
          <w:numId w:val="76"/>
        </w:numPr>
        <w:rPr>
          <w:rFonts w:ascii="Arial" w:cs="Arial" w:eastAsia="Arial" w:hAnsi="Arial"/>
          <w:sz w:val="13"/>
          <w:szCs w:val="13"/>
          <w:color w:val="auto"/>
        </w:rPr>
      </w:pPr>
      <w:r>
        <w:rPr>
          <w:rFonts w:ascii="Arial" w:cs="Arial" w:eastAsia="Arial" w:hAnsi="Arial"/>
          <w:sz w:val="13"/>
          <w:szCs w:val="13"/>
          <w:color w:val="231F20"/>
        </w:rPr>
        <w:t xml:space="preserve">We have over a decade of experience pioneering the use of mRNA as a drug class, yielding five distinct </w:t>
      </w:r>
      <w:r>
        <w:rPr>
          <w:rFonts w:ascii="Arial" w:cs="Arial" w:eastAsia="Arial" w:hAnsi="Arial"/>
          <w:sz w:val="13"/>
          <w:szCs w:val="13"/>
          <w:color w:val="000000"/>
        </w:rPr>
        <w:t>mRNA</w:t>
      </w:r>
      <w:r>
        <w:rPr>
          <w:rFonts w:ascii="Arial" w:cs="Arial" w:eastAsia="Arial" w:hAnsi="Arial"/>
          <w:sz w:val="13"/>
          <w:szCs w:val="13"/>
          <w:color w:val="231F20"/>
        </w:rPr>
        <w:t xml:space="preserve"> platforms in oncology, each with the potential to generate multiple first-in-class product candidates.</w:t>
      </w:r>
    </w:p>
    <w:p>
      <w:pPr>
        <w:spacing w:after="0" w:line="42" w:lineRule="exact"/>
        <w:rPr>
          <w:rFonts w:ascii="Arial" w:cs="Arial" w:eastAsia="Arial" w:hAnsi="Arial"/>
          <w:sz w:val="13"/>
          <w:szCs w:val="13"/>
          <w:color w:val="auto"/>
        </w:rPr>
      </w:pPr>
    </w:p>
    <w:p>
      <w:pPr>
        <w:ind w:left="460" w:right="420" w:hanging="340"/>
        <w:spacing w:after="0" w:line="287" w:lineRule="auto"/>
        <w:tabs>
          <w:tab w:leader="none" w:pos="46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 xml:space="preserve">We have developed four distinct mRNA formats, each tailored to specific therapeutic applications. We have also developed and optimized multiple delivery formulations for our mRNA product candidates, including our </w:t>
      </w:r>
      <w:r>
        <w:rPr>
          <w:rFonts w:ascii="Arial" w:cs="Arial" w:eastAsia="Arial" w:hAnsi="Arial"/>
          <w:sz w:val="13"/>
          <w:szCs w:val="13"/>
          <w:color w:val="000000"/>
        </w:rPr>
        <w:t>proprietary</w:t>
      </w:r>
      <w:r>
        <w:rPr>
          <w:rFonts w:ascii="Arial" w:cs="Arial" w:eastAsia="Arial" w:hAnsi="Arial"/>
          <w:sz w:val="13"/>
          <w:szCs w:val="13"/>
          <w:color w:val="231F20"/>
        </w:rPr>
        <w:t xml:space="preserve"> non-viral RNA-LPX, to deliver our mRNA systemically and target it to relevant organs in the body.</w:t>
      </w:r>
    </w:p>
    <w:p>
      <w:pPr>
        <w:spacing w:after="0" w:line="42" w:lineRule="exact"/>
        <w:rPr>
          <w:rFonts w:ascii="Arial" w:cs="Arial" w:eastAsia="Arial" w:hAnsi="Arial"/>
          <w:sz w:val="13"/>
          <w:szCs w:val="13"/>
          <w:color w:val="231F20"/>
        </w:rPr>
      </w:pPr>
    </w:p>
    <w:p>
      <w:pPr>
        <w:ind w:left="460" w:right="100" w:hanging="340"/>
        <w:spacing w:after="0" w:line="287" w:lineRule="auto"/>
        <w:tabs>
          <w:tab w:leader="none" w:pos="46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 xml:space="preserve">The combination of these platforms, formats and delivery formulations is designed to address a wide range of </w:t>
      </w:r>
      <w:r>
        <w:rPr>
          <w:rFonts w:ascii="Arial" w:cs="Arial" w:eastAsia="Arial" w:hAnsi="Arial"/>
          <w:sz w:val="13"/>
          <w:szCs w:val="13"/>
          <w:color w:val="000000"/>
        </w:rPr>
        <w:t>disease</w:t>
      </w:r>
      <w:r>
        <w:rPr>
          <w:rFonts w:ascii="Arial" w:cs="Arial" w:eastAsia="Arial" w:hAnsi="Arial"/>
          <w:sz w:val="13"/>
          <w:szCs w:val="13"/>
          <w:color w:val="231F20"/>
        </w:rPr>
        <w:t xml:space="preserve"> targets, and tailor drug products for systemic or intratumoral delivery, as well as directly encode mAbs or cytokines in vivo.</w:t>
      </w:r>
    </w:p>
    <w:p>
      <w:pPr>
        <w:spacing w:after="0" w:line="42" w:lineRule="exact"/>
        <w:rPr>
          <w:rFonts w:ascii="Arial" w:cs="Arial" w:eastAsia="Arial" w:hAnsi="Arial"/>
          <w:sz w:val="13"/>
          <w:szCs w:val="13"/>
          <w:color w:val="231F20"/>
        </w:rPr>
      </w:pPr>
    </w:p>
    <w:p>
      <w:pPr>
        <w:ind w:left="460" w:hanging="340"/>
        <w:spacing w:after="0"/>
        <w:tabs>
          <w:tab w:leader="none" w:pos="46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 xml:space="preserve">This broad mRNA expertise is a core strategic asset of our company. It is protected by a global patent </w:t>
      </w:r>
      <w:r>
        <w:rPr>
          <w:rFonts w:ascii="Arial" w:cs="Arial" w:eastAsia="Arial" w:hAnsi="Arial"/>
          <w:sz w:val="13"/>
          <w:szCs w:val="13"/>
          <w:color w:val="000000"/>
        </w:rPr>
        <w:t>portfolio</w:t>
      </w:r>
      <w:r>
        <w:rPr>
          <w:rFonts w:ascii="Arial" w:cs="Arial" w:eastAsia="Arial" w:hAnsi="Arial"/>
          <w:sz w:val="13"/>
          <w:szCs w:val="13"/>
          <w:color w:val="231F20"/>
        </w:rPr>
        <w:t xml:space="preserve"> and our proprietary technical knowledge and trade secrets.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deep, diversified pipeline and expect data updates for up to five oncology programs by the end of 2020.</w:t>
      </w:r>
    </w:p>
    <w:p>
      <w:pPr>
        <w:spacing w:after="0" w:line="90" w:lineRule="exact"/>
        <w:rPr>
          <w:sz w:val="20"/>
          <w:szCs w:val="20"/>
          <w:color w:val="auto"/>
        </w:rPr>
      </w:pPr>
    </w:p>
    <w:p>
      <w:pPr>
        <w:ind w:left="460" w:right="140" w:hanging="340"/>
        <w:spacing w:after="0" w:line="263" w:lineRule="auto"/>
        <w:tabs>
          <w:tab w:leader="none" w:pos="460" w:val="left"/>
        </w:tabs>
        <w:numPr>
          <w:ilvl w:val="0"/>
          <w:numId w:val="77"/>
        </w:numPr>
        <w:rPr>
          <w:rFonts w:ascii="Arial" w:cs="Arial" w:eastAsia="Arial" w:hAnsi="Arial"/>
          <w:sz w:val="13"/>
          <w:szCs w:val="13"/>
          <w:color w:val="auto"/>
        </w:rPr>
      </w:pPr>
      <w:r>
        <w:rPr>
          <w:rFonts w:ascii="Arial" w:cs="Arial" w:eastAsia="Arial" w:hAnsi="Arial"/>
          <w:sz w:val="13"/>
          <w:szCs w:val="13"/>
          <w:color w:val="231F20"/>
        </w:rPr>
        <w:t xml:space="preserve">We </w:t>
      </w:r>
      <w:r>
        <w:rPr>
          <w:rFonts w:ascii="Arial" w:cs="Arial" w:eastAsia="Arial" w:hAnsi="Arial"/>
          <w:sz w:val="13"/>
          <w:szCs w:val="13"/>
          <w:color w:val="000000"/>
        </w:rPr>
        <w:t>have</w:t>
      </w:r>
      <w:r>
        <w:rPr>
          <w:rFonts w:ascii="Arial" w:cs="Arial" w:eastAsia="Arial" w:hAnsi="Arial"/>
          <w:sz w:val="13"/>
          <w:szCs w:val="13"/>
          <w:color w:val="231F20"/>
        </w:rPr>
        <w:t xml:space="preserve"> already advanced our portfolio to a critical stage of maturity with multiple programs progressing in parallel. We expect numerous near-term product candidate development updates, including:</w:t>
      </w:r>
    </w:p>
    <w:p>
      <w:pPr>
        <w:spacing w:after="0" w:line="1" w:lineRule="exact"/>
        <w:rPr>
          <w:rFonts w:ascii="Arial" w:cs="Arial" w:eastAsia="Arial" w:hAnsi="Arial"/>
          <w:sz w:val="13"/>
          <w:szCs w:val="13"/>
          <w:color w:val="auto"/>
        </w:rPr>
      </w:pPr>
    </w:p>
    <w:p>
      <w:pPr>
        <w:ind w:left="800" w:hanging="340"/>
        <w:spacing w:after="0"/>
        <w:tabs>
          <w:tab w:leader="none" w:pos="800" w:val="left"/>
        </w:tabs>
        <w:numPr>
          <w:ilvl w:val="1"/>
          <w:numId w:val="77"/>
        </w:numPr>
        <w:rPr>
          <w:rFonts w:ascii="Arial" w:cs="Arial" w:eastAsia="Arial" w:hAnsi="Arial"/>
          <w:sz w:val="13"/>
          <w:szCs w:val="13"/>
          <w:color w:val="231F20"/>
        </w:rPr>
      </w:pPr>
      <w:r>
        <w:rPr>
          <w:rFonts w:ascii="Arial" w:cs="Arial" w:eastAsia="Arial" w:hAnsi="Arial"/>
          <w:sz w:val="13"/>
          <w:szCs w:val="13"/>
          <w:color w:val="231F20"/>
        </w:rPr>
        <w:t>data updates in up to five clinical programs by the end of 2020; and</w:t>
      </w:r>
    </w:p>
    <w:p>
      <w:pPr>
        <w:spacing w:after="0" w:line="10" w:lineRule="exact"/>
        <w:rPr>
          <w:rFonts w:ascii="Arial" w:cs="Arial" w:eastAsia="Arial" w:hAnsi="Arial"/>
          <w:sz w:val="13"/>
          <w:szCs w:val="13"/>
          <w:color w:val="231F20"/>
        </w:rPr>
      </w:pPr>
    </w:p>
    <w:p>
      <w:pPr>
        <w:ind w:left="800" w:hanging="340"/>
        <w:spacing w:after="0"/>
        <w:tabs>
          <w:tab w:leader="none" w:pos="800" w:val="left"/>
        </w:tabs>
        <w:numPr>
          <w:ilvl w:val="1"/>
          <w:numId w:val="77"/>
        </w:numPr>
        <w:rPr>
          <w:rFonts w:ascii="Arial" w:cs="Arial" w:eastAsia="Arial" w:hAnsi="Arial"/>
          <w:sz w:val="13"/>
          <w:szCs w:val="13"/>
          <w:color w:val="231F20"/>
        </w:rPr>
      </w:pPr>
      <w:r>
        <w:rPr>
          <w:rFonts w:ascii="Arial" w:cs="Arial" w:eastAsia="Arial" w:hAnsi="Arial"/>
          <w:sz w:val="13"/>
          <w:szCs w:val="13"/>
          <w:color w:val="231F20"/>
        </w:rPr>
        <w:t>advancement of up to three product candidates into the clinic in 2020.</w:t>
      </w:r>
    </w:p>
    <w:p>
      <w:pPr>
        <w:spacing w:after="0" w:line="81" w:lineRule="exact"/>
        <w:rPr>
          <w:rFonts w:ascii="Arial" w:cs="Arial" w:eastAsia="Arial" w:hAnsi="Arial"/>
          <w:sz w:val="13"/>
          <w:szCs w:val="13"/>
          <w:color w:val="231F20"/>
        </w:rPr>
      </w:pPr>
    </w:p>
    <w:p>
      <w:pPr>
        <w:ind w:left="460" w:hanging="340"/>
        <w:spacing w:after="0" w:line="267" w:lineRule="auto"/>
        <w:tabs>
          <w:tab w:leader="none" w:pos="460" w:val="left"/>
        </w:tabs>
        <w:numPr>
          <w:ilvl w:val="0"/>
          <w:numId w:val="77"/>
        </w:numPr>
        <w:rPr>
          <w:rFonts w:ascii="Arial" w:cs="Arial" w:eastAsia="Arial" w:hAnsi="Arial"/>
          <w:sz w:val="13"/>
          <w:szCs w:val="13"/>
          <w:color w:val="231F20"/>
        </w:rPr>
      </w:pPr>
      <w:r>
        <w:rPr>
          <w:rFonts w:ascii="Arial" w:cs="Arial" w:eastAsia="Arial" w:hAnsi="Arial"/>
          <w:sz w:val="13"/>
          <w:szCs w:val="13"/>
          <w:color w:val="231F20"/>
        </w:rPr>
        <w:t xml:space="preserve">Our preclinical oncology pipeline is progressing rapidly. We initiated clinical trials for both of our lead checkpoint immunomodulator antibody product candidates in 2019, enrolled the first patients in clinical trials of </w:t>
      </w:r>
      <w:r>
        <w:rPr>
          <w:rFonts w:ascii="Arial" w:cs="Arial" w:eastAsia="Arial" w:hAnsi="Arial"/>
          <w:sz w:val="13"/>
          <w:szCs w:val="13"/>
          <w:color w:val="000000"/>
        </w:rPr>
        <w:t>BNT112</w:t>
      </w:r>
      <w:r>
        <w:rPr>
          <w:rFonts w:ascii="Arial" w:cs="Arial" w:eastAsia="Arial" w:hAnsi="Arial"/>
          <w:sz w:val="13"/>
          <w:szCs w:val="13"/>
          <w:color w:val="231F20"/>
        </w:rPr>
        <w:t xml:space="preserve"> and BNT321 (MVT-5873). We expect to initiate a clinical trial for our lead CAR-T product candidate, as well as BNT162 for COVID-19, in the first half of 2020, and our and small molecule product candidate in the second half of 2020. We also expect to initiate clinical a clinical trial for our RiboMab and RiboCytokine product candidates in the first half of 2021.</w:t>
      </w:r>
    </w:p>
    <w:p>
      <w:pPr>
        <w:spacing w:after="0" w:line="54" w:lineRule="exact"/>
        <w:rPr>
          <w:rFonts w:ascii="Arial" w:cs="Arial" w:eastAsia="Arial" w:hAnsi="Arial"/>
          <w:sz w:val="13"/>
          <w:szCs w:val="13"/>
          <w:color w:val="231F20"/>
        </w:rPr>
      </w:pPr>
    </w:p>
    <w:p>
      <w:pPr>
        <w:ind w:left="460" w:hanging="340"/>
        <w:spacing w:after="0"/>
        <w:tabs>
          <w:tab w:leader="none" w:pos="460" w:val="left"/>
        </w:tabs>
        <w:numPr>
          <w:ilvl w:val="0"/>
          <w:numId w:val="77"/>
        </w:numPr>
        <w:rPr>
          <w:rFonts w:ascii="Arial" w:cs="Arial" w:eastAsia="Arial" w:hAnsi="Arial"/>
          <w:sz w:val="13"/>
          <w:szCs w:val="13"/>
          <w:color w:val="231F20"/>
        </w:rPr>
      </w:pPr>
      <w:r>
        <w:rPr>
          <w:rFonts w:ascii="Arial" w:cs="Arial" w:eastAsia="Arial" w:hAnsi="Arial"/>
          <w:sz w:val="13"/>
          <w:szCs w:val="13"/>
          <w:color w:val="231F20"/>
        </w:rPr>
        <w:t xml:space="preserve">We </w:t>
      </w:r>
      <w:r>
        <w:rPr>
          <w:rFonts w:ascii="Arial" w:cs="Arial" w:eastAsia="Arial" w:hAnsi="Arial"/>
          <w:sz w:val="13"/>
          <w:szCs w:val="13"/>
          <w:color w:val="000000"/>
        </w:rPr>
        <w:t>expect</w:t>
      </w:r>
      <w:r>
        <w:rPr>
          <w:rFonts w:ascii="Arial" w:cs="Arial" w:eastAsia="Arial" w:hAnsi="Arial"/>
          <w:sz w:val="13"/>
          <w:szCs w:val="13"/>
          <w:color w:val="231F20"/>
        </w:rPr>
        <w:t xml:space="preserve"> to report our target indications and first product candidates for our infectious and rare disease platforms in 2020.</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formed multiple collaborations with leading pharmaceutical companies and have retained significant development, commercial and financial rights across our portfolio.</w:t>
      </w:r>
    </w:p>
    <w:p>
      <w:pPr>
        <w:spacing w:after="0" w:line="102" w:lineRule="exact"/>
        <w:rPr>
          <w:sz w:val="20"/>
          <w:szCs w:val="20"/>
          <w:color w:val="auto"/>
        </w:rPr>
      </w:pPr>
    </w:p>
    <w:p>
      <w:pPr>
        <w:ind w:left="460" w:right="20" w:hanging="340"/>
        <w:spacing w:after="0" w:line="287" w:lineRule="auto"/>
        <w:tabs>
          <w:tab w:leader="none" w:pos="460" w:val="left"/>
        </w:tabs>
        <w:numPr>
          <w:ilvl w:val="0"/>
          <w:numId w:val="78"/>
        </w:numPr>
        <w:rPr>
          <w:rFonts w:ascii="Arial" w:cs="Arial" w:eastAsia="Arial" w:hAnsi="Arial"/>
          <w:sz w:val="13"/>
          <w:szCs w:val="13"/>
          <w:color w:val="auto"/>
        </w:rPr>
      </w:pPr>
      <w:r>
        <w:rPr>
          <w:rFonts w:ascii="Arial" w:cs="Arial" w:eastAsia="Arial" w:hAnsi="Arial"/>
          <w:sz w:val="13"/>
          <w:szCs w:val="13"/>
          <w:color w:val="231F20"/>
        </w:rPr>
        <w:t xml:space="preserve">We have chosen to form collaborations in oncology to rapidly advance our science and enhance our </w:t>
      </w:r>
      <w:r>
        <w:rPr>
          <w:rFonts w:ascii="Arial" w:cs="Arial" w:eastAsia="Arial" w:hAnsi="Arial"/>
          <w:sz w:val="13"/>
          <w:szCs w:val="13"/>
          <w:color w:val="000000"/>
        </w:rPr>
        <w:t>development</w:t>
      </w:r>
      <w:r>
        <w:rPr>
          <w:rFonts w:ascii="Arial" w:cs="Arial" w:eastAsia="Arial" w:hAnsi="Arial"/>
          <w:sz w:val="13"/>
          <w:szCs w:val="13"/>
          <w:color w:val="231F20"/>
        </w:rPr>
        <w:t xml:space="preserve"> capabilities, bring our potentially disruptive therapies to patients more quickly and provide non-dilutive capital.</w:t>
      </w:r>
    </w:p>
    <w:p>
      <w:pPr>
        <w:spacing w:after="0" w:line="42" w:lineRule="exact"/>
        <w:rPr>
          <w:rFonts w:ascii="Arial" w:cs="Arial" w:eastAsia="Arial" w:hAnsi="Arial"/>
          <w:sz w:val="13"/>
          <w:szCs w:val="13"/>
          <w:color w:val="auto"/>
        </w:rPr>
      </w:pPr>
    </w:p>
    <w:p>
      <w:pPr>
        <w:ind w:left="460" w:right="60" w:hanging="340"/>
        <w:spacing w:after="0" w:line="287" w:lineRule="auto"/>
        <w:tabs>
          <w:tab w:leader="none" w:pos="460" w:val="left"/>
        </w:tabs>
        <w:numPr>
          <w:ilvl w:val="0"/>
          <w:numId w:val="78"/>
        </w:numPr>
        <w:rPr>
          <w:rFonts w:ascii="Arial" w:cs="Arial" w:eastAsia="Arial" w:hAnsi="Arial"/>
          <w:sz w:val="13"/>
          <w:szCs w:val="13"/>
          <w:color w:val="231F20"/>
        </w:rPr>
      </w:pPr>
      <w:r>
        <w:rPr>
          <w:rFonts w:ascii="Arial" w:cs="Arial" w:eastAsia="Arial" w:hAnsi="Arial"/>
          <w:sz w:val="13"/>
          <w:szCs w:val="13"/>
          <w:color w:val="231F20"/>
        </w:rPr>
        <w:t xml:space="preserve">We are currently collaborating with four pharmaceutical companies with expertise in oncology, including </w:t>
      </w:r>
      <w:r>
        <w:rPr>
          <w:rFonts w:ascii="Arial" w:cs="Arial" w:eastAsia="Arial" w:hAnsi="Arial"/>
          <w:sz w:val="13"/>
          <w:szCs w:val="13"/>
          <w:color w:val="000000"/>
        </w:rPr>
        <w:t>Genentech</w:t>
      </w:r>
      <w:r>
        <w:rPr>
          <w:rFonts w:ascii="Arial" w:cs="Arial" w:eastAsia="Arial" w:hAnsi="Arial"/>
          <w:sz w:val="13"/>
          <w:szCs w:val="13"/>
          <w:color w:val="231F20"/>
        </w:rPr>
        <w:t>, Sanofi, Genmab and Eli Lilly, and have retained significant rights in each of our collaborations.</w:t>
      </w:r>
    </w:p>
    <w:p>
      <w:pPr>
        <w:spacing w:after="0" w:line="42" w:lineRule="exact"/>
        <w:rPr>
          <w:rFonts w:ascii="Arial" w:cs="Arial" w:eastAsia="Arial" w:hAnsi="Arial"/>
          <w:sz w:val="13"/>
          <w:szCs w:val="13"/>
          <w:color w:val="231F20"/>
        </w:rPr>
      </w:pPr>
    </w:p>
    <w:p>
      <w:pPr>
        <w:ind w:left="460" w:right="120" w:hanging="340"/>
        <w:spacing w:after="0" w:line="272" w:lineRule="auto"/>
        <w:tabs>
          <w:tab w:leader="none" w:pos="460" w:val="left"/>
        </w:tabs>
        <w:numPr>
          <w:ilvl w:val="0"/>
          <w:numId w:val="78"/>
        </w:numPr>
        <w:rPr>
          <w:rFonts w:ascii="Arial" w:cs="Arial" w:eastAsia="Arial" w:hAnsi="Arial"/>
          <w:sz w:val="13"/>
          <w:szCs w:val="13"/>
          <w:color w:val="231F20"/>
        </w:rPr>
      </w:pPr>
      <w:r>
        <w:rPr>
          <w:rFonts w:ascii="Arial" w:cs="Arial" w:eastAsia="Arial" w:hAnsi="Arial"/>
          <w:sz w:val="13"/>
          <w:szCs w:val="13"/>
          <w:color w:val="231F20"/>
        </w:rPr>
        <w:t xml:space="preserve">In </w:t>
      </w:r>
      <w:r>
        <w:rPr>
          <w:rFonts w:ascii="Arial" w:cs="Arial" w:eastAsia="Arial" w:hAnsi="Arial"/>
          <w:sz w:val="13"/>
          <w:szCs w:val="13"/>
          <w:color w:val="000000"/>
        </w:rPr>
        <w:t>addition</w:t>
      </w:r>
      <w:r>
        <w:rPr>
          <w:rFonts w:ascii="Arial" w:cs="Arial" w:eastAsia="Arial" w:hAnsi="Arial"/>
          <w:sz w:val="13"/>
          <w:szCs w:val="13"/>
          <w:color w:val="231F20"/>
        </w:rPr>
        <w:t xml:space="preserve">, we have formed collaborations with leading pharmaceutical companies to broaden our footprint beyond oncology. We have collaborations with Pfizer focused on influenza influenza and COVID-19, and Fosun Pharma for COVID-19. We are collaborating with Penn to develop mRNA-based immunotherapies for up to 10 additional infectious disease indications. We have also formed a collaboration with Genevant for up to </w:t>
      </w:r>
      <w:r>
        <w:rPr>
          <w:rFonts w:ascii="Arial" w:cs="Arial" w:eastAsia="Arial" w:hAnsi="Arial"/>
          <w:sz w:val="13"/>
          <w:szCs w:val="13"/>
          <w:color w:val="000000"/>
        </w:rPr>
        <w:t>five</w:t>
      </w:r>
      <w:r>
        <w:rPr>
          <w:rFonts w:ascii="Arial" w:cs="Arial" w:eastAsia="Arial" w:hAnsi="Arial"/>
          <w:sz w:val="13"/>
          <w:szCs w:val="13"/>
          <w:color w:val="231F20"/>
        </w:rPr>
        <w:t xml:space="preserve"> rare disease indications.</w:t>
      </w:r>
    </w:p>
    <w:p>
      <w:pPr>
        <w:spacing w:after="0" w:line="51" w:lineRule="exact"/>
        <w:rPr>
          <w:rFonts w:ascii="Arial" w:cs="Arial" w:eastAsia="Arial" w:hAnsi="Arial"/>
          <w:sz w:val="13"/>
          <w:szCs w:val="13"/>
          <w:color w:val="231F20"/>
        </w:rPr>
      </w:pPr>
    </w:p>
    <w:p>
      <w:pPr>
        <w:ind w:left="460" w:hanging="340"/>
        <w:spacing w:after="0"/>
        <w:tabs>
          <w:tab w:leader="none" w:pos="460" w:val="left"/>
        </w:tabs>
        <w:numPr>
          <w:ilvl w:val="0"/>
          <w:numId w:val="78"/>
        </w:numPr>
        <w:rPr>
          <w:rFonts w:ascii="Arial" w:cs="Arial" w:eastAsia="Arial" w:hAnsi="Arial"/>
          <w:sz w:val="13"/>
          <w:szCs w:val="13"/>
          <w:color w:val="231F20"/>
        </w:rPr>
      </w:pPr>
      <w:r>
        <w:rPr>
          <w:rFonts w:ascii="Arial" w:cs="Arial" w:eastAsia="Arial" w:hAnsi="Arial"/>
          <w:sz w:val="13"/>
          <w:szCs w:val="13"/>
          <w:color w:val="231F20"/>
        </w:rPr>
        <w:t xml:space="preserve">We have retained worldwide rights to all product candidates under our FixVac, RiboMabs, RiboCytokines and </w:t>
      </w:r>
      <w:r>
        <w:rPr>
          <w:rFonts w:ascii="Arial" w:cs="Arial" w:eastAsia="Arial" w:hAnsi="Arial"/>
          <w:sz w:val="13"/>
          <w:szCs w:val="13"/>
          <w:color w:val="000000"/>
        </w:rPr>
        <w:t>CAR</w:t>
      </w:r>
      <w:r>
        <w:rPr>
          <w:rFonts w:ascii="Arial" w:cs="Arial" w:eastAsia="Arial" w:hAnsi="Arial"/>
          <w:sz w:val="13"/>
          <w:szCs w:val="13"/>
          <w:color w:val="231F20"/>
        </w:rPr>
        <w:t>-T platforms.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created a vertically integrated business with comprehensive in-house manufacturing capabilities.</w:t>
      </w:r>
    </w:p>
    <w:p>
      <w:pPr>
        <w:spacing w:after="0" w:line="90" w:lineRule="exact"/>
        <w:rPr>
          <w:sz w:val="20"/>
          <w:szCs w:val="20"/>
          <w:color w:val="auto"/>
        </w:rPr>
      </w:pPr>
    </w:p>
    <w:p>
      <w:pPr>
        <w:ind w:left="460" w:right="220" w:hanging="340"/>
        <w:spacing w:after="0" w:line="287" w:lineRule="auto"/>
        <w:tabs>
          <w:tab w:leader="none" w:pos="460" w:val="left"/>
        </w:tabs>
        <w:numPr>
          <w:ilvl w:val="0"/>
          <w:numId w:val="79"/>
        </w:numPr>
        <w:rPr>
          <w:rFonts w:ascii="Arial" w:cs="Arial" w:eastAsia="Arial" w:hAnsi="Arial"/>
          <w:sz w:val="13"/>
          <w:szCs w:val="13"/>
          <w:color w:val="auto"/>
        </w:rPr>
      </w:pPr>
      <w:r>
        <w:rPr>
          <w:rFonts w:ascii="Arial" w:cs="Arial" w:eastAsia="Arial" w:hAnsi="Arial"/>
          <w:sz w:val="13"/>
          <w:szCs w:val="13"/>
          <w:color w:val="231F20"/>
        </w:rPr>
        <w:t xml:space="preserve">We believe that to successfully bring individualized immunotherapies to patients, it is critical to control the </w:t>
      </w:r>
      <w:r>
        <w:rPr>
          <w:rFonts w:ascii="Arial" w:cs="Arial" w:eastAsia="Arial" w:hAnsi="Arial"/>
          <w:sz w:val="13"/>
          <w:szCs w:val="13"/>
          <w:color w:val="000000"/>
        </w:rPr>
        <w:t>manufacturing</w:t>
      </w:r>
      <w:r>
        <w:rPr>
          <w:rFonts w:ascii="Arial" w:cs="Arial" w:eastAsia="Arial" w:hAnsi="Arial"/>
          <w:sz w:val="13"/>
          <w:szCs w:val="13"/>
          <w:color w:val="231F20"/>
        </w:rPr>
        <w:t xml:space="preserve"> and supply processes. We therefore have chosen to invest early in scaling our in-house capabilities.</w:t>
      </w:r>
    </w:p>
    <w:p>
      <w:pPr>
        <w:spacing w:after="0" w:line="122"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131" w:right="319" w:bottom="1440" w:gutter="0" w:footer="0" w:header="0"/>
        </w:sectPr>
      </w:pPr>
    </w:p>
    <w:bookmarkStart w:id="90" w:name="page91"/>
    <w:bookmarkEnd w:id="90"/>
    <w:p>
      <w:pPr>
        <w:ind w:left="1020" w:right="80" w:hanging="340"/>
        <w:spacing w:after="0" w:line="287" w:lineRule="auto"/>
        <w:tabs>
          <w:tab w:leader="none" w:pos="1020" w:val="left"/>
        </w:tabs>
        <w:numPr>
          <w:ilvl w:val="0"/>
          <w:numId w:val="80"/>
        </w:numPr>
        <w:rPr>
          <w:rFonts w:ascii="Arial" w:cs="Arial" w:eastAsia="Arial" w:hAnsi="Arial"/>
          <w:sz w:val="13"/>
          <w:szCs w:val="13"/>
          <w:color w:val="231F20"/>
        </w:rPr>
      </w:pPr>
      <w:r>
        <w:rPr>
          <w:rFonts w:ascii="Arial" w:cs="Arial" w:eastAsia="Arial" w:hAnsi="Arial"/>
          <w:sz w:val="13"/>
          <w:szCs w:val="13"/>
          <w:color w:val="231F20"/>
        </w:rPr>
        <w:t xml:space="preserve">We currently operate four manufacturing facilities in Germany spanning mRNA and peptide production, viral </w:t>
      </w:r>
      <w:r>
        <w:rPr>
          <w:rFonts w:ascii="Arial" w:cs="Arial" w:eastAsia="Arial" w:hAnsi="Arial"/>
          <w:sz w:val="13"/>
          <w:szCs w:val="13"/>
          <w:color w:val="000000"/>
        </w:rPr>
        <w:t>vectors</w:t>
      </w:r>
      <w:r>
        <w:rPr>
          <w:rFonts w:ascii="Arial" w:cs="Arial" w:eastAsia="Arial" w:hAnsi="Arial"/>
          <w:sz w:val="13"/>
          <w:szCs w:val="13"/>
          <w:color w:val="231F20"/>
        </w:rPr>
        <w:t xml:space="preserve"> and engineered T cells, and we continue to invest significant human and financial capital into these activities.</w:t>
      </w:r>
    </w:p>
    <w:p>
      <w:pPr>
        <w:spacing w:after="0" w:line="42" w:lineRule="exact"/>
        <w:rPr>
          <w:rFonts w:ascii="Arial" w:cs="Arial" w:eastAsia="Arial" w:hAnsi="Arial"/>
          <w:sz w:val="13"/>
          <w:szCs w:val="13"/>
          <w:color w:val="231F20"/>
        </w:rPr>
      </w:pPr>
    </w:p>
    <w:p>
      <w:pPr>
        <w:ind w:left="1020" w:right="80" w:hanging="340"/>
        <w:spacing w:after="0" w:line="287" w:lineRule="auto"/>
        <w:tabs>
          <w:tab w:leader="none" w:pos="1020" w:val="left"/>
        </w:tabs>
        <w:numPr>
          <w:ilvl w:val="0"/>
          <w:numId w:val="80"/>
        </w:numPr>
        <w:rPr>
          <w:rFonts w:ascii="Arial" w:cs="Arial" w:eastAsia="Arial" w:hAnsi="Arial"/>
          <w:sz w:val="13"/>
          <w:szCs w:val="13"/>
          <w:color w:val="231F20"/>
        </w:rPr>
      </w:pPr>
      <w:r>
        <w:rPr>
          <w:rFonts w:ascii="Arial" w:cs="Arial" w:eastAsia="Arial" w:hAnsi="Arial"/>
          <w:sz w:val="13"/>
          <w:szCs w:val="13"/>
          <w:color w:val="231F20"/>
        </w:rPr>
        <w:t xml:space="preserve">In </w:t>
      </w:r>
      <w:r>
        <w:rPr>
          <w:rFonts w:ascii="Arial" w:cs="Arial" w:eastAsia="Arial" w:hAnsi="Arial"/>
          <w:sz w:val="13"/>
          <w:szCs w:val="13"/>
          <w:color w:val="000000"/>
        </w:rPr>
        <w:t>collaboration</w:t>
      </w:r>
      <w:r>
        <w:rPr>
          <w:rFonts w:ascii="Arial" w:cs="Arial" w:eastAsia="Arial" w:hAnsi="Arial"/>
          <w:sz w:val="13"/>
          <w:szCs w:val="13"/>
          <w:color w:val="231F20"/>
        </w:rPr>
        <w:t xml:space="preserve"> with Siemens, we are optimizing our iNeST production process, reducing turnaround time from over three months to less than six weeks currently, with the goal of delivering on-demand commercial supply.</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Company’s scientific DNA, which is the foundation of the BioNTech approach, has attracted a talented team from nearly 50 countries around the world.</w:t>
      </w:r>
    </w:p>
    <w:p>
      <w:pPr>
        <w:spacing w:after="0" w:line="90" w:lineRule="exact"/>
        <w:rPr>
          <w:sz w:val="20"/>
          <w:szCs w:val="20"/>
          <w:color w:val="auto"/>
        </w:rPr>
      </w:pPr>
    </w:p>
    <w:p>
      <w:pPr>
        <w:ind w:left="1020" w:right="100" w:hanging="340"/>
        <w:spacing w:after="0" w:line="267" w:lineRule="auto"/>
        <w:tabs>
          <w:tab w:leader="none" w:pos="1020" w:val="left"/>
        </w:tabs>
        <w:numPr>
          <w:ilvl w:val="1"/>
          <w:numId w:val="81"/>
        </w:numPr>
        <w:rPr>
          <w:rFonts w:ascii="Arial" w:cs="Arial" w:eastAsia="Arial" w:hAnsi="Arial"/>
          <w:sz w:val="13"/>
          <w:szCs w:val="13"/>
          <w:color w:val="auto"/>
        </w:rPr>
      </w:pPr>
      <w:r>
        <w:rPr>
          <w:rFonts w:ascii="Arial" w:cs="Arial" w:eastAsia="Arial" w:hAnsi="Arial"/>
          <w:sz w:val="13"/>
          <w:szCs w:val="13"/>
          <w:color w:val="231F20"/>
        </w:rPr>
        <w:t>Prof. Ugur Sahin, M.D., our co-founder and Chief Executive Officer, and Özlem Türeci, M.D., our Chief Medical Officer, are physicians, scientists and innovators. They have made groundbreaking scientific and technological contributions in the field of personalized cancer immunotherapy and are co-inventors on more than 100 patents. Their daily work is motivated by their experience as researchers and cancer physicians aiming to exploit scientific insights and drive technological progress to develop commercially viable products that could help individual patients, an attitude and culture that has become the DNA of BioNTech.</w:t>
      </w:r>
    </w:p>
    <w:p>
      <w:pPr>
        <w:spacing w:after="0" w:line="54" w:lineRule="exact"/>
        <w:rPr>
          <w:rFonts w:ascii="Arial" w:cs="Arial" w:eastAsia="Arial" w:hAnsi="Arial"/>
          <w:sz w:val="13"/>
          <w:szCs w:val="13"/>
          <w:color w:val="auto"/>
        </w:rPr>
      </w:pPr>
    </w:p>
    <w:p>
      <w:pPr>
        <w:ind w:left="1020" w:hanging="340"/>
        <w:spacing w:after="0" w:line="287" w:lineRule="auto"/>
        <w:tabs>
          <w:tab w:leader="none" w:pos="1020" w:val="left"/>
        </w:tabs>
        <w:numPr>
          <w:ilvl w:val="1"/>
          <w:numId w:val="81"/>
        </w:numPr>
        <w:rPr>
          <w:rFonts w:ascii="Arial" w:cs="Arial" w:eastAsia="Arial" w:hAnsi="Arial"/>
          <w:sz w:val="13"/>
          <w:szCs w:val="13"/>
          <w:color w:val="231F20"/>
        </w:rPr>
      </w:pPr>
      <w:r>
        <w:rPr>
          <w:rFonts w:ascii="Arial" w:cs="Arial" w:eastAsia="Arial" w:hAnsi="Arial"/>
          <w:sz w:val="13"/>
          <w:szCs w:val="13"/>
          <w:color w:val="231F20"/>
        </w:rPr>
        <w:t>Our DNA, with a deep culture of intellectual curiosity and innovation, has made us a destination of choice for scientific pioneers. This culture has attracted an exceptionally talented team from nearly 50 countries around the world.</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1"/>
          <w:numId w:val="81"/>
        </w:numPr>
        <w:rPr>
          <w:rFonts w:ascii="Arial" w:cs="Arial" w:eastAsia="Arial" w:hAnsi="Arial"/>
          <w:sz w:val="13"/>
          <w:szCs w:val="13"/>
          <w:color w:val="231F20"/>
        </w:rPr>
      </w:pPr>
      <w:r>
        <w:rPr>
          <w:rFonts w:ascii="Arial" w:cs="Arial" w:eastAsia="Arial" w:hAnsi="Arial"/>
          <w:sz w:val="13"/>
          <w:szCs w:val="13"/>
          <w:color w:val="231F20"/>
        </w:rPr>
        <w:t>We have participated in nearly 300 scientific publications, of which over 100 are in leading peer-reviewed journals.</w:t>
      </w:r>
    </w:p>
    <w:p>
      <w:pPr>
        <w:spacing w:after="0" w:line="246" w:lineRule="exact"/>
        <w:rPr>
          <w:rFonts w:ascii="Arial" w:cs="Arial" w:eastAsia="Arial" w:hAnsi="Arial"/>
          <w:sz w:val="13"/>
          <w:szCs w:val="13"/>
          <w:color w:val="231F20"/>
        </w:rPr>
      </w:pPr>
    </w:p>
    <w:p>
      <w:pPr>
        <w:ind w:left="540" w:hanging="537"/>
        <w:spacing w:after="0"/>
        <w:tabs>
          <w:tab w:leader="none" w:pos="54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Our Strategy</w:t>
      </w:r>
    </w:p>
    <w:p>
      <w:pPr>
        <w:spacing w:after="0" w:line="94"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2"/>
          <w:szCs w:val="12"/>
          <w:color w:val="auto"/>
        </w:rPr>
        <w:t>Our vision is to harness the power of the human immune system to develop truly individualized and patient-centric therapies for cancer and other serious diseases. We aim to rapidly develop,</w:t>
      </w:r>
    </w:p>
    <w:p>
      <w:pPr>
        <w:spacing w:after="0" w:line="31"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manufacture and, if approved, commercialize a portfolio of novel immunotherapies, including both off-the-shelf drugs and individualized treatments. The key elements of our strategy to achieve this vision are as follows: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1"/>
          <w:szCs w:val="11"/>
          <w:b w:val="1"/>
          <w:bCs w:val="1"/>
          <w:i w:val="1"/>
          <w:iCs w:val="1"/>
          <w:color w:val="auto"/>
        </w:rPr>
        <w:t>Rapidly advance our potential first-in-class product candidates derived from our FixVac and iNeST platforms toward market approvals in oncology, either on our own or with our collaborators.</w:t>
      </w:r>
    </w:p>
    <w:p>
      <w:pPr>
        <w:spacing w:after="0" w:line="113" w:lineRule="exact"/>
        <w:rPr>
          <w:sz w:val="20"/>
          <w:szCs w:val="20"/>
          <w:color w:val="auto"/>
        </w:rPr>
      </w:pPr>
    </w:p>
    <w:p>
      <w:pPr>
        <w:ind w:left="1020" w:right="260" w:hanging="340"/>
        <w:spacing w:after="0" w:line="331" w:lineRule="auto"/>
        <w:tabs>
          <w:tab w:leader="none" w:pos="1020" w:val="left"/>
        </w:tabs>
        <w:numPr>
          <w:ilvl w:val="0"/>
          <w:numId w:val="82"/>
        </w:numPr>
        <w:rPr>
          <w:rFonts w:ascii="Arial" w:cs="Arial" w:eastAsia="Arial" w:hAnsi="Arial"/>
          <w:sz w:val="12"/>
          <w:szCs w:val="12"/>
          <w:color w:val="auto"/>
        </w:rPr>
      </w:pPr>
      <w:r>
        <w:rPr>
          <w:rFonts w:ascii="Arial" w:cs="Arial" w:eastAsia="Arial" w:hAnsi="Arial"/>
          <w:sz w:val="12"/>
          <w:szCs w:val="12"/>
          <w:color w:val="231F20"/>
        </w:rPr>
        <w:t>We and investigators are conducting five Phase 1 clinical trials with our wholly owned off-the-shelf FixVac mRNA immunotherapy. Our most advanced current FixVac product candidate, BNT111, is currently being evaluated in 115 patients with advanced melanoma, and we expect to initiate a Phase 2 trial with registrational potential in the second half of 2020.</w:t>
      </w:r>
    </w:p>
    <w:p>
      <w:pPr>
        <w:spacing w:after="0" w:line="19" w:lineRule="exact"/>
        <w:rPr>
          <w:rFonts w:ascii="Arial" w:cs="Arial" w:eastAsia="Arial" w:hAnsi="Arial"/>
          <w:sz w:val="12"/>
          <w:szCs w:val="12"/>
          <w:color w:val="auto"/>
        </w:rPr>
      </w:pPr>
    </w:p>
    <w:p>
      <w:pPr>
        <w:ind w:left="1020" w:right="40" w:hanging="340"/>
        <w:spacing w:after="0" w:line="272" w:lineRule="auto"/>
        <w:tabs>
          <w:tab w:leader="none" w:pos="1020" w:val="left"/>
        </w:tabs>
        <w:numPr>
          <w:ilvl w:val="0"/>
          <w:numId w:val="82"/>
        </w:numPr>
        <w:rPr>
          <w:rFonts w:ascii="Arial" w:cs="Arial" w:eastAsia="Arial" w:hAnsi="Arial"/>
          <w:sz w:val="13"/>
          <w:szCs w:val="13"/>
          <w:color w:val="231F20"/>
        </w:rPr>
      </w:pPr>
      <w:r>
        <w:rPr>
          <w:rFonts w:ascii="Arial" w:cs="Arial" w:eastAsia="Arial" w:hAnsi="Arial"/>
          <w:sz w:val="13"/>
          <w:szCs w:val="13"/>
          <w:color w:val="231F20"/>
        </w:rPr>
        <w:t>We are also advancing, in collaboration with Genentech, our iNeST individualized neoantigen specific mRNA immunotherapy in two clinical trials, targeting more than eight tumor types, and have two additional clinical trials planned for 2020. Our most advanced iNeST program is a Phase 2 trial of our product candidate, RO7198457 (BNT122), in 132 patients with metastatic melanoma, evaluating iNeST in combination with pembrolizumab as a first-line therapy.</w:t>
      </w:r>
    </w:p>
    <w:p>
      <w:pPr>
        <w:spacing w:after="0" w:line="51" w:lineRule="exact"/>
        <w:rPr>
          <w:rFonts w:ascii="Arial" w:cs="Arial" w:eastAsia="Arial" w:hAnsi="Arial"/>
          <w:sz w:val="13"/>
          <w:szCs w:val="13"/>
          <w:color w:val="231F20"/>
        </w:rPr>
      </w:pPr>
    </w:p>
    <w:p>
      <w:pPr>
        <w:ind w:left="1020" w:right="20" w:hanging="340"/>
        <w:spacing w:after="0" w:line="287" w:lineRule="auto"/>
        <w:tabs>
          <w:tab w:leader="none" w:pos="1020" w:val="left"/>
        </w:tabs>
        <w:numPr>
          <w:ilvl w:val="0"/>
          <w:numId w:val="82"/>
        </w:numPr>
        <w:rPr>
          <w:rFonts w:ascii="Arial" w:cs="Arial" w:eastAsia="Arial" w:hAnsi="Arial"/>
          <w:sz w:val="13"/>
          <w:szCs w:val="13"/>
          <w:color w:val="231F20"/>
        </w:rPr>
      </w:pPr>
      <w:r>
        <w:rPr>
          <w:rFonts w:ascii="Arial" w:cs="Arial" w:eastAsia="Arial" w:hAnsi="Arial"/>
          <w:sz w:val="13"/>
          <w:szCs w:val="13"/>
          <w:color w:val="231F20"/>
        </w:rPr>
        <w:t>We believe both FixVac and iNeST have therapeutic potential in a wide variety of solid tumors. We have identified significant market opportunities in additional indications and plan to pursue potentially expedited routes to market approval.</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Progress additional product candidates through clinical development, leveraging our multiple drug classes and the synergies between them in order to expand our oncology pipeline.</w:t>
      </w:r>
    </w:p>
    <w:p>
      <w:pPr>
        <w:spacing w:after="0" w:line="102" w:lineRule="exact"/>
        <w:rPr>
          <w:sz w:val="20"/>
          <w:szCs w:val="20"/>
          <w:color w:val="auto"/>
        </w:rPr>
      </w:pPr>
    </w:p>
    <w:p>
      <w:pPr>
        <w:ind w:left="1020" w:hanging="340"/>
        <w:spacing w:after="0" w:line="287" w:lineRule="auto"/>
        <w:tabs>
          <w:tab w:leader="none" w:pos="1020" w:val="left"/>
        </w:tabs>
        <w:numPr>
          <w:ilvl w:val="0"/>
          <w:numId w:val="83"/>
        </w:numPr>
        <w:rPr>
          <w:rFonts w:ascii="Arial" w:cs="Arial" w:eastAsia="Arial" w:hAnsi="Arial"/>
          <w:sz w:val="13"/>
          <w:szCs w:val="13"/>
          <w:color w:val="auto"/>
        </w:rPr>
      </w:pPr>
      <w:r>
        <w:rPr>
          <w:rFonts w:ascii="Arial" w:cs="Arial" w:eastAsia="Arial" w:hAnsi="Arial"/>
          <w:sz w:val="13"/>
          <w:szCs w:val="13"/>
          <w:color w:val="231F20"/>
        </w:rPr>
        <w:t>In addition to FixVac and iNeST, we are also conducting a Phase 1 clinical trial of our intratumoral immunotherapy product candidate SAR441000 (BNT131) in collaboration with Sanofi, as a monotherapy in patients with advanced melanoma and as a combination therapy with an anti-PD-1/PD-L1 checkpoint inhibitor in patients with certain solid tumors.</w:t>
      </w:r>
    </w:p>
    <w:p>
      <w:pPr>
        <w:spacing w:after="0" w:line="42" w:lineRule="exact"/>
        <w:rPr>
          <w:rFonts w:ascii="Arial" w:cs="Arial" w:eastAsia="Arial" w:hAnsi="Arial"/>
          <w:sz w:val="13"/>
          <w:szCs w:val="13"/>
          <w:color w:val="auto"/>
        </w:rPr>
      </w:pPr>
    </w:p>
    <w:p>
      <w:pPr>
        <w:ind w:left="1020" w:hanging="340"/>
        <w:spacing w:after="0"/>
        <w:tabs>
          <w:tab w:leader="none" w:pos="1020" w:val="left"/>
        </w:tabs>
        <w:numPr>
          <w:ilvl w:val="0"/>
          <w:numId w:val="83"/>
        </w:numPr>
        <w:rPr>
          <w:rFonts w:ascii="Arial" w:cs="Arial" w:eastAsia="Arial" w:hAnsi="Arial"/>
          <w:sz w:val="13"/>
          <w:szCs w:val="13"/>
          <w:color w:val="231F20"/>
        </w:rPr>
      </w:pPr>
      <w:r>
        <w:rPr>
          <w:rFonts w:ascii="Arial" w:cs="Arial" w:eastAsia="Arial" w:hAnsi="Arial"/>
          <w:sz w:val="13"/>
          <w:szCs w:val="13"/>
          <w:color w:val="231F20"/>
        </w:rPr>
        <w:t>Beyond mRNA, we plan to rapidly advance other product candidates from our immunotherapy drug classes into clinical proof-of-concept studies in solid tumor indications.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11" w:right="359" w:bottom="1440" w:gutter="0" w:footer="0" w:header="0"/>
        </w:sectPr>
      </w:pPr>
    </w:p>
    <w:bookmarkStart w:id="91" w:name="page92"/>
    <w:bookmarkEnd w:id="91"/>
    <w:p>
      <w:pPr>
        <w:ind w:left="1020" w:right="120" w:hanging="340"/>
        <w:spacing w:after="0" w:line="287" w:lineRule="auto"/>
        <w:tabs>
          <w:tab w:leader="none" w:pos="1020" w:val="left"/>
        </w:tabs>
        <w:numPr>
          <w:ilvl w:val="0"/>
          <w:numId w:val="84"/>
        </w:numPr>
        <w:rPr>
          <w:rFonts w:ascii="Arial" w:cs="Arial" w:eastAsia="Arial" w:hAnsi="Arial"/>
          <w:sz w:val="13"/>
          <w:szCs w:val="13"/>
          <w:color w:val="231F20"/>
        </w:rPr>
      </w:pPr>
      <w:r>
        <w:rPr>
          <w:rFonts w:ascii="Arial" w:cs="Arial" w:eastAsia="Arial" w:hAnsi="Arial"/>
          <w:sz w:val="13"/>
          <w:szCs w:val="13"/>
          <w:color w:val="231F20"/>
        </w:rPr>
        <w:t>In collaboration with Genmab, we have initiated Phase 1/2a clinical trials for our product candidates GEN1046 (BNT311) and GEN1042 (BNT312) in solid tumors. These product candidates are based on our novel checkpoint immunomodulator bispecific monoclonal antibodies, which we believe have potential in a broad range of cancers.</w:t>
      </w:r>
    </w:p>
    <w:p>
      <w:pPr>
        <w:spacing w:after="0" w:line="42" w:lineRule="exact"/>
        <w:rPr>
          <w:rFonts w:ascii="Arial" w:cs="Arial" w:eastAsia="Arial" w:hAnsi="Arial"/>
          <w:sz w:val="13"/>
          <w:szCs w:val="13"/>
          <w:color w:val="231F20"/>
        </w:rPr>
      </w:pPr>
    </w:p>
    <w:p>
      <w:pPr>
        <w:ind w:left="1020" w:right="360" w:hanging="340"/>
        <w:spacing w:after="0" w:line="287" w:lineRule="auto"/>
        <w:tabs>
          <w:tab w:leader="none" w:pos="1020" w:val="left"/>
        </w:tabs>
        <w:numPr>
          <w:ilvl w:val="0"/>
          <w:numId w:val="84"/>
        </w:numPr>
        <w:rPr>
          <w:rFonts w:ascii="Arial" w:cs="Arial" w:eastAsia="Arial" w:hAnsi="Arial"/>
          <w:sz w:val="13"/>
          <w:szCs w:val="13"/>
          <w:color w:val="231F20"/>
        </w:rPr>
      </w:pPr>
      <w:r>
        <w:rPr>
          <w:rFonts w:ascii="Arial" w:cs="Arial" w:eastAsia="Arial" w:hAnsi="Arial"/>
          <w:sz w:val="13"/>
          <w:szCs w:val="13"/>
          <w:color w:val="231F20"/>
        </w:rPr>
        <w:t>We also plan to initiate a Phase 1/2 clinical trial in the first half of 2020 for our wholly owned CAR-T product candidate, BNT211, in multiple solid tumors, targeting a novel solid-tumor specific antigen, CLDN6.</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Maximize the potential and leverage the broad applicability of our mRNA drug class in additional therapeutic areas beyond cancer, including through selective collaborations.</w:t>
      </w:r>
    </w:p>
    <w:p>
      <w:pPr>
        <w:spacing w:after="0" w:line="102" w:lineRule="exact"/>
        <w:rPr>
          <w:sz w:val="20"/>
          <w:szCs w:val="20"/>
          <w:color w:val="auto"/>
        </w:rPr>
      </w:pPr>
    </w:p>
    <w:p>
      <w:pPr>
        <w:ind w:left="1020" w:right="300" w:hanging="340"/>
        <w:spacing w:after="0" w:line="287" w:lineRule="auto"/>
        <w:tabs>
          <w:tab w:leader="none" w:pos="1020" w:val="left"/>
        </w:tabs>
        <w:numPr>
          <w:ilvl w:val="0"/>
          <w:numId w:val="85"/>
        </w:numPr>
        <w:rPr>
          <w:rFonts w:ascii="Arial" w:cs="Arial" w:eastAsia="Arial" w:hAnsi="Arial"/>
          <w:sz w:val="13"/>
          <w:szCs w:val="13"/>
          <w:color w:val="auto"/>
        </w:rPr>
      </w:pPr>
      <w:r>
        <w:rPr>
          <w:rFonts w:ascii="Arial" w:cs="Arial" w:eastAsia="Arial" w:hAnsi="Arial"/>
          <w:sz w:val="13"/>
          <w:szCs w:val="13"/>
          <w:color w:val="231F20"/>
        </w:rPr>
        <w:t>Beyond oncology, we intend to leverage our mRNA technology to direct the immune system to fight a range of infectious diseases and address missing or defective proteins in certain rare diseases.</w:t>
      </w:r>
    </w:p>
    <w:p>
      <w:pPr>
        <w:spacing w:after="0" w:line="42" w:lineRule="exact"/>
        <w:rPr>
          <w:rFonts w:ascii="Arial" w:cs="Arial" w:eastAsia="Arial" w:hAnsi="Arial"/>
          <w:sz w:val="13"/>
          <w:szCs w:val="13"/>
          <w:color w:val="auto"/>
        </w:rPr>
      </w:pPr>
    </w:p>
    <w:p>
      <w:pPr>
        <w:ind w:left="1020" w:right="60" w:hanging="340"/>
        <w:spacing w:after="0" w:line="272" w:lineRule="auto"/>
        <w:tabs>
          <w:tab w:leader="none" w:pos="1020" w:val="left"/>
        </w:tabs>
        <w:numPr>
          <w:ilvl w:val="0"/>
          <w:numId w:val="85"/>
        </w:numPr>
        <w:rPr>
          <w:rFonts w:ascii="Arial" w:cs="Arial" w:eastAsia="Arial" w:hAnsi="Arial"/>
          <w:sz w:val="13"/>
          <w:szCs w:val="13"/>
          <w:color w:val="231F20"/>
        </w:rPr>
      </w:pPr>
      <w:r>
        <w:rPr>
          <w:rFonts w:ascii="Arial" w:cs="Arial" w:eastAsia="Arial" w:hAnsi="Arial"/>
          <w:sz w:val="13"/>
          <w:szCs w:val="13"/>
          <w:color w:val="231F20"/>
        </w:rPr>
        <w:t>Our collaborations with Pfizer in influenza and with Genevant in rare diseases underscore the potential of our approach. We intend to continue to seek value adding collaborations with leading industry players who contribute their competencies and know-how to complement our powerful suite of technologies to address challenging diseases outside of our core therapeutic focus on oncology.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Strengthen our position as a leader in the highly automated, on-demand manufacturing of individualized therapies with the goal of delivering our therapies globally.</w:t>
      </w:r>
    </w:p>
    <w:p>
      <w:pPr>
        <w:spacing w:after="0" w:line="90" w:lineRule="exact"/>
        <w:rPr>
          <w:sz w:val="20"/>
          <w:szCs w:val="20"/>
          <w:color w:val="auto"/>
        </w:rPr>
      </w:pPr>
    </w:p>
    <w:p>
      <w:pPr>
        <w:ind w:left="1020" w:hanging="340"/>
        <w:spacing w:after="0" w:line="287" w:lineRule="auto"/>
        <w:tabs>
          <w:tab w:leader="none" w:pos="1020" w:val="left"/>
        </w:tabs>
        <w:numPr>
          <w:ilvl w:val="0"/>
          <w:numId w:val="86"/>
        </w:numPr>
        <w:rPr>
          <w:rFonts w:ascii="Arial" w:cs="Arial" w:eastAsia="Arial" w:hAnsi="Arial"/>
          <w:sz w:val="13"/>
          <w:szCs w:val="13"/>
          <w:color w:val="auto"/>
        </w:rPr>
      </w:pPr>
      <w:r>
        <w:rPr>
          <w:rFonts w:ascii="Arial" w:cs="Arial" w:eastAsia="Arial" w:hAnsi="Arial"/>
          <w:sz w:val="13"/>
          <w:szCs w:val="13"/>
          <w:color w:val="231F20"/>
        </w:rPr>
        <w:t>We will continue to invest to reduce cycle times and increase the automation of our processes, and to expand our manufacturing capacity across all platforms to support the efficient progression of our product candidates into late-stage clinical trials and commercialization.</w:t>
      </w:r>
    </w:p>
    <w:p>
      <w:pPr>
        <w:spacing w:after="0" w:line="42" w:lineRule="exact"/>
        <w:rPr>
          <w:rFonts w:ascii="Arial" w:cs="Arial" w:eastAsia="Arial" w:hAnsi="Arial"/>
          <w:sz w:val="13"/>
          <w:szCs w:val="13"/>
          <w:color w:val="auto"/>
        </w:rPr>
      </w:pPr>
    </w:p>
    <w:p>
      <w:pPr>
        <w:ind w:left="1020" w:hanging="340"/>
        <w:spacing w:after="0"/>
        <w:tabs>
          <w:tab w:leader="none" w:pos="1020" w:val="left"/>
        </w:tabs>
        <w:numPr>
          <w:ilvl w:val="0"/>
          <w:numId w:val="86"/>
        </w:numPr>
        <w:rPr>
          <w:rFonts w:ascii="Arial" w:cs="Arial" w:eastAsia="Arial" w:hAnsi="Arial"/>
          <w:sz w:val="13"/>
          <w:szCs w:val="13"/>
          <w:color w:val="231F20"/>
        </w:rPr>
      </w:pPr>
      <w:r>
        <w:rPr>
          <w:rFonts w:ascii="Arial" w:cs="Arial" w:eastAsia="Arial" w:hAnsi="Arial"/>
          <w:sz w:val="13"/>
          <w:szCs w:val="13"/>
          <w:color w:val="231F20"/>
        </w:rPr>
        <w:t>We will continue to invest in and scale up our advanced, in-house GMP manufacturing capabilities and capacity across mRNA and cell therapy production.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Establish a commercial organization to bring our portfolio of cancer immunotherapies to patients.</w:t>
      </w:r>
    </w:p>
    <w:p>
      <w:pPr>
        <w:spacing w:after="0" w:line="90" w:lineRule="exact"/>
        <w:rPr>
          <w:sz w:val="20"/>
          <w:szCs w:val="20"/>
          <w:color w:val="auto"/>
        </w:rPr>
      </w:pPr>
    </w:p>
    <w:p>
      <w:pPr>
        <w:ind w:left="1020" w:right="640" w:hanging="340"/>
        <w:spacing w:after="0" w:line="287" w:lineRule="auto"/>
        <w:tabs>
          <w:tab w:leader="none" w:pos="1020" w:val="left"/>
        </w:tabs>
        <w:numPr>
          <w:ilvl w:val="0"/>
          <w:numId w:val="87"/>
        </w:numPr>
        <w:rPr>
          <w:rFonts w:ascii="Arial" w:cs="Arial" w:eastAsia="Arial" w:hAnsi="Arial"/>
          <w:sz w:val="13"/>
          <w:szCs w:val="13"/>
          <w:color w:val="auto"/>
        </w:rPr>
      </w:pPr>
      <w:r>
        <w:rPr>
          <w:rFonts w:ascii="Arial" w:cs="Arial" w:eastAsia="Arial" w:hAnsi="Arial"/>
          <w:sz w:val="13"/>
          <w:szCs w:val="13"/>
          <w:color w:val="231F20"/>
        </w:rPr>
        <w:t>We believe that developing our own commercial infrastructure will be key to maximizing the value of our programs. We intend to jointly participate in the commercialization of our collaborative programs where we retain significant commercial rights.</w:t>
      </w:r>
    </w:p>
    <w:p>
      <w:pPr>
        <w:spacing w:after="0" w:line="42" w:lineRule="exact"/>
        <w:rPr>
          <w:rFonts w:ascii="Arial" w:cs="Arial" w:eastAsia="Arial" w:hAnsi="Arial"/>
          <w:sz w:val="13"/>
          <w:szCs w:val="13"/>
          <w:color w:val="auto"/>
        </w:rPr>
      </w:pPr>
    </w:p>
    <w:p>
      <w:pPr>
        <w:ind w:left="1020" w:hanging="340"/>
        <w:spacing w:after="0"/>
        <w:tabs>
          <w:tab w:leader="none" w:pos="1020" w:val="left"/>
        </w:tabs>
        <w:numPr>
          <w:ilvl w:val="0"/>
          <w:numId w:val="87"/>
        </w:numPr>
        <w:rPr>
          <w:rFonts w:ascii="Arial" w:cs="Arial" w:eastAsia="Arial" w:hAnsi="Arial"/>
          <w:sz w:val="12"/>
          <w:szCs w:val="12"/>
          <w:color w:val="231F20"/>
        </w:rPr>
      </w:pPr>
      <w:r>
        <w:rPr>
          <w:rFonts w:ascii="Arial" w:cs="Arial" w:eastAsia="Arial" w:hAnsi="Arial"/>
          <w:sz w:val="12"/>
          <w:szCs w:val="12"/>
          <w:color w:val="231F20"/>
        </w:rPr>
        <w:t>We have expanded our footprint in the United States, and will continue to do so with the acquisition of Neon Therapeutics, if consummated, creating a U.S. research and development hub.</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1"/>
          <w:szCs w:val="11"/>
          <w:b w:val="1"/>
          <w:bCs w:val="1"/>
          <w:i w:val="1"/>
          <w:iCs w:val="1"/>
          <w:color w:val="auto"/>
        </w:rPr>
        <w:t>Expand our current technology suite by continuing to develop existing and new drug classes and platforms, and selectively in-licensing technologies that are complementary to our existing</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pipeline.</w:t>
      </w:r>
    </w:p>
    <w:p>
      <w:pPr>
        <w:spacing w:after="0" w:line="82" w:lineRule="exact"/>
        <w:rPr>
          <w:sz w:val="20"/>
          <w:szCs w:val="20"/>
          <w:color w:val="auto"/>
        </w:rPr>
      </w:pPr>
    </w:p>
    <w:p>
      <w:pPr>
        <w:ind w:left="1020" w:right="380" w:hanging="340"/>
        <w:spacing w:after="0" w:line="287" w:lineRule="auto"/>
        <w:tabs>
          <w:tab w:leader="none" w:pos="1020" w:val="left"/>
        </w:tabs>
        <w:numPr>
          <w:ilvl w:val="0"/>
          <w:numId w:val="88"/>
        </w:numPr>
        <w:rPr>
          <w:rFonts w:ascii="Arial" w:cs="Arial" w:eastAsia="Arial" w:hAnsi="Arial"/>
          <w:sz w:val="13"/>
          <w:szCs w:val="13"/>
          <w:color w:val="auto"/>
        </w:rPr>
      </w:pPr>
      <w:r>
        <w:rPr>
          <w:rFonts w:ascii="Arial" w:cs="Arial" w:eastAsia="Arial" w:hAnsi="Arial"/>
          <w:sz w:val="13"/>
          <w:szCs w:val="13"/>
          <w:color w:val="231F20"/>
        </w:rPr>
        <w:t>As our understanding of immunology and oncology evolves, we plan to continue developing existing as well as new drug classes and platforms that are consistent with our strategy, with particular focus on those that can benefit from our in-house expertise.</w:t>
      </w:r>
    </w:p>
    <w:p>
      <w:pPr>
        <w:spacing w:after="0" w:line="42" w:lineRule="exact"/>
        <w:rPr>
          <w:rFonts w:ascii="Arial" w:cs="Arial" w:eastAsia="Arial" w:hAnsi="Arial"/>
          <w:sz w:val="13"/>
          <w:szCs w:val="13"/>
          <w:color w:val="auto"/>
        </w:rPr>
      </w:pPr>
    </w:p>
    <w:p>
      <w:pPr>
        <w:ind w:left="1020" w:right="40" w:hanging="340"/>
        <w:spacing w:after="0" w:line="287" w:lineRule="auto"/>
        <w:tabs>
          <w:tab w:leader="none" w:pos="1020" w:val="left"/>
        </w:tabs>
        <w:numPr>
          <w:ilvl w:val="0"/>
          <w:numId w:val="88"/>
        </w:numPr>
        <w:rPr>
          <w:rFonts w:ascii="Arial" w:cs="Arial" w:eastAsia="Arial" w:hAnsi="Arial"/>
          <w:sz w:val="13"/>
          <w:szCs w:val="13"/>
          <w:color w:val="231F20"/>
        </w:rPr>
      </w:pPr>
      <w:r>
        <w:rPr>
          <w:rFonts w:ascii="Arial" w:cs="Arial" w:eastAsia="Arial" w:hAnsi="Arial"/>
          <w:sz w:val="13"/>
          <w:szCs w:val="13"/>
          <w:color w:val="231F20"/>
        </w:rPr>
        <w:t>As evidenced by our recent acquisition of MabVax Therapeutics, we also continuously assess the external environment for novel drug classes, platforms and product candidates that can further expand and improve our pipeline of innovative immunotherapeutics, and help us to execute our strategy.</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Maintain our culture of scientific excellence to continue to drive future innovation.</w:t>
      </w:r>
    </w:p>
    <w:p>
      <w:pPr>
        <w:spacing w:after="0" w:line="90" w:lineRule="exact"/>
        <w:rPr>
          <w:sz w:val="20"/>
          <w:szCs w:val="20"/>
          <w:color w:val="auto"/>
        </w:rPr>
      </w:pPr>
    </w:p>
    <w:p>
      <w:pPr>
        <w:ind w:left="1020" w:hanging="340"/>
        <w:spacing w:after="0"/>
        <w:tabs>
          <w:tab w:leader="none" w:pos="1020" w:val="left"/>
        </w:tabs>
        <w:numPr>
          <w:ilvl w:val="0"/>
          <w:numId w:val="89"/>
        </w:numPr>
        <w:rPr>
          <w:rFonts w:ascii="Arial" w:cs="Arial" w:eastAsia="Arial" w:hAnsi="Arial"/>
          <w:sz w:val="13"/>
          <w:szCs w:val="13"/>
          <w:color w:val="auto"/>
        </w:rPr>
      </w:pPr>
      <w:r>
        <w:rPr>
          <w:rFonts w:ascii="Arial" w:cs="Arial" w:eastAsia="Arial" w:hAnsi="Arial"/>
          <w:sz w:val="13"/>
          <w:szCs w:val="13"/>
          <w:color w:val="231F20"/>
        </w:rPr>
        <w:t>We are committed to maintaining close ties to the scientific and academic community by fostering our many long-standing university relationships.</w:t>
      </w:r>
    </w:p>
    <w:p>
      <w:pPr>
        <w:spacing w:after="0" w:line="90" w:lineRule="exact"/>
        <w:rPr>
          <w:rFonts w:ascii="Arial" w:cs="Arial" w:eastAsia="Arial" w:hAnsi="Arial"/>
          <w:sz w:val="13"/>
          <w:szCs w:val="13"/>
          <w:color w:val="auto"/>
        </w:rPr>
      </w:pPr>
    </w:p>
    <w:p>
      <w:pPr>
        <w:ind w:left="1020" w:right="580" w:hanging="340"/>
        <w:spacing w:after="0" w:line="287" w:lineRule="auto"/>
        <w:tabs>
          <w:tab w:leader="none" w:pos="1020" w:val="left"/>
        </w:tabs>
        <w:numPr>
          <w:ilvl w:val="0"/>
          <w:numId w:val="89"/>
        </w:numPr>
        <w:rPr>
          <w:rFonts w:ascii="Arial" w:cs="Arial" w:eastAsia="Arial" w:hAnsi="Arial"/>
          <w:sz w:val="13"/>
          <w:szCs w:val="13"/>
          <w:color w:val="231F20"/>
        </w:rPr>
      </w:pPr>
      <w:r>
        <w:rPr>
          <w:rFonts w:ascii="Arial" w:cs="Arial" w:eastAsia="Arial" w:hAnsi="Arial"/>
          <w:sz w:val="13"/>
          <w:szCs w:val="13"/>
          <w:color w:val="231F20"/>
        </w:rPr>
        <w:t>We also intend to continue our leadership in the Association for Cancer Immunotherapy, or CIMT, which provides us potential new sources of innovation and academic collaboration opportunities.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IV.</w:t>
      </w:r>
      <w:r>
        <w:rPr>
          <w:sz w:val="20"/>
          <w:szCs w:val="20"/>
          <w:color w:val="auto"/>
        </w:rPr>
        <w:tab/>
      </w:r>
      <w:r>
        <w:rPr>
          <w:rFonts w:ascii="Arial" w:cs="Arial" w:eastAsia="Arial" w:hAnsi="Arial"/>
          <w:sz w:val="13"/>
          <w:szCs w:val="13"/>
          <w:b w:val="1"/>
          <w:bCs w:val="1"/>
          <w:color w:val="auto"/>
        </w:rPr>
        <w:t>Immunotherapy in Cancer</w:t>
      </w:r>
    </w:p>
    <w:p>
      <w:pPr>
        <w:spacing w:after="0" w:line="94"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The immune system has evolved over hundreds of millions of years to identify and eradicate what is foreign to the body with a high level of efficiency. The immune system’s efficacy is attributable to approximately one trillion highly diversified immune cells that constantly travel throughout the body and interact in a coordinated manner. They are able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2" w:name="page93"/>
    <w:bookmarkEnd w:id="92"/>
    <w:p>
      <w:pPr>
        <w:spacing w:after="0"/>
        <w:rPr>
          <w:sz w:val="20"/>
          <w:szCs w:val="20"/>
          <w:color w:val="auto"/>
        </w:rPr>
      </w:pPr>
      <w:r>
        <w:rPr>
          <w:rFonts w:ascii="Arial" w:cs="Arial" w:eastAsia="Arial" w:hAnsi="Arial"/>
          <w:sz w:val="12"/>
          <w:szCs w:val="12"/>
          <w:color w:val="auto"/>
        </w:rPr>
        <w:t>detect and eliminate diseased cells and pathogens with high precision by relying on a broad range of immune recognition receptors. Their powerful mechanisms both synergize and regulate each other.</w:t>
      </w:r>
    </w:p>
    <w:p>
      <w:pPr>
        <w:spacing w:after="0" w:line="182" w:lineRule="exact"/>
        <w:rPr>
          <w:sz w:val="20"/>
          <w:szCs w:val="20"/>
          <w:color w:val="auto"/>
        </w:rPr>
      </w:pPr>
    </w:p>
    <w:p>
      <w:pPr>
        <w:ind w:right="240" w:firstLine="556"/>
        <w:spacing w:after="0" w:line="287" w:lineRule="auto"/>
        <w:rPr>
          <w:sz w:val="20"/>
          <w:szCs w:val="20"/>
          <w:color w:val="auto"/>
        </w:rPr>
      </w:pPr>
      <w:r>
        <w:rPr>
          <w:rFonts w:ascii="Arial" w:cs="Arial" w:eastAsia="Arial" w:hAnsi="Arial"/>
          <w:sz w:val="13"/>
          <w:szCs w:val="13"/>
          <w:color w:val="auto"/>
        </w:rPr>
        <w:t>The goal of immunotherapy in the field of oncology is to harness the power of the immune system to recognize malignant cells as “foreign,” overcome immune evasion mechanisms employed by cancers, eradicate cancer cells and thereby eliminate tumors.</w:t>
      </w:r>
    </w:p>
    <w:p>
      <w:pPr>
        <w:spacing w:after="0" w:line="122"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Immunotherapy approaches in cancer have a long history. Recent years have seen an acceleration of scientific advancements and clinical breakthroughs in this field. The introduction over the last decade of checkpoint inhibitors such as Yervoy, Opdivo and Keytruda, and CAR-T therapies such as Yescarta and Kymriah has demonstrated that even leveraging one single mechanism to harness the immune system may result in unprecedented, significantly improved clinical outcomes for a subset of patients.</w:t>
      </w:r>
    </w:p>
    <w:p>
      <w:pPr>
        <w:spacing w:after="0" w:line="132" w:lineRule="exact"/>
        <w:rPr>
          <w:sz w:val="20"/>
          <w:szCs w:val="20"/>
          <w:color w:val="auto"/>
        </w:rPr>
      </w:pPr>
    </w:p>
    <w:p>
      <w:pPr>
        <w:ind w:right="300" w:firstLine="560"/>
        <w:spacing w:after="0" w:line="287" w:lineRule="auto"/>
        <w:rPr>
          <w:sz w:val="20"/>
          <w:szCs w:val="20"/>
          <w:color w:val="auto"/>
        </w:rPr>
      </w:pPr>
      <w:r>
        <w:rPr>
          <w:rFonts w:ascii="Arial" w:cs="Arial" w:eastAsia="Arial" w:hAnsi="Arial"/>
          <w:sz w:val="13"/>
          <w:szCs w:val="13"/>
          <w:color w:val="auto"/>
        </w:rPr>
        <w:t>While these first-generation immunotherapies have ignited the paradigm shift toward immuno-oncology, they also have limitations. For example, less than 40% of patients respond to checkpoint inhibitors, while CAR-T therapies have been primarily limited to blood cancers in subsets of patients, and have been hampered by toxicities.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Realizing the full potential of immunotherapy is the objective of the next generation of immuno-oncology drugs to be developed.</w:t>
      </w:r>
    </w:p>
    <w:p>
      <w:pPr>
        <w:spacing w:after="0" w:line="246" w:lineRule="exact"/>
        <w:rPr>
          <w:sz w:val="20"/>
          <w:szCs w:val="20"/>
          <w:color w:val="auto"/>
        </w:rPr>
      </w:pPr>
    </w:p>
    <w:p>
      <w:pPr>
        <w:ind w:left="540" w:hanging="540"/>
        <w:spacing w:after="0"/>
        <w:tabs>
          <w:tab w:leader="none" w:pos="54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Challenges and Opportunities of Cancer Therapies</w:t>
      </w:r>
    </w:p>
    <w:p>
      <w:pPr>
        <w:spacing w:after="0" w:line="94" w:lineRule="exact"/>
        <w:rPr>
          <w:sz w:val="20"/>
          <w:szCs w:val="20"/>
          <w:color w:val="auto"/>
        </w:rPr>
      </w:pPr>
    </w:p>
    <w:p>
      <w:pPr>
        <w:ind w:right="280" w:firstLine="556"/>
        <w:spacing w:after="0" w:line="287" w:lineRule="auto"/>
        <w:rPr>
          <w:sz w:val="20"/>
          <w:szCs w:val="20"/>
          <w:color w:val="auto"/>
        </w:rPr>
      </w:pPr>
      <w:r>
        <w:rPr>
          <w:rFonts w:ascii="Arial" w:cs="Arial" w:eastAsia="Arial" w:hAnsi="Arial"/>
          <w:sz w:val="13"/>
          <w:szCs w:val="13"/>
          <w:color w:val="auto"/>
        </w:rPr>
        <w:t>Cancer results from an accumulation of abnormalities, known as somatic mutations, in the genome of cells over time leading to malignant transformation, combined with a failure by the immune system to detect and eradicate such transformed cells. Due to their random nature, the vast majority of these aberrations are unique to the individual patient.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a consequence, heterogeneity is an intrinsic hallmark of cancer, posing a key challenge for cancer therapy:</w:t>
      </w:r>
    </w:p>
    <w:p>
      <w:pPr>
        <w:spacing w:after="0" w:line="86" w:lineRule="exact"/>
        <w:rPr>
          <w:sz w:val="20"/>
          <w:szCs w:val="20"/>
          <w:color w:val="auto"/>
        </w:rPr>
      </w:pPr>
    </w:p>
    <w:p>
      <w:pPr>
        <w:ind w:left="1020" w:right="20" w:hanging="340"/>
        <w:spacing w:after="0" w:line="294" w:lineRule="auto"/>
        <w:tabs>
          <w:tab w:leader="none" w:pos="1020"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231F20"/>
        </w:rPr>
        <w:t xml:space="preserve">Interindividual tumor heterogeneity. </w:t>
      </w:r>
      <w:r>
        <w:rPr>
          <w:rFonts w:ascii="Arial" w:cs="Arial" w:eastAsia="Arial" w:hAnsi="Arial"/>
          <w:sz w:val="13"/>
          <w:szCs w:val="13"/>
          <w:color w:val="231F20"/>
        </w:rPr>
        <w:t>Tumors, even within the same cancer type, differ at the molecular level. For example, two patients with the same type of cancer usually share less than</w:t>
      </w:r>
      <w:r>
        <w:rPr>
          <w:rFonts w:ascii="Arial" w:cs="Arial" w:eastAsia="Arial" w:hAnsi="Arial"/>
          <w:sz w:val="13"/>
          <w:szCs w:val="13"/>
          <w:b w:val="1"/>
          <w:bCs w:val="1"/>
          <w:color w:val="231F20"/>
        </w:rPr>
        <w:t xml:space="preserve"> </w:t>
      </w:r>
      <w:r>
        <w:rPr>
          <w:rFonts w:ascii="Arial" w:cs="Arial" w:eastAsia="Arial" w:hAnsi="Arial"/>
          <w:sz w:val="13"/>
          <w:szCs w:val="13"/>
          <w:color w:val="231F20"/>
        </w:rPr>
        <w:t>five percent of their mutations. As a result, patients often respond very differently to the same drug.</w:t>
      </w:r>
    </w:p>
    <w:p>
      <w:pPr>
        <w:spacing w:after="0" w:line="33" w:lineRule="exact"/>
        <w:rPr>
          <w:rFonts w:ascii="Arial" w:cs="Arial" w:eastAsia="Arial" w:hAnsi="Arial"/>
          <w:sz w:val="13"/>
          <w:szCs w:val="13"/>
          <w:color w:val="auto"/>
        </w:rPr>
      </w:pPr>
    </w:p>
    <w:p>
      <w:pPr>
        <w:ind w:left="1020" w:right="80" w:hanging="340"/>
        <w:spacing w:after="0" w:line="338" w:lineRule="auto"/>
        <w:tabs>
          <w:tab w:leader="none" w:pos="1020" w:val="left"/>
        </w:tabs>
        <w:numPr>
          <w:ilvl w:val="0"/>
          <w:numId w:val="91"/>
        </w:numPr>
        <w:rPr>
          <w:rFonts w:ascii="Arial" w:cs="Arial" w:eastAsia="Arial" w:hAnsi="Arial"/>
          <w:sz w:val="12"/>
          <w:szCs w:val="12"/>
          <w:color w:val="231F20"/>
        </w:rPr>
      </w:pPr>
      <w:r>
        <w:rPr>
          <w:rFonts w:ascii="Arial" w:cs="Arial" w:eastAsia="Arial" w:hAnsi="Arial"/>
          <w:sz w:val="12"/>
          <w:szCs w:val="12"/>
          <w:b w:val="1"/>
          <w:bCs w:val="1"/>
          <w:color w:val="231F20"/>
        </w:rPr>
        <w:t xml:space="preserve">Intratumor heterogeneity. </w:t>
      </w:r>
      <w:r>
        <w:rPr>
          <w:rFonts w:ascii="Arial" w:cs="Arial" w:eastAsia="Arial" w:hAnsi="Arial"/>
          <w:sz w:val="12"/>
          <w:szCs w:val="12"/>
          <w:color w:val="231F20"/>
        </w:rPr>
        <w:t>Within the same patient, cancer also evolves over time so that different tumor cell clones co-exist, in a manner known as clonal evolution. As a result, a patient’s</w:t>
      </w:r>
      <w:r>
        <w:rPr>
          <w:rFonts w:ascii="Arial" w:cs="Arial" w:eastAsia="Arial" w:hAnsi="Arial"/>
          <w:sz w:val="12"/>
          <w:szCs w:val="12"/>
          <w:b w:val="1"/>
          <w:bCs w:val="1"/>
          <w:color w:val="231F20"/>
        </w:rPr>
        <w:t xml:space="preserve"> </w:t>
      </w:r>
      <w:r>
        <w:rPr>
          <w:rFonts w:ascii="Arial" w:cs="Arial" w:eastAsia="Arial" w:hAnsi="Arial"/>
          <w:sz w:val="12"/>
          <w:szCs w:val="12"/>
          <w:color w:val="231F20"/>
        </w:rPr>
        <w:t>cancer may be intra-tumorally as well as inter-tumorally heterogeneous. Therapies might target only a subfraction of tumor cell clones. This can lead to immune escape and therapy failure.</w:t>
      </w:r>
    </w:p>
    <w:p>
      <w:pPr>
        <w:spacing w:after="0" w:line="11" w:lineRule="exact"/>
        <w:rPr>
          <w:rFonts w:ascii="Arial" w:cs="Arial" w:eastAsia="Arial" w:hAnsi="Arial"/>
          <w:sz w:val="12"/>
          <w:szCs w:val="12"/>
          <w:color w:val="231F20"/>
        </w:rPr>
      </w:pPr>
    </w:p>
    <w:p>
      <w:pPr>
        <w:ind w:left="1020" w:right="120" w:hanging="340"/>
        <w:spacing w:after="0" w:line="294" w:lineRule="auto"/>
        <w:tabs>
          <w:tab w:leader="none" w:pos="1020" w:val="left"/>
        </w:tabs>
        <w:numPr>
          <w:ilvl w:val="0"/>
          <w:numId w:val="91"/>
        </w:numPr>
        <w:rPr>
          <w:rFonts w:ascii="Arial" w:cs="Arial" w:eastAsia="Arial" w:hAnsi="Arial"/>
          <w:sz w:val="13"/>
          <w:szCs w:val="13"/>
          <w:color w:val="231F20"/>
        </w:rPr>
      </w:pPr>
      <w:r>
        <w:rPr>
          <w:rFonts w:ascii="Arial" w:cs="Arial" w:eastAsia="Arial" w:hAnsi="Arial"/>
          <w:sz w:val="13"/>
          <w:szCs w:val="13"/>
          <w:b w:val="1"/>
          <w:bCs w:val="1"/>
          <w:color w:val="231F20"/>
        </w:rPr>
        <w:t>Cancer evolution and immune escapes</w:t>
      </w:r>
      <w:r>
        <w:rPr>
          <w:rFonts w:ascii="Arial" w:cs="Arial" w:eastAsia="Arial" w:hAnsi="Arial"/>
          <w:sz w:val="13"/>
          <w:szCs w:val="13"/>
          <w:color w:val="231F20"/>
        </w:rPr>
        <w:t>. Cancer cells can adapt to therapeutic pressure, which results in treatment resistance. During immunotherapy, tumor cell clones may evolve that no</w:t>
      </w:r>
      <w:r>
        <w:rPr>
          <w:rFonts w:ascii="Arial" w:cs="Arial" w:eastAsia="Arial" w:hAnsi="Arial"/>
          <w:sz w:val="13"/>
          <w:szCs w:val="13"/>
          <w:b w:val="1"/>
          <w:bCs w:val="1"/>
          <w:color w:val="231F20"/>
        </w:rPr>
        <w:t xml:space="preserve"> </w:t>
      </w:r>
      <w:r>
        <w:rPr>
          <w:rFonts w:ascii="Arial" w:cs="Arial" w:eastAsia="Arial" w:hAnsi="Arial"/>
          <w:sz w:val="13"/>
          <w:szCs w:val="13"/>
          <w:color w:val="231F20"/>
        </w:rPr>
        <w:t>longer express T cell recognized antigens or have defects in their antigen presentation machinery.</w:t>
      </w:r>
    </w:p>
    <w:p>
      <w:pPr>
        <w:spacing w:after="0" w:line="33" w:lineRule="exact"/>
        <w:rPr>
          <w:rFonts w:ascii="Arial" w:cs="Arial" w:eastAsia="Arial" w:hAnsi="Arial"/>
          <w:sz w:val="13"/>
          <w:szCs w:val="13"/>
          <w:color w:val="231F20"/>
        </w:rPr>
      </w:pPr>
    </w:p>
    <w:p>
      <w:pPr>
        <w:ind w:left="1020" w:hanging="340"/>
        <w:spacing w:after="0"/>
        <w:tabs>
          <w:tab w:leader="none" w:pos="1020" w:val="left"/>
        </w:tabs>
        <w:numPr>
          <w:ilvl w:val="0"/>
          <w:numId w:val="91"/>
        </w:numPr>
        <w:rPr>
          <w:rFonts w:ascii="Arial" w:cs="Arial" w:eastAsia="Arial" w:hAnsi="Arial"/>
          <w:sz w:val="12"/>
          <w:szCs w:val="12"/>
          <w:color w:val="231F20"/>
        </w:rPr>
      </w:pPr>
      <w:r>
        <w:rPr>
          <w:rFonts w:ascii="Arial" w:cs="Arial" w:eastAsia="Arial" w:hAnsi="Arial"/>
          <w:sz w:val="12"/>
          <w:szCs w:val="12"/>
          <w:b w:val="1"/>
          <w:bCs w:val="1"/>
          <w:color w:val="231F20"/>
        </w:rPr>
        <w:t>Tumor microenvironment</w:t>
      </w:r>
      <w:r>
        <w:rPr>
          <w:rFonts w:ascii="Arial" w:cs="Arial" w:eastAsia="Arial" w:hAnsi="Arial"/>
          <w:sz w:val="12"/>
          <w:szCs w:val="12"/>
          <w:color w:val="231F20"/>
        </w:rPr>
        <w:t>. Tumors induce various forms of immunosuppressive microenvironments that prevent T cells from proliferating and executing their anti-tumor effector function.</w:t>
      </w:r>
    </w:p>
    <w:p>
      <w:pPr>
        <w:spacing w:after="0" w:line="101" w:lineRule="exact"/>
        <w:rPr>
          <w:rFonts w:ascii="Arial" w:cs="Arial" w:eastAsia="Arial" w:hAnsi="Arial"/>
          <w:sz w:val="12"/>
          <w:szCs w:val="12"/>
          <w:color w:val="231F20"/>
        </w:rPr>
      </w:pPr>
    </w:p>
    <w:p>
      <w:pPr>
        <w:ind w:left="1020" w:hanging="340"/>
        <w:spacing w:after="0" w:line="275" w:lineRule="auto"/>
        <w:tabs>
          <w:tab w:leader="none" w:pos="1020" w:val="left"/>
        </w:tabs>
        <w:numPr>
          <w:ilvl w:val="0"/>
          <w:numId w:val="91"/>
        </w:numPr>
        <w:rPr>
          <w:rFonts w:ascii="Arial" w:cs="Arial" w:eastAsia="Arial" w:hAnsi="Arial"/>
          <w:sz w:val="13"/>
          <w:szCs w:val="13"/>
          <w:color w:val="231F20"/>
        </w:rPr>
      </w:pPr>
      <w:r>
        <w:rPr>
          <w:rFonts w:ascii="Arial" w:cs="Arial" w:eastAsia="Arial" w:hAnsi="Arial"/>
          <w:sz w:val="13"/>
          <w:szCs w:val="13"/>
          <w:b w:val="1"/>
          <w:bCs w:val="1"/>
          <w:color w:val="231F20"/>
        </w:rPr>
        <w:t>Host, environment and immune system</w:t>
      </w:r>
      <w:r>
        <w:rPr>
          <w:rFonts w:ascii="Arial" w:cs="Arial" w:eastAsia="Arial" w:hAnsi="Arial"/>
          <w:sz w:val="13"/>
          <w:szCs w:val="13"/>
          <w:color w:val="231F20"/>
        </w:rPr>
        <w:t>. The functional state of each patient’s immune system is dependent on the patient’s age, genetic makeup and environmental exposures. For example,</w:t>
      </w:r>
      <w:r>
        <w:rPr>
          <w:rFonts w:ascii="Arial" w:cs="Arial" w:eastAsia="Arial" w:hAnsi="Arial"/>
          <w:sz w:val="13"/>
          <w:szCs w:val="13"/>
          <w:b w:val="1"/>
          <w:bCs w:val="1"/>
          <w:color w:val="231F20"/>
        </w:rPr>
        <w:t xml:space="preserve"> </w:t>
      </w:r>
      <w:r>
        <w:rPr>
          <w:rFonts w:ascii="Arial" w:cs="Arial" w:eastAsia="Arial" w:hAnsi="Arial"/>
          <w:sz w:val="13"/>
          <w:szCs w:val="13"/>
          <w:color w:val="231F20"/>
        </w:rPr>
        <w:t>the HLA haplotype, or the genetic makeup that encodes the major histocompatibility complex, is highly individual and decisive for which epitopes of an antigen are presented to T cells. Whereas a given tumor antigen might be a good target in one patient, a second patient might not be able to respond to it at all.</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180"/>
          </w:cols>
          <w:pgMar w:left="300" w:top="211" w:right="419" w:bottom="1440" w:gutter="0" w:footer="0" w:header="0"/>
        </w:sectPr>
      </w:pPr>
    </w:p>
    <w:bookmarkStart w:id="93" w:name="page94"/>
    <w:bookmarkEnd w:id="93"/>
    <w:p>
      <w:pPr>
        <w:ind w:left="560"/>
        <w:spacing w:after="0"/>
        <w:rPr>
          <w:sz w:val="20"/>
          <w:szCs w:val="20"/>
          <w:color w:val="auto"/>
        </w:rPr>
      </w:pPr>
      <w:r>
        <w:rPr>
          <w:rFonts w:ascii="Arial" w:cs="Arial" w:eastAsia="Arial" w:hAnsi="Arial"/>
          <w:sz w:val="13"/>
          <w:szCs w:val="13"/>
          <w:color w:val="auto"/>
        </w:rPr>
        <w:t>The graphic below depicts the interaction between three key factors influencing the patient unique tumor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132715</wp:posOffset>
            </wp:positionV>
            <wp:extent cx="3917315" cy="29203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17315" cy="292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36" w:lineRule="auto"/>
        <w:rPr>
          <w:sz w:val="20"/>
          <w:szCs w:val="20"/>
          <w:color w:val="auto"/>
        </w:rPr>
      </w:pPr>
      <w:r>
        <w:rPr>
          <w:rFonts w:ascii="Arial" w:cs="Arial" w:eastAsia="Arial" w:hAnsi="Arial"/>
          <w:sz w:val="11"/>
          <w:szCs w:val="11"/>
          <w:b w:val="1"/>
          <w:bCs w:val="1"/>
          <w:color w:val="auto"/>
        </w:rPr>
        <w:t xml:space="preserve">Interindividual heterogeneity of patients. </w:t>
      </w:r>
      <w:r>
        <w:rPr>
          <w:rFonts w:ascii="Arial" w:cs="Arial" w:eastAsia="Arial" w:hAnsi="Arial"/>
          <w:sz w:val="11"/>
          <w:szCs w:val="11"/>
          <w:color w:val="auto"/>
        </w:rPr>
        <w:t>The interaction between cancer and immune system is shaped by various host, tumor and environmental factors. The complex interplay of these sources of interpatient heterogeneity affects both the course of disease and</w:t>
      </w:r>
      <w:r>
        <w:rPr>
          <w:rFonts w:ascii="Arial" w:cs="Arial" w:eastAsia="Arial" w:hAnsi="Arial"/>
          <w:sz w:val="11"/>
          <w:szCs w:val="11"/>
          <w:b w:val="1"/>
          <w:bCs w:val="1"/>
          <w:color w:val="auto"/>
        </w:rPr>
        <w:t xml:space="preserve"> </w:t>
      </w:r>
      <w:r>
        <w:rPr>
          <w:rFonts w:ascii="Arial" w:cs="Arial" w:eastAsia="Arial" w:hAnsi="Arial"/>
          <w:sz w:val="11"/>
          <w:szCs w:val="11"/>
          <w:color w:val="auto"/>
        </w:rPr>
        <w:t>the efficacy of immunotherapy.</w:t>
      </w:r>
    </w:p>
    <w:p>
      <w:pPr>
        <w:spacing w:after="0" w:line="139"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auto"/>
        </w:rPr>
        <w:t>Together, these factors make cancer an extremely complex and heterogeneous disease. As a consequence, in the majority of cancer types, less than 40% of treated individuals benefit from highly potent approved therapies, and responses are often not durable. While these hallmarks of cancer are a challenge for cancer therapy, they also present opportunities for immunotherapy. These interconnected layers of complexity and variability require a deep understanding of an individual cancer and call for a patient-centric approach in order to find an optimal treatment.</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Transformation of Cancer Therapies</w:t>
      </w:r>
    </w:p>
    <w:p>
      <w:pPr>
        <w:spacing w:after="0" w:line="90" w:lineRule="exact"/>
        <w:rPr>
          <w:sz w:val="20"/>
          <w:szCs w:val="20"/>
          <w:color w:val="auto"/>
        </w:rPr>
      </w:pPr>
    </w:p>
    <w:p>
      <w:pPr>
        <w:ind w:right="120" w:firstLine="556"/>
        <w:spacing w:after="0" w:line="296" w:lineRule="auto"/>
        <w:rPr>
          <w:sz w:val="20"/>
          <w:szCs w:val="20"/>
          <w:color w:val="auto"/>
        </w:rPr>
      </w:pPr>
      <w:r>
        <w:rPr>
          <w:rFonts w:ascii="Arial" w:cs="Arial" w:eastAsia="Arial" w:hAnsi="Arial"/>
          <w:sz w:val="12"/>
          <w:szCs w:val="12"/>
          <w:color w:val="auto"/>
        </w:rPr>
        <w:t>We believe the recent convergence of breakthrough technologies in life sciences has enabled innovative concepts to address the immunobiology of cancer at its core. One of these breakthroughs has been the establishment of cancer immunotherapy in the armamentarium of cancer treatments. Another has been the emerging progress towards individualized medicine. Technologies such as next-generation sequencing, or NGS, have confirmed beyond doubt the problematic diversity of tumors on the inter-patient level. At the same time, NGS enables fast, cost-efficient and precise high-resolution mapping of each patient’s individual disease. We believe the application of these breakthrough technologies has the potential to change drug development and profoundly alter the oncology treatment landscape.</w:t>
      </w:r>
    </w:p>
    <w:p>
      <w:pPr>
        <w:spacing w:after="0" w:line="119" w:lineRule="exact"/>
        <w:rPr>
          <w:sz w:val="20"/>
          <w:szCs w:val="20"/>
          <w:color w:val="auto"/>
        </w:rPr>
      </w:pPr>
    </w:p>
    <w:p>
      <w:pPr>
        <w:ind w:right="400" w:firstLine="560"/>
        <w:spacing w:after="0" w:line="331" w:lineRule="auto"/>
        <w:rPr>
          <w:sz w:val="20"/>
          <w:szCs w:val="20"/>
          <w:color w:val="auto"/>
        </w:rPr>
      </w:pPr>
      <w:r>
        <w:rPr>
          <w:rFonts w:ascii="Arial" w:cs="Arial" w:eastAsia="Arial" w:hAnsi="Arial"/>
          <w:sz w:val="12"/>
          <w:szCs w:val="12"/>
          <w:color w:val="auto"/>
        </w:rPr>
        <w:t>The ability to translate a comprehensive molecular map of an individual tumor into treatment decisions, and make individually tailored therapeutics available, have become the focus of the next generation of cancer therapy. The technology necessary for leapfrog advancements in oncology now exists, but to realize its potential, a radical paradigm shift is required in drug development.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94" w:name="page95"/>
    <w:bookmarkEnd w:id="94"/>
    <w:p>
      <w:pPr>
        <w:spacing w:after="0"/>
        <w:tabs>
          <w:tab w:leader="none" w:pos="520" w:val="left"/>
        </w:tabs>
        <w:rPr>
          <w:sz w:val="20"/>
          <w:szCs w:val="20"/>
          <w:color w:val="auto"/>
        </w:rPr>
      </w:pPr>
      <w:r>
        <w:rPr>
          <w:rFonts w:ascii="Arial" w:cs="Arial" w:eastAsia="Arial" w:hAnsi="Arial"/>
          <w:sz w:val="13"/>
          <w:szCs w:val="13"/>
          <w:b w:val="1"/>
          <w:bCs w:val="1"/>
          <w:color w:val="auto"/>
        </w:rPr>
        <w:t>VI.</w:t>
      </w:r>
      <w:r>
        <w:rPr>
          <w:sz w:val="20"/>
          <w:szCs w:val="20"/>
          <w:color w:val="auto"/>
        </w:rPr>
        <w:tab/>
      </w:r>
      <w:r>
        <w:rPr>
          <w:rFonts w:ascii="Arial" w:cs="Arial" w:eastAsia="Arial" w:hAnsi="Arial"/>
          <w:sz w:val="13"/>
          <w:szCs w:val="13"/>
          <w:b w:val="1"/>
          <w:bCs w:val="1"/>
          <w:color w:val="auto"/>
        </w:rPr>
        <w:t>The BioNTech Approach</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are focused on bringing cancer immunotherapy into the next generation. We believe that we can accomplish this by applying the following principles:</w:t>
      </w:r>
    </w:p>
    <w:p>
      <w:pPr>
        <w:spacing w:after="0" w:line="86" w:lineRule="exact"/>
        <w:rPr>
          <w:sz w:val="20"/>
          <w:szCs w:val="20"/>
          <w:color w:val="auto"/>
        </w:rPr>
      </w:pPr>
    </w:p>
    <w:p>
      <w:pPr>
        <w:ind w:left="1020" w:right="900" w:hanging="340"/>
        <w:spacing w:after="0" w:line="338" w:lineRule="auto"/>
        <w:tabs>
          <w:tab w:leader="none" w:pos="1020" w:val="left"/>
        </w:tabs>
        <w:numPr>
          <w:ilvl w:val="0"/>
          <w:numId w:val="92"/>
        </w:numPr>
        <w:rPr>
          <w:rFonts w:ascii="Arial" w:cs="Arial" w:eastAsia="Arial" w:hAnsi="Arial"/>
          <w:sz w:val="12"/>
          <w:szCs w:val="12"/>
          <w:color w:val="auto"/>
        </w:rPr>
      </w:pPr>
      <w:r>
        <w:rPr>
          <w:rFonts w:ascii="Arial" w:cs="Arial" w:eastAsia="Arial" w:hAnsi="Arial"/>
          <w:sz w:val="12"/>
          <w:szCs w:val="12"/>
          <w:b w:val="1"/>
          <w:bCs w:val="1"/>
          <w:color w:val="auto"/>
        </w:rPr>
        <w:t xml:space="preserve">Exploiting the full potential of the immune system. </w:t>
      </w:r>
      <w:r>
        <w:rPr>
          <w:rFonts w:ascii="Arial" w:cs="Arial" w:eastAsia="Arial" w:hAnsi="Arial"/>
          <w:sz w:val="12"/>
          <w:szCs w:val="12"/>
          <w:color w:val="auto"/>
        </w:rPr>
        <w:t>Our broad pipeline includes mRNA-based immune activators, antigen-targeting T cells and antibodies, and defined</w:t>
      </w:r>
      <w:r>
        <w:rPr>
          <w:rFonts w:ascii="Arial" w:cs="Arial" w:eastAsia="Arial" w:hAnsi="Arial"/>
          <w:sz w:val="12"/>
          <w:szCs w:val="12"/>
          <w:b w:val="1"/>
          <w:bCs w:val="1"/>
          <w:color w:val="auto"/>
        </w:rPr>
        <w:t xml:space="preserve"> </w:t>
      </w:r>
      <w:r>
        <w:rPr>
          <w:rFonts w:ascii="Arial" w:cs="Arial" w:eastAsia="Arial" w:hAnsi="Arial"/>
          <w:sz w:val="12"/>
          <w:szCs w:val="12"/>
          <w:color w:val="auto"/>
        </w:rPr>
        <w:t>immunomodulators of various immune cell mechanisms. This portfolio is designed to mirror the evolution of the immune system to rely on multiple complementary pathways.</w:t>
      </w:r>
    </w:p>
    <w:p>
      <w:pPr>
        <w:spacing w:after="0" w:line="11" w:lineRule="exact"/>
        <w:rPr>
          <w:rFonts w:ascii="Arial" w:cs="Arial" w:eastAsia="Arial" w:hAnsi="Arial"/>
          <w:sz w:val="12"/>
          <w:szCs w:val="12"/>
          <w:color w:val="auto"/>
        </w:rPr>
      </w:pPr>
    </w:p>
    <w:p>
      <w:pPr>
        <w:ind w:left="1020" w:right="420" w:hanging="340"/>
        <w:spacing w:after="0" w:line="275" w:lineRule="auto"/>
        <w:tabs>
          <w:tab w:leader="none" w:pos="1020"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 xml:space="preserve">Broadening the universe of patients benefiting from cancer immunotherapy. </w:t>
      </w:r>
      <w:r>
        <w:rPr>
          <w:rFonts w:ascii="Arial" w:cs="Arial" w:eastAsia="Arial" w:hAnsi="Arial"/>
          <w:sz w:val="13"/>
          <w:szCs w:val="13"/>
          <w:color w:val="auto"/>
        </w:rPr>
        <w:t>We discover and exploit novel targets and target combinations. Our aim is to extend the utility of</w:t>
      </w:r>
      <w:r>
        <w:rPr>
          <w:rFonts w:ascii="Arial" w:cs="Arial" w:eastAsia="Arial" w:hAnsi="Arial"/>
          <w:sz w:val="13"/>
          <w:szCs w:val="13"/>
          <w:b w:val="1"/>
          <w:bCs w:val="1"/>
          <w:color w:val="auto"/>
        </w:rPr>
        <w:t xml:space="preserve"> </w:t>
      </w:r>
      <w:r>
        <w:rPr>
          <w:rFonts w:ascii="Arial" w:cs="Arial" w:eastAsia="Arial" w:hAnsi="Arial"/>
          <w:sz w:val="13"/>
          <w:szCs w:val="13"/>
          <w:color w:val="auto"/>
        </w:rPr>
        <w:t>immunotherapy to patient populations that are not currently amenable or do not benefit from the targets of current immunotherapies. One example are patients with low mutational load tumors, such as pancreatic and prostate cancer, which we address with tumor-associated antigens.</w:t>
      </w:r>
    </w:p>
    <w:p>
      <w:pPr>
        <w:spacing w:after="0" w:line="46" w:lineRule="exact"/>
        <w:rPr>
          <w:rFonts w:ascii="Arial" w:cs="Arial" w:eastAsia="Arial" w:hAnsi="Arial"/>
          <w:sz w:val="13"/>
          <w:szCs w:val="13"/>
          <w:color w:val="auto"/>
        </w:rPr>
      </w:pPr>
    </w:p>
    <w:p>
      <w:pPr>
        <w:ind w:left="1020" w:right="200" w:hanging="340"/>
        <w:spacing w:after="0" w:line="275" w:lineRule="auto"/>
        <w:tabs>
          <w:tab w:leader="none" w:pos="1020"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 xml:space="preserve">Improving the success rate. </w:t>
      </w:r>
      <w:r>
        <w:rPr>
          <w:rFonts w:ascii="Arial" w:cs="Arial" w:eastAsia="Arial" w:hAnsi="Arial"/>
          <w:sz w:val="13"/>
          <w:szCs w:val="13"/>
          <w:color w:val="auto"/>
        </w:rPr>
        <w:t>We engineer and develop highly potent drug candidates designed to achieve precision for the specific target. We further augment activity and counteract</w:t>
      </w:r>
      <w:r>
        <w:rPr>
          <w:rFonts w:ascii="Arial" w:cs="Arial" w:eastAsia="Arial" w:hAnsi="Arial"/>
          <w:sz w:val="13"/>
          <w:szCs w:val="13"/>
          <w:b w:val="1"/>
          <w:bCs w:val="1"/>
          <w:color w:val="auto"/>
        </w:rPr>
        <w:t xml:space="preserve"> </w:t>
      </w:r>
      <w:r>
        <w:rPr>
          <w:rFonts w:ascii="Arial" w:cs="Arial" w:eastAsia="Arial" w:hAnsi="Arial"/>
          <w:sz w:val="13"/>
          <w:szCs w:val="13"/>
          <w:color w:val="auto"/>
        </w:rPr>
        <w:t>resistance mechanisms by combining compounds with non-overlapping, synergistic mechanisms of action, such as combining our FixVac immunotherapy (CARVac) with our novel CAR-T therapies.</w:t>
      </w:r>
    </w:p>
    <w:p>
      <w:pPr>
        <w:spacing w:after="0" w:line="46" w:lineRule="exact"/>
        <w:rPr>
          <w:rFonts w:ascii="Arial" w:cs="Arial" w:eastAsia="Arial" w:hAnsi="Arial"/>
          <w:sz w:val="13"/>
          <w:szCs w:val="13"/>
          <w:color w:val="auto"/>
        </w:rPr>
      </w:pPr>
    </w:p>
    <w:p>
      <w:pPr>
        <w:ind w:left="1020" w:right="240" w:hanging="340"/>
        <w:spacing w:after="0" w:line="275" w:lineRule="auto"/>
        <w:tabs>
          <w:tab w:leader="none" w:pos="1020"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 xml:space="preserve">Focusing on curative approaches. </w:t>
      </w:r>
      <w:r>
        <w:rPr>
          <w:rFonts w:ascii="Arial" w:cs="Arial" w:eastAsia="Arial" w:hAnsi="Arial"/>
          <w:sz w:val="13"/>
          <w:szCs w:val="13"/>
          <w:color w:val="auto"/>
        </w:rPr>
        <w:t>The root cause of recurrence or for lack of tumor eradication is interindividual variability and cancer heterogeneity. Addressing this biological reality is</w:t>
      </w:r>
      <w:r>
        <w:rPr>
          <w:rFonts w:ascii="Arial" w:cs="Arial" w:eastAsia="Arial" w:hAnsi="Arial"/>
          <w:sz w:val="13"/>
          <w:szCs w:val="13"/>
          <w:b w:val="1"/>
          <w:bCs w:val="1"/>
          <w:color w:val="auto"/>
        </w:rPr>
        <w:t xml:space="preserve"> </w:t>
      </w:r>
      <w:r>
        <w:rPr>
          <w:rFonts w:ascii="Arial" w:cs="Arial" w:eastAsia="Arial" w:hAnsi="Arial"/>
          <w:sz w:val="13"/>
          <w:szCs w:val="13"/>
          <w:color w:val="auto"/>
        </w:rPr>
        <w:t>one of the mandatory design aspects of the product candidates we develop. For example, each of our cancer immunotherapies incorporates multiple targets in order to account for this variability.</w:t>
      </w:r>
    </w:p>
    <w:p>
      <w:pPr>
        <w:spacing w:after="0" w:line="130" w:lineRule="exact"/>
        <w:rPr>
          <w:sz w:val="20"/>
          <w:szCs w:val="20"/>
          <w:color w:val="auto"/>
        </w:rPr>
      </w:pPr>
    </w:p>
    <w:p>
      <w:pPr>
        <w:ind w:right="320" w:firstLine="556"/>
        <w:spacing w:after="0" w:line="287" w:lineRule="auto"/>
        <w:rPr>
          <w:sz w:val="20"/>
          <w:szCs w:val="20"/>
          <w:color w:val="auto"/>
        </w:rPr>
      </w:pPr>
      <w:r>
        <w:rPr>
          <w:rFonts w:ascii="Arial" w:cs="Arial" w:eastAsia="Arial" w:hAnsi="Arial"/>
          <w:sz w:val="13"/>
          <w:szCs w:val="13"/>
          <w:color w:val="auto"/>
        </w:rPr>
        <w:t>We have applied these four guiding principles to a broad suite of therapeutic platforms optimized for a distinct mode of action, high precision targeting, high potency and efficacy. We expect each platform to yield a pipeline of drug candidates for further development.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believe this technology-agnostic range of platforms and product candidates positions us to remain at the forefront of the shift toward an individually tailored, patient-centric therapeutic approach in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oncology.</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Patient-Centric Model</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 xml:space="preserve">We believe the next generation of cancer immunotherapy will start from the perspective of the molecular changes that have occurred in an individual patient, and then will provide a specific therapy </w:t>
      </w:r>
      <w:r>
        <w:rPr>
          <w:rFonts w:ascii="Arial" w:cs="Arial" w:eastAsia="Arial" w:hAnsi="Arial"/>
          <w:sz w:val="13"/>
          <w:szCs w:val="13"/>
          <w:i w:val="1"/>
          <w:iCs w:val="1"/>
          <w:color w:val="auto"/>
        </w:rPr>
        <w:t>for</w:t>
      </w:r>
      <w:r>
        <w:rPr>
          <w:rFonts w:ascii="Arial" w:cs="Arial" w:eastAsia="Arial" w:hAnsi="Arial"/>
          <w:sz w:val="13"/>
          <w:szCs w:val="13"/>
          <w:color w:val="auto"/>
        </w:rPr>
        <w:t xml:space="preserve"> </w:t>
      </w:r>
      <w:r>
        <w:rPr>
          <w:rFonts w:ascii="Arial" w:cs="Arial" w:eastAsia="Arial" w:hAnsi="Arial"/>
          <w:sz w:val="13"/>
          <w:szCs w:val="13"/>
          <w:i w:val="1"/>
          <w:iCs w:val="1"/>
          <w:color w:val="auto"/>
        </w:rPr>
        <w:t>that patient</w:t>
      </w:r>
      <w:r>
        <w:rPr>
          <w:rFonts w:ascii="Arial" w:cs="Arial" w:eastAsia="Arial" w:hAnsi="Arial"/>
          <w:sz w:val="13"/>
          <w:szCs w:val="13"/>
          <w:color w:val="auto"/>
        </w:rPr>
        <w:t>. We believe that BioNTech is ideally positioned to drive this transformation.</w:t>
      </w:r>
    </w:p>
    <w:p>
      <w:pPr>
        <w:spacing w:after="0" w:line="122" w:lineRule="exact"/>
        <w:rPr>
          <w:sz w:val="20"/>
          <w:szCs w:val="20"/>
          <w:color w:val="auto"/>
        </w:rPr>
      </w:pPr>
    </w:p>
    <w:p>
      <w:pPr>
        <w:ind w:right="160"/>
        <w:spacing w:after="0" w:line="304" w:lineRule="auto"/>
        <w:rPr>
          <w:sz w:val="20"/>
          <w:szCs w:val="20"/>
          <w:color w:val="auto"/>
        </w:rPr>
      </w:pPr>
      <w:r>
        <w:rPr>
          <w:rFonts w:ascii="Arial" w:cs="Arial" w:eastAsia="Arial" w:hAnsi="Arial"/>
          <w:sz w:val="12"/>
          <w:szCs w:val="12"/>
          <w:color w:val="auto"/>
        </w:rPr>
        <w:t>Our patient-centric model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very beginning onwards, we have been developing the novel technologies needed to match the identified targets to the optimal individualized treatment approach.</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5" w:name="page96"/>
    <w:bookmarkEnd w:id="95"/>
    <w:p>
      <w:pPr>
        <w:spacing w:after="0"/>
        <w:rPr>
          <w:sz w:val="20"/>
          <w:szCs w:val="20"/>
          <w:color w:val="auto"/>
        </w:rPr>
      </w:pPr>
      <w:r>
        <w:rPr>
          <w:rFonts w:ascii="Arial" w:cs="Arial" w:eastAsia="Arial" w:hAnsi="Arial"/>
          <w:sz w:val="13"/>
          <w:szCs w:val="13"/>
          <w:color w:val="auto"/>
        </w:rPr>
        <w:t>Our patient-centric model is illustrated and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132715</wp:posOffset>
            </wp:positionV>
            <wp:extent cx="3910965" cy="3187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10965" cy="318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36" w:lineRule="auto"/>
        <w:rPr>
          <w:sz w:val="20"/>
          <w:szCs w:val="20"/>
          <w:color w:val="auto"/>
        </w:rPr>
      </w:pPr>
      <w:r>
        <w:rPr>
          <w:rFonts w:ascii="Arial" w:cs="Arial" w:eastAsia="Arial" w:hAnsi="Arial"/>
          <w:sz w:val="11"/>
          <w:szCs w:val="11"/>
          <w:b w:val="1"/>
          <w:bCs w:val="1"/>
          <w:color w:val="auto"/>
        </w:rPr>
        <w:t xml:space="preserve">Our patient-centric model. </w:t>
      </w:r>
      <w:r>
        <w:rPr>
          <w:rFonts w:ascii="Arial" w:cs="Arial" w:eastAsia="Arial" w:hAnsi="Arial"/>
          <w:sz w:val="11"/>
          <w:szCs w:val="11"/>
          <w:color w:val="auto"/>
        </w:rPr>
        <w:t>Utilizing patient profiling, diagnostics and bioinformatics, we select from our suite of drug classes to provide optimal individualized treatment. Our treatments include off-the-shelf drugs as well as highly tailored immunotherapies that</w:t>
      </w:r>
      <w:r>
        <w:rPr>
          <w:rFonts w:ascii="Arial" w:cs="Arial" w:eastAsia="Arial" w:hAnsi="Arial"/>
          <w:sz w:val="11"/>
          <w:szCs w:val="11"/>
          <w:b w:val="1"/>
          <w:bCs w:val="1"/>
          <w:color w:val="auto"/>
        </w:rPr>
        <w:t xml:space="preserve"> </w:t>
      </w:r>
      <w:r>
        <w:rPr>
          <w:rFonts w:ascii="Arial" w:cs="Arial" w:eastAsia="Arial" w:hAnsi="Arial"/>
          <w:sz w:val="11"/>
          <w:szCs w:val="11"/>
          <w:color w:val="auto"/>
        </w:rPr>
        <w:t>are produced on-demand for the individual patient.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Utilizing this model:</w:t>
      </w:r>
    </w:p>
    <w:p>
      <w:pPr>
        <w:spacing w:after="0" w:line="90" w:lineRule="exact"/>
        <w:rPr>
          <w:sz w:val="20"/>
          <w:szCs w:val="20"/>
          <w:color w:val="auto"/>
        </w:rPr>
      </w:pPr>
    </w:p>
    <w:p>
      <w:pPr>
        <w:ind w:left="540" w:right="280" w:hanging="540"/>
        <w:spacing w:after="0" w:line="331" w:lineRule="auto"/>
        <w:tabs>
          <w:tab w:leader="none" w:pos="5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We develop and leverage our competencies in target discovery, biomarker science and computational medicine to thoroughly profile a patient’s tumor sample and immune cells for the selection of suitable targets and treatments. Combined with our deep domain expertise in immuno-oncology and product vision, we are able to use this data to develop next-generation product candidates.</w:t>
      </w:r>
    </w:p>
    <w:p>
      <w:pPr>
        <w:spacing w:after="0" w:line="19" w:lineRule="exact"/>
        <w:rPr>
          <w:rFonts w:ascii="Arial" w:cs="Arial" w:eastAsia="Arial" w:hAnsi="Arial"/>
          <w:sz w:val="12"/>
          <w:szCs w:val="12"/>
          <w:color w:val="auto"/>
        </w:rPr>
      </w:pPr>
    </w:p>
    <w:p>
      <w:pPr>
        <w:ind w:left="540" w:hanging="540"/>
        <w:spacing w:after="0" w:line="272" w:lineRule="auto"/>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We have developed and are iteratively optimizing next-generation therapeutic platforms leveraging four drug classes. Each therapeutic platform bundles innovations designed to deliver a distinct mode of action with high-precision targeting, high potency and efficacy. Each platform is being developed to provide a pipeline of drug candidates with complementary and potentially synergistic modes of action.</w:t>
      </w:r>
    </w:p>
    <w:p>
      <w:pPr>
        <w:spacing w:after="0" w:line="51" w:lineRule="exact"/>
        <w:rPr>
          <w:rFonts w:ascii="Arial" w:cs="Arial" w:eastAsia="Arial" w:hAnsi="Arial"/>
          <w:sz w:val="13"/>
          <w:szCs w:val="13"/>
          <w:color w:val="auto"/>
        </w:rPr>
      </w:pPr>
    </w:p>
    <w:p>
      <w:pPr>
        <w:ind w:left="540" w:right="100" w:hanging="540"/>
        <w:spacing w:after="0" w:line="331" w:lineRule="auto"/>
        <w:tabs>
          <w:tab w:leader="none" w:pos="5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Our drug platforms are highly versatile and support the fast development of scalable manufacturing processes. We develop and establish highly digitalized and automated manufacturing technologies and quality controlled processes enabling fast delivery of customized therapies comprising off-the-shelf drugs, on-demand immunotherapies, and combinations thereof.</w:t>
      </w:r>
    </w:p>
    <w:p>
      <w:pPr>
        <w:spacing w:after="0" w:line="69" w:lineRule="exact"/>
        <w:rPr>
          <w:sz w:val="20"/>
          <w:szCs w:val="20"/>
          <w:color w:val="auto"/>
        </w:rPr>
      </w:pPr>
    </w:p>
    <w:p>
      <w:pPr>
        <w:ind w:right="60"/>
        <w:spacing w:after="0" w:line="287" w:lineRule="auto"/>
        <w:rPr>
          <w:sz w:val="20"/>
          <w:szCs w:val="20"/>
          <w:color w:val="auto"/>
        </w:rPr>
      </w:pPr>
      <w:r>
        <w:rPr>
          <w:rFonts w:ascii="Arial" w:cs="Arial" w:eastAsia="Arial" w:hAnsi="Arial"/>
          <w:sz w:val="13"/>
          <w:szCs w:val="13"/>
          <w:color w:val="auto"/>
        </w:rPr>
        <w:t>We invest in innovation whenever we encounter technology barriers which may constrain clinical success. We are technology-agnostic and we seek to utilize the technology that is most suited for the respective purpose. By focusing on the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96" w:name="page97"/>
    <w:bookmarkEnd w:id="96"/>
    <w:p>
      <w:pPr>
        <w:spacing w:after="0"/>
        <w:rPr>
          <w:sz w:val="20"/>
          <w:szCs w:val="20"/>
          <w:color w:val="auto"/>
        </w:rPr>
      </w:pPr>
      <w:r>
        <w:rPr>
          <w:rFonts w:ascii="Arial" w:cs="Arial" w:eastAsia="Arial" w:hAnsi="Arial"/>
          <w:sz w:val="12"/>
          <w:szCs w:val="12"/>
          <w:color w:val="auto"/>
        </w:rPr>
        <w:t>three pillars discussed above over the last decade, we have integrated all of the building blocks of immunotherapy under one roof, enabling an approach with the potential to optimize patient outcomes.</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Broad and Potentially Synergistic Suite of Platforms</w:t>
      </w:r>
    </w:p>
    <w:p>
      <w:pPr>
        <w:spacing w:after="0" w:line="90"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3"/>
          <w:szCs w:val="13"/>
          <w:color w:val="auto"/>
        </w:rPr>
        <w:t>We believe the depth and breadth of our understanding of immune system and cancer biology allows us to create an extensive pipeline of specific and potentially efficacious product candidates. We are exploiting a comprehensive repertoire of known and proprietary therapeutically relevant immuno-oncology targets and are developing a diverse spectrum of immunotherapeutic approaches,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101600</wp:posOffset>
            </wp:positionV>
            <wp:extent cx="3923665" cy="14795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23665" cy="147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auto"/>
        </w:rPr>
        <w:t>We believe that harnessing complementary, potentially synergistic modes of action increases the likelihood of therapeutic success, reduces the risk of emergence of secondary resistance mechanisms, and also unlocks a larger potential market. Critically, this approach allows us to pursue a technology agnostic approach, providing the most appropriate therapeutic platform or a combination thereof for the intended patient and purpose.</w:t>
      </w:r>
    </w:p>
    <w:p>
      <w:pPr>
        <w:spacing w:after="0" w:line="132" w:lineRule="exact"/>
        <w:rPr>
          <w:sz w:val="20"/>
          <w:szCs w:val="20"/>
          <w:color w:val="auto"/>
        </w:rPr>
      </w:pPr>
    </w:p>
    <w:p>
      <w:pPr>
        <w:ind w:right="40" w:firstLine="556"/>
        <w:spacing w:after="0" w:line="291" w:lineRule="auto"/>
        <w:rPr>
          <w:sz w:val="20"/>
          <w:szCs w:val="20"/>
          <w:color w:val="auto"/>
        </w:rPr>
      </w:pPr>
      <w:r>
        <w:rPr>
          <w:rFonts w:ascii="Arial" w:cs="Arial" w:eastAsia="Arial" w:hAnsi="Arial"/>
          <w:sz w:val="12"/>
          <w:szCs w:val="12"/>
          <w:color w:val="auto"/>
        </w:rPr>
        <w:t>For example, we believe our neoantigen immunotherapies are particularly well-suited to treat high mutation load cancers in the adjuvant setting to prevent the tumor from spreading or recurring following initial treatment such as surgery. In this setting, tumor volumes tend to be low and there remains the potential for strong T cell responses since the patient’s immune system has not been weakened by prior lines of treatment, and checkpoint inhibition alone often offers a poor risk-benefit profile or low response rate. Similarly, we believe our FixVac, CAR-T and next-generation checkpoint immunomodulator platforms may have especially strong potential in lower mutation burden tumors such as ovarian or prostate cancers, which comprise a significant proportion of tumors and often also have a poor response to checkpoint inhibition. Likewise, we believe that monoclonal targeted cancer antibodies and CAR-T cell therapies are particularly well-suited for tumors that have defects in their antigen-presentation machinery.</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97" w:name="page98"/>
    <w:bookmarkEnd w:id="97"/>
    <w:p>
      <w:pPr>
        <w:ind w:right="160" w:firstLine="556"/>
        <w:spacing w:after="0" w:line="272" w:lineRule="auto"/>
        <w:rPr>
          <w:sz w:val="20"/>
          <w:szCs w:val="20"/>
          <w:color w:val="auto"/>
        </w:rPr>
      </w:pPr>
      <w:r>
        <w:rPr>
          <w:rFonts w:ascii="Arial" w:cs="Arial" w:eastAsia="Arial" w:hAnsi="Arial"/>
          <w:sz w:val="13"/>
          <w:szCs w:val="13"/>
          <w:color w:val="auto"/>
        </w:rPr>
        <w:t>We believe our technology breadth is greater than the sum of its parts in that it positions us to combine modes of action in a coordinated way to treat cancer in a more efficacious manner than current existing therapies. We further believe that our patient-centric approach and our broad, potentially synergistic portfolio of drug platforms place us at the forefront of the paradigm shift toward individualized immunotherapies.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101600</wp:posOffset>
            </wp:positionV>
            <wp:extent cx="3917315" cy="14795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17315" cy="147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Diversity of cancer patient populations, challenges and our therapeutic strategies. </w:t>
      </w:r>
      <w:r>
        <w:rPr>
          <w:rFonts w:ascii="Arial" w:cs="Arial" w:eastAsia="Arial" w:hAnsi="Arial"/>
          <w:sz w:val="10"/>
          <w:szCs w:val="10"/>
          <w:color w:val="auto"/>
        </w:rPr>
        <w:t>We believe our diversified portfolio allows us to potentially address a large share of cancer patients. Abbreviations: B2M, beta-2 microglobulin, a component of MHC.</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VII.</w:t>
      </w:r>
      <w:r>
        <w:rPr>
          <w:sz w:val="20"/>
          <w:szCs w:val="20"/>
          <w:color w:val="auto"/>
        </w:rPr>
        <w:tab/>
      </w:r>
      <w:r>
        <w:rPr>
          <w:rFonts w:ascii="Arial" w:cs="Arial" w:eastAsia="Arial" w:hAnsi="Arial"/>
          <w:sz w:val="13"/>
          <w:szCs w:val="13"/>
          <w:b w:val="1"/>
          <w:bCs w:val="1"/>
          <w:color w:val="auto"/>
        </w:rPr>
        <w:t>Selection of Therapeutic Targets and Therapies</w:t>
      </w:r>
    </w:p>
    <w:p>
      <w:pPr>
        <w:spacing w:after="0" w:line="94"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auto"/>
        </w:rPr>
        <w:t xml:space="preserve">Immunotherapy targets can be categorized as </w:t>
      </w:r>
      <w:r>
        <w:rPr>
          <w:rFonts w:ascii="Arial" w:cs="Arial" w:eastAsia="Arial" w:hAnsi="Arial"/>
          <w:sz w:val="13"/>
          <w:szCs w:val="13"/>
          <w:i w:val="1"/>
          <w:iCs w:val="1"/>
          <w:color w:val="auto"/>
        </w:rPr>
        <w:t>antigens</w:t>
      </w:r>
      <w:r>
        <w:rPr>
          <w:rFonts w:ascii="Arial" w:cs="Arial" w:eastAsia="Arial" w:hAnsi="Arial"/>
          <w:sz w:val="13"/>
          <w:szCs w:val="13"/>
          <w:color w:val="auto"/>
        </w:rPr>
        <w:t xml:space="preserve"> for targeted immunotherapy with antibody- or T cell-based effector mechanisms and </w:t>
      </w:r>
      <w:r>
        <w:rPr>
          <w:rFonts w:ascii="Arial" w:cs="Arial" w:eastAsia="Arial" w:hAnsi="Arial"/>
          <w:sz w:val="13"/>
          <w:szCs w:val="13"/>
          <w:i w:val="1"/>
          <w:iCs w:val="1"/>
          <w:color w:val="auto"/>
        </w:rPr>
        <w:t>immunomodulatory targets</w:t>
      </w:r>
      <w:r>
        <w:rPr>
          <w:rFonts w:ascii="Arial" w:cs="Arial" w:eastAsia="Arial" w:hAnsi="Arial"/>
          <w:sz w:val="13"/>
          <w:szCs w:val="13"/>
          <w:color w:val="auto"/>
        </w:rPr>
        <w:t xml:space="preserve"> to be exploited to improve the anti-tumoral function of immune cells.</w:t>
      </w:r>
    </w:p>
    <w:p>
      <w:pPr>
        <w:spacing w:after="0" w:line="198" w:lineRule="exact"/>
        <w:rPr>
          <w:sz w:val="20"/>
          <w:szCs w:val="20"/>
          <w:color w:val="auto"/>
        </w:rPr>
      </w:pPr>
    </w:p>
    <w:p>
      <w:pPr>
        <w:ind w:left="1100" w:hanging="550"/>
        <w:spacing w:after="0"/>
        <w:tabs>
          <w:tab w:leader="none" w:pos="110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Targeting Cancer Antigens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In order to address the broadest possible number of patients, our therapeutically targeted cancer antigen library comprises tumor associated antigens, viral neoantigens and mutant neoantigens:</w:t>
      </w:r>
    </w:p>
    <w:p>
      <w:pPr>
        <w:spacing w:after="0" w:line="250" w:lineRule="exact"/>
        <w:rPr>
          <w:sz w:val="20"/>
          <w:szCs w:val="20"/>
          <w:color w:val="auto"/>
        </w:rPr>
      </w:pPr>
    </w:p>
    <w:p>
      <w:pPr>
        <w:ind w:left="1660" w:hanging="550"/>
        <w:spacing w:after="0"/>
        <w:tabs>
          <w:tab w:leader="none" w:pos="1660" w:val="left"/>
        </w:tabs>
        <w:numPr>
          <w:ilvl w:val="0"/>
          <w:numId w:val="9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Tumor Associated Antigens</w:t>
      </w:r>
    </w:p>
    <w:p>
      <w:pPr>
        <w:spacing w:after="0" w:line="90" w:lineRule="exact"/>
        <w:rPr>
          <w:sz w:val="20"/>
          <w:szCs w:val="20"/>
          <w:color w:val="auto"/>
        </w:rPr>
      </w:pPr>
    </w:p>
    <w:p>
      <w:pPr>
        <w:ind w:left="560" w:right="240" w:firstLine="527"/>
        <w:spacing w:after="0" w:line="272" w:lineRule="auto"/>
        <w:rPr>
          <w:sz w:val="20"/>
          <w:szCs w:val="20"/>
          <w:color w:val="auto"/>
        </w:rPr>
      </w:pPr>
      <w:r>
        <w:rPr>
          <w:rFonts w:ascii="Arial" w:cs="Arial" w:eastAsia="Arial" w:hAnsi="Arial"/>
          <w:sz w:val="13"/>
          <w:szCs w:val="13"/>
          <w:color w:val="auto"/>
        </w:rPr>
        <w:t>Tumor associated antigens, or TAAs, are cancer selective targets that typically have a highly restricted expression pattern in normal tissues but are frequently expressed in a wide range of human cancers. Over the last 15 years, we have built up a database of approximately 200 cancer-selective antigens, including proprietary disease targets that could be used as targets for immunotherapy-based approaches.</w:t>
      </w:r>
    </w:p>
    <w:p>
      <w:pPr>
        <w:spacing w:after="0" w:line="52" w:lineRule="exact"/>
        <w:rPr>
          <w:sz w:val="20"/>
          <w:szCs w:val="20"/>
          <w:color w:val="auto"/>
        </w:rPr>
      </w:pPr>
    </w:p>
    <w:p>
      <w:pPr>
        <w:ind w:left="1440" w:hanging="330"/>
        <w:spacing w:after="0" w:line="272"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Cancer-Germline and Cancer-Embryo-Fetal Antigens, which are normally expressed during embryonal development and silenced after birth or restricted to germline cells. These antigens are aberrantly expressed in a variety of human malignancies and are generally not expressed in healthy tissue, making them particularly suitable for our FixVac-, antibody- and CAR-T cell-based therapeutic approaches.</w:t>
      </w:r>
    </w:p>
    <w:p>
      <w:pPr>
        <w:spacing w:after="0" w:line="51" w:lineRule="exact"/>
        <w:rPr>
          <w:rFonts w:ascii="Arial" w:cs="Arial" w:eastAsia="Arial" w:hAnsi="Arial"/>
          <w:sz w:val="13"/>
          <w:szCs w:val="13"/>
          <w:color w:val="auto"/>
        </w:rPr>
      </w:pPr>
    </w:p>
    <w:p>
      <w:pPr>
        <w:ind w:left="1440" w:right="300" w:hanging="330"/>
        <w:spacing w:after="0" w:line="287"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Differentiation antigens, which are normally expressed in a highly tissue-specific manner in normal tissues (</w:t>
      </w:r>
      <w:r>
        <w:rPr>
          <w:rFonts w:ascii="Arial" w:cs="Arial" w:eastAsia="Arial" w:hAnsi="Arial"/>
          <w:sz w:val="13"/>
          <w:szCs w:val="13"/>
          <w:i w:val="1"/>
          <w:iCs w:val="1"/>
          <w:color w:val="auto"/>
        </w:rPr>
        <w:t>e.g.</w:t>
      </w:r>
      <w:r>
        <w:rPr>
          <w:rFonts w:ascii="Arial" w:cs="Arial" w:eastAsia="Arial" w:hAnsi="Arial"/>
          <w:sz w:val="13"/>
          <w:szCs w:val="13"/>
          <w:color w:val="auto"/>
        </w:rPr>
        <w:t>, on melanocytes or on prostate cells) but are also present in a high proportion of tumors derived from these tissues, are well-suited for therapeutic targeting with FixVac and antibody approaches.</w:t>
      </w:r>
    </w:p>
    <w:p>
      <w:pPr>
        <w:spacing w:after="0" w:line="42" w:lineRule="exact"/>
        <w:rPr>
          <w:rFonts w:ascii="Arial" w:cs="Arial" w:eastAsia="Arial" w:hAnsi="Arial"/>
          <w:sz w:val="13"/>
          <w:szCs w:val="13"/>
          <w:color w:val="auto"/>
        </w:rPr>
      </w:pPr>
    </w:p>
    <w:p>
      <w:pPr>
        <w:ind w:left="1440" w:right="240" w:hanging="330"/>
        <w:spacing w:after="0" w:line="287" w:lineRule="auto"/>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Tumor-associated carbohydrate antigens are carbohydrate-based cell surface tumor antigens generated by cancer cell-specific aberrant glycosylation that enable the development of antibody and CAR-T cell therapies.</w:t>
      </w:r>
    </w:p>
    <w:p>
      <w:pPr>
        <w:spacing w:after="0" w:line="202" w:lineRule="exact"/>
        <w:rPr>
          <w:rFonts w:ascii="Arial" w:cs="Arial" w:eastAsia="Arial" w:hAnsi="Arial"/>
          <w:sz w:val="13"/>
          <w:szCs w:val="13"/>
          <w:color w:val="auto"/>
        </w:rPr>
      </w:pPr>
    </w:p>
    <w:p>
      <w:pPr>
        <w:ind w:left="1660" w:hanging="547"/>
        <w:spacing w:after="0"/>
        <w:tabs>
          <w:tab w:leader="none" w:pos="1660" w:val="left"/>
        </w:tabs>
        <w:numPr>
          <w:ilvl w:val="1"/>
          <w:numId w:val="9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Viral Neoantigens</w:t>
      </w:r>
    </w:p>
    <w:p>
      <w:pPr>
        <w:spacing w:after="0" w:line="90" w:lineRule="exact"/>
        <w:rPr>
          <w:sz w:val="20"/>
          <w:szCs w:val="20"/>
          <w:color w:val="auto"/>
        </w:rPr>
      </w:pPr>
    </w:p>
    <w:p>
      <w:pPr>
        <w:ind w:left="560" w:right="300" w:firstLine="527"/>
        <w:spacing w:after="0" w:line="287" w:lineRule="auto"/>
        <w:rPr>
          <w:sz w:val="20"/>
          <w:szCs w:val="20"/>
          <w:color w:val="auto"/>
        </w:rPr>
      </w:pPr>
      <w:r>
        <w:rPr>
          <w:rFonts w:ascii="Arial" w:cs="Arial" w:eastAsia="Arial" w:hAnsi="Arial"/>
          <w:sz w:val="13"/>
          <w:szCs w:val="13"/>
          <w:color w:val="auto"/>
        </w:rPr>
        <w:t>Viral oncoproteins, or viral neoantigens, are virus-derived proteins that drive the oncogenic transformation of infected cells by viruses that can cause cancer. Examples are the E6 and E7 oncoproteins from human papilloma virus, or HPV. Viral oncoproteins are commonly acknowledged as safe and promising targets for immunotherapy as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98" w:name="page99"/>
    <w:bookmarkEnd w:id="98"/>
    <w:p>
      <w:pPr>
        <w:ind w:left="560" w:right="140"/>
        <w:spacing w:after="0" w:line="331" w:lineRule="auto"/>
        <w:rPr>
          <w:sz w:val="20"/>
          <w:szCs w:val="20"/>
          <w:color w:val="auto"/>
        </w:rPr>
      </w:pPr>
      <w:r>
        <w:rPr>
          <w:rFonts w:ascii="Arial" w:cs="Arial" w:eastAsia="Arial" w:hAnsi="Arial"/>
          <w:sz w:val="12"/>
          <w:szCs w:val="12"/>
          <w:color w:val="auto"/>
        </w:rPr>
        <w:t>they are (i) absent from any non-infected tissue, (ii) highly immunogenic since they are not prone to central tolerance mechanisms and (iii) not subject to immune escape by gene silencing as they are crucial to maintaining the transformed state of the tumor cells. We leverage viral neoantigens as targets for our BNT113 FixVac program in HPV16+ head and neck cancer.</w:t>
      </w:r>
    </w:p>
    <w:p>
      <w:pPr>
        <w:spacing w:after="0" w:line="179" w:lineRule="exact"/>
        <w:rPr>
          <w:sz w:val="20"/>
          <w:szCs w:val="20"/>
          <w:color w:val="auto"/>
        </w:rPr>
      </w:pPr>
    </w:p>
    <w:p>
      <w:pPr>
        <w:ind w:left="1660" w:hanging="550"/>
        <w:spacing w:after="0"/>
        <w:tabs>
          <w:tab w:leader="none" w:pos="1660" w:val="left"/>
        </w:tabs>
        <w:numPr>
          <w:ilvl w:val="0"/>
          <w:numId w:val="9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Mutant Neoantigens</w:t>
      </w:r>
    </w:p>
    <w:p>
      <w:pPr>
        <w:spacing w:after="0" w:line="90" w:lineRule="exact"/>
        <w:rPr>
          <w:sz w:val="20"/>
          <w:szCs w:val="20"/>
          <w:color w:val="auto"/>
        </w:rPr>
      </w:pPr>
    </w:p>
    <w:p>
      <w:pPr>
        <w:ind w:left="560" w:right="40" w:firstLine="527"/>
        <w:spacing w:after="0" w:line="291" w:lineRule="auto"/>
        <w:rPr>
          <w:sz w:val="20"/>
          <w:szCs w:val="20"/>
          <w:color w:val="auto"/>
        </w:rPr>
      </w:pPr>
      <w:r>
        <w:rPr>
          <w:rFonts w:ascii="Arial" w:cs="Arial" w:eastAsia="Arial" w:hAnsi="Arial"/>
          <w:sz w:val="12"/>
          <w:szCs w:val="12"/>
          <w:color w:val="auto"/>
        </w:rPr>
        <w:t>Somatic mutations, or mutations of non-germline cells, are a hallmark of cancer. Driver mutations promote the oncogenic process, whereas passenger mutations are considered as functionally irrelevant. Both types of mutations, however, can alter the sequence of proteins and create new epitopes which are processed and presented on specialized major histocompatibility complex, or MHC, molecules. Mutated epitopes that are recognized by T cells are called neoepitopes and the sequence-altered proteins they are derived from are neoantigens. They are promising targets for cancer immunotherapy as (i) activation of the immune system against such antigens is highly specific (they are only expressed on cancer cells) and (ii) mutant neoantigens are exempt from central tolerance and thus T cell affinity for neoantigens may be significantly superior. We utilize individualized mutant neoantigens as targets for our iNeST product candidates.</w:t>
      </w:r>
    </w:p>
    <w:p>
      <w:pPr>
        <w:spacing w:after="0" w:line="199" w:lineRule="exact"/>
        <w:rPr>
          <w:sz w:val="20"/>
          <w:szCs w:val="20"/>
          <w:color w:val="auto"/>
        </w:rPr>
      </w:pPr>
    </w:p>
    <w:p>
      <w:pPr>
        <w:ind w:left="1100" w:hanging="550"/>
        <w:spacing w:after="0"/>
        <w:tabs>
          <w:tab w:leader="none" w:pos="110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Immunomodulatory Targets</w:t>
      </w:r>
    </w:p>
    <w:p>
      <w:pPr>
        <w:spacing w:after="0" w:line="94" w:lineRule="exact"/>
        <w:rPr>
          <w:sz w:val="20"/>
          <w:szCs w:val="20"/>
          <w:color w:val="auto"/>
        </w:rPr>
      </w:pPr>
    </w:p>
    <w:p>
      <w:pPr>
        <w:ind w:right="380" w:firstLine="556"/>
        <w:spacing w:after="0" w:line="287" w:lineRule="auto"/>
        <w:rPr>
          <w:sz w:val="20"/>
          <w:szCs w:val="20"/>
          <w:color w:val="auto"/>
        </w:rPr>
      </w:pPr>
      <w:r>
        <w:rPr>
          <w:rFonts w:ascii="Arial" w:cs="Arial" w:eastAsia="Arial" w:hAnsi="Arial"/>
          <w:sz w:val="13"/>
          <w:szCs w:val="13"/>
          <w:color w:val="auto"/>
        </w:rPr>
        <w:t>The activity of immune cells can be controlled or manipulated by the targeting of receptors that control key biological processes in these cells, known as immunomodulation. Immunomodulatory targeting strategies include:</w:t>
      </w:r>
    </w:p>
    <w:p>
      <w:pPr>
        <w:spacing w:after="0" w:line="202" w:lineRule="exact"/>
        <w:rPr>
          <w:sz w:val="20"/>
          <w:szCs w:val="20"/>
          <w:color w:val="auto"/>
        </w:rPr>
      </w:pPr>
    </w:p>
    <w:p>
      <w:pPr>
        <w:ind w:left="1660" w:hanging="550"/>
        <w:spacing w:after="0"/>
        <w:tabs>
          <w:tab w:leader="none" w:pos="1660" w:val="left"/>
        </w:tabs>
        <w:numPr>
          <w:ilvl w:val="0"/>
          <w:numId w:val="9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Checkpoint Inhibition</w:t>
      </w:r>
    </w:p>
    <w:p>
      <w:pPr>
        <w:spacing w:after="0" w:line="90" w:lineRule="exact"/>
        <w:rPr>
          <w:sz w:val="20"/>
          <w:szCs w:val="20"/>
          <w:color w:val="auto"/>
        </w:rPr>
      </w:pPr>
    </w:p>
    <w:p>
      <w:pPr>
        <w:ind w:left="560" w:right="100" w:firstLine="527"/>
        <w:spacing w:after="0" w:line="267" w:lineRule="auto"/>
        <w:rPr>
          <w:sz w:val="20"/>
          <w:szCs w:val="20"/>
          <w:color w:val="auto"/>
        </w:rPr>
      </w:pPr>
      <w:r>
        <w:rPr>
          <w:rFonts w:ascii="Arial" w:cs="Arial" w:eastAsia="Arial" w:hAnsi="Arial"/>
          <w:sz w:val="13"/>
          <w:szCs w:val="13"/>
          <w:color w:val="auto"/>
        </w:rPr>
        <w:t>Checkpoint inhibition is a therapeutic approach by which T cell function is stimulated with mAbs that block their inhibitory receptors, which can be exploited by cancer cells to shut down T cell activity. Examples of checkpoint targets are PD-1, PD-L1, CTLA-4, TIGIT, LAG3 and many others. The concept is known as “releasing the brakes” and has been shown to be therapeutically effective in tumors with strong pre-existing immune cell infiltration. Our GEN1046 (BNT311) product candidate is a next-generation bispecific checkpoint immunomodulator, with one arm targeting PD-L1.</w:t>
      </w:r>
    </w:p>
    <w:p>
      <w:pPr>
        <w:spacing w:after="0" w:line="215" w:lineRule="exact"/>
        <w:rPr>
          <w:sz w:val="20"/>
          <w:szCs w:val="20"/>
          <w:color w:val="auto"/>
        </w:rPr>
      </w:pPr>
    </w:p>
    <w:p>
      <w:pPr>
        <w:ind w:left="1660" w:hanging="550"/>
        <w:spacing w:after="0"/>
        <w:tabs>
          <w:tab w:leader="none" w:pos="1660" w:val="left"/>
        </w:tabs>
        <w:numPr>
          <w:ilvl w:val="0"/>
          <w:numId w:val="10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Immunostimulation</w:t>
      </w:r>
    </w:p>
    <w:p>
      <w:pPr>
        <w:spacing w:after="0" w:line="90" w:lineRule="exact"/>
        <w:rPr>
          <w:sz w:val="20"/>
          <w:szCs w:val="20"/>
          <w:color w:val="auto"/>
        </w:rPr>
      </w:pPr>
    </w:p>
    <w:p>
      <w:pPr>
        <w:ind w:left="560" w:firstLine="527"/>
        <w:spacing w:after="0" w:line="304" w:lineRule="auto"/>
        <w:rPr>
          <w:sz w:val="20"/>
          <w:szCs w:val="20"/>
          <w:color w:val="auto"/>
        </w:rPr>
      </w:pPr>
      <w:r>
        <w:rPr>
          <w:rFonts w:ascii="Arial" w:cs="Arial" w:eastAsia="Arial" w:hAnsi="Arial"/>
          <w:sz w:val="12"/>
          <w:szCs w:val="12"/>
          <w:color w:val="auto"/>
        </w:rPr>
        <w:t>Immunostimulatory approaches are directed against receptors known to directly activate immune cells. Examples of these targets include co-stimulatory molecules such as CD40 and 4-1BB or cytokine receptors such as IL-2R, IL-7R and IL-12R. Immunostimulatory approaches provide a powerful opportunity to enhance immune activation, even in types of cancer that are not responsive to checkpoint inhibition due to lack of immune cell infiltration. However, this approach is often limited by a narrow therapeutic window associated with dose-limiting toxicity.</w:t>
      </w:r>
    </w:p>
    <w:p>
      <w:pPr>
        <w:spacing w:after="0" w:line="36" w:lineRule="exact"/>
        <w:rPr>
          <w:sz w:val="20"/>
          <w:szCs w:val="20"/>
          <w:color w:val="auto"/>
        </w:rPr>
      </w:pPr>
    </w:p>
    <w:p>
      <w:pPr>
        <w:ind w:left="560" w:right="240" w:firstLine="527"/>
        <w:spacing w:after="0" w:line="287" w:lineRule="auto"/>
        <w:rPr>
          <w:sz w:val="20"/>
          <w:szCs w:val="20"/>
          <w:color w:val="auto"/>
        </w:rPr>
      </w:pPr>
      <w:r>
        <w:rPr>
          <w:rFonts w:ascii="Arial" w:cs="Arial" w:eastAsia="Arial" w:hAnsi="Arial"/>
          <w:sz w:val="13"/>
          <w:szCs w:val="13"/>
          <w:color w:val="auto"/>
        </w:rPr>
        <w:t>We believe that both concepts can be combined in a potentially synergistic and safe fashion by developing precisely engineered molecules, such as our BNT151 RiboCytokine program or GEN1042 (BNT312), our next-generation bispecific checkpoint immunomodulator targeting both CD40 and 4-1BB.</w:t>
      </w:r>
    </w:p>
    <w:p>
      <w:pPr>
        <w:spacing w:after="0" w:line="198" w:lineRule="exact"/>
        <w:rPr>
          <w:sz w:val="20"/>
          <w:szCs w:val="20"/>
          <w:color w:val="auto"/>
        </w:rPr>
      </w:pPr>
    </w:p>
    <w:p>
      <w:pPr>
        <w:ind w:left="1100" w:hanging="550"/>
        <w:spacing w:after="0"/>
        <w:tabs>
          <w:tab w:leader="none" w:pos="110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Our Computational Approach to Individualized Immunotherapy</w:t>
      </w:r>
    </w:p>
    <w:p>
      <w:pPr>
        <w:spacing w:after="0" w:line="94" w:lineRule="exact"/>
        <w:rPr>
          <w:sz w:val="20"/>
          <w:szCs w:val="20"/>
          <w:color w:val="auto"/>
        </w:rPr>
      </w:pPr>
    </w:p>
    <w:p>
      <w:pPr>
        <w:ind w:right="400" w:firstLine="556"/>
        <w:spacing w:after="0" w:line="287" w:lineRule="auto"/>
        <w:rPr>
          <w:sz w:val="20"/>
          <w:szCs w:val="20"/>
          <w:color w:val="auto"/>
        </w:rPr>
      </w:pPr>
      <w:r>
        <w:rPr>
          <w:rFonts w:ascii="Arial" w:cs="Arial" w:eastAsia="Arial" w:hAnsi="Arial"/>
          <w:sz w:val="13"/>
          <w:szCs w:val="13"/>
          <w:color w:val="auto"/>
        </w:rPr>
        <w:t>Bioinformatics are critical in the production of individualized therapies. We have accumulated a high level of experience in bioinformatic approaches to mutation detection, cancer genomics and immunotherapy through our ongoing research and preclinical studies and clinical trials.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99" w:name="page100"/>
    <w:bookmarkEnd w:id="99"/>
    <w:p>
      <w:pPr>
        <w:ind w:right="280" w:firstLine="556"/>
        <w:spacing w:after="0" w:line="272" w:lineRule="auto"/>
        <w:rPr>
          <w:sz w:val="20"/>
          <w:szCs w:val="20"/>
          <w:color w:val="auto"/>
        </w:rPr>
      </w:pPr>
      <w:r>
        <w:rPr>
          <w:rFonts w:ascii="Arial" w:cs="Arial" w:eastAsia="Arial" w:hAnsi="Arial"/>
          <w:sz w:val="13"/>
          <w:szCs w:val="13"/>
          <w:color w:val="auto"/>
        </w:rPr>
        <w:t>Our validated patient-centric bioinformatic process, as illustrated below, allows the application of complex algorithms to the patient’s data in the context of drug manufacturing. Our bioinformatics processes are robust and scalable, incorporating our experience handling genomic data in a high-throughput environment, as we target making on-demand production of individualized immunotherapies commercially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101600</wp:posOffset>
            </wp:positionV>
            <wp:extent cx="3930015" cy="10096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30015" cy="100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From Patient to Analysis. </w:t>
      </w:r>
      <w:r>
        <w:rPr>
          <w:rFonts w:ascii="Arial" w:cs="Arial" w:eastAsia="Arial" w:hAnsi="Arial"/>
          <w:sz w:val="11"/>
          <w:szCs w:val="11"/>
          <w:color w:val="auto"/>
        </w:rPr>
        <w:t>Our bioinformatic process for the selection of neoepitopes.</w:t>
      </w:r>
    </w:p>
    <w:p>
      <w:pPr>
        <w:spacing w:after="0" w:line="232" w:lineRule="exact"/>
        <w:rPr>
          <w:sz w:val="20"/>
          <w:szCs w:val="20"/>
          <w:color w:val="auto"/>
        </w:rPr>
      </w:pPr>
    </w:p>
    <w:p>
      <w:pPr>
        <w:ind w:left="1660" w:hanging="550"/>
        <w:spacing w:after="0"/>
        <w:tabs>
          <w:tab w:leader="none" w:pos="1660" w:val="left"/>
        </w:tabs>
        <w:numPr>
          <w:ilvl w:val="0"/>
          <w:numId w:val="10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Sequencing</w:t>
      </w:r>
    </w:p>
    <w:p>
      <w:pPr>
        <w:spacing w:after="0" w:line="90" w:lineRule="exact"/>
        <w:rPr>
          <w:sz w:val="20"/>
          <w:szCs w:val="20"/>
          <w:color w:val="auto"/>
        </w:rPr>
      </w:pPr>
    </w:p>
    <w:p>
      <w:pPr>
        <w:ind w:left="560" w:right="160" w:firstLine="527"/>
        <w:spacing w:after="0" w:line="331" w:lineRule="auto"/>
        <w:rPr>
          <w:sz w:val="20"/>
          <w:szCs w:val="20"/>
          <w:color w:val="auto"/>
        </w:rPr>
      </w:pPr>
      <w:r>
        <w:rPr>
          <w:rFonts w:ascii="Arial" w:cs="Arial" w:eastAsia="Arial" w:hAnsi="Arial"/>
          <w:sz w:val="12"/>
          <w:szCs w:val="12"/>
          <w:color w:val="auto"/>
        </w:rPr>
        <w:t>We sequence the patient’s tumor and healthy tissue samples using NGS technology. Comparison of the patient’s sequenced tumor and healthy samples provides us with the data from which we can identify targets for the design of individualized cancer immunotherapies. This is a multi-step process in which mutation detection and neoantigen prediction are particularly important.</w:t>
      </w:r>
    </w:p>
    <w:p>
      <w:pPr>
        <w:spacing w:after="0" w:line="179" w:lineRule="exact"/>
        <w:rPr>
          <w:sz w:val="20"/>
          <w:szCs w:val="20"/>
          <w:color w:val="auto"/>
        </w:rPr>
      </w:pPr>
    </w:p>
    <w:p>
      <w:pPr>
        <w:ind w:left="1660" w:hanging="550"/>
        <w:spacing w:after="0"/>
        <w:tabs>
          <w:tab w:leader="none" w:pos="1660" w:val="left"/>
        </w:tabs>
        <w:numPr>
          <w:ilvl w:val="0"/>
          <w:numId w:val="10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Mutation Detection</w:t>
      </w:r>
    </w:p>
    <w:p>
      <w:pPr>
        <w:spacing w:after="0" w:line="90" w:lineRule="exact"/>
        <w:rPr>
          <w:sz w:val="20"/>
          <w:szCs w:val="20"/>
          <w:color w:val="auto"/>
        </w:rPr>
      </w:pPr>
    </w:p>
    <w:p>
      <w:pPr>
        <w:ind w:left="560" w:firstLine="527"/>
        <w:spacing w:after="0" w:line="296" w:lineRule="auto"/>
        <w:rPr>
          <w:sz w:val="20"/>
          <w:szCs w:val="20"/>
          <w:color w:val="auto"/>
        </w:rPr>
      </w:pPr>
      <w:r>
        <w:rPr>
          <w:rFonts w:ascii="Arial" w:cs="Arial" w:eastAsia="Arial" w:hAnsi="Arial"/>
          <w:sz w:val="12"/>
          <w:szCs w:val="12"/>
          <w:color w:val="auto"/>
        </w:rPr>
        <w:t>Mutation detection, which defines which tumor-specific mutations are present in any cancer, is the starting point for defining targets for individualized immunotherapy. Determining mutations from NGS data with high precision and sensitivity is challenging because numerous factors can lead to false positives, which can mask mutations. Despite advances in the field, commonly used mutation detection algorithms still exhibit high false positive mutation detections. In order to address these challenges, we have exclusively licensed a technology from TRON that combines tumor modeling with mutation detection, called MyMUT. MyMUT is a next-generation mutation detection system, which we believe has the following key characteristics:</w:t>
      </w:r>
    </w:p>
    <w:p>
      <w:pPr>
        <w:spacing w:after="0" w:line="35" w:lineRule="exact"/>
        <w:rPr>
          <w:sz w:val="20"/>
          <w:szCs w:val="20"/>
          <w:color w:val="auto"/>
        </w:rPr>
      </w:pPr>
    </w:p>
    <w:p>
      <w:pPr>
        <w:ind w:left="1440" w:right="60" w:hanging="330"/>
        <w:spacing w:after="0" w:line="269" w:lineRule="auto"/>
        <w:tabs>
          <w:tab w:leader="none" w:pos="1440" w:val="left"/>
        </w:tabs>
        <w:numPr>
          <w:ilvl w:val="0"/>
          <w:numId w:val="104"/>
        </w:numPr>
        <w:rPr>
          <w:rFonts w:ascii="Arial" w:cs="Arial" w:eastAsia="Arial" w:hAnsi="Arial"/>
          <w:sz w:val="13"/>
          <w:szCs w:val="13"/>
          <w:color w:val="auto"/>
        </w:rPr>
      </w:pPr>
      <w:r>
        <w:rPr>
          <w:rFonts w:ascii="Arial" w:cs="Arial" w:eastAsia="Arial" w:hAnsi="Arial"/>
          <w:sz w:val="13"/>
          <w:szCs w:val="13"/>
          <w:b w:val="1"/>
          <w:bCs w:val="1"/>
          <w:color w:val="auto"/>
        </w:rPr>
        <w:t xml:space="preserve">High specificity and robustness. </w:t>
      </w:r>
      <w:r>
        <w:rPr>
          <w:rFonts w:ascii="Arial" w:cs="Arial" w:eastAsia="Arial" w:hAnsi="Arial"/>
          <w:sz w:val="13"/>
          <w:szCs w:val="13"/>
          <w:color w:val="auto"/>
        </w:rPr>
        <w:t>By combining tumor modeling, sophisticated statistical and genomic filters, and replicate sampling, MyMUT achieves clinical precision in detecting</w:t>
      </w:r>
      <w:r>
        <w:rPr>
          <w:rFonts w:ascii="Arial" w:cs="Arial" w:eastAsia="Arial" w:hAnsi="Arial"/>
          <w:sz w:val="13"/>
          <w:szCs w:val="13"/>
          <w:b w:val="1"/>
          <w:bCs w:val="1"/>
          <w:color w:val="auto"/>
        </w:rPr>
        <w:t xml:space="preserve"> </w:t>
      </w:r>
      <w:r>
        <w:rPr>
          <w:rFonts w:ascii="Arial" w:cs="Arial" w:eastAsia="Arial" w:hAnsi="Arial"/>
          <w:sz w:val="13"/>
          <w:szCs w:val="13"/>
          <w:color w:val="auto"/>
        </w:rPr>
        <w:t>mutations with comparable sensitivity to state-of-the-art mutation detection systems. Higher specificity translates to potentially more effective immunotherapies, with faster and cheaper production. MyMUT is designed to deliver uniform performance for all patients regardless of tumor complexity, mutation burden or sample purity. MyMUT’s performance with low mutation tumors also allows us to offer individualized immunotherapies to patients with low tumor mutation burdens.</w:t>
      </w:r>
    </w:p>
    <w:p>
      <w:pPr>
        <w:spacing w:after="0" w:line="49" w:lineRule="exact"/>
        <w:rPr>
          <w:rFonts w:ascii="Arial" w:cs="Arial" w:eastAsia="Arial" w:hAnsi="Arial"/>
          <w:sz w:val="13"/>
          <w:szCs w:val="13"/>
          <w:color w:val="auto"/>
        </w:rPr>
      </w:pPr>
    </w:p>
    <w:p>
      <w:pPr>
        <w:ind w:left="1440" w:right="360" w:hanging="330"/>
        <w:spacing w:after="0" w:line="338" w:lineRule="auto"/>
        <w:tabs>
          <w:tab w:leader="none" w:pos="1440" w:val="left"/>
        </w:tabs>
        <w:numPr>
          <w:ilvl w:val="0"/>
          <w:numId w:val="104"/>
        </w:numPr>
        <w:rPr>
          <w:rFonts w:ascii="Arial" w:cs="Arial" w:eastAsia="Arial" w:hAnsi="Arial"/>
          <w:sz w:val="12"/>
          <w:szCs w:val="12"/>
          <w:color w:val="auto"/>
        </w:rPr>
      </w:pPr>
      <w:r>
        <w:rPr>
          <w:rFonts w:ascii="Arial" w:cs="Arial" w:eastAsia="Arial" w:hAnsi="Arial"/>
          <w:sz w:val="12"/>
          <w:szCs w:val="12"/>
          <w:b w:val="1"/>
          <w:bCs w:val="1"/>
          <w:color w:val="auto"/>
        </w:rPr>
        <w:t xml:space="preserve">Intratumor heterogeneity. </w:t>
      </w:r>
      <w:r>
        <w:rPr>
          <w:rFonts w:ascii="Arial" w:cs="Arial" w:eastAsia="Arial" w:hAnsi="Arial"/>
          <w:sz w:val="12"/>
          <w:szCs w:val="12"/>
          <w:color w:val="auto"/>
        </w:rPr>
        <w:t>By performing tumor modeling, MyMUT can also identify clonal and subclonal mutations with high precision, allowing us to prioritize the former in</w:t>
      </w:r>
      <w:r>
        <w:rPr>
          <w:rFonts w:ascii="Arial" w:cs="Arial" w:eastAsia="Arial" w:hAnsi="Arial"/>
          <w:sz w:val="12"/>
          <w:szCs w:val="12"/>
          <w:b w:val="1"/>
          <w:bCs w:val="1"/>
          <w:color w:val="auto"/>
        </w:rPr>
        <w:t xml:space="preserve"> </w:t>
      </w:r>
      <w:r>
        <w:rPr>
          <w:rFonts w:ascii="Arial" w:cs="Arial" w:eastAsia="Arial" w:hAnsi="Arial"/>
          <w:sz w:val="12"/>
          <w:szCs w:val="12"/>
          <w:color w:val="auto"/>
        </w:rPr>
        <w:t>neoantigen-directed immunotherapies and address intratumoral heterogeneity by targeting mutations that are common in a higher proportion of cancer cells within a tumor.</w:t>
      </w:r>
    </w:p>
    <w:p>
      <w:pPr>
        <w:spacing w:after="0" w:line="11" w:lineRule="exact"/>
        <w:rPr>
          <w:rFonts w:ascii="Arial" w:cs="Arial" w:eastAsia="Arial" w:hAnsi="Arial"/>
          <w:sz w:val="12"/>
          <w:szCs w:val="12"/>
          <w:color w:val="auto"/>
        </w:rPr>
      </w:pPr>
    </w:p>
    <w:p>
      <w:pPr>
        <w:ind w:left="1440" w:right="280" w:hanging="330"/>
        <w:spacing w:after="0" w:line="294" w:lineRule="auto"/>
        <w:tabs>
          <w:tab w:leader="none" w:pos="1440" w:val="left"/>
        </w:tabs>
        <w:numPr>
          <w:ilvl w:val="0"/>
          <w:numId w:val="104"/>
        </w:numPr>
        <w:rPr>
          <w:rFonts w:ascii="Arial" w:cs="Arial" w:eastAsia="Arial" w:hAnsi="Arial"/>
          <w:sz w:val="13"/>
          <w:szCs w:val="13"/>
          <w:color w:val="auto"/>
        </w:rPr>
      </w:pPr>
      <w:r>
        <w:rPr>
          <w:rFonts w:ascii="Arial" w:cs="Arial" w:eastAsia="Arial" w:hAnsi="Arial"/>
          <w:sz w:val="13"/>
          <w:szCs w:val="13"/>
          <w:b w:val="1"/>
          <w:bCs w:val="1"/>
          <w:color w:val="auto"/>
        </w:rPr>
        <w:t xml:space="preserve">Quality control (QC). </w:t>
      </w:r>
      <w:r>
        <w:rPr>
          <w:rFonts w:ascii="Arial" w:cs="Arial" w:eastAsia="Arial" w:hAnsi="Arial"/>
          <w:sz w:val="13"/>
          <w:szCs w:val="13"/>
          <w:color w:val="auto"/>
        </w:rPr>
        <w:t>By analyzing the genomic properties of sequenced samples, MyMUT can detect errors that pass standard sequencing QC, ensuring the quality and safety of</w:t>
      </w:r>
      <w:r>
        <w:rPr>
          <w:rFonts w:ascii="Arial" w:cs="Arial" w:eastAsia="Arial" w:hAnsi="Arial"/>
          <w:sz w:val="13"/>
          <w:szCs w:val="13"/>
          <w:b w:val="1"/>
          <w:bCs w:val="1"/>
          <w:color w:val="auto"/>
        </w:rPr>
        <w:t xml:space="preserve"> </w:t>
      </w:r>
      <w:r>
        <w:rPr>
          <w:rFonts w:ascii="Arial" w:cs="Arial" w:eastAsia="Arial" w:hAnsi="Arial"/>
          <w:sz w:val="13"/>
          <w:szCs w:val="13"/>
          <w:color w:val="auto"/>
        </w:rPr>
        <w:t>individualized immunotherapies.</w:t>
      </w:r>
    </w:p>
    <w:p>
      <w:pPr>
        <w:spacing w:after="0" w:line="198" w:lineRule="exact"/>
        <w:rPr>
          <w:sz w:val="20"/>
          <w:szCs w:val="20"/>
          <w:color w:val="auto"/>
        </w:rPr>
      </w:pPr>
    </w:p>
    <w:p>
      <w:pPr>
        <w:ind w:left="1660" w:hanging="550"/>
        <w:spacing w:after="0"/>
        <w:tabs>
          <w:tab w:leader="none" w:pos="1660" w:val="left"/>
        </w:tabs>
        <w:numPr>
          <w:ilvl w:val="0"/>
          <w:numId w:val="10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Neoepitope Selection</w:t>
      </w:r>
    </w:p>
    <w:p>
      <w:pPr>
        <w:spacing w:after="0" w:line="90" w:lineRule="exact"/>
        <w:rPr>
          <w:sz w:val="20"/>
          <w:szCs w:val="20"/>
          <w:color w:val="auto"/>
        </w:rPr>
      </w:pPr>
    </w:p>
    <w:p>
      <w:pPr>
        <w:jc w:val="both"/>
        <w:ind w:left="560" w:right="160" w:firstLine="527"/>
        <w:spacing w:after="0" w:line="199" w:lineRule="auto"/>
        <w:rPr>
          <w:sz w:val="20"/>
          <w:szCs w:val="20"/>
          <w:color w:val="auto"/>
        </w:rPr>
      </w:pPr>
      <w:r>
        <w:rPr>
          <w:rFonts w:ascii="Arial" w:cs="Arial" w:eastAsia="Arial" w:hAnsi="Arial"/>
          <w:sz w:val="13"/>
          <w:szCs w:val="13"/>
          <w:color w:val="auto"/>
        </w:rPr>
        <w:t xml:space="preserve">Only a portion of mutated peptides (neoepitopes) are suitable for raising an immune response </w:t>
      </w:r>
      <w:r>
        <w:rPr>
          <w:rFonts w:ascii="Arial" w:cs="Arial" w:eastAsia="Arial" w:hAnsi="Arial"/>
          <w:sz w:val="13"/>
          <w:szCs w:val="13"/>
          <w:i w:val="1"/>
          <w:iCs w:val="1"/>
          <w:color w:val="auto"/>
        </w:rPr>
        <w:t>in vivo</w:t>
      </w:r>
      <w:r>
        <w:rPr>
          <w:rFonts w:ascii="Arial" w:cs="Arial" w:eastAsia="Arial" w:hAnsi="Arial"/>
          <w:sz w:val="13"/>
          <w:szCs w:val="13"/>
          <w:color w:val="auto"/>
        </w:rPr>
        <w:t>. Our approach focuses on evoking responses involving both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and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We do this by discerning the likelihood of presentation of the neoepitope to the T cell receptor as an MHC peptide complex using data from mRNA expression levels and MHC binding affinity predictions, among other factors. For example, in our first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0" w:name="page101"/>
    <w:bookmarkEnd w:id="100"/>
    <w:p>
      <w:pPr>
        <w:ind w:left="560" w:right="260"/>
        <w:spacing w:after="0" w:line="214" w:lineRule="auto"/>
        <w:rPr>
          <w:sz w:val="20"/>
          <w:szCs w:val="20"/>
          <w:color w:val="auto"/>
        </w:rPr>
      </w:pPr>
      <w:r>
        <w:rPr>
          <w:rFonts w:ascii="Arial" w:cs="Arial" w:eastAsia="Arial" w:hAnsi="Arial"/>
          <w:sz w:val="13"/>
          <w:szCs w:val="13"/>
          <w:color w:val="auto"/>
        </w:rPr>
        <w:t>individualized neoepitope immunotherapy clinical study, all 13 stage III and IV melanoma patients selected for treatment developed a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and/or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 response, achieving an overall 60% immune response rate to predicted neoepitopes.</w:t>
      </w:r>
    </w:p>
    <w:p>
      <w:pPr>
        <w:spacing w:after="0" w:line="72" w:lineRule="exact"/>
        <w:rPr>
          <w:sz w:val="20"/>
          <w:szCs w:val="20"/>
          <w:color w:val="auto"/>
        </w:rPr>
      </w:pPr>
    </w:p>
    <w:p>
      <w:pPr>
        <w:ind w:left="560" w:firstLine="527"/>
        <w:spacing w:after="0" w:line="304" w:lineRule="auto"/>
        <w:rPr>
          <w:sz w:val="20"/>
          <w:szCs w:val="20"/>
          <w:color w:val="auto"/>
        </w:rPr>
      </w:pPr>
      <w:r>
        <w:rPr>
          <w:rFonts w:ascii="Arial" w:cs="Arial" w:eastAsia="Arial" w:hAnsi="Arial"/>
          <w:sz w:val="12"/>
          <w:szCs w:val="12"/>
          <w:color w:val="auto"/>
        </w:rPr>
        <w:t>Presentation of a neoepitope on an MHC molecule does not, however, guarantee recognition by T cells, and an integrated view combining several properties impacting immunogenicity is necessary. Our algorithms are continuously being improved and extended with data collections from various sources such as our past and current clinical studies as well as HLA data. By using machine learning approaches applied to these large datasets we aim to further improve prediction of overall presentation of neoepitopes tailored to patients’ specific HLA types.</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VIII.</w:t>
      </w:r>
      <w:r>
        <w:rPr>
          <w:sz w:val="20"/>
          <w:szCs w:val="20"/>
          <w:color w:val="auto"/>
        </w:rPr>
        <w:tab/>
      </w:r>
      <w:r>
        <w:rPr>
          <w:rFonts w:ascii="Arial" w:cs="Arial" w:eastAsia="Arial" w:hAnsi="Arial"/>
          <w:sz w:val="13"/>
          <w:szCs w:val="13"/>
          <w:b w:val="1"/>
          <w:bCs w:val="1"/>
          <w:color w:val="auto"/>
        </w:rPr>
        <w:t>Our mRNA Drug Class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 a glance: mRNA as a Therapeutic Drug Class</w:t>
      </w:r>
    </w:p>
    <w:p>
      <w:pPr>
        <w:spacing w:after="0" w:line="94" w:lineRule="exact"/>
        <w:rPr>
          <w:sz w:val="20"/>
          <w:szCs w:val="20"/>
          <w:color w:val="auto"/>
        </w:rPr>
      </w:pPr>
    </w:p>
    <w:p>
      <w:pPr>
        <w:ind w:left="1020" w:hanging="340"/>
        <w:spacing w:after="0"/>
        <w:tabs>
          <w:tab w:leader="none" w:pos="10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Natural molecule found universally within cells, with well-characterized properties.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Suitable to encode for antibodies, antigens, cytokines and any other type of protein.</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Transient, with adaptable activity and half-life. Avoids genomic integration problems sometimes seen in gene therapy, potentially resulting in a better safety profile.</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Can be designed and optimized pharmacologically and immunologically, making it suitable for a broad range of applications.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Fast manufacturability, making it an inexpensive and flexible therapeutic to produce.</w:t>
      </w:r>
    </w:p>
    <w:p>
      <w:pPr>
        <w:spacing w:after="0" w:line="170"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auto"/>
        </w:rPr>
        <w:t>In the last decade mRNA has progressed into a promising new class of medicine, with the potential to treat a wide variety of diseases with high unmet medical needs. mRNA is a long, polymeric molecule, composed of four different building blocks called nucleotides. In mRNA, hundreds or thousands of these nucleotides are linked in a unique order to convey genetic information to cells, where it is used to express proteins with biological effects.</w:t>
      </w:r>
    </w:p>
    <w:p>
      <w:pPr>
        <w:spacing w:after="0" w:line="132" w:lineRule="exact"/>
        <w:rPr>
          <w:sz w:val="20"/>
          <w:szCs w:val="20"/>
          <w:color w:val="auto"/>
        </w:rPr>
      </w:pPr>
    </w:p>
    <w:p>
      <w:pPr>
        <w:ind w:right="200" w:firstLine="556"/>
        <w:spacing w:after="0" w:line="272" w:lineRule="auto"/>
        <w:rPr>
          <w:sz w:val="20"/>
          <w:szCs w:val="20"/>
          <w:color w:val="auto"/>
        </w:rPr>
      </w:pPr>
      <w:r>
        <w:rPr>
          <w:rFonts w:ascii="Arial" w:cs="Arial" w:eastAsia="Arial" w:hAnsi="Arial"/>
          <w:sz w:val="13"/>
          <w:szCs w:val="13"/>
          <w:color w:val="auto"/>
        </w:rPr>
        <w:t>Considering that all mRNA is generated with four different building blocks, but with unique sequence order, all therapeutic mRNAs have highly similar compositions, while having the capacity to encode a variety of different proteins. These characteristics allow for rapid development of mRNA therapeutics that are broadly applicable for treatment of many diseases, including cancer, infectious diseases and rare diseases. Our mRNA pipeline addresses all of these therapeutic areas.</w:t>
      </w:r>
    </w:p>
    <w:p>
      <w:pPr>
        <w:spacing w:after="0" w:line="208" w:lineRule="exact"/>
        <w:rPr>
          <w:sz w:val="20"/>
          <w:szCs w:val="20"/>
          <w:color w:val="auto"/>
        </w:rPr>
      </w:pPr>
    </w:p>
    <w:p>
      <w:pPr>
        <w:ind w:left="1100" w:hanging="550"/>
        <w:spacing w:after="0"/>
        <w:tabs>
          <w:tab w:leader="none" w:pos="110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General Principles of mRNA Pharmacology</w:t>
      </w:r>
    </w:p>
    <w:p>
      <w:pPr>
        <w:spacing w:after="0" w:line="94" w:lineRule="exact"/>
        <w:rPr>
          <w:sz w:val="20"/>
          <w:szCs w:val="20"/>
          <w:color w:val="auto"/>
        </w:rPr>
      </w:pPr>
    </w:p>
    <w:p>
      <w:pPr>
        <w:ind w:right="100" w:firstLine="554"/>
        <w:spacing w:after="0" w:line="272" w:lineRule="auto"/>
        <w:rPr>
          <w:sz w:val="20"/>
          <w:szCs w:val="20"/>
          <w:color w:val="auto"/>
        </w:rPr>
      </w:pPr>
      <w:r>
        <w:rPr>
          <w:rFonts w:ascii="Arial" w:cs="Arial" w:eastAsia="Arial" w:hAnsi="Arial"/>
          <w:sz w:val="13"/>
          <w:szCs w:val="13"/>
          <w:color w:val="auto"/>
        </w:rPr>
        <w:t>As a drug, manufactured mRNA provides instructions to a target cell to produce a desired therapeutic protein. The mRNA drug will temporarily change the status of the target cell where these instructions are translated into proteins. Based on the information encoded by the mRNA, the proteins will be either secreted or remain intracellular. The mRNA drug will eventually be degraded and eliminated from the body.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mRNA drugs are synthesized from a DNA template. With the exception of the 5’ cap, the template determines all structural elements of the mRNA. The mRNA molecule comprises:</w:t>
      </w:r>
    </w:p>
    <w:p>
      <w:pPr>
        <w:spacing w:after="0" w:line="90" w:lineRule="exact"/>
        <w:rPr>
          <w:sz w:val="20"/>
          <w:szCs w:val="20"/>
          <w:color w:val="auto"/>
        </w:rPr>
      </w:pPr>
    </w:p>
    <w:p>
      <w:pPr>
        <w:ind w:left="1020" w:hanging="340"/>
        <w:spacing w:after="0"/>
        <w:tabs>
          <w:tab w:leader="none" w:pos="10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an open reading frame, or ORF, which encodes for the protein of interest;</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untranslated regions, or UTRs, which flank the ORF;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cap and the poly(A) tail, which are the two terminal structures of the linear mRNA, and are responsible for increased stability and translational efficiency of mRNA.</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101" w:name="page102"/>
    <w:bookmarkEnd w:id="101"/>
    <w:p>
      <w:pPr>
        <w:ind w:firstLine="556"/>
        <w:spacing w:after="0" w:line="296" w:lineRule="auto"/>
        <w:rPr>
          <w:sz w:val="20"/>
          <w:szCs w:val="20"/>
          <w:color w:val="auto"/>
        </w:rPr>
      </w:pPr>
      <w:r>
        <w:rPr>
          <w:rFonts w:ascii="Arial" w:cs="Arial" w:eastAsia="Arial" w:hAnsi="Arial"/>
          <w:sz w:val="12"/>
          <w:szCs w:val="12"/>
          <w:color w:val="auto"/>
        </w:rPr>
        <w:t>The mRNA drug needs to be appropriately formulated in order to protect it from breakdown by extracellular RNAses. The formulation is selected based on the intended application and route of delivery. After uptake into the target cell, the mRNA molecules are loaded into ribosomes, where translation into protein takes place. Subsequently, the mRNA is degraded by cellular mechanisms. In case of an immunotherapy application, the protein is degraded into immunogenic epitopes. These are loaded onto specialized molecules, namely MHC I or MHC II. These molecules present the epitopes to immune cells to provoke the desired immune response. In the case of other mRNA applications, the mRNA encodes proteins that are secreted from the cells, such as antibodies, and function extracellularly.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93980</wp:posOffset>
            </wp:positionV>
            <wp:extent cx="3917315" cy="2507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17315" cy="250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General principles of mRNA pharmacology. </w:t>
      </w:r>
      <w:r>
        <w:rPr>
          <w:rFonts w:ascii="Arial" w:cs="Arial" w:eastAsia="Arial" w:hAnsi="Arial"/>
          <w:sz w:val="9"/>
          <w:szCs w:val="9"/>
          <w:color w:val="auto"/>
        </w:rPr>
        <w:t>Step 1: mRNA is either delivered in a buffered solution as naked molecules or formulated as nano-particles to protect degradation by extracellular enzymes and is taken up by cells. Step 2: Subsequently, mRNA is</w:t>
      </w:r>
    </w:p>
    <w:p>
      <w:pPr>
        <w:spacing w:after="0" w:line="18" w:lineRule="exact"/>
        <w:rPr>
          <w:sz w:val="20"/>
          <w:szCs w:val="20"/>
          <w:color w:val="auto"/>
        </w:rPr>
      </w:pPr>
    </w:p>
    <w:p>
      <w:pPr>
        <w:spacing w:after="0"/>
        <w:rPr>
          <w:sz w:val="20"/>
          <w:szCs w:val="20"/>
          <w:color w:val="auto"/>
        </w:rPr>
      </w:pPr>
      <w:r>
        <w:rPr>
          <w:rFonts w:ascii="Arial" w:cs="Arial" w:eastAsia="Arial" w:hAnsi="Arial"/>
          <w:sz w:val="9"/>
          <w:szCs w:val="9"/>
          <w:color w:val="auto"/>
        </w:rPr>
        <w:t>released from endosomes into the cytoplasm. Step 3: mRNA is translated by the protein synthesis machinery of host cells. Step 4: Termination of translation by degradation of mRNA. Step 5: The translated protein product acts in the cell in which it has been</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auto"/>
        </w:rPr>
        <w:t>generated. Step 6: Alternatively, the protein product is secreted and may act via autocrine, paracrine or systemic, body-wide mechanisms. Steps 7 and 8: For vaccine activity, mRNA encoded antigens are degraded into shorter fragments and loaded onto MHC class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I and class II molecules. Step 9: Protein-derived epitopes can then be presented on the cell surface by both MHC class I and MHC class II molecules, enabling stimulation of CD8</w:t>
      </w:r>
      <w:r>
        <w:rPr>
          <w:rFonts w:ascii="Arial" w:cs="Arial" w:eastAsia="Arial" w:hAnsi="Arial"/>
          <w:sz w:val="7"/>
          <w:szCs w:val="7"/>
          <w:color w:val="auto"/>
        </w:rPr>
        <w:t>+</w:t>
      </w:r>
      <w:r>
        <w:rPr>
          <w:rFonts w:ascii="Arial" w:cs="Arial" w:eastAsia="Arial" w:hAnsi="Arial"/>
          <w:sz w:val="11"/>
          <w:szCs w:val="11"/>
          <w:color w:val="auto"/>
        </w:rPr>
        <w:t xml:space="preserve"> and CD4</w:t>
      </w:r>
      <w:r>
        <w:rPr>
          <w:rFonts w:ascii="Arial" w:cs="Arial" w:eastAsia="Arial" w:hAnsi="Arial"/>
          <w:sz w:val="7"/>
          <w:szCs w:val="7"/>
          <w:color w:val="auto"/>
        </w:rPr>
        <w:t>+</w:t>
      </w:r>
      <w:r>
        <w:rPr>
          <w:rFonts w:ascii="Arial" w:cs="Arial" w:eastAsia="Arial" w:hAnsi="Arial"/>
          <w:sz w:val="11"/>
          <w:szCs w:val="11"/>
          <w:color w:val="auto"/>
        </w:rPr>
        <w:t xml:space="preserve"> T cells.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20"/>
          </w:cols>
          <w:pgMar w:left="300" w:top="261" w:right="379" w:bottom="1440" w:gutter="0" w:footer="0" w:header="0"/>
        </w:sectPr>
      </w:pPr>
    </w:p>
    <w:bookmarkStart w:id="102" w:name="page103"/>
    <w:bookmarkEnd w:id="102"/>
    <w:p>
      <w:pPr>
        <w:ind w:right="340" w:firstLine="556"/>
        <w:spacing w:after="0" w:line="287" w:lineRule="auto"/>
        <w:rPr>
          <w:sz w:val="20"/>
          <w:szCs w:val="20"/>
          <w:color w:val="auto"/>
        </w:rPr>
      </w:pPr>
      <w:r>
        <w:rPr>
          <w:rFonts w:ascii="Arial" w:cs="Arial" w:eastAsia="Arial" w:hAnsi="Arial"/>
          <w:sz w:val="13"/>
          <w:szCs w:val="13"/>
          <w:color w:val="auto"/>
        </w:rPr>
        <w:t>The structural elements of the mRNA have an impact on its performance. This includes potential immunogenicity, efficacy of translation and stability of the molecule. We leverage our extensive experience to design, synthesize, manufacture and formulate our therapeutic mRNA, and adapt its composition to suit the desired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95885</wp:posOffset>
            </wp:positionV>
            <wp:extent cx="3917315" cy="24123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17315" cy="241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27" w:lineRule="auto"/>
        <w:rPr>
          <w:sz w:val="20"/>
          <w:szCs w:val="20"/>
          <w:color w:val="auto"/>
        </w:rPr>
      </w:pPr>
      <w:r>
        <w:rPr>
          <w:rFonts w:ascii="Arial" w:cs="Arial" w:eastAsia="Arial" w:hAnsi="Arial"/>
          <w:sz w:val="11"/>
          <w:szCs w:val="11"/>
          <w:b w:val="1"/>
          <w:bCs w:val="1"/>
          <w:color w:val="auto"/>
        </w:rPr>
        <w:t xml:space="preserve">Our strategy for optimizing mRNA potency. </w:t>
      </w:r>
      <w:r>
        <w:rPr>
          <w:rFonts w:ascii="Arial" w:cs="Arial" w:eastAsia="Arial" w:hAnsi="Arial"/>
          <w:sz w:val="11"/>
          <w:szCs w:val="11"/>
          <w:color w:val="auto"/>
        </w:rPr>
        <w:t>The pharmacological properties of mRNA can be improved by biochemical optimization of the molecule for either (i) increasing the half-life of the mRNA, i.e., the mRNA is translated for a longer period of time</w:t>
      </w:r>
      <w:r>
        <w:rPr>
          <w:rFonts w:ascii="Arial" w:cs="Arial" w:eastAsia="Arial" w:hAnsi="Arial"/>
          <w:sz w:val="11"/>
          <w:szCs w:val="11"/>
          <w:b w:val="1"/>
          <w:bCs w:val="1"/>
          <w:color w:val="auto"/>
        </w:rPr>
        <w:t xml:space="preserve"> </w:t>
      </w:r>
      <w:r>
        <w:rPr>
          <w:rFonts w:ascii="Arial" w:cs="Arial" w:eastAsia="Arial" w:hAnsi="Arial"/>
          <w:sz w:val="11"/>
          <w:szCs w:val="11"/>
          <w:color w:val="auto"/>
        </w:rPr>
        <w:t>before it is degraded, which results in sustained protein production after mRNA delivery, or for (ii) increasing the mRNA translation efficiency, i.e., the peak protein production is increased. Our optimization approach relies on combining both strategies in order to maximize the mRNA therapeutic effect.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20"/>
          </w:cols>
          <w:pgMar w:left="300" w:top="261" w:right="379" w:bottom="1440" w:gutter="0" w:footer="0" w:header="0"/>
        </w:sectPr>
      </w:pPr>
    </w:p>
    <w:bookmarkStart w:id="103" w:name="page104"/>
    <w:bookmarkEnd w:id="103"/>
    <w:p>
      <w:pPr>
        <w:ind w:left="560" w:hanging="550"/>
        <w:spacing w:after="0"/>
        <w:tabs>
          <w:tab w:leader="none" w:pos="560"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color w:val="auto"/>
        </w:rPr>
        <w:t>Our mRNA Backbone Concepts and Technologies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mRNAs all contain basic structural elements, including the 5’ cap, the untranslated regions and the poly(A) tail, in addition to a coding sequence, that are all encoded by our DNA template.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133985</wp:posOffset>
            </wp:positionV>
            <wp:extent cx="3910965" cy="2069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10965" cy="2069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0" w:right="480" w:hanging="340"/>
        <w:spacing w:after="0" w:line="331" w:lineRule="auto"/>
        <w:tabs>
          <w:tab w:leader="none" w:pos="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cap is added to the 5’ end of the mRNA during its synthesis. Our studies have demonstrated that incorporation of a unique cap analogue into the mRNA helps to achieve superior translational performance by stabilizing the mRNA molecule and directing the immune response. This unique cap analogue is extremely useful for our immunotherapy approaches.</w:t>
      </w:r>
    </w:p>
    <w:p>
      <w:pPr>
        <w:spacing w:after="0" w:line="19" w:lineRule="exact"/>
        <w:rPr>
          <w:rFonts w:ascii="Arial" w:cs="Arial" w:eastAsia="Arial" w:hAnsi="Arial"/>
          <w:sz w:val="12"/>
          <w:szCs w:val="12"/>
          <w:color w:val="auto"/>
        </w:rPr>
      </w:pPr>
    </w:p>
    <w:p>
      <w:pPr>
        <w:ind w:left="480" w:hanging="340"/>
        <w:spacing w:after="0" w:line="287" w:lineRule="auto"/>
        <w:tabs>
          <w:tab w:leader="none" w:pos="4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composition and structure of the 5’ and 3’ untranslated regions of the mRNA molecule are important determinants of the intracellular stability of mRNA. As a result of rigorous screening of different mRNA sequences, we identified specific UTRs that promote increased protein translation for long duration.</w:t>
      </w:r>
    </w:p>
    <w:p>
      <w:pPr>
        <w:spacing w:after="0" w:line="42" w:lineRule="exact"/>
        <w:rPr>
          <w:rFonts w:ascii="Arial" w:cs="Arial" w:eastAsia="Arial" w:hAnsi="Arial"/>
          <w:sz w:val="13"/>
          <w:szCs w:val="13"/>
          <w:color w:val="auto"/>
        </w:rPr>
      </w:pPr>
    </w:p>
    <w:p>
      <w:pPr>
        <w:ind w:left="480" w:hanging="340"/>
        <w:spacing w:after="0"/>
        <w:tabs>
          <w:tab w:leader="none" w:pos="4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We have performed extensive research on the structure of the poly(A) tail and the translational performance of mRNA and customized our template design accordingly.</w:t>
      </w:r>
    </w:p>
    <w:p>
      <w:pPr>
        <w:spacing w:after="0" w:line="300"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62865</wp:posOffset>
            </wp:positionV>
            <wp:extent cx="7180580"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660"/>
          </w:cols>
          <w:pgMar w:left="840" w:top="127" w:right="399" w:bottom="1440" w:gutter="0" w:footer="0" w:header="0"/>
        </w:sectPr>
      </w:pPr>
    </w:p>
    <w:bookmarkStart w:id="104" w:name="page105"/>
    <w:bookmarkEnd w:id="104"/>
    <w:p>
      <w:pPr>
        <w:ind w:firstLine="556"/>
        <w:spacing w:after="0" w:line="296" w:lineRule="auto"/>
        <w:rPr>
          <w:sz w:val="20"/>
          <w:szCs w:val="20"/>
          <w:color w:val="auto"/>
        </w:rPr>
      </w:pPr>
      <w:r>
        <w:rPr>
          <w:rFonts w:ascii="Arial" w:cs="Arial" w:eastAsia="Arial" w:hAnsi="Arial"/>
          <w:sz w:val="12"/>
          <w:szCs w:val="12"/>
          <w:color w:val="auto"/>
        </w:rPr>
        <w:t>The translational performance of mRNA can be increased by removing contaminating double-stranded RNA from the mRNA. We have extensive expertise in different mRNA purification procedures. We have also invented a novel mRNA purification method that greatly impacts translatability of our mRNA. Depending on the protein characteristics needed for treatment of a disease, we optimize the DNA template through a proprietary codon optimization process, changing the nucleotide sequence of the template without altering the amino acid composition of the encoded protein. We make further adjustments during mRNA production. We believe these fine tunings of the respective molecules are essential for the purpose-adapted performance of our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93980</wp:posOffset>
            </wp:positionV>
            <wp:extent cx="3720465" cy="30473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20465" cy="304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Our mRNA formats. </w:t>
      </w:r>
      <w:r>
        <w:rPr>
          <w:rFonts w:ascii="Arial" w:cs="Arial" w:eastAsia="Arial" w:hAnsi="Arial"/>
          <w:sz w:val="11"/>
          <w:szCs w:val="11"/>
          <w:color w:val="auto"/>
        </w:rPr>
        <w:t>As shown above, we have developed four mRNA formats, each optimized for different therapeutic applications. Abbreviations: y, 1-methylpseudouridine; UTR, untranslated region.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mRNA formats include:</w:t>
      </w:r>
    </w:p>
    <w:p>
      <w:pPr>
        <w:spacing w:after="0" w:line="170" w:lineRule="exact"/>
        <w:rPr>
          <w:sz w:val="20"/>
          <w:szCs w:val="20"/>
          <w:color w:val="auto"/>
        </w:rPr>
      </w:pPr>
    </w:p>
    <w:p>
      <w:pPr>
        <w:ind w:left="1660" w:hanging="550"/>
        <w:spacing w:after="0"/>
        <w:tabs>
          <w:tab w:leader="none" w:pos="1660" w:val="left"/>
        </w:tabs>
        <w:numPr>
          <w:ilvl w:val="0"/>
          <w:numId w:val="1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Optimized Uridine mRNA (uRNA)</w:t>
      </w:r>
    </w:p>
    <w:p>
      <w:pPr>
        <w:spacing w:after="0" w:line="90" w:lineRule="exact"/>
        <w:rPr>
          <w:sz w:val="20"/>
          <w:szCs w:val="20"/>
          <w:color w:val="auto"/>
        </w:rPr>
      </w:pPr>
    </w:p>
    <w:p>
      <w:pPr>
        <w:ind w:left="560" w:right="20" w:firstLine="529"/>
        <w:spacing w:after="0" w:line="264" w:lineRule="auto"/>
        <w:rPr>
          <w:sz w:val="20"/>
          <w:szCs w:val="20"/>
          <w:color w:val="auto"/>
        </w:rPr>
      </w:pPr>
      <w:r>
        <w:rPr>
          <w:rFonts w:ascii="Arial" w:cs="Arial" w:eastAsia="Arial" w:hAnsi="Arial"/>
          <w:sz w:val="13"/>
          <w:szCs w:val="13"/>
          <w:color w:val="auto"/>
        </w:rPr>
        <w:t>The nucleotide sequence of mRNA determines the amino acid sequence of the protein. In addition, the nature of nucleosides used for production of mRNA drugs can also influence recognition of the molecule by the immune system. Presence of naturally occurring uridine (U) in our optimized uridine mRNA makes it immunogenic by activating immune sensors. We have further optimized our uridine mRNA for immunogenicity (augmented antigen presentation on MHC I and MHC II) and pharmacological activity (enhanced stability and translational efficiency). Immunogenicity of the mRNA is an added benefit when mRNA is used for immunotherapy applications, by acting as an immunotherapy adjuvant. This makes our therapeutics for iNeST and FixVac even more potent.</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105" w:name="page106"/>
    <w:bookmarkEnd w:id="105"/>
    <w:p>
      <w:pPr>
        <w:ind w:left="1660" w:hanging="550"/>
        <w:spacing w:after="0"/>
        <w:tabs>
          <w:tab w:leader="none" w:pos="1660" w:val="left"/>
        </w:tabs>
        <w:numPr>
          <w:ilvl w:val="0"/>
          <w:numId w:val="1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Nucleoside-modified mRNA (modRNA)</w:t>
      </w:r>
    </w:p>
    <w:p>
      <w:pPr>
        <w:spacing w:after="0" w:line="90" w:lineRule="exact"/>
        <w:rPr>
          <w:sz w:val="20"/>
          <w:szCs w:val="20"/>
          <w:color w:val="auto"/>
        </w:rPr>
      </w:pPr>
    </w:p>
    <w:p>
      <w:pPr>
        <w:ind w:left="560" w:right="20" w:firstLine="529"/>
        <w:spacing w:after="0" w:line="264" w:lineRule="auto"/>
        <w:rPr>
          <w:sz w:val="20"/>
          <w:szCs w:val="20"/>
          <w:color w:val="auto"/>
        </w:rPr>
      </w:pPr>
      <w:r>
        <w:rPr>
          <w:rFonts w:ascii="Arial" w:cs="Arial" w:eastAsia="Arial" w:hAnsi="Arial"/>
          <w:sz w:val="13"/>
          <w:szCs w:val="13"/>
          <w:color w:val="auto"/>
        </w:rPr>
        <w:t>Immunogenic reaction against mRNA drugs needs to be avoided in applications where therapeutic proteins are produced, such as in our RiboMab and RiboCytokine platforms. We have profound expertise in incorporating naturally-occurring modified nucleosides into our therapeutic mRNAs. We have demonstrated that the presence of a variety of modified nucleosides in the manufactured mRNA suppresses its intrinsic immune activation, while leading to superior protein production for long duration. Deimmunizing mRNA by incorporating modified nucleosides helps to avoid production of anti-drug antibodies and broaden the therapeutic application of these types of mRNA drugs. We believe this customization has resulted in therapeutic mRNA that is both potent and well tolerated.</w:t>
      </w:r>
    </w:p>
    <w:p>
      <w:pPr>
        <w:spacing w:after="0" w:line="218" w:lineRule="exact"/>
        <w:rPr>
          <w:sz w:val="20"/>
          <w:szCs w:val="20"/>
          <w:color w:val="auto"/>
        </w:rPr>
      </w:pPr>
    </w:p>
    <w:p>
      <w:pPr>
        <w:ind w:left="1660" w:hanging="550"/>
        <w:spacing w:after="0"/>
        <w:tabs>
          <w:tab w:leader="none" w:pos="1660" w:val="left"/>
        </w:tabs>
        <w:numPr>
          <w:ilvl w:val="0"/>
          <w:numId w:val="11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Self-amplifying mRNA (saRNA)</w:t>
      </w:r>
    </w:p>
    <w:p>
      <w:pPr>
        <w:spacing w:after="0" w:line="90" w:lineRule="exact"/>
        <w:rPr>
          <w:sz w:val="20"/>
          <w:szCs w:val="20"/>
          <w:color w:val="auto"/>
        </w:rPr>
      </w:pPr>
    </w:p>
    <w:p>
      <w:pPr>
        <w:ind w:left="560" w:firstLine="529"/>
        <w:spacing w:after="0" w:line="264" w:lineRule="auto"/>
        <w:rPr>
          <w:sz w:val="20"/>
          <w:szCs w:val="20"/>
          <w:color w:val="auto"/>
        </w:rPr>
      </w:pPr>
      <w:r>
        <w:rPr>
          <w:rFonts w:ascii="Arial" w:cs="Arial" w:eastAsia="Arial" w:hAnsi="Arial"/>
          <w:sz w:val="13"/>
          <w:szCs w:val="13"/>
          <w:color w:val="auto"/>
        </w:rPr>
        <w:t>Our self-amplifying mRNA, or saRNA, drugs use the concept of viral replication, while not being an infectious, disease-causing agent itself. saRNA resembles conventional mRNA encoding the protein of interest, but also encoding a polymerase, called replicase, that multiplies part of the mRNA within the target cell. During self-amplification inside the cell, a double-stranded RNA intermediate is generated, which is recognized by intracellular immune sensors. This makes saRNA a very potent activator of the immune system and therefore an excellent category of immunotherapy. As we have demonstrated, our saRNA ensures high levels of sustained antigen production with a small amount of initial mRNA input. Our scientific team has designed this mRNA technology to act as a potent tool for prophylactic vaccination, with the potential application in infectious diseases with high medical needs.</w:t>
      </w:r>
    </w:p>
    <w:p>
      <w:pPr>
        <w:spacing w:after="0" w:line="218" w:lineRule="exact"/>
        <w:rPr>
          <w:sz w:val="20"/>
          <w:szCs w:val="20"/>
          <w:color w:val="auto"/>
        </w:rPr>
      </w:pPr>
    </w:p>
    <w:p>
      <w:pPr>
        <w:ind w:left="1660" w:hanging="550"/>
        <w:spacing w:after="0"/>
        <w:tabs>
          <w:tab w:leader="none" w:pos="1660" w:val="left"/>
        </w:tabs>
        <w:numPr>
          <w:ilvl w:val="0"/>
          <w:numId w:val="1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Trans-amplifying mRNA (taRNA)</w:t>
      </w:r>
    </w:p>
    <w:p>
      <w:pPr>
        <w:spacing w:after="0" w:line="90" w:lineRule="exact"/>
        <w:rPr>
          <w:sz w:val="20"/>
          <w:szCs w:val="20"/>
          <w:color w:val="auto"/>
        </w:rPr>
      </w:pPr>
    </w:p>
    <w:p>
      <w:pPr>
        <w:ind w:left="560" w:right="80" w:firstLine="529"/>
        <w:spacing w:after="0" w:line="267" w:lineRule="auto"/>
        <w:rPr>
          <w:sz w:val="20"/>
          <w:szCs w:val="20"/>
          <w:color w:val="auto"/>
        </w:rPr>
      </w:pPr>
      <w:r>
        <w:rPr>
          <w:rFonts w:ascii="Arial" w:cs="Arial" w:eastAsia="Arial" w:hAnsi="Arial"/>
          <w:sz w:val="13"/>
          <w:szCs w:val="13"/>
          <w:color w:val="auto"/>
        </w:rPr>
        <w:t>We have also expanded on our self-amplifying mRNA capabilities, developing a novel mRNA amplification technology by separating the target mRNA to be amplified and the replicase encoding mRNA. This advancement broadens the spectrum of applications by making the development of therapeutic mRNAs even more flexible, as the replicase can amplify mRNA encoding of not only one protein, but several different ones. In the case of vaccines, this allows us to produce the replicase in advance for use with different vaccines. Our trans-amplifying mRNA is a proprietary mRNA format that is particularly well-suited for prophylactic vaccines to prevent infectious diseases.</w:t>
      </w:r>
    </w:p>
    <w:p>
      <w:pPr>
        <w:spacing w:after="0" w:line="211" w:lineRule="exact"/>
        <w:rPr>
          <w:sz w:val="20"/>
          <w:szCs w:val="20"/>
          <w:color w:val="auto"/>
        </w:rPr>
      </w:pPr>
    </w:p>
    <w:p>
      <w:pPr>
        <w:ind w:left="1100" w:hanging="550"/>
        <w:spacing w:after="0"/>
        <w:tabs>
          <w:tab w:leader="none" w:pos="1100"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Our mRNA Delivery Formulation Technologies</w:t>
      </w:r>
    </w:p>
    <w:p>
      <w:pPr>
        <w:spacing w:after="0" w:line="94" w:lineRule="exact"/>
        <w:rPr>
          <w:sz w:val="20"/>
          <w:szCs w:val="20"/>
          <w:color w:val="auto"/>
        </w:rPr>
      </w:pPr>
    </w:p>
    <w:p>
      <w:pPr>
        <w:ind w:right="260" w:firstLine="556"/>
        <w:spacing w:after="0" w:line="287" w:lineRule="auto"/>
        <w:rPr>
          <w:sz w:val="20"/>
          <w:szCs w:val="20"/>
          <w:color w:val="auto"/>
        </w:rPr>
      </w:pPr>
      <w:r>
        <w:rPr>
          <w:rFonts w:ascii="Arial" w:cs="Arial" w:eastAsia="Arial" w:hAnsi="Arial"/>
          <w:sz w:val="13"/>
          <w:szCs w:val="13"/>
          <w:color w:val="auto"/>
        </w:rPr>
        <w:t>We have deep and broad expertise in the targeted delivery of mRNA therapeutics. We are convinced that our development of suitable delivery formulations in conjunction with our own therapeutic mRNAs is a key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1670050</wp:posOffset>
            </wp:positionH>
            <wp:positionV relativeFrom="paragraph">
              <wp:posOffset>95885</wp:posOffset>
            </wp:positionV>
            <wp:extent cx="3828415" cy="130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28415" cy="130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Our mRNA delivery formulation technologies</w:t>
      </w:r>
      <w:r>
        <w:rPr>
          <w:rFonts w:ascii="Arial" w:cs="Arial" w:eastAsia="Arial" w:hAnsi="Arial"/>
          <w:sz w:val="11"/>
          <w:szCs w:val="11"/>
          <w:color w:val="auto"/>
        </w:rPr>
        <w:t>. We utilize a range of mRNA delivery formulations for different therapeutic needs.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employ multiple mRNA delivery formulations, each designed for different functions and optimized for therapeutic product needs:</w:t>
      </w:r>
    </w:p>
    <w:p>
      <w:pPr>
        <w:spacing w:after="0" w:line="86" w:lineRule="exact"/>
        <w:rPr>
          <w:sz w:val="20"/>
          <w:szCs w:val="20"/>
          <w:color w:val="auto"/>
        </w:rPr>
      </w:pPr>
    </w:p>
    <w:p>
      <w:pPr>
        <w:ind w:left="1020" w:right="80" w:hanging="340"/>
        <w:spacing w:after="0" w:line="294" w:lineRule="auto"/>
        <w:tabs>
          <w:tab w:leader="none" w:pos="1020" w:val="left"/>
        </w:tabs>
        <w:numPr>
          <w:ilvl w:val="0"/>
          <w:numId w:val="116"/>
        </w:numPr>
        <w:rPr>
          <w:rFonts w:ascii="Arial" w:cs="Arial" w:eastAsia="Arial" w:hAnsi="Arial"/>
          <w:sz w:val="13"/>
          <w:szCs w:val="13"/>
          <w:color w:val="auto"/>
        </w:rPr>
      </w:pPr>
      <w:r>
        <w:rPr>
          <w:rFonts w:ascii="Arial" w:cs="Arial" w:eastAsia="Arial" w:hAnsi="Arial"/>
          <w:sz w:val="13"/>
          <w:szCs w:val="13"/>
          <w:b w:val="1"/>
          <w:bCs w:val="1"/>
          <w:color w:val="auto"/>
        </w:rPr>
        <w:t xml:space="preserve">Lipoplex: </w:t>
      </w:r>
      <w:r>
        <w:rPr>
          <w:rFonts w:ascii="Arial" w:cs="Arial" w:eastAsia="Arial" w:hAnsi="Arial"/>
          <w:sz w:val="13"/>
          <w:szCs w:val="13"/>
          <w:color w:val="auto"/>
        </w:rPr>
        <w:t>Our lipoplex formulation, or LPX, embeds the mRNA between a lipid bilayer, which is used for our FixVac and iNeST platforms. We use a proprietary size- and charge-based non-viral mRNA lipoplex that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06" w:name="page107"/>
    <w:bookmarkEnd w:id="106"/>
    <w:p>
      <w:pPr>
        <w:ind w:left="1020"/>
        <w:spacing w:after="0"/>
        <w:rPr>
          <w:sz w:val="20"/>
          <w:szCs w:val="20"/>
          <w:color w:val="auto"/>
        </w:rPr>
      </w:pPr>
      <w:r>
        <w:rPr>
          <w:rFonts w:ascii="Arial" w:cs="Arial" w:eastAsia="Arial" w:hAnsi="Arial"/>
          <w:sz w:val="13"/>
          <w:szCs w:val="13"/>
          <w:color w:val="auto"/>
        </w:rPr>
        <w:t>developed to deliver mRNA to dendritic cells in lymphoid compartments such as the spleen for optimal antigen presentation and immune response activation.</w:t>
      </w:r>
    </w:p>
    <w:p>
      <w:pPr>
        <w:spacing w:after="0" w:line="86" w:lineRule="exact"/>
        <w:rPr>
          <w:sz w:val="20"/>
          <w:szCs w:val="20"/>
          <w:color w:val="auto"/>
        </w:rPr>
      </w:pPr>
    </w:p>
    <w:p>
      <w:pPr>
        <w:ind w:left="1020" w:hanging="340"/>
        <w:spacing w:after="0" w:line="338" w:lineRule="auto"/>
        <w:tabs>
          <w:tab w:leader="none" w:pos="1020" w:val="left"/>
        </w:tabs>
        <w:numPr>
          <w:ilvl w:val="0"/>
          <w:numId w:val="117"/>
        </w:numPr>
        <w:rPr>
          <w:rFonts w:ascii="Arial" w:cs="Arial" w:eastAsia="Arial" w:hAnsi="Arial"/>
          <w:sz w:val="12"/>
          <w:szCs w:val="12"/>
          <w:color w:val="auto"/>
        </w:rPr>
      </w:pPr>
      <w:r>
        <w:rPr>
          <w:rFonts w:ascii="Arial" w:cs="Arial" w:eastAsia="Arial" w:hAnsi="Arial"/>
          <w:sz w:val="12"/>
          <w:szCs w:val="12"/>
          <w:b w:val="1"/>
          <w:bCs w:val="1"/>
          <w:color w:val="auto"/>
        </w:rPr>
        <w:t xml:space="preserve">LNPs: </w:t>
      </w:r>
      <w:r>
        <w:rPr>
          <w:rFonts w:ascii="Arial" w:cs="Arial" w:eastAsia="Arial" w:hAnsi="Arial"/>
          <w:sz w:val="12"/>
          <w:szCs w:val="12"/>
          <w:color w:val="auto"/>
        </w:rPr>
        <w:t>For other applications, we encapsulate our mRNA in lipid nanoparticles, or LNPs. These formulations are suitable for our RiboMab, RiboCytokine and rare disease protein replacement</w:t>
      </w:r>
      <w:r>
        <w:rPr>
          <w:rFonts w:ascii="Arial" w:cs="Arial" w:eastAsia="Arial" w:hAnsi="Arial"/>
          <w:sz w:val="12"/>
          <w:szCs w:val="12"/>
          <w:b w:val="1"/>
          <w:bCs w:val="1"/>
          <w:color w:val="auto"/>
        </w:rPr>
        <w:t xml:space="preserve"> </w:t>
      </w:r>
      <w:r>
        <w:rPr>
          <w:rFonts w:ascii="Arial" w:cs="Arial" w:eastAsia="Arial" w:hAnsi="Arial"/>
          <w:sz w:val="12"/>
          <w:szCs w:val="12"/>
          <w:color w:val="auto"/>
        </w:rPr>
        <w:t>platforms. Our LNP formulations can be adjusted according to our needs for delivery to particular target tissues, such as the liver in the case of our rare disease protein replacement platform.</w:t>
      </w:r>
    </w:p>
    <w:p>
      <w:pPr>
        <w:spacing w:after="0" w:line="11" w:lineRule="exact"/>
        <w:rPr>
          <w:rFonts w:ascii="Arial" w:cs="Arial" w:eastAsia="Arial" w:hAnsi="Arial"/>
          <w:sz w:val="12"/>
          <w:szCs w:val="12"/>
          <w:color w:val="auto"/>
        </w:rPr>
      </w:pPr>
    </w:p>
    <w:p>
      <w:pPr>
        <w:ind w:left="1020" w:hanging="340"/>
        <w:spacing w:after="0"/>
        <w:tabs>
          <w:tab w:leader="none" w:pos="1020" w:val="left"/>
        </w:tabs>
        <w:numPr>
          <w:ilvl w:val="0"/>
          <w:numId w:val="117"/>
        </w:numPr>
        <w:rPr>
          <w:rFonts w:ascii="Arial" w:cs="Arial" w:eastAsia="Arial" w:hAnsi="Arial"/>
          <w:sz w:val="12"/>
          <w:szCs w:val="12"/>
          <w:color w:val="auto"/>
        </w:rPr>
      </w:pPr>
      <w:r>
        <w:rPr>
          <w:rFonts w:ascii="Arial" w:cs="Arial" w:eastAsia="Arial" w:hAnsi="Arial"/>
          <w:sz w:val="12"/>
          <w:szCs w:val="12"/>
          <w:b w:val="1"/>
          <w:bCs w:val="1"/>
          <w:color w:val="auto"/>
        </w:rPr>
        <w:t xml:space="preserve">Polyplexes: </w:t>
      </w:r>
      <w:r>
        <w:rPr>
          <w:rFonts w:ascii="Arial" w:cs="Arial" w:eastAsia="Arial" w:hAnsi="Arial"/>
          <w:sz w:val="12"/>
          <w:szCs w:val="12"/>
          <w:color w:val="auto"/>
        </w:rPr>
        <w:t>Our portfolio also comprises polyplexes, which are being utilized in certain of our discovery programs, in which the mRNA is bound to a polymer and then forms nanoparticles.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shown in the graphic below, our mRNA platforms utilize our wide range of mRNA formats, mRNA delivery formulations and mRNA delivery routes to optimize and tailor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126365</wp:posOffset>
            </wp:positionV>
            <wp:extent cx="3923665" cy="2406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23665"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Our therapeutic mRNA technology toolbox. </w:t>
      </w:r>
      <w:r>
        <w:rPr>
          <w:rFonts w:ascii="Arial" w:cs="Arial" w:eastAsia="Arial" w:hAnsi="Arial"/>
          <w:sz w:val="11"/>
          <w:szCs w:val="11"/>
          <w:color w:val="auto"/>
        </w:rPr>
        <w:t>Our product candidates utilize multiple mRNA formats, a broad spectrum of delivery formulations and applications using various delivery routes.</w:t>
      </w:r>
    </w:p>
    <w:p>
      <w:pPr>
        <w:spacing w:after="0" w:line="228" w:lineRule="exact"/>
        <w:rPr>
          <w:sz w:val="20"/>
          <w:szCs w:val="20"/>
          <w:color w:val="auto"/>
        </w:rPr>
      </w:pPr>
    </w:p>
    <w:p>
      <w:pPr>
        <w:ind w:left="1100" w:hanging="550"/>
        <w:spacing w:after="0"/>
        <w:tabs>
          <w:tab w:leader="none" w:pos="1100"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Our mRNA Platforms</w:t>
      </w:r>
    </w:p>
    <w:p>
      <w:pPr>
        <w:spacing w:after="0" w:line="94" w:lineRule="exact"/>
        <w:rPr>
          <w:sz w:val="20"/>
          <w:szCs w:val="20"/>
          <w:color w:val="auto"/>
        </w:rPr>
      </w:pPr>
    </w:p>
    <w:p>
      <w:pPr>
        <w:ind w:right="240" w:firstLine="556"/>
        <w:spacing w:after="0" w:line="287" w:lineRule="auto"/>
        <w:rPr>
          <w:sz w:val="20"/>
          <w:szCs w:val="20"/>
          <w:color w:val="auto"/>
        </w:rPr>
      </w:pPr>
      <w:r>
        <w:rPr>
          <w:rFonts w:ascii="Arial" w:cs="Arial" w:eastAsia="Arial" w:hAnsi="Arial"/>
          <w:sz w:val="13"/>
          <w:szCs w:val="13"/>
          <w:color w:val="auto"/>
        </w:rPr>
        <w:t>We are developing multiple mRNA-based therapeutic platforms. These include FixVac, iNeST, mRNA-based intratumoral immunotherapy, RiboMabs and RiboCytokines in the oncology space. In addition, we have implemented mRNA platforms for the development of infectious disease vaccines and protein replacement therapies for rare diseases.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07" w:name="page108"/>
    <w:bookmarkEnd w:id="107"/>
    <w:p>
      <w:pPr>
        <w:ind w:left="560"/>
        <w:spacing w:after="0"/>
        <w:rPr>
          <w:sz w:val="20"/>
          <w:szCs w:val="20"/>
          <w:color w:val="auto"/>
        </w:rPr>
      </w:pPr>
      <w:r>
        <w:rPr>
          <w:rFonts w:ascii="Arial" w:cs="Arial" w:eastAsia="Arial" w:hAnsi="Arial"/>
          <w:sz w:val="13"/>
          <w:szCs w:val="13"/>
          <w:color w:val="auto"/>
        </w:rPr>
        <w:t>Importantly, each of these platforms enables the development of multiple pharmaceutical product candidates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126365</wp:posOffset>
            </wp:positionV>
            <wp:extent cx="3644265" cy="1803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44265" cy="180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Our mRNA Platforms. </w:t>
      </w:r>
      <w:r>
        <w:rPr>
          <w:rFonts w:ascii="Arial" w:cs="Arial" w:eastAsia="Arial" w:hAnsi="Arial"/>
          <w:sz w:val="11"/>
          <w:szCs w:val="11"/>
          <w:color w:val="auto"/>
        </w:rPr>
        <w:t>We have multiple mRNA-based platforms utilizing different mRNA formats and delivery formulations, directed at a range of biological targets in oncology and infectious and rare diseases.</w:t>
      </w:r>
    </w:p>
    <w:p>
      <w:pPr>
        <w:spacing w:after="0" w:line="232" w:lineRule="exact"/>
        <w:rPr>
          <w:sz w:val="20"/>
          <w:szCs w:val="20"/>
          <w:color w:val="auto"/>
        </w:rPr>
      </w:pPr>
    </w:p>
    <w:p>
      <w:pPr>
        <w:ind w:left="1660" w:hanging="550"/>
        <w:spacing w:after="0"/>
        <w:tabs>
          <w:tab w:leader="none" w:pos="1660" w:val="left"/>
        </w:tabs>
        <w:numPr>
          <w:ilvl w:val="0"/>
          <w:numId w:val="11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Cancer Immunotherapies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goal is to develop safe, potent, efficacious and cost-effective cancer immunotherapies which stimulate and potently expand tumor cell specific CD4</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CD8</w:t>
      </w:r>
      <w:r>
        <w:rPr>
          <w:rFonts w:ascii="Arial" w:cs="Arial" w:eastAsia="Arial" w:hAnsi="Arial"/>
          <w:sz w:val="17"/>
          <w:szCs w:val="17"/>
          <w:color w:val="auto"/>
          <w:vertAlign w:val="superscript"/>
        </w:rPr>
        <w:t>+</w:t>
      </w:r>
      <w:r>
        <w:rPr>
          <w:rFonts w:ascii="Arial" w:cs="Arial" w:eastAsia="Arial" w:hAnsi="Arial"/>
          <w:sz w:val="12"/>
          <w:szCs w:val="12"/>
          <w:color w:val="auto"/>
        </w:rPr>
        <w:t xml:space="preserve"> T cells in cancer patients.</w:t>
      </w:r>
    </w:p>
    <w:p>
      <w:pPr>
        <w:ind w:left="560"/>
        <w:spacing w:after="0"/>
        <w:rPr>
          <w:sz w:val="20"/>
          <w:szCs w:val="20"/>
          <w:color w:val="auto"/>
        </w:rPr>
      </w:pPr>
      <w:r>
        <w:rPr>
          <w:rFonts w:ascii="Arial" w:cs="Arial" w:eastAsia="Arial" w:hAnsi="Arial"/>
          <w:sz w:val="13"/>
          <w:szCs w:val="13"/>
          <w:color w:val="auto"/>
        </w:rPr>
        <w:t>Our cancer immunotherapy development integrates our competencies in mRNA backbone optimization, formulation development and immunological research.</w:t>
      </w:r>
    </w:p>
    <w:p>
      <w:pPr>
        <w:spacing w:after="0" w:line="80" w:lineRule="exact"/>
        <w:rPr>
          <w:sz w:val="20"/>
          <w:szCs w:val="20"/>
          <w:color w:val="auto"/>
        </w:rPr>
      </w:pPr>
    </w:p>
    <w:p>
      <w:pPr>
        <w:ind w:left="560" w:firstLine="529"/>
        <w:spacing w:after="0" w:line="304" w:lineRule="auto"/>
        <w:rPr>
          <w:sz w:val="20"/>
          <w:szCs w:val="20"/>
          <w:color w:val="auto"/>
        </w:rPr>
      </w:pPr>
      <w:r>
        <w:rPr>
          <w:rFonts w:ascii="Arial" w:cs="Arial" w:eastAsia="Arial" w:hAnsi="Arial"/>
          <w:sz w:val="12"/>
          <w:szCs w:val="12"/>
          <w:color w:val="auto"/>
        </w:rPr>
        <w:t>We have developed novel immunotherapy approaches to replicate the highly potent and effective natural activation of the immune system in response to a viral infection. Our first generation mRNA cancer immunotherapies were delivered as naked mRNA by ultrasound guided injection into a patient’s lymph node and induced T cell responses and antitumoral activity when targeting mutant neoantigens in advanced melanoma patients. To further improve this potency and antigen specificity we have developed a nano-particulate mRNA lipoplex immunotherapy for intravenous delivery.</w:t>
      </w:r>
    </w:p>
    <w:p>
      <w:pPr>
        <w:spacing w:after="0" w:line="1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RNA-LPX Technology</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At a glance: RNA-LPX Cancer Immunotherapy Technology</w:t>
      </w:r>
    </w:p>
    <w:p>
      <w:pPr>
        <w:spacing w:after="0" w:line="90" w:lineRule="exact"/>
        <w:rPr>
          <w:sz w:val="20"/>
          <w:szCs w:val="20"/>
          <w:color w:val="auto"/>
        </w:rPr>
      </w:pPr>
    </w:p>
    <w:p>
      <w:pPr>
        <w:ind w:left="1440" w:hanging="330"/>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Potential first-in-class clinical intravenous nano-particulate mRNA immunotherapy, allowing systemic delivery.</w:t>
      </w:r>
    </w:p>
    <w:p>
      <w:pPr>
        <w:spacing w:after="0" w:line="90" w:lineRule="exact"/>
        <w:rPr>
          <w:rFonts w:ascii="Arial" w:cs="Arial" w:eastAsia="Arial" w:hAnsi="Arial"/>
          <w:sz w:val="13"/>
          <w:szCs w:val="13"/>
          <w:color w:val="auto"/>
        </w:rPr>
      </w:pPr>
    </w:p>
    <w:p>
      <w:pPr>
        <w:ind w:left="1440" w:hanging="330"/>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Strong potency by systemic targeting to dendritic cells in lymphoid tissues.</w:t>
      </w:r>
    </w:p>
    <w:p>
      <w:pPr>
        <w:spacing w:after="0" w:line="90" w:lineRule="exact"/>
        <w:rPr>
          <w:rFonts w:ascii="Arial" w:cs="Arial" w:eastAsia="Arial" w:hAnsi="Arial"/>
          <w:sz w:val="13"/>
          <w:szCs w:val="13"/>
          <w:color w:val="auto"/>
        </w:rPr>
      </w:pPr>
    </w:p>
    <w:p>
      <w:pPr>
        <w:ind w:left="1440" w:hanging="330"/>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Universally applicable for all cancer antigens.</w:t>
      </w:r>
    </w:p>
    <w:p>
      <w:pPr>
        <w:spacing w:after="0" w:line="90" w:lineRule="exact"/>
        <w:rPr>
          <w:rFonts w:ascii="Arial" w:cs="Arial" w:eastAsia="Arial" w:hAnsi="Arial"/>
          <w:sz w:val="13"/>
          <w:szCs w:val="13"/>
          <w:color w:val="auto"/>
        </w:rPr>
      </w:pPr>
    </w:p>
    <w:p>
      <w:pPr>
        <w:ind w:left="1440" w:hanging="330"/>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Opportunity to deliver multiple antigens in parallel, enabling the induction of poly-specific T cell responses.</w:t>
      </w:r>
    </w:p>
    <w:p>
      <w:pPr>
        <w:spacing w:after="0" w:line="90" w:lineRule="exact"/>
        <w:rPr>
          <w:rFonts w:ascii="Arial" w:cs="Arial" w:eastAsia="Arial" w:hAnsi="Arial"/>
          <w:sz w:val="13"/>
          <w:szCs w:val="13"/>
          <w:color w:val="auto"/>
        </w:rPr>
      </w:pPr>
    </w:p>
    <w:p>
      <w:pPr>
        <w:ind w:left="1440" w:hanging="330"/>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Synchronized adjuvant effect mediated by toll-like receptor 7 (TLR7)-triggering and type-I interferon-driven innate and adaptive immune stimulation.</w:t>
      </w:r>
    </w:p>
    <w:p>
      <w:pPr>
        <w:spacing w:after="0" w:line="80" w:lineRule="exact"/>
        <w:rPr>
          <w:rFonts w:ascii="Arial" w:cs="Arial" w:eastAsia="Arial" w:hAnsi="Arial"/>
          <w:sz w:val="13"/>
          <w:szCs w:val="13"/>
          <w:color w:val="auto"/>
        </w:rPr>
      </w:pPr>
    </w:p>
    <w:p>
      <w:pPr>
        <w:ind w:left="1440" w:hanging="330"/>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Preclinical anti-tumoral activity demonstrated against multiple tumors.</w:t>
      </w:r>
    </w:p>
    <w:p>
      <w:pPr>
        <w:spacing w:after="0" w:line="90" w:lineRule="exact"/>
        <w:rPr>
          <w:rFonts w:ascii="Arial" w:cs="Arial" w:eastAsia="Arial" w:hAnsi="Arial"/>
          <w:sz w:val="13"/>
          <w:szCs w:val="13"/>
          <w:color w:val="auto"/>
        </w:rPr>
      </w:pPr>
    </w:p>
    <w:p>
      <w:pPr>
        <w:ind w:left="1440" w:hanging="330"/>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Unprecedented clinical immune responses against shared TAAs.</w:t>
      </w:r>
    </w:p>
    <w:p>
      <w:pPr>
        <w:spacing w:after="0" w:line="90" w:lineRule="exact"/>
        <w:rPr>
          <w:rFonts w:ascii="Arial" w:cs="Arial" w:eastAsia="Arial" w:hAnsi="Arial"/>
          <w:sz w:val="13"/>
          <w:szCs w:val="13"/>
          <w:color w:val="auto"/>
        </w:rPr>
      </w:pPr>
    </w:p>
    <w:p>
      <w:pPr>
        <w:ind w:left="1440" w:hanging="330"/>
        <w:spacing w:after="0"/>
        <w:tabs>
          <w:tab w:leader="none" w:pos="14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Beneficial clinical activity demonstrated in advanced melanoma patients.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8" w:name="page109"/>
    <w:bookmarkEnd w:id="108"/>
    <w:p>
      <w:pPr>
        <w:ind w:left="560" w:firstLine="529"/>
        <w:spacing w:after="0" w:line="272" w:lineRule="auto"/>
        <w:rPr>
          <w:sz w:val="20"/>
          <w:szCs w:val="20"/>
          <w:color w:val="auto"/>
        </w:rPr>
      </w:pPr>
      <w:r>
        <w:rPr>
          <w:rFonts w:ascii="Arial" w:cs="Arial" w:eastAsia="Arial" w:hAnsi="Arial"/>
          <w:sz w:val="13"/>
          <w:szCs w:val="13"/>
          <w:color w:val="auto"/>
        </w:rPr>
        <w:t>To advance from local to systemic dendritic cell, or DC, targeting, we developed an innovative liposome-based RNA-lipoplex formulation, RNA-LPX, that allows for intravenous administration of our mRNA cancer immunotherapies. We have demonstrated in the clinic that systemic DC targeting by mRNA cancer immunotherapies can result in potent activity at very low doses. Consequently, less material is required for treating high patient numbers, making manufacturing more cost-effective.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101600</wp:posOffset>
            </wp:positionV>
            <wp:extent cx="3917315" cy="2552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17315" cy="255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27" w:lineRule="auto"/>
        <w:rPr>
          <w:sz w:val="20"/>
          <w:szCs w:val="20"/>
          <w:color w:val="auto"/>
        </w:rPr>
      </w:pPr>
      <w:r>
        <w:rPr>
          <w:rFonts w:ascii="Arial" w:cs="Arial" w:eastAsia="Arial" w:hAnsi="Arial"/>
          <w:sz w:val="11"/>
          <w:szCs w:val="11"/>
          <w:b w:val="1"/>
          <w:bCs w:val="1"/>
          <w:color w:val="auto"/>
        </w:rPr>
        <w:t xml:space="preserve">Our RNA-LPX technology. </w:t>
      </w:r>
      <w:r>
        <w:rPr>
          <w:rFonts w:ascii="Arial" w:cs="Arial" w:eastAsia="Arial" w:hAnsi="Arial"/>
          <w:sz w:val="11"/>
          <w:szCs w:val="11"/>
          <w:color w:val="auto"/>
        </w:rPr>
        <w:t>Our proprietary RNA-LPX formulation is designed to deliver vaccine mRNA precisely into DCs and macrophages in the spleen and other lymphoid compartments. The RNA-LPX has an inherent adjuvant function stimulating the</w:t>
      </w:r>
      <w:r>
        <w:rPr>
          <w:rFonts w:ascii="Arial" w:cs="Arial" w:eastAsia="Arial" w:hAnsi="Arial"/>
          <w:sz w:val="11"/>
          <w:szCs w:val="11"/>
          <w:b w:val="1"/>
          <w:bCs w:val="1"/>
          <w:color w:val="auto"/>
        </w:rPr>
        <w:t xml:space="preserve"> </w:t>
      </w:r>
      <w:r>
        <w:rPr>
          <w:rFonts w:ascii="Arial" w:cs="Arial" w:eastAsia="Arial" w:hAnsi="Arial"/>
          <w:sz w:val="11"/>
          <w:szCs w:val="11"/>
          <w:color w:val="auto"/>
        </w:rPr>
        <w:t>release of cytokines such as IFN-a thereby promoting the activation of DCs and the induction of strong T cell responses. Abbreviations: BM, bone marrow; LN, lymph node; DC, dendritic cell; pDC, plasmacytoid dendritic cell; Mø, macrophage; IFN-a, interferon alpha.</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RNA-LPX protects mRNA from degradation outside of the cell and mediates its efficient uptake and expression of encoded antigens in various dendritic cell populations.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11" w:right="359" w:bottom="1440" w:gutter="0" w:footer="0" w:header="0"/>
        </w:sectPr>
      </w:pPr>
    </w:p>
    <w:bookmarkStart w:id="109" w:name="page110"/>
    <w:bookmarkEnd w:id="109"/>
    <w:p>
      <w:pPr>
        <w:ind w:right="20" w:firstLine="527"/>
        <w:spacing w:after="0" w:line="287" w:lineRule="auto"/>
        <w:rPr>
          <w:sz w:val="20"/>
          <w:szCs w:val="20"/>
          <w:color w:val="auto"/>
        </w:rPr>
      </w:pPr>
      <w:r>
        <w:rPr>
          <w:rFonts w:ascii="Arial" w:cs="Arial" w:eastAsia="Arial" w:hAnsi="Arial"/>
          <w:sz w:val="13"/>
          <w:szCs w:val="13"/>
          <w:color w:val="auto"/>
        </w:rPr>
        <w:t>Our RNA-LPX technology is designed to target a wide variety of antigens and address cancer patients with all possible HLA haplotypes. Utilizing RNA-LPX, we can target fixed groups of known shared antigens with our FixVac platform and a whole new class of patient-specific neoantigen targets with our iNeST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95885</wp:posOffset>
            </wp:positionV>
            <wp:extent cx="3923665" cy="32188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23665" cy="321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40" w:hanging="540"/>
        <w:spacing w:after="0"/>
        <w:tabs>
          <w:tab w:leader="none" w:pos="1640" w:val="left"/>
        </w:tabs>
        <w:numPr>
          <w:ilvl w:val="0"/>
          <w:numId w:val="12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FixVac</w:t>
      </w:r>
    </w:p>
    <w:p>
      <w:pPr>
        <w:spacing w:after="0" w:line="326" w:lineRule="exact"/>
        <w:rPr>
          <w:sz w:val="20"/>
          <w:szCs w:val="20"/>
          <w:color w:val="auto"/>
        </w:rPr>
      </w:pPr>
    </w:p>
    <w:p>
      <w:pPr>
        <w:ind w:left="1400" w:hanging="330"/>
        <w:spacing w:after="0"/>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Cancer immunotherapies targeting shared antigens that we have identified to be frequently expressed across patients with a specific cancer type.</w:t>
      </w:r>
    </w:p>
    <w:p>
      <w:pPr>
        <w:spacing w:after="0" w:line="90" w:lineRule="exact"/>
        <w:rPr>
          <w:rFonts w:ascii="Arial" w:cs="Arial" w:eastAsia="Arial" w:hAnsi="Arial"/>
          <w:sz w:val="13"/>
          <w:szCs w:val="13"/>
          <w:color w:val="auto"/>
        </w:rPr>
      </w:pPr>
    </w:p>
    <w:p>
      <w:pPr>
        <w:ind w:left="1400" w:hanging="330"/>
        <w:spacing w:after="0"/>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mRNA Format: </w:t>
      </w:r>
      <w:r>
        <w:rPr>
          <w:rFonts w:ascii="Arial" w:cs="Arial" w:eastAsia="Arial" w:hAnsi="Arial"/>
          <w:sz w:val="13"/>
          <w:szCs w:val="13"/>
          <w:color w:val="auto"/>
        </w:rPr>
        <w:t>Optimized uridine mRNA providing superior immunogenicity.</w:t>
      </w:r>
    </w:p>
    <w:p>
      <w:pPr>
        <w:spacing w:after="0" w:line="90" w:lineRule="exact"/>
        <w:rPr>
          <w:rFonts w:ascii="Arial" w:cs="Arial" w:eastAsia="Arial" w:hAnsi="Arial"/>
          <w:sz w:val="13"/>
          <w:szCs w:val="13"/>
          <w:color w:val="auto"/>
        </w:rPr>
      </w:pPr>
    </w:p>
    <w:p>
      <w:pPr>
        <w:ind w:left="1400" w:hanging="330"/>
        <w:spacing w:after="0"/>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mRNA Delivery Formulation: </w:t>
      </w:r>
      <w:r>
        <w:rPr>
          <w:rFonts w:ascii="Arial" w:cs="Arial" w:eastAsia="Arial" w:hAnsi="Arial"/>
          <w:sz w:val="13"/>
          <w:szCs w:val="13"/>
          <w:color w:val="auto"/>
        </w:rPr>
        <w:t>Proprietary size- and charge-based RNA-LPX targeting DCs.</w:t>
      </w:r>
    </w:p>
    <w:p>
      <w:pPr>
        <w:spacing w:after="0" w:line="90" w:lineRule="exact"/>
        <w:rPr>
          <w:rFonts w:ascii="Arial" w:cs="Arial" w:eastAsia="Arial" w:hAnsi="Arial"/>
          <w:sz w:val="13"/>
          <w:szCs w:val="13"/>
          <w:color w:val="auto"/>
        </w:rPr>
      </w:pPr>
    </w:p>
    <w:p>
      <w:pPr>
        <w:ind w:left="1400" w:hanging="330"/>
        <w:spacing w:after="0"/>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Worldwide rights; wholly owned.</w:t>
      </w:r>
    </w:p>
    <w:p>
      <w:pPr>
        <w:spacing w:after="0" w:line="90" w:lineRule="exact"/>
        <w:rPr>
          <w:rFonts w:ascii="Arial" w:cs="Arial" w:eastAsia="Arial" w:hAnsi="Arial"/>
          <w:sz w:val="13"/>
          <w:szCs w:val="13"/>
          <w:color w:val="auto"/>
        </w:rPr>
      </w:pPr>
    </w:p>
    <w:p>
      <w:pPr>
        <w:ind w:left="1400" w:hanging="330"/>
        <w:spacing w:after="0"/>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Lead Candidate: </w:t>
      </w:r>
      <w:r>
        <w:rPr>
          <w:rFonts w:ascii="Arial" w:cs="Arial" w:eastAsia="Arial" w:hAnsi="Arial"/>
          <w:sz w:val="13"/>
          <w:szCs w:val="13"/>
          <w:color w:val="auto"/>
        </w:rPr>
        <w:t>BNT111 for metastatic melanoma.</w:t>
      </w:r>
    </w:p>
    <w:p>
      <w:pPr>
        <w:spacing w:after="0" w:line="90" w:lineRule="exact"/>
        <w:rPr>
          <w:rFonts w:ascii="Arial" w:cs="Arial" w:eastAsia="Arial" w:hAnsi="Arial"/>
          <w:sz w:val="13"/>
          <w:szCs w:val="13"/>
          <w:color w:val="auto"/>
        </w:rPr>
      </w:pPr>
    </w:p>
    <w:p>
      <w:pPr>
        <w:ind w:left="1400" w:right="480" w:hanging="330"/>
        <w:spacing w:after="0" w:line="294" w:lineRule="auto"/>
        <w:tabs>
          <w:tab w:leader="none" w:pos="140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Data Highlights: </w:t>
      </w:r>
      <w:r>
        <w:rPr>
          <w:rFonts w:ascii="Arial" w:cs="Arial" w:eastAsia="Arial" w:hAnsi="Arial"/>
          <w:sz w:val="13"/>
          <w:szCs w:val="13"/>
          <w:color w:val="auto"/>
        </w:rPr>
        <w:t>Three partial responses, one complete response and seven stable diseases in 25 patients with metastatic lesions at enrollment, following BNT111</w:t>
      </w:r>
      <w:r>
        <w:rPr>
          <w:rFonts w:ascii="Arial" w:cs="Arial" w:eastAsia="Arial" w:hAnsi="Arial"/>
          <w:sz w:val="13"/>
          <w:szCs w:val="13"/>
          <w:b w:val="1"/>
          <w:bCs w:val="1"/>
          <w:color w:val="auto"/>
        </w:rPr>
        <w:t xml:space="preserve"> </w:t>
      </w:r>
      <w:r>
        <w:rPr>
          <w:rFonts w:ascii="Arial" w:cs="Arial" w:eastAsia="Arial" w:hAnsi="Arial"/>
          <w:sz w:val="13"/>
          <w:szCs w:val="13"/>
          <w:color w:val="auto"/>
        </w:rPr>
        <w:t>monotherapy.</w:t>
      </w:r>
    </w:p>
    <w:p>
      <w:pPr>
        <w:spacing w:after="0" w:line="118" w:lineRule="exact"/>
        <w:rPr>
          <w:sz w:val="20"/>
          <w:szCs w:val="20"/>
          <w:color w:val="auto"/>
        </w:rPr>
      </w:pPr>
    </w:p>
    <w:p>
      <w:pPr>
        <w:ind w:left="560" w:firstLine="499"/>
        <w:spacing w:after="0" w:line="272" w:lineRule="auto"/>
        <w:rPr>
          <w:sz w:val="20"/>
          <w:szCs w:val="20"/>
          <w:color w:val="auto"/>
        </w:rPr>
      </w:pPr>
      <w:r>
        <w:rPr>
          <w:rFonts w:ascii="Arial" w:cs="Arial" w:eastAsia="Arial" w:hAnsi="Arial"/>
          <w:sz w:val="13"/>
          <w:szCs w:val="13"/>
          <w:color w:val="auto"/>
        </w:rPr>
        <w:t>Our FixVac approach involves off-the-shelf mRNA immunotherapies targeting cancer cell-specific shared tumor associated antigens for selected patient populations. Our FixVac product candidates target TAAs which are commonly expressed by a significant portion of patients in a given cancer type. We have developed a sophisticated target selection process which enables us to produce poly-specific FixVac immunotherapies that</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580"/>
          </w:cols>
          <w:pgMar w:left="860" w:top="131" w:right="459" w:bottom="1440" w:gutter="0" w:footer="0" w:header="0"/>
        </w:sectPr>
      </w:pPr>
    </w:p>
    <w:bookmarkStart w:id="110" w:name="page111"/>
    <w:bookmarkEnd w:id="110"/>
    <w:p>
      <w:pPr>
        <w:ind w:left="1120" w:right="60"/>
        <w:spacing w:after="0" w:line="287" w:lineRule="auto"/>
        <w:rPr>
          <w:sz w:val="20"/>
          <w:szCs w:val="20"/>
          <w:color w:val="auto"/>
        </w:rPr>
      </w:pPr>
      <w:r>
        <w:rPr>
          <w:rFonts w:ascii="Arial" w:cs="Arial" w:eastAsia="Arial" w:hAnsi="Arial"/>
          <w:sz w:val="13"/>
          <w:szCs w:val="13"/>
          <w:color w:val="auto"/>
        </w:rPr>
        <w:t>cover up to 95% of patients with a given cancer type. The use of off-the-shelf FixVac immunotherapies allows for large-batch manufacturing and prompt supply to patients with ready-to-use medication, ensuring a straight-forward cost- and time-efficient manufacturing process with favorable logistics.</w:t>
      </w:r>
    </w:p>
    <w:p>
      <w:pPr>
        <w:spacing w:after="0" w:line="122" w:lineRule="exact"/>
        <w:rPr>
          <w:sz w:val="20"/>
          <w:szCs w:val="20"/>
          <w:color w:val="auto"/>
        </w:rPr>
      </w:pPr>
    </w:p>
    <w:p>
      <w:pPr>
        <w:jc w:val="both"/>
        <w:ind w:left="1120" w:right="100" w:firstLine="499"/>
        <w:spacing w:after="0" w:line="304" w:lineRule="auto"/>
        <w:rPr>
          <w:sz w:val="20"/>
          <w:szCs w:val="20"/>
          <w:color w:val="auto"/>
        </w:rPr>
      </w:pPr>
      <w:r>
        <w:rPr>
          <w:rFonts w:ascii="Arial" w:cs="Arial" w:eastAsia="Arial" w:hAnsi="Arial"/>
          <w:sz w:val="12"/>
          <w:szCs w:val="12"/>
          <w:color w:val="auto"/>
        </w:rPr>
        <w:t>Besides targeting commonly expressed TAAs, our target selection strategy facilitates the identification of suitable viral oncoproteins for the treatment of virus-induced cancers like HPV+ head and neck cancer. Patient stratification, if needed, can easily be performed at the clinical site or a central lab using standard biotechnological methods, thereby reducing treatment costs. As the viral genome is comparatively small, encoding only for a few proteins, we believe our FixVac approach is ideally suited for the treatment of virus-induced cancers.</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Our FixVac Development Plan</w:t>
      </w:r>
    </w:p>
    <w:p>
      <w:pPr>
        <w:spacing w:after="0" w:line="170" w:lineRule="exact"/>
        <w:rPr>
          <w:sz w:val="20"/>
          <w:szCs w:val="20"/>
          <w:color w:val="auto"/>
        </w:rPr>
      </w:pPr>
    </w:p>
    <w:p>
      <w:pPr>
        <w:ind w:left="1120" w:right="100" w:firstLine="499"/>
        <w:spacing w:after="0" w:line="296" w:lineRule="auto"/>
        <w:rPr>
          <w:sz w:val="20"/>
          <w:szCs w:val="20"/>
          <w:color w:val="auto"/>
        </w:rPr>
      </w:pPr>
      <w:r>
        <w:rPr>
          <w:rFonts w:ascii="Arial" w:cs="Arial" w:eastAsia="Arial" w:hAnsi="Arial"/>
          <w:sz w:val="12"/>
          <w:szCs w:val="12"/>
          <w:color w:val="auto"/>
        </w:rPr>
        <w:t>We currently have six FixVac programs in development, with five in human trials, including our ongoing Phase 1 trial in advanced melanoma, a Phase 1 trial in HPV+ head and neck cancer and a Phase 1 trial in triple negative breast cancer. We expect to progress our advanced melanoma program into Phase 2 clinical trials with registrational potential in the second half of 2020. We enrolled the first patient in a Phase 1/2 trial in prostate cancer and the first patient was dosed in a Phase 1 ovarian cancer trial in the second half of 2019. In addition, we are planning to initiate a Phase 2 study with registrational potential for FixVac in HPV+ cancers in the second half of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Candidate</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Antigens</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Next Potential Milestone</w:t>
            </w:r>
          </w:p>
        </w:tc>
      </w:tr>
      <w:tr>
        <w:trPr>
          <w:trHeight w:val="171"/>
        </w:trPr>
        <w:tc>
          <w:tcPr>
            <w:tcW w:w="3500" w:type="dxa"/>
            <w:vAlign w:val="bottom"/>
          </w:tcPr>
          <w:p>
            <w:pPr>
              <w:spacing w:after="0"/>
              <w:rPr>
                <w:sz w:val="20"/>
                <w:szCs w:val="20"/>
                <w:color w:val="auto"/>
              </w:rPr>
            </w:pPr>
            <w:r>
              <w:rPr>
                <w:rFonts w:ascii="Arial" w:cs="Arial" w:eastAsia="Arial" w:hAnsi="Arial"/>
                <w:sz w:val="13"/>
                <w:szCs w:val="13"/>
                <w:color w:val="auto"/>
              </w:rPr>
              <w:t>BNT111</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Melanoma-specific antigens: NY-ESO-1,</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Phase 1: Advanced melanoma</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w w:val="90"/>
              </w:rPr>
              <w:t>Report Phase 1 data in 1H 2020; initiate Phase</w:t>
            </w:r>
          </w:p>
        </w:tc>
      </w:tr>
      <w:tr>
        <w:trPr>
          <w:trHeight w:val="169"/>
        </w:trPr>
        <w:tc>
          <w:tcPr>
            <w:tcW w:w="350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tyrosinase, MAGE-A3 and TPTE</w:t>
            </w: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w w:val="96"/>
              </w:rPr>
              <w:t>2 trial with registrational potential in 2H 2020</w:t>
            </w:r>
          </w:p>
        </w:tc>
      </w:tr>
      <w:tr>
        <w:trPr>
          <w:trHeight w:val="311"/>
        </w:trPr>
        <w:tc>
          <w:tcPr>
            <w:tcW w:w="3500" w:type="dxa"/>
            <w:vAlign w:val="bottom"/>
          </w:tcPr>
          <w:p>
            <w:pPr>
              <w:spacing w:after="0"/>
              <w:rPr>
                <w:sz w:val="20"/>
                <w:szCs w:val="20"/>
                <w:color w:val="auto"/>
              </w:rPr>
            </w:pPr>
            <w:r>
              <w:rPr>
                <w:rFonts w:ascii="Arial" w:cs="Arial" w:eastAsia="Arial" w:hAnsi="Arial"/>
                <w:sz w:val="13"/>
                <w:szCs w:val="13"/>
                <w:color w:val="auto"/>
              </w:rPr>
              <w:t>BNT112</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Five prostate cancer-specific antigens,</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Phase 1/2: Prostate cancer</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w:t>
            </w:r>
          </w:p>
        </w:tc>
      </w:tr>
      <w:tr>
        <w:trPr>
          <w:trHeight w:val="160"/>
        </w:trPr>
        <w:tc>
          <w:tcPr>
            <w:tcW w:w="3500" w:type="dxa"/>
            <w:vAlign w:val="bottom"/>
          </w:tcPr>
          <w:p>
            <w:pPr>
              <w:spacing w:after="0"/>
              <w:rPr>
                <w:sz w:val="13"/>
                <w:szCs w:val="13"/>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w w:val="98"/>
              </w:rPr>
              <w:t>including PAP and three internally identified</w:t>
            </w: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69"/>
        </w:trPr>
        <w:tc>
          <w:tcPr>
            <w:tcW w:w="350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antigens</w:t>
            </w: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11"/>
        </w:trPr>
        <w:tc>
          <w:tcPr>
            <w:tcW w:w="3500" w:type="dxa"/>
            <w:vAlign w:val="bottom"/>
          </w:tcPr>
          <w:p>
            <w:pPr>
              <w:spacing w:after="0"/>
              <w:rPr>
                <w:sz w:val="20"/>
                <w:szCs w:val="20"/>
                <w:color w:val="auto"/>
              </w:rPr>
            </w:pPr>
            <w:r>
              <w:rPr>
                <w:rFonts w:ascii="Arial" w:cs="Arial" w:eastAsia="Arial" w:hAnsi="Arial"/>
                <w:sz w:val="13"/>
                <w:szCs w:val="13"/>
                <w:color w:val="auto"/>
              </w:rPr>
              <w:t>BNT113</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HPV E6 and E7 oncoproteins</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w w:val="97"/>
              </w:rPr>
              <w:t>Phase 1: HPV+ head and neck cancer (IST)</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Initiate Phase 2 trial with registrational</w:t>
            </w:r>
          </w:p>
        </w:tc>
      </w:tr>
      <w:tr>
        <w:trPr>
          <w:trHeight w:val="169"/>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potential in 2H 2020</w:t>
            </w:r>
          </w:p>
        </w:tc>
      </w:tr>
      <w:tr>
        <w:trPr>
          <w:trHeight w:val="311"/>
        </w:trPr>
        <w:tc>
          <w:tcPr>
            <w:tcW w:w="3500" w:type="dxa"/>
            <w:vAlign w:val="bottom"/>
          </w:tcPr>
          <w:p>
            <w:pPr>
              <w:spacing w:after="0"/>
              <w:rPr>
                <w:sz w:val="20"/>
                <w:szCs w:val="20"/>
                <w:color w:val="auto"/>
              </w:rPr>
            </w:pPr>
            <w:r>
              <w:rPr>
                <w:rFonts w:ascii="Arial" w:cs="Arial" w:eastAsia="Arial" w:hAnsi="Arial"/>
                <w:sz w:val="13"/>
                <w:szCs w:val="13"/>
                <w:color w:val="auto"/>
              </w:rPr>
              <w:t>BNT114</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Selected breast cancer-specific antigens</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Phase 1: TNBC</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w w:val="99"/>
              </w:rPr>
              <w:t>Report data update in 2H 2020 and assess</w:t>
            </w:r>
          </w:p>
        </w:tc>
      </w:tr>
      <w:tr>
        <w:trPr>
          <w:trHeight w:val="169"/>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antigen immunogenicity</w:t>
            </w:r>
          </w:p>
        </w:tc>
      </w:tr>
      <w:tr>
        <w:trPr>
          <w:trHeight w:val="320"/>
        </w:trPr>
        <w:tc>
          <w:tcPr>
            <w:tcW w:w="3500" w:type="dxa"/>
            <w:vAlign w:val="bottom"/>
          </w:tcPr>
          <w:p>
            <w:pPr>
              <w:spacing w:after="0"/>
              <w:rPr>
                <w:sz w:val="20"/>
                <w:szCs w:val="20"/>
                <w:color w:val="auto"/>
              </w:rPr>
            </w:pPr>
            <w:r>
              <w:rPr>
                <w:rFonts w:ascii="Arial" w:cs="Arial" w:eastAsia="Arial" w:hAnsi="Arial"/>
                <w:sz w:val="13"/>
                <w:szCs w:val="13"/>
                <w:color w:val="auto"/>
              </w:rPr>
              <w:t>BNT115</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Selected ovarian cancer-specific antigens</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Phase 1</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w:t>
            </w:r>
          </w:p>
        </w:tc>
      </w:tr>
      <w:tr>
        <w:trPr>
          <w:trHeight w:val="480"/>
        </w:trPr>
        <w:tc>
          <w:tcPr>
            <w:tcW w:w="3500" w:type="dxa"/>
            <w:vAlign w:val="bottom"/>
          </w:tcPr>
          <w:p>
            <w:pPr>
              <w:spacing w:after="0"/>
              <w:rPr>
                <w:sz w:val="20"/>
                <w:szCs w:val="20"/>
                <w:color w:val="auto"/>
              </w:rPr>
            </w:pPr>
            <w:r>
              <w:rPr>
                <w:rFonts w:ascii="Arial" w:cs="Arial" w:eastAsia="Arial" w:hAnsi="Arial"/>
                <w:sz w:val="13"/>
                <w:szCs w:val="13"/>
                <w:color w:val="auto"/>
              </w:rPr>
              <w:t>BNT116</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Non-small cell lung cancer</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Preclinical</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w:t>
            </w:r>
          </w:p>
        </w:tc>
      </w:tr>
    </w:tbl>
    <w:p>
      <w:pPr>
        <w:spacing w:after="0" w:line="231" w:lineRule="exact"/>
        <w:rPr>
          <w:sz w:val="20"/>
          <w:szCs w:val="20"/>
          <w:color w:val="auto"/>
        </w:rPr>
      </w:pPr>
    </w:p>
    <w:p>
      <w:pPr>
        <w:ind w:left="1620" w:right="5760" w:firstLine="40"/>
        <w:spacing w:after="0" w:line="382" w:lineRule="auto"/>
        <w:tabs>
          <w:tab w:leader="none" w:pos="2216" w:val="left"/>
        </w:tabs>
        <w:numPr>
          <w:ilvl w:val="0"/>
          <w:numId w:val="12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Individualized Neoantigen Specific Immunotherapy (iNeST) At a glance: Our iNeST Platform</w:t>
      </w:r>
    </w:p>
    <w:p>
      <w:pPr>
        <w:ind w:left="2000" w:hanging="340"/>
        <w:spacing w:after="0"/>
        <w:tabs>
          <w:tab w:leader="none" w:pos="2000"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Individualized cancer immunotherapy targeting neoantigens identified on a patient by patient basis and selected for immunogenicity.</w:t>
      </w:r>
    </w:p>
    <w:p>
      <w:pPr>
        <w:spacing w:after="0" w:line="150" w:lineRule="exact"/>
        <w:rPr>
          <w:rFonts w:ascii="Arial" w:cs="Arial" w:eastAsia="Arial" w:hAnsi="Arial"/>
          <w:sz w:val="13"/>
          <w:szCs w:val="13"/>
          <w:color w:val="auto"/>
        </w:rPr>
      </w:pPr>
    </w:p>
    <w:p>
      <w:pPr>
        <w:ind w:left="2000" w:hanging="340"/>
        <w:spacing w:after="0"/>
        <w:tabs>
          <w:tab w:leader="none" w:pos="2000"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 xml:space="preserve">mRNA Format: </w:t>
      </w:r>
      <w:r>
        <w:rPr>
          <w:rFonts w:ascii="Arial" w:cs="Arial" w:eastAsia="Arial" w:hAnsi="Arial"/>
          <w:sz w:val="13"/>
          <w:szCs w:val="13"/>
          <w:color w:val="auto"/>
        </w:rPr>
        <w:t>Optimized uridine mRNA providing superior immunogenicity.</w:t>
      </w:r>
    </w:p>
    <w:p>
      <w:pPr>
        <w:spacing w:after="0" w:line="90" w:lineRule="exact"/>
        <w:rPr>
          <w:rFonts w:ascii="Arial" w:cs="Arial" w:eastAsia="Arial" w:hAnsi="Arial"/>
          <w:sz w:val="13"/>
          <w:szCs w:val="13"/>
          <w:color w:val="auto"/>
        </w:rPr>
      </w:pPr>
    </w:p>
    <w:p>
      <w:pPr>
        <w:ind w:left="2000" w:hanging="340"/>
        <w:spacing w:after="0"/>
        <w:tabs>
          <w:tab w:leader="none" w:pos="2000"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 xml:space="preserve">mRNA Delivery Formulation: </w:t>
      </w:r>
      <w:r>
        <w:rPr>
          <w:rFonts w:ascii="Arial" w:cs="Arial" w:eastAsia="Arial" w:hAnsi="Arial"/>
          <w:sz w:val="13"/>
          <w:szCs w:val="13"/>
          <w:color w:val="auto"/>
        </w:rPr>
        <w:t>Proprietary size- and charge-based RNA-LPX targeting DCs.</w:t>
      </w:r>
    </w:p>
    <w:p>
      <w:pPr>
        <w:spacing w:after="0" w:line="90" w:lineRule="exact"/>
        <w:rPr>
          <w:rFonts w:ascii="Arial" w:cs="Arial" w:eastAsia="Arial" w:hAnsi="Arial"/>
          <w:sz w:val="13"/>
          <w:szCs w:val="13"/>
          <w:color w:val="auto"/>
        </w:rPr>
      </w:pPr>
    </w:p>
    <w:p>
      <w:pPr>
        <w:ind w:left="2000" w:hanging="340"/>
        <w:spacing w:after="0"/>
        <w:tabs>
          <w:tab w:leader="none" w:pos="2000"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50:50 cost share with Genentech.</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11" w:name="page112"/>
    <w:bookmarkEnd w:id="111"/>
    <w:p>
      <w:pPr>
        <w:ind w:left="2000" w:hanging="340"/>
        <w:spacing w:after="0"/>
        <w:tabs>
          <w:tab w:leader="none" w:pos="2000" w:val="left"/>
        </w:tabs>
        <w:numPr>
          <w:ilvl w:val="0"/>
          <w:numId w:val="125"/>
        </w:numPr>
        <w:rPr>
          <w:rFonts w:ascii="Arial" w:cs="Arial" w:eastAsia="Arial" w:hAnsi="Arial"/>
          <w:sz w:val="13"/>
          <w:szCs w:val="13"/>
          <w:color w:val="auto"/>
        </w:rPr>
      </w:pPr>
      <w:r>
        <w:rPr>
          <w:rFonts w:ascii="Arial" w:cs="Arial" w:eastAsia="Arial" w:hAnsi="Arial"/>
          <w:sz w:val="13"/>
          <w:szCs w:val="13"/>
          <w:b w:val="1"/>
          <w:bCs w:val="1"/>
          <w:color w:val="auto"/>
        </w:rPr>
        <w:t xml:space="preserve">Lead Indication: </w:t>
      </w:r>
      <w:r>
        <w:rPr>
          <w:rFonts w:ascii="Arial" w:cs="Arial" w:eastAsia="Arial" w:hAnsi="Arial"/>
          <w:sz w:val="13"/>
          <w:szCs w:val="13"/>
          <w:color w:val="auto"/>
        </w:rPr>
        <w:t>RO7198457 (BNT122) as a first-line melanoma therapy in combination with pembrolizumab.</w:t>
      </w:r>
    </w:p>
    <w:p>
      <w:pPr>
        <w:spacing w:after="0" w:line="90" w:lineRule="exact"/>
        <w:rPr>
          <w:rFonts w:ascii="Arial" w:cs="Arial" w:eastAsia="Arial" w:hAnsi="Arial"/>
          <w:sz w:val="13"/>
          <w:szCs w:val="13"/>
          <w:color w:val="auto"/>
        </w:rPr>
      </w:pPr>
    </w:p>
    <w:p>
      <w:pPr>
        <w:ind w:left="2000" w:right="180" w:hanging="340"/>
        <w:spacing w:after="0" w:line="308" w:lineRule="auto"/>
        <w:tabs>
          <w:tab w:leader="none" w:pos="2000" w:val="left"/>
        </w:tabs>
        <w:numPr>
          <w:ilvl w:val="0"/>
          <w:numId w:val="125"/>
        </w:numPr>
        <w:rPr>
          <w:rFonts w:ascii="Arial" w:cs="Arial" w:eastAsia="Arial" w:hAnsi="Arial"/>
          <w:sz w:val="12"/>
          <w:szCs w:val="12"/>
          <w:color w:val="auto"/>
        </w:rPr>
      </w:pPr>
      <w:r>
        <w:rPr>
          <w:rFonts w:ascii="Arial" w:cs="Arial" w:eastAsia="Arial" w:hAnsi="Arial"/>
          <w:sz w:val="12"/>
          <w:szCs w:val="12"/>
          <w:b w:val="1"/>
          <w:bCs w:val="1"/>
          <w:color w:val="auto"/>
        </w:rPr>
        <w:t xml:space="preserve">Data Highlights: </w:t>
      </w:r>
      <w:r>
        <w:rPr>
          <w:rFonts w:ascii="Arial" w:cs="Arial" w:eastAsia="Arial" w:hAnsi="Arial"/>
          <w:sz w:val="12"/>
          <w:szCs w:val="12"/>
          <w:color w:val="auto"/>
        </w:rPr>
        <w:t>In a previous Phase 1 trial of BNT121, we observed first-in-human data in 13 patients with metastatic melanoma demonstrating stable progression-free</w:t>
      </w:r>
      <w:r>
        <w:rPr>
          <w:rFonts w:ascii="Arial" w:cs="Arial" w:eastAsia="Arial" w:hAnsi="Arial"/>
          <w:sz w:val="12"/>
          <w:szCs w:val="12"/>
          <w:b w:val="1"/>
          <w:bCs w:val="1"/>
          <w:color w:val="auto"/>
        </w:rPr>
        <w:t xml:space="preserve"> </w:t>
      </w:r>
      <w:r>
        <w:rPr>
          <w:rFonts w:ascii="Arial" w:cs="Arial" w:eastAsia="Arial" w:hAnsi="Arial"/>
          <w:sz w:val="12"/>
          <w:szCs w:val="12"/>
          <w:color w:val="auto"/>
        </w:rPr>
        <w:t>survival in nine patients for up to 41 months, and additional objective responses in three of five patients with metastatic disease at time of treatment with iNeST, including one patient receiving combination therapy. We also observed a significant decrease in the cumulative recurrence rate post-treatment as compared to pre-treatment.</w:t>
      </w:r>
    </w:p>
    <w:p>
      <w:pPr>
        <w:spacing w:after="0" w:line="113" w:lineRule="exact"/>
        <w:rPr>
          <w:sz w:val="20"/>
          <w:szCs w:val="20"/>
          <w:color w:val="auto"/>
        </w:rPr>
      </w:pPr>
    </w:p>
    <w:p>
      <w:pPr>
        <w:ind w:left="1120" w:firstLine="499"/>
        <w:spacing w:after="0" w:line="287" w:lineRule="auto"/>
        <w:rPr>
          <w:sz w:val="20"/>
          <w:szCs w:val="20"/>
          <w:color w:val="auto"/>
        </w:rPr>
      </w:pPr>
      <w:r>
        <w:rPr>
          <w:rFonts w:ascii="Arial" w:cs="Arial" w:eastAsia="Arial" w:hAnsi="Arial"/>
          <w:sz w:val="13"/>
          <w:szCs w:val="13"/>
          <w:color w:val="auto"/>
        </w:rPr>
        <w:t>We are a pioneer and global leader in developing fully individualized cancer immunotherapies. We have developed a first of its kind, on-demand manufacturing process to treat each individual patient based on the mutation profile of the patient’s tumor. We are investigating this treatment approach in the clinic in collaboration with 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95885</wp:posOffset>
            </wp:positionV>
            <wp:extent cx="3612515" cy="9969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12515" cy="99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Our iNeST process. </w:t>
      </w:r>
      <w:r>
        <w:rPr>
          <w:rFonts w:ascii="Arial" w:cs="Arial" w:eastAsia="Arial" w:hAnsi="Arial"/>
          <w:sz w:val="11"/>
          <w:szCs w:val="11"/>
          <w:color w:val="auto"/>
        </w:rPr>
        <w:t>The figure above depicts our iNeST process for the on-demand production of individualized mRNA cancer immunotherapies.</w:t>
      </w:r>
    </w:p>
    <w:p>
      <w:pPr>
        <w:spacing w:after="0" w:line="15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Our iNeST process is summarized below:</w:t>
      </w:r>
    </w:p>
    <w:p>
      <w:pPr>
        <w:spacing w:after="0" w:line="90" w:lineRule="exact"/>
        <w:rPr>
          <w:sz w:val="20"/>
          <w:szCs w:val="20"/>
          <w:color w:val="auto"/>
        </w:rPr>
      </w:pPr>
    </w:p>
    <w:p>
      <w:pPr>
        <w:ind w:left="2000" w:right="80" w:hanging="340"/>
        <w:spacing w:after="0" w:line="272" w:lineRule="auto"/>
        <w:tabs>
          <w:tab w:leader="none" w:pos="20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 blood sample and tumor biopsy is taken from the patient to obtain healthy cells and tumor tissue. We extract healthy cells from the patient’s blood sample and tumor cells from the tumor sample. We use NGS to analyze genetic material (DNA and RNA) of these cells to identify which mutations are present in the cancer cells compared to healthy cells.</w:t>
      </w:r>
    </w:p>
    <w:p>
      <w:pPr>
        <w:spacing w:after="0" w:line="51" w:lineRule="exact"/>
        <w:rPr>
          <w:rFonts w:ascii="Arial" w:cs="Arial" w:eastAsia="Arial" w:hAnsi="Arial"/>
          <w:sz w:val="13"/>
          <w:szCs w:val="13"/>
          <w:color w:val="auto"/>
        </w:rPr>
      </w:pPr>
    </w:p>
    <w:p>
      <w:pPr>
        <w:ind w:left="2000" w:right="80" w:hanging="340"/>
        <w:spacing w:after="0" w:line="272" w:lineRule="auto"/>
        <w:tabs>
          <w:tab w:leader="none" w:pos="20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We apply proprietary bioinformatic algorithms to identify tumor-specific mutations. The mutations within a cancer cell differ widely from patient to patient and form a unique signature for each tumor. This genomic information can be further utilized to analyze tumor heterogeneity and microenvironment as well as individual aspects of the immune system like the HLA type.</w:t>
      </w:r>
    </w:p>
    <w:p>
      <w:pPr>
        <w:spacing w:after="0" w:line="51" w:lineRule="exact"/>
        <w:rPr>
          <w:rFonts w:ascii="Arial" w:cs="Arial" w:eastAsia="Arial" w:hAnsi="Arial"/>
          <w:sz w:val="13"/>
          <w:szCs w:val="13"/>
          <w:color w:val="auto"/>
        </w:rPr>
      </w:pPr>
    </w:p>
    <w:p>
      <w:pPr>
        <w:ind w:left="2000" w:right="80" w:hanging="340"/>
        <w:spacing w:after="0" w:line="262" w:lineRule="auto"/>
        <w:tabs>
          <w:tab w:leader="none" w:pos="20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Based on these bioinformatic algorithms, we then select mutations that are the most promising therapeutic targets. The specific traits of the patient’s immune system, including HLA type, are key to the selection of the most appropriate targets. Picking multiple mutations increases the chance to induce potent T cell responses and reduces the risk that the tumor evades T cell attack over time. We account for heterogeneity of each tumor by preferentially selecting mutations that are expressed on all tumor cells. Importantly, the selected mutations are intended to ensure both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 induction.</w:t>
      </w:r>
    </w:p>
    <w:p>
      <w:pPr>
        <w:spacing w:after="0" w:line="1" w:lineRule="exact"/>
        <w:rPr>
          <w:rFonts w:ascii="Arial" w:cs="Arial" w:eastAsia="Arial" w:hAnsi="Arial"/>
          <w:sz w:val="13"/>
          <w:szCs w:val="13"/>
          <w:color w:val="auto"/>
        </w:rPr>
      </w:pPr>
    </w:p>
    <w:p>
      <w:pPr>
        <w:ind w:left="2000" w:right="220" w:hanging="340"/>
        <w:spacing w:after="0" w:line="314" w:lineRule="auto"/>
        <w:tabs>
          <w:tab w:leader="none" w:pos="200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Following mutation selection, we design the structure for the iNeST product. The chosen mutations have to be arranged in a certain order and the DNA sequence of the mutations has to be optimized. This is important to ensure a robust production of the starting material, or DNA matrix, for the GMP manufacturing of the iNeST product.</w:t>
      </w:r>
    </w:p>
    <w:p>
      <w:pPr>
        <w:spacing w:after="0" w:line="88" w:lineRule="exact"/>
        <w:rPr>
          <w:rFonts w:ascii="Arial" w:cs="Arial" w:eastAsia="Arial" w:hAnsi="Arial"/>
          <w:sz w:val="12"/>
          <w:szCs w:val="12"/>
          <w:color w:val="auto"/>
        </w:rPr>
      </w:pPr>
    </w:p>
    <w:p>
      <w:pPr>
        <w:ind w:left="2000" w:hanging="340"/>
        <w:spacing w:after="0"/>
        <w:tabs>
          <w:tab w:leader="none" w:pos="20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Next we produce the patient-specific iNeST product under GMP conditions and the iNeST product undergoes numerous different quality control tests.</w:t>
      </w:r>
    </w:p>
    <w:p>
      <w:pPr>
        <w:spacing w:after="0" w:line="90" w:lineRule="exact"/>
        <w:rPr>
          <w:rFonts w:ascii="Arial" w:cs="Arial" w:eastAsia="Arial" w:hAnsi="Arial"/>
          <w:sz w:val="13"/>
          <w:szCs w:val="13"/>
          <w:color w:val="auto"/>
        </w:rPr>
      </w:pPr>
    </w:p>
    <w:p>
      <w:pPr>
        <w:ind w:left="2000" w:hanging="340"/>
        <w:spacing w:after="0"/>
        <w:tabs>
          <w:tab w:leader="none" w:pos="20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iNeST product is transferred to the hospital and injected into the same patient by the physician.</w:t>
      </w:r>
    </w:p>
    <w:p>
      <w:pPr>
        <w:spacing w:after="0" w:line="90" w:lineRule="exact"/>
        <w:rPr>
          <w:rFonts w:ascii="Arial" w:cs="Arial" w:eastAsia="Arial" w:hAnsi="Arial"/>
          <w:sz w:val="13"/>
          <w:szCs w:val="13"/>
          <w:color w:val="auto"/>
        </w:rPr>
      </w:pPr>
    </w:p>
    <w:p>
      <w:pPr>
        <w:ind w:left="2000" w:hanging="340"/>
        <w:spacing w:after="0"/>
        <w:tabs>
          <w:tab w:leader="none" w:pos="20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This process has been designed for the on-demand delivery of our iNeST products, and currently takes approximately six weeks.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12" w:name="page113"/>
    <w:bookmarkEnd w:id="112"/>
    <w:p>
      <w:pPr>
        <w:ind w:left="1620"/>
        <w:spacing w:after="0"/>
        <w:rPr>
          <w:sz w:val="20"/>
          <w:szCs w:val="20"/>
          <w:color w:val="auto"/>
        </w:rPr>
      </w:pPr>
      <w:r>
        <w:rPr>
          <w:rFonts w:ascii="Arial" w:cs="Arial" w:eastAsia="Arial" w:hAnsi="Arial"/>
          <w:sz w:val="13"/>
          <w:szCs w:val="13"/>
          <w:b w:val="1"/>
          <w:bCs w:val="1"/>
          <w:i w:val="1"/>
          <w:iCs w:val="1"/>
          <w:color w:val="auto"/>
        </w:rPr>
        <w:t>Our iNeST Development Plan</w:t>
      </w:r>
    </w:p>
    <w:p>
      <w:pPr>
        <w:spacing w:after="0" w:line="170" w:lineRule="exact"/>
        <w:rPr>
          <w:sz w:val="20"/>
          <w:szCs w:val="20"/>
          <w:color w:val="auto"/>
        </w:rPr>
      </w:pPr>
    </w:p>
    <w:p>
      <w:pPr>
        <w:ind w:left="1120" w:firstLine="499"/>
        <w:spacing w:after="0" w:line="291" w:lineRule="auto"/>
        <w:rPr>
          <w:sz w:val="20"/>
          <w:szCs w:val="20"/>
          <w:color w:val="auto"/>
        </w:rPr>
      </w:pPr>
      <w:r>
        <w:rPr>
          <w:rFonts w:ascii="Arial" w:cs="Arial" w:eastAsia="Arial" w:hAnsi="Arial"/>
          <w:sz w:val="12"/>
          <w:szCs w:val="12"/>
          <w:color w:val="auto"/>
        </w:rPr>
        <w:t>We are currently developing iNeST therapeutics for the treatment of metastatic melanoma and multiple solid tumors. We are conducting two clinical trials of iNeST in collaboration with Genentech, including one randomized Phase 2 trial in first-line melanoma in combination with pembrolizumab and a Phase 1a/1b trial in patients with locally advanced or metastatic tumors (including in melanoma, non-small cell lung cancer, bladder cancer and other solid tumors) as a monotherapy and in combination with atezolizumab. We expect to announce a topline data update from the first-line melanoma trial in the second half of 2020 and a data update from the Phase 1a/1b trial in solid tumors in 2020. We and Genentech plan to initiate two additional clinical trials for RO7198457 (BNT122) in 2020 in first-line solid cancers in the adjuvant setting, one in combination with atezolizumab and the other as a monotherapy.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Candidate</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Antigens</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Next Potential Milestone</w:t>
            </w:r>
          </w:p>
        </w:tc>
      </w:tr>
      <w:tr>
        <w:trPr>
          <w:trHeight w:val="171"/>
        </w:trPr>
        <w:tc>
          <w:tcPr>
            <w:tcW w:w="3500" w:type="dxa"/>
            <w:vAlign w:val="bottom"/>
          </w:tcPr>
          <w:p>
            <w:pPr>
              <w:spacing w:after="0"/>
              <w:rPr>
                <w:sz w:val="20"/>
                <w:szCs w:val="20"/>
                <w:color w:val="auto"/>
              </w:rPr>
            </w:pPr>
            <w:r>
              <w:rPr>
                <w:rFonts w:ascii="Arial" w:cs="Arial" w:eastAsia="Arial" w:hAnsi="Arial"/>
                <w:sz w:val="13"/>
                <w:szCs w:val="13"/>
                <w:color w:val="auto"/>
              </w:rPr>
              <w:t>RO7198457 (BNT122)</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w w:val="93"/>
              </w:rPr>
              <w:t>Up to 20 neoantigens selected on a patient by</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w w:val="98"/>
              </w:rPr>
              <w:t>Phase 2: first-line melanoma in combination</w:t>
            </w:r>
          </w:p>
        </w:tc>
        <w:tc>
          <w:tcPr>
            <w:tcW w:w="2580" w:type="dxa"/>
            <w:vAlign w:val="bottom"/>
            <w:gridSpan w:val="2"/>
          </w:tcPr>
          <w:p>
            <w:pPr>
              <w:ind w:left="100"/>
              <w:spacing w:after="0" w:line="172" w:lineRule="exact"/>
              <w:rPr>
                <w:sz w:val="20"/>
                <w:szCs w:val="20"/>
                <w:color w:val="auto"/>
              </w:rPr>
            </w:pPr>
            <w:r>
              <w:rPr>
                <w:rFonts w:ascii="Arial" w:cs="Arial" w:eastAsia="Arial" w:hAnsi="Arial"/>
                <w:sz w:val="13"/>
                <w:szCs w:val="13"/>
                <w:color w:val="auto"/>
              </w:rPr>
              <w:t>Report topline data update in 2H 2020</w:t>
            </w:r>
            <w:r>
              <w:rPr>
                <w:rFonts w:ascii="Arial" w:cs="Arial" w:eastAsia="Arial" w:hAnsi="Arial"/>
                <w:sz w:val="19"/>
                <w:szCs w:val="19"/>
                <w:color w:val="auto"/>
                <w:vertAlign w:val="superscript"/>
              </w:rPr>
              <w:t>1</w:t>
            </w:r>
          </w:p>
        </w:tc>
      </w:tr>
      <w:tr>
        <w:trPr>
          <w:trHeight w:val="169"/>
        </w:trPr>
        <w:tc>
          <w:tcPr>
            <w:tcW w:w="350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patient basis</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with pembrolizumab</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20"/>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Phase 1a/1b: multiple solid tumors</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Report data update in 2020</w:t>
            </w:r>
          </w:p>
        </w:tc>
      </w:tr>
    </w:tbl>
    <w:p>
      <w:pPr>
        <w:spacing w:after="0" w:line="111" w:lineRule="exact"/>
        <w:rPr>
          <w:sz w:val="20"/>
          <w:szCs w:val="20"/>
          <w:color w:val="auto"/>
        </w:rPr>
      </w:pPr>
    </w:p>
    <w:p>
      <w:pPr>
        <w:ind w:left="280" w:right="260" w:hanging="280"/>
        <w:spacing w:after="0" w:line="214" w:lineRule="auto"/>
        <w:tabs>
          <w:tab w:leader="none" w:pos="280" w:val="left"/>
        </w:tabs>
        <w:numPr>
          <w:ilvl w:val="0"/>
          <w:numId w:val="127"/>
        </w:numPr>
        <w:rPr>
          <w:rFonts w:ascii="Arial" w:cs="Arial" w:eastAsia="Arial" w:hAnsi="Arial"/>
          <w:sz w:val="19"/>
          <w:szCs w:val="19"/>
          <w:color w:val="auto"/>
          <w:vertAlign w:val="superscript"/>
        </w:rPr>
      </w:pPr>
      <w:r>
        <w:rPr>
          <w:rFonts w:ascii="Arial" w:cs="Arial" w:eastAsia="Arial" w:hAnsi="Arial"/>
          <w:sz w:val="13"/>
          <w:szCs w:val="13"/>
          <w:color w:val="auto"/>
        </w:rPr>
        <w:t>We expect this topline data update to include an update on the ongoing study, including patient enrollment numbers, with full efficacy and safety data for an interim update expected in the second half of 2021.</w:t>
      </w:r>
    </w:p>
    <w:p>
      <w:pPr>
        <w:spacing w:after="0" w:line="232" w:lineRule="exact"/>
        <w:rPr>
          <w:sz w:val="20"/>
          <w:szCs w:val="20"/>
          <w:color w:val="auto"/>
        </w:rPr>
      </w:pPr>
    </w:p>
    <w:p>
      <w:pPr>
        <w:jc w:val="both"/>
        <w:ind w:left="1620" w:right="7020" w:firstLine="40"/>
        <w:spacing w:after="0" w:line="413" w:lineRule="auto"/>
        <w:tabs>
          <w:tab w:leader="none" w:pos="2216"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Intratumoral mRNA Immunotherapy At a glance: Our Intratumoral mRNA Platform</w:t>
      </w:r>
    </w:p>
    <w:p>
      <w:pPr>
        <w:spacing w:after="0" w:line="1" w:lineRule="exact"/>
        <w:rPr>
          <w:sz w:val="20"/>
          <w:szCs w:val="20"/>
          <w:color w:val="auto"/>
        </w:rPr>
      </w:pPr>
    </w:p>
    <w:p>
      <w:pPr>
        <w:ind w:left="2000" w:hanging="340"/>
        <w:spacing w:after="0"/>
        <w:tabs>
          <w:tab w:leader="none" w:pos="2000"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Immunomodulator-encoding mRNA injected directly into the tumor in order to avoid off-target toxicities.</w:t>
      </w:r>
    </w:p>
    <w:p>
      <w:pPr>
        <w:spacing w:after="0" w:line="90" w:lineRule="exact"/>
        <w:rPr>
          <w:rFonts w:ascii="Arial" w:cs="Arial" w:eastAsia="Arial" w:hAnsi="Arial"/>
          <w:sz w:val="13"/>
          <w:szCs w:val="13"/>
          <w:color w:val="auto"/>
        </w:rPr>
      </w:pPr>
    </w:p>
    <w:p>
      <w:pPr>
        <w:ind w:left="2000" w:right="40" w:hanging="340"/>
        <w:spacing w:after="0" w:line="294" w:lineRule="auto"/>
        <w:tabs>
          <w:tab w:leader="none" w:pos="2000"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 xml:space="preserve">mRNA Format: </w:t>
      </w:r>
      <w:r>
        <w:rPr>
          <w:rFonts w:ascii="Arial" w:cs="Arial" w:eastAsia="Arial" w:hAnsi="Arial"/>
          <w:sz w:val="13"/>
          <w:szCs w:val="13"/>
          <w:color w:val="auto"/>
        </w:rPr>
        <w:t>Nucleoside-modified mRNA engineered for minimal immunogenicity in order to avoid immune detection and allow translation of the encoded cytokines to</w:t>
      </w:r>
      <w:r>
        <w:rPr>
          <w:rFonts w:ascii="Arial" w:cs="Arial" w:eastAsia="Arial" w:hAnsi="Arial"/>
          <w:sz w:val="13"/>
          <w:szCs w:val="13"/>
          <w:b w:val="1"/>
          <w:bCs w:val="1"/>
          <w:color w:val="auto"/>
        </w:rPr>
        <w:t xml:space="preserve"> </w:t>
      </w:r>
      <w:r>
        <w:rPr>
          <w:rFonts w:ascii="Arial" w:cs="Arial" w:eastAsia="Arial" w:hAnsi="Arial"/>
          <w:sz w:val="13"/>
          <w:szCs w:val="13"/>
          <w:color w:val="auto"/>
        </w:rPr>
        <w:t>occur within the cells.</w:t>
      </w:r>
    </w:p>
    <w:p>
      <w:pPr>
        <w:spacing w:after="0" w:line="33" w:lineRule="exact"/>
        <w:rPr>
          <w:rFonts w:ascii="Arial" w:cs="Arial" w:eastAsia="Arial" w:hAnsi="Arial"/>
          <w:sz w:val="13"/>
          <w:szCs w:val="13"/>
          <w:color w:val="auto"/>
        </w:rPr>
      </w:pPr>
    </w:p>
    <w:p>
      <w:pPr>
        <w:ind w:left="2000" w:hanging="340"/>
        <w:spacing w:after="0"/>
        <w:tabs>
          <w:tab w:leader="none" w:pos="2000"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 xml:space="preserve">mRNA Delivery Formulation: </w:t>
      </w:r>
      <w:r>
        <w:rPr>
          <w:rFonts w:ascii="Arial" w:cs="Arial" w:eastAsia="Arial" w:hAnsi="Arial"/>
          <w:sz w:val="13"/>
          <w:szCs w:val="13"/>
          <w:color w:val="auto"/>
        </w:rPr>
        <w:t>Various formulations, delivered by intratumoral injection.</w:t>
      </w:r>
    </w:p>
    <w:p>
      <w:pPr>
        <w:spacing w:after="0" w:line="90" w:lineRule="exact"/>
        <w:rPr>
          <w:rFonts w:ascii="Arial" w:cs="Arial" w:eastAsia="Arial" w:hAnsi="Arial"/>
          <w:sz w:val="13"/>
          <w:szCs w:val="13"/>
          <w:color w:val="auto"/>
        </w:rPr>
      </w:pPr>
    </w:p>
    <w:p>
      <w:pPr>
        <w:ind w:left="2000" w:hanging="340"/>
        <w:spacing w:after="0"/>
        <w:tabs>
          <w:tab w:leader="none" w:pos="2000"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Co-development and co-commercialization, at our option, in collaboration with Sanofi.</w:t>
      </w:r>
    </w:p>
    <w:p>
      <w:pPr>
        <w:spacing w:after="0" w:line="90" w:lineRule="exact"/>
        <w:rPr>
          <w:rFonts w:ascii="Arial" w:cs="Arial" w:eastAsia="Arial" w:hAnsi="Arial"/>
          <w:sz w:val="13"/>
          <w:szCs w:val="13"/>
          <w:color w:val="auto"/>
        </w:rPr>
      </w:pPr>
    </w:p>
    <w:p>
      <w:pPr>
        <w:ind w:left="2000" w:hanging="340"/>
        <w:spacing w:after="0"/>
        <w:tabs>
          <w:tab w:leader="none" w:pos="2000"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 xml:space="preserve">Lead Candidate: </w:t>
      </w:r>
      <w:r>
        <w:rPr>
          <w:rFonts w:ascii="Arial" w:cs="Arial" w:eastAsia="Arial" w:hAnsi="Arial"/>
          <w:sz w:val="13"/>
          <w:szCs w:val="13"/>
          <w:color w:val="auto"/>
        </w:rPr>
        <w:t>SAR441000 (BNT131) for advanced solid tumors as a monotherapy and in combination with cemiplimab.</w:t>
      </w:r>
    </w:p>
    <w:p>
      <w:pPr>
        <w:spacing w:after="0" w:line="174" w:lineRule="exact"/>
        <w:rPr>
          <w:sz w:val="20"/>
          <w:szCs w:val="20"/>
          <w:color w:val="auto"/>
        </w:rPr>
      </w:pPr>
    </w:p>
    <w:p>
      <w:pPr>
        <w:ind w:left="1120" w:right="20" w:firstLine="499"/>
        <w:spacing w:after="0" w:line="264" w:lineRule="auto"/>
        <w:rPr>
          <w:sz w:val="20"/>
          <w:szCs w:val="20"/>
          <w:color w:val="auto"/>
        </w:rPr>
      </w:pPr>
      <w:r>
        <w:rPr>
          <w:rFonts w:ascii="Arial" w:cs="Arial" w:eastAsia="Arial" w:hAnsi="Arial"/>
          <w:sz w:val="13"/>
          <w:szCs w:val="13"/>
          <w:color w:val="auto"/>
        </w:rPr>
        <w:t>In collaboration with Sanofi, we are leveraging our mRNA technology to develop intratumoral immunotherapies for the treatment of solid tumors. Intratumoral immunotherapy is designed to promote innate and adaptive immune responses against tumors, without toxicities related to systemic administration. Our intratumoral immunotherapy involves injection of cytokine-encoding mRNA directly into a tumor in order to alter the tumor microenvironment and promote greater T cell activity. This approach has been found in preclinical studies to boost cancer-specific immune responses locally, while also producing tumor responses in remote parts of the body due to the circulation of properly activated anti-tumor immune cells, known as an abscopal effect.</w:t>
      </w:r>
    </w:p>
    <w:p>
      <w:pPr>
        <w:spacing w:after="0" w:line="138" w:lineRule="exact"/>
        <w:rPr>
          <w:sz w:val="20"/>
          <w:szCs w:val="20"/>
          <w:color w:val="auto"/>
        </w:rPr>
      </w:pPr>
    </w:p>
    <w:p>
      <w:pPr>
        <w:jc w:val="both"/>
        <w:ind w:left="1120" w:right="60" w:firstLine="499"/>
        <w:spacing w:after="0" w:line="272" w:lineRule="auto"/>
        <w:rPr>
          <w:sz w:val="20"/>
          <w:szCs w:val="20"/>
          <w:color w:val="auto"/>
        </w:rPr>
      </w:pPr>
      <w:r>
        <w:rPr>
          <w:rFonts w:ascii="Arial" w:cs="Arial" w:eastAsia="Arial" w:hAnsi="Arial"/>
          <w:sz w:val="13"/>
          <w:szCs w:val="13"/>
          <w:color w:val="auto"/>
        </w:rPr>
        <w:t>The first intratumoral immunotherapy product candidate arising from our collaboration, SAR441000 (BNT131), includes modified mRNA that encodes for the IL-15sushi, IL-12sc, GM-CSF and IFN-α cytokines. In preclinical studies, SAR441000 (BNT131) promoted increased levels of local cytokine expression within the tumor microenvironment and activated innate and adaptive immune responses against tumors.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2152015</wp:posOffset>
            </wp:positionH>
            <wp:positionV relativeFrom="page">
              <wp:posOffset>203200</wp:posOffset>
            </wp:positionV>
            <wp:extent cx="3244215" cy="27425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3244215" cy="274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Therapeutic mode of action of intratumoral mRNA immunotherapy</w:t>
      </w:r>
      <w:r>
        <w:rPr>
          <w:rFonts w:ascii="Arial" w:cs="Arial" w:eastAsia="Arial" w:hAnsi="Arial"/>
          <w:sz w:val="11"/>
          <w:szCs w:val="11"/>
          <w:color w:val="auto"/>
        </w:rPr>
        <w:t>. The figure above demonstrates how SAR441000 (BNT131) promotes cytokine expression within the tumor itself.</w:t>
      </w: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Our Intratumoral Development Plan</w:t>
      </w:r>
    </w:p>
    <w:p>
      <w:pPr>
        <w:spacing w:after="0" w:line="170" w:lineRule="exact"/>
        <w:rPr>
          <w:sz w:val="20"/>
          <w:szCs w:val="20"/>
          <w:color w:val="auto"/>
        </w:rPr>
      </w:pPr>
    </w:p>
    <w:p>
      <w:pPr>
        <w:ind w:left="1120" w:right="120" w:firstLine="499"/>
        <w:spacing w:after="0" w:line="267" w:lineRule="auto"/>
        <w:rPr>
          <w:sz w:val="20"/>
          <w:szCs w:val="20"/>
          <w:color w:val="auto"/>
        </w:rPr>
      </w:pPr>
      <w:r>
        <w:rPr>
          <w:rFonts w:ascii="Arial" w:cs="Arial" w:eastAsia="Arial" w:hAnsi="Arial"/>
          <w:sz w:val="13"/>
          <w:szCs w:val="13"/>
          <w:color w:val="auto"/>
        </w:rPr>
        <w:t>The lead intratumoral mRNA collaboration product candidate from our collaboration is being investigated in a Phase 1 clinical trial sponsored by Sanofi. This trial is expected to enroll approximately 264 patients with certain advanced solid tumors, as a monotherapy and in combination with cemiplimab. This trial is currently being run at four sites in Europe. A data update from this trial may be reported in the second half of 2020. As the trial is sponsored and conducted by Sanofi, the timing of data updates is not under our control, and is subject to change by Sanofi.</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Candidate</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Encoded Cytokines</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ind w:left="1000"/>
              <w:spacing w:after="0"/>
              <w:rPr>
                <w:sz w:val="20"/>
                <w:szCs w:val="20"/>
                <w:color w:val="auto"/>
              </w:rPr>
            </w:pPr>
            <w:r>
              <w:rPr>
                <w:rFonts w:ascii="Arial" w:cs="Arial" w:eastAsia="Arial" w:hAnsi="Arial"/>
                <w:sz w:val="11"/>
                <w:szCs w:val="11"/>
                <w:b w:val="1"/>
                <w:bCs w:val="1"/>
                <w:color w:val="auto"/>
              </w:rPr>
              <w:t>Next Steps</w:t>
            </w:r>
          </w:p>
        </w:tc>
      </w:tr>
      <w:tr>
        <w:trPr>
          <w:trHeight w:val="171"/>
        </w:trPr>
        <w:tc>
          <w:tcPr>
            <w:tcW w:w="3500" w:type="dxa"/>
            <w:vAlign w:val="bottom"/>
          </w:tcPr>
          <w:p>
            <w:pPr>
              <w:spacing w:after="0"/>
              <w:rPr>
                <w:sz w:val="20"/>
                <w:szCs w:val="20"/>
                <w:color w:val="auto"/>
              </w:rPr>
            </w:pPr>
            <w:r>
              <w:rPr>
                <w:rFonts w:ascii="Arial" w:cs="Arial" w:eastAsia="Arial" w:hAnsi="Arial"/>
                <w:sz w:val="13"/>
                <w:szCs w:val="13"/>
                <w:color w:val="auto"/>
              </w:rPr>
              <w:t>SAR441000 (BNT131)</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IL-15sushi, IL-12sc, GM-CSF and IFN-α</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Phase 1: Advanced solid tumors as a</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Data update in 2H 2020*</w:t>
            </w:r>
          </w:p>
        </w:tc>
      </w:tr>
      <w:tr>
        <w:trPr>
          <w:trHeight w:val="160"/>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monotherapy and in combination with</w:t>
            </w: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69"/>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cemiplimab</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r>
    </w:tbl>
    <w:p>
      <w:pPr>
        <w:spacing w:after="0" w:line="71" w:lineRule="exact"/>
        <w:rPr>
          <w:sz w:val="20"/>
          <w:szCs w:val="20"/>
          <w:color w:val="auto"/>
        </w:rPr>
      </w:pPr>
    </w:p>
    <w:p>
      <w:pPr>
        <w:ind w:left="280" w:hanging="280"/>
        <w:spacing w:after="0"/>
        <w:tabs>
          <w:tab w:leader="none" w:pos="2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As the trial is sponsored and conducted by Sanofi, the timing of data updates is not under our control, and is subject to change by Sanofi.</w:t>
      </w:r>
    </w:p>
    <w:p>
      <w:pPr>
        <w:spacing w:after="0" w:line="250" w:lineRule="exact"/>
        <w:rPr>
          <w:sz w:val="20"/>
          <w:szCs w:val="20"/>
          <w:color w:val="auto"/>
        </w:rPr>
      </w:pPr>
    </w:p>
    <w:p>
      <w:pPr>
        <w:ind w:left="1660" w:hanging="547"/>
        <w:spacing w:after="0"/>
        <w:tabs>
          <w:tab w:leader="none" w:pos="1660" w:val="left"/>
        </w:tabs>
        <w:numPr>
          <w:ilvl w:val="0"/>
          <w:numId w:val="13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Infectious Disease Vaccines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At a glance: Our Infectious Disease Vaccine Platform</w:t>
      </w:r>
    </w:p>
    <w:p>
      <w:pPr>
        <w:spacing w:after="0" w:line="86" w:lineRule="exact"/>
        <w:rPr>
          <w:sz w:val="20"/>
          <w:szCs w:val="20"/>
          <w:color w:val="auto"/>
        </w:rPr>
      </w:pPr>
    </w:p>
    <w:p>
      <w:pPr>
        <w:ind w:left="1440" w:hanging="330"/>
        <w:spacing w:after="0"/>
        <w:tabs>
          <w:tab w:leader="none" w:pos="1440" w:val="left"/>
        </w:tabs>
        <w:numPr>
          <w:ilvl w:val="0"/>
          <w:numId w:val="132"/>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mRNA-based vaccines targeting infectious disease pathogens.</w:t>
      </w:r>
    </w:p>
    <w:p>
      <w:pPr>
        <w:spacing w:after="0" w:line="90" w:lineRule="exact"/>
        <w:rPr>
          <w:rFonts w:ascii="Arial" w:cs="Arial" w:eastAsia="Arial" w:hAnsi="Arial"/>
          <w:sz w:val="13"/>
          <w:szCs w:val="13"/>
          <w:color w:val="auto"/>
        </w:rPr>
      </w:pPr>
    </w:p>
    <w:p>
      <w:pPr>
        <w:ind w:left="1440" w:hanging="330"/>
        <w:spacing w:after="0"/>
        <w:tabs>
          <w:tab w:leader="none" w:pos="1440" w:val="left"/>
        </w:tabs>
        <w:numPr>
          <w:ilvl w:val="0"/>
          <w:numId w:val="132"/>
        </w:numPr>
        <w:rPr>
          <w:rFonts w:ascii="Arial" w:cs="Arial" w:eastAsia="Arial" w:hAnsi="Arial"/>
          <w:sz w:val="13"/>
          <w:szCs w:val="13"/>
          <w:color w:val="auto"/>
        </w:rPr>
      </w:pPr>
      <w:r>
        <w:rPr>
          <w:rFonts w:ascii="Arial" w:cs="Arial" w:eastAsia="Arial" w:hAnsi="Arial"/>
          <w:sz w:val="13"/>
          <w:szCs w:val="13"/>
          <w:b w:val="1"/>
          <w:bCs w:val="1"/>
          <w:color w:val="auto"/>
        </w:rPr>
        <w:t xml:space="preserve">mRNA Format: </w:t>
      </w:r>
      <w:r>
        <w:rPr>
          <w:rFonts w:ascii="Arial" w:cs="Arial" w:eastAsia="Arial" w:hAnsi="Arial"/>
          <w:sz w:val="13"/>
          <w:szCs w:val="13"/>
          <w:color w:val="auto"/>
        </w:rPr>
        <w:t>Modified mRNA.</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4" w:name="page115"/>
    <w:bookmarkEnd w:id="114"/>
    <w:p>
      <w:pPr>
        <w:ind w:left="880" w:hanging="330"/>
        <w:spacing w:after="0"/>
        <w:tabs>
          <w:tab w:leader="none" w:pos="880" w:val="left"/>
        </w:tabs>
        <w:numPr>
          <w:ilvl w:val="0"/>
          <w:numId w:val="133"/>
        </w:numPr>
        <w:rPr>
          <w:rFonts w:ascii="Arial" w:cs="Arial" w:eastAsia="Arial" w:hAnsi="Arial"/>
          <w:sz w:val="13"/>
          <w:szCs w:val="13"/>
          <w:color w:val="auto"/>
        </w:rPr>
      </w:pPr>
      <w:r>
        <w:rPr>
          <w:rFonts w:ascii="Arial" w:cs="Arial" w:eastAsia="Arial" w:hAnsi="Arial"/>
          <w:sz w:val="13"/>
          <w:szCs w:val="13"/>
          <w:b w:val="1"/>
          <w:bCs w:val="1"/>
          <w:color w:val="auto"/>
        </w:rPr>
        <w:t xml:space="preserve">mRNA Delivery Formulation: </w:t>
      </w:r>
      <w:r>
        <w:rPr>
          <w:rFonts w:ascii="Arial" w:cs="Arial" w:eastAsia="Arial" w:hAnsi="Arial"/>
          <w:sz w:val="13"/>
          <w:szCs w:val="13"/>
          <w:color w:val="auto"/>
        </w:rPr>
        <w:t>LNPs.</w:t>
      </w:r>
    </w:p>
    <w:p>
      <w:pPr>
        <w:spacing w:after="0" w:line="90" w:lineRule="exact"/>
        <w:rPr>
          <w:rFonts w:ascii="Arial" w:cs="Arial" w:eastAsia="Arial" w:hAnsi="Arial"/>
          <w:sz w:val="13"/>
          <w:szCs w:val="13"/>
          <w:color w:val="auto"/>
        </w:rPr>
      </w:pPr>
    </w:p>
    <w:p>
      <w:pPr>
        <w:ind w:left="880" w:hanging="330"/>
        <w:spacing w:after="0"/>
        <w:tabs>
          <w:tab w:leader="none" w:pos="880" w:val="left"/>
        </w:tabs>
        <w:numPr>
          <w:ilvl w:val="0"/>
          <w:numId w:val="133"/>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Collaboration with Pfizer and exclusive option arrangement with Penn.</w:t>
      </w:r>
    </w:p>
    <w:p>
      <w:pPr>
        <w:spacing w:after="0" w:line="90" w:lineRule="exact"/>
        <w:rPr>
          <w:rFonts w:ascii="Arial" w:cs="Arial" w:eastAsia="Arial" w:hAnsi="Arial"/>
          <w:sz w:val="13"/>
          <w:szCs w:val="13"/>
          <w:color w:val="auto"/>
        </w:rPr>
      </w:pPr>
    </w:p>
    <w:p>
      <w:pPr>
        <w:ind w:left="880" w:hanging="330"/>
        <w:spacing w:after="0"/>
        <w:tabs>
          <w:tab w:leader="none" w:pos="880" w:val="left"/>
        </w:tabs>
        <w:numPr>
          <w:ilvl w:val="0"/>
          <w:numId w:val="133"/>
        </w:numPr>
        <w:rPr>
          <w:rFonts w:ascii="Arial" w:cs="Arial" w:eastAsia="Arial" w:hAnsi="Arial"/>
          <w:sz w:val="13"/>
          <w:szCs w:val="13"/>
          <w:color w:val="auto"/>
        </w:rPr>
      </w:pPr>
      <w:r>
        <w:rPr>
          <w:rFonts w:ascii="Arial" w:cs="Arial" w:eastAsia="Arial" w:hAnsi="Arial"/>
          <w:sz w:val="13"/>
          <w:szCs w:val="13"/>
          <w:b w:val="1"/>
          <w:bCs w:val="1"/>
          <w:color w:val="auto"/>
        </w:rPr>
        <w:t xml:space="preserve">Lead Candidate: </w:t>
      </w:r>
      <w:r>
        <w:rPr>
          <w:rFonts w:ascii="Arial" w:cs="Arial" w:eastAsia="Arial" w:hAnsi="Arial"/>
          <w:sz w:val="13"/>
          <w:szCs w:val="13"/>
          <w:color w:val="auto"/>
        </w:rPr>
        <w:t>Influenza vaccine, product candidate BNT161.</w:t>
      </w:r>
    </w:p>
    <w:p>
      <w:pPr>
        <w:spacing w:after="0" w:line="174" w:lineRule="exact"/>
        <w:rPr>
          <w:sz w:val="20"/>
          <w:szCs w:val="20"/>
          <w:color w:val="auto"/>
        </w:rPr>
      </w:pPr>
    </w:p>
    <w:p>
      <w:pPr>
        <w:ind w:right="60" w:firstLine="527"/>
        <w:spacing w:after="0" w:line="272" w:lineRule="auto"/>
        <w:rPr>
          <w:sz w:val="20"/>
          <w:szCs w:val="20"/>
          <w:color w:val="auto"/>
        </w:rPr>
      </w:pPr>
      <w:r>
        <w:rPr>
          <w:rFonts w:ascii="Arial" w:cs="Arial" w:eastAsia="Arial" w:hAnsi="Arial"/>
          <w:sz w:val="13"/>
          <w:szCs w:val="13"/>
          <w:color w:val="auto"/>
        </w:rPr>
        <w:t>Expanding beyond our research in oncology, we are leveraging our mRNA technologies to direct the immune system more effectively against infectious diseases. Our infectious disease vaccine candidates contain self-replicating or trans-replicating, modified mRNA-encoding antigens specific to a target pathogen, delivered in various LNP formulations in order to activate and direct T cells and B cells to fight the pathogen.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Influenza Vaccine</w:t>
      </w:r>
    </w:p>
    <w:p>
      <w:pPr>
        <w:spacing w:after="0" w:line="90" w:lineRule="exact"/>
        <w:rPr>
          <w:sz w:val="20"/>
          <w:szCs w:val="20"/>
          <w:color w:val="auto"/>
        </w:rPr>
      </w:pPr>
    </w:p>
    <w:p>
      <w:pPr>
        <w:ind w:firstLine="527"/>
        <w:spacing w:after="0" w:line="264" w:lineRule="auto"/>
        <w:rPr>
          <w:sz w:val="20"/>
          <w:szCs w:val="20"/>
          <w:color w:val="auto"/>
        </w:rPr>
      </w:pPr>
      <w:r>
        <w:rPr>
          <w:rFonts w:ascii="Arial" w:cs="Arial" w:eastAsia="Arial" w:hAnsi="Arial"/>
          <w:sz w:val="13"/>
          <w:szCs w:val="13"/>
          <w:color w:val="auto"/>
        </w:rPr>
        <w:t>We are collaborating with Pfizer to develop an influenza vaccine using our mRNA-based immunotherapy technology. Current influenza vaccines consist of antigens from inactivated influenza viruses, recombinant influenza haemagglutinin, or HA, proteins or live attenuated influenza viruses and are available as trivalent (containing two influenza A strains and one influenza B strain) or quadrivalent (containing two influenza A strains and two influenza B strains) vaccines. Currently available influenza vaccines are produced in chicken eggs or cell culture and take about five to six months to produce. This requires the composition of the coming season’s vaccine to be selected by the World Health Organization, or WHO, far in advance for the vaccine to be available on time, which reduces the reliability of that prediction.</w:t>
      </w:r>
    </w:p>
    <w:p>
      <w:pPr>
        <w:spacing w:after="0" w:line="138" w:lineRule="exact"/>
        <w:rPr>
          <w:sz w:val="20"/>
          <w:szCs w:val="20"/>
          <w:color w:val="auto"/>
        </w:rPr>
      </w:pPr>
    </w:p>
    <w:p>
      <w:pPr>
        <w:ind w:right="240" w:firstLine="527"/>
        <w:spacing w:after="0" w:line="264" w:lineRule="auto"/>
        <w:rPr>
          <w:sz w:val="20"/>
          <w:szCs w:val="20"/>
          <w:color w:val="auto"/>
        </w:rPr>
      </w:pPr>
      <w:r>
        <w:rPr>
          <w:rFonts w:ascii="Arial" w:cs="Arial" w:eastAsia="Arial" w:hAnsi="Arial"/>
          <w:sz w:val="13"/>
          <w:szCs w:val="13"/>
          <w:color w:val="auto"/>
        </w:rPr>
        <w:t>We anticipate that our mRNA-based vaccine can be manufactured within three months from the time the recommendation is published, including cloning and production and therefore the WHO’s review of the vaccine components can occur closer to the influenza season to obtain a more reliable prediction. In addition, the mRNA manufacturing process is designed to produce an HA vaccine antigen that matches the HA of circulating influenza strains, in contrast to egg- or cell-based processes which can introduce mutations in the HA amino acid sequence. The flexibility of the mRNA vaccine platform could allow for generation of vaccines against genetically drifted seasonal viruses or pandemic strains. We currently expect to initiate a first clinical trial for one of our influenza vaccine mRNA formulations in the first half of 2021.</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Other Infectious Diseases</w:t>
      </w:r>
    </w:p>
    <w:p>
      <w:pPr>
        <w:spacing w:after="0" w:line="90" w:lineRule="exact"/>
        <w:rPr>
          <w:sz w:val="20"/>
          <w:szCs w:val="20"/>
          <w:color w:val="auto"/>
        </w:rPr>
      </w:pPr>
    </w:p>
    <w:p>
      <w:pPr>
        <w:jc w:val="both"/>
        <w:ind w:right="160" w:firstLine="527"/>
        <w:spacing w:after="0" w:line="272" w:lineRule="auto"/>
        <w:rPr>
          <w:sz w:val="20"/>
          <w:szCs w:val="20"/>
          <w:color w:val="auto"/>
        </w:rPr>
      </w:pPr>
      <w:r>
        <w:rPr>
          <w:rFonts w:ascii="Arial" w:cs="Arial" w:eastAsia="Arial" w:hAnsi="Arial"/>
          <w:sz w:val="13"/>
          <w:szCs w:val="13"/>
          <w:color w:val="auto"/>
        </w:rPr>
        <w:t>In October 2018, we entered into a research collaboration with Penn, under which we have the exclusive option to develop and commercialize prophylactic mRNA immunotherapies for the treatment of up to 10 infectious disease indications. We expect to report our first product candidates under this collaboration, and advance our first product candidate into the clinic, in the first half of 2021.</w:t>
      </w:r>
    </w:p>
    <w:p>
      <w:pPr>
        <w:spacing w:after="0" w:line="132" w:lineRule="exact"/>
        <w:rPr>
          <w:sz w:val="20"/>
          <w:szCs w:val="20"/>
          <w:color w:val="auto"/>
        </w:rPr>
      </w:pPr>
    </w:p>
    <w:p>
      <w:pPr>
        <w:jc w:val="both"/>
        <w:ind w:right="160" w:firstLine="527"/>
        <w:spacing w:after="0" w:line="287" w:lineRule="auto"/>
        <w:rPr>
          <w:sz w:val="20"/>
          <w:szCs w:val="20"/>
          <w:color w:val="auto"/>
        </w:rPr>
      </w:pPr>
      <w:r>
        <w:rPr>
          <w:rFonts w:ascii="Arial" w:cs="Arial" w:eastAsia="Arial" w:hAnsi="Arial"/>
          <w:sz w:val="13"/>
          <w:szCs w:val="13"/>
          <w:color w:val="auto"/>
        </w:rPr>
        <w:t>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42" w:lineRule="exact"/>
        <w:rPr>
          <w:sz w:val="20"/>
          <w:szCs w:val="20"/>
          <w:color w:val="auto"/>
        </w:rPr>
      </w:pPr>
    </w:p>
    <w:p>
      <w:pPr>
        <w:ind w:right="500" w:firstLine="527"/>
        <w:spacing w:after="0" w:line="331" w:lineRule="auto"/>
        <w:rPr>
          <w:sz w:val="20"/>
          <w:szCs w:val="20"/>
          <w:color w:val="auto"/>
        </w:rPr>
      </w:pPr>
      <w:r>
        <w:rPr>
          <w:rFonts w:ascii="Arial" w:cs="Arial" w:eastAsia="Arial" w:hAnsi="Arial"/>
          <w:sz w:val="12"/>
          <w:szCs w:val="12"/>
          <w:color w:val="auto"/>
        </w:rPr>
        <w:t>We are also developing a potential vaccine based on our mRNA technology to induce immunity and prevent COVID-19 infection. We intend to initiate clinical testing for the product candidate, BNT162, in late April 2020, subject to regulatory approval, as part of a global clinical development program in Europe (commencing in Germany), the United States and China.</w:t>
      </w:r>
    </w:p>
    <w:p>
      <w:pPr>
        <w:spacing w:after="0" w:line="19" w:lineRule="exact"/>
        <w:rPr>
          <w:sz w:val="20"/>
          <w:szCs w:val="20"/>
          <w:color w:val="auto"/>
        </w:rPr>
      </w:pPr>
    </w:p>
    <w:p>
      <w:pPr>
        <w:ind w:right="220" w:firstLine="527"/>
        <w:spacing w:after="0" w:line="287" w:lineRule="auto"/>
        <w:rPr>
          <w:sz w:val="20"/>
          <w:szCs w:val="20"/>
          <w:color w:val="auto"/>
        </w:rPr>
      </w:pPr>
      <w:r>
        <w:rPr>
          <w:rFonts w:ascii="Arial" w:cs="Arial" w:eastAsia="Arial" w:hAnsi="Arial"/>
          <w:sz w:val="13"/>
          <w:szCs w:val="13"/>
          <w:color w:val="auto"/>
        </w:rPr>
        <w:t>In March 2020, we entered a strategic alliance with Fosun Pharma to advance BNT162 and jointly develop the COVID-19 vaccine in China. Upon regulatory approval, Fosun Pharma will commercialize the vaccine in China, while we retain the full rights to develop and commercialize the vaccine in the rest of the world.</w:t>
      </w:r>
    </w:p>
    <w:p>
      <w:pPr>
        <w:spacing w:after="0" w:line="42" w:lineRule="exact"/>
        <w:rPr>
          <w:sz w:val="20"/>
          <w:szCs w:val="20"/>
          <w:color w:val="auto"/>
        </w:rPr>
      </w:pPr>
    </w:p>
    <w:p>
      <w:pPr>
        <w:ind w:right="400" w:firstLine="527"/>
        <w:spacing w:after="0" w:line="287" w:lineRule="auto"/>
        <w:rPr>
          <w:sz w:val="20"/>
          <w:szCs w:val="20"/>
          <w:color w:val="auto"/>
        </w:rPr>
      </w:pPr>
      <w:r>
        <w:rPr>
          <w:rFonts w:ascii="Arial" w:cs="Arial" w:eastAsia="Arial" w:hAnsi="Arial"/>
          <w:sz w:val="13"/>
          <w:szCs w:val="13"/>
          <w:color w:val="auto"/>
        </w:rPr>
        <w:t>Additionally, in March 2020, we signed a letter of intent with Pfizer to co-develop and distribute a COVID-19 vaccine outside of China. We have also executed a Material Transfer and Collaboration Agreement to enable immediate collaboration.</w:t>
      </w:r>
    </w:p>
    <w:p>
      <w:pPr>
        <w:spacing w:after="0" w:line="122"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127" w:right="319" w:bottom="1440" w:gutter="0" w:footer="0" w:header="0"/>
        </w:sectPr>
      </w:pPr>
    </w:p>
    <w:bookmarkStart w:id="115" w:name="page116"/>
    <w:bookmarkEnd w:id="115"/>
    <w:p>
      <w:pPr>
        <w:ind w:left="520" w:right="6100" w:firstLine="30"/>
        <w:spacing w:after="0" w:line="451" w:lineRule="auto"/>
        <w:tabs>
          <w:tab w:leader="none" w:pos="1093" w:val="left"/>
        </w:tabs>
        <w:numPr>
          <w:ilvl w:val="0"/>
          <w:numId w:val="134"/>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mRNA-based Protein Replacement Platform for Rare Diseases At a glance: Our Protein Replacement Platform for Rare Diseases</w:t>
      </w:r>
    </w:p>
    <w:p>
      <w:pPr>
        <w:spacing w:after="0" w:line="1" w:lineRule="exact"/>
        <w:rPr>
          <w:sz w:val="20"/>
          <w:szCs w:val="20"/>
          <w:color w:val="auto"/>
        </w:rPr>
      </w:pPr>
    </w:p>
    <w:p>
      <w:pPr>
        <w:ind w:left="880" w:hanging="330"/>
        <w:spacing w:after="0"/>
        <w:tabs>
          <w:tab w:leader="none" w:pos="880"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Therapeutic proteins encoded by mRNA and produced in the patient as an alternative to recombinant protein replacement.</w:t>
      </w:r>
    </w:p>
    <w:p>
      <w:pPr>
        <w:spacing w:after="0" w:line="80" w:lineRule="exact"/>
        <w:rPr>
          <w:rFonts w:ascii="Arial" w:cs="Arial" w:eastAsia="Arial" w:hAnsi="Arial"/>
          <w:sz w:val="13"/>
          <w:szCs w:val="13"/>
          <w:color w:val="auto"/>
        </w:rPr>
      </w:pPr>
    </w:p>
    <w:p>
      <w:pPr>
        <w:ind w:left="880" w:hanging="330"/>
        <w:spacing w:after="0"/>
        <w:tabs>
          <w:tab w:leader="none" w:pos="880"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 xml:space="preserve">mRNA Format: </w:t>
      </w:r>
      <w:r>
        <w:rPr>
          <w:rFonts w:ascii="Arial" w:cs="Arial" w:eastAsia="Arial" w:hAnsi="Arial"/>
          <w:sz w:val="13"/>
          <w:szCs w:val="13"/>
          <w:color w:val="auto"/>
        </w:rPr>
        <w:t>Nucleoside-modified mRNA, deimmunized to avoid immune activation in order to allow for translation of the therapeutic protein in the cells.</w:t>
      </w:r>
    </w:p>
    <w:p>
      <w:pPr>
        <w:spacing w:after="0" w:line="90" w:lineRule="exact"/>
        <w:rPr>
          <w:rFonts w:ascii="Arial" w:cs="Arial" w:eastAsia="Arial" w:hAnsi="Arial"/>
          <w:sz w:val="13"/>
          <w:szCs w:val="13"/>
          <w:color w:val="auto"/>
        </w:rPr>
      </w:pPr>
    </w:p>
    <w:p>
      <w:pPr>
        <w:ind w:left="880" w:hanging="330"/>
        <w:spacing w:after="0"/>
        <w:tabs>
          <w:tab w:leader="none" w:pos="880"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 xml:space="preserve">mRNA Delivery Formulation: </w:t>
      </w:r>
      <w:r>
        <w:rPr>
          <w:rFonts w:ascii="Arial" w:cs="Arial" w:eastAsia="Arial" w:hAnsi="Arial"/>
          <w:sz w:val="13"/>
          <w:szCs w:val="13"/>
          <w:color w:val="auto"/>
        </w:rPr>
        <w:t>Liver-targeting LNPs.</w:t>
      </w:r>
    </w:p>
    <w:p>
      <w:pPr>
        <w:spacing w:after="0" w:line="90" w:lineRule="exact"/>
        <w:rPr>
          <w:rFonts w:ascii="Arial" w:cs="Arial" w:eastAsia="Arial" w:hAnsi="Arial"/>
          <w:sz w:val="13"/>
          <w:szCs w:val="13"/>
          <w:color w:val="auto"/>
        </w:rPr>
      </w:pPr>
    </w:p>
    <w:p>
      <w:pPr>
        <w:ind w:left="880" w:hanging="330"/>
        <w:spacing w:after="0"/>
        <w:tabs>
          <w:tab w:leader="none" w:pos="880"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50:50 cost and profit share with Genevant.</w:t>
      </w:r>
    </w:p>
    <w:p>
      <w:pPr>
        <w:spacing w:after="0" w:line="174" w:lineRule="exact"/>
        <w:rPr>
          <w:sz w:val="20"/>
          <w:szCs w:val="20"/>
          <w:color w:val="auto"/>
        </w:rPr>
      </w:pPr>
    </w:p>
    <w:p>
      <w:pPr>
        <w:ind w:firstLine="527"/>
        <w:spacing w:after="0" w:line="296" w:lineRule="auto"/>
        <w:rPr>
          <w:sz w:val="20"/>
          <w:szCs w:val="20"/>
          <w:color w:val="auto"/>
        </w:rPr>
      </w:pPr>
      <w:r>
        <w:rPr>
          <w:rFonts w:ascii="Arial" w:cs="Arial" w:eastAsia="Arial" w:hAnsi="Arial"/>
          <w:sz w:val="12"/>
          <w:szCs w:val="12"/>
          <w:color w:val="auto"/>
        </w:rPr>
        <w:t xml:space="preserve">By incorporating modified nucleosides into our mRNA, we are able to reduce the immunogenicity of our product candidates, thereby allowing their use for therapeutic protein production. In addition, we utilize advanced mRNA delivery methods to protect the mRNA cargo </w:t>
      </w:r>
      <w:r>
        <w:rPr>
          <w:rFonts w:ascii="Arial" w:cs="Arial" w:eastAsia="Arial" w:hAnsi="Arial"/>
          <w:sz w:val="12"/>
          <w:szCs w:val="12"/>
          <w:i w:val="1"/>
          <w:iCs w:val="1"/>
          <w:color w:val="auto"/>
        </w:rPr>
        <w:t>en route</w:t>
      </w:r>
      <w:r>
        <w:rPr>
          <w:rFonts w:ascii="Arial" w:cs="Arial" w:eastAsia="Arial" w:hAnsi="Arial"/>
          <w:sz w:val="12"/>
          <w:szCs w:val="12"/>
          <w:color w:val="auto"/>
        </w:rPr>
        <w:t xml:space="preserve"> to its target and promote its uptake into liver cells. Current protein-based replacement therapies were developed to treat rare diseases by administering recombinant proteins. Such therapies are limited to diseases where the missing protein function is extracellular. However, mRNA-based protein replacement therapy also has the potential to treat illnesses with intracellular protein defects, as long as the mRNA can be delivered into the affected cells.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mRNA-based protein replacement therapy features:</w:t>
      </w:r>
    </w:p>
    <w:p>
      <w:pPr>
        <w:spacing w:after="0" w:line="86" w:lineRule="exact"/>
        <w:rPr>
          <w:sz w:val="20"/>
          <w:szCs w:val="20"/>
          <w:color w:val="auto"/>
        </w:rPr>
      </w:pPr>
    </w:p>
    <w:p>
      <w:pPr>
        <w:ind w:left="880" w:right="240" w:hanging="340"/>
        <w:spacing w:after="0" w:line="294" w:lineRule="auto"/>
        <w:tabs>
          <w:tab w:leader="none" w:pos="880" w:val="left"/>
        </w:tabs>
        <w:numPr>
          <w:ilvl w:val="0"/>
          <w:numId w:val="136"/>
        </w:numPr>
        <w:rPr>
          <w:rFonts w:ascii="Arial" w:cs="Arial" w:eastAsia="Arial" w:hAnsi="Arial"/>
          <w:sz w:val="13"/>
          <w:szCs w:val="13"/>
          <w:color w:val="auto"/>
        </w:rPr>
      </w:pPr>
      <w:r>
        <w:rPr>
          <w:rFonts w:ascii="Arial" w:cs="Arial" w:eastAsia="Arial" w:hAnsi="Arial"/>
          <w:sz w:val="13"/>
          <w:szCs w:val="13"/>
          <w:b w:val="1"/>
          <w:bCs w:val="1"/>
          <w:color w:val="auto"/>
        </w:rPr>
        <w:t xml:space="preserve">Nucleoside-modified mRNA. </w:t>
      </w:r>
      <w:r>
        <w:rPr>
          <w:rFonts w:ascii="Arial" w:cs="Arial" w:eastAsia="Arial" w:hAnsi="Arial"/>
          <w:sz w:val="13"/>
          <w:szCs w:val="13"/>
          <w:color w:val="auto"/>
        </w:rPr>
        <w:t>Replacing uridines in mRNA with modified analogues is important to avoid immune activation that can provoke anti-drug antibody production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would limit efficacy of the treatment.</w:t>
      </w:r>
    </w:p>
    <w:p>
      <w:pPr>
        <w:spacing w:after="0" w:line="198" w:lineRule="exact"/>
        <w:rPr>
          <w:sz w:val="20"/>
          <w:szCs w:val="20"/>
          <w:color w:val="auto"/>
        </w:rPr>
      </w:pPr>
    </w:p>
    <w:p>
      <w:pPr>
        <w:jc w:val="center"/>
        <w:ind w:right="4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640"/>
          </w:cols>
          <w:pgMar w:left="860" w:top="131" w:right="399" w:bottom="1440" w:gutter="0" w:footer="0" w:header="0"/>
        </w:sectPr>
      </w:pPr>
    </w:p>
    <w:bookmarkStart w:id="116" w:name="page117"/>
    <w:bookmarkEnd w:id="116"/>
    <w:p>
      <w:pPr>
        <w:ind w:left="1440" w:right="100" w:hanging="330"/>
        <w:spacing w:after="0" w:line="338" w:lineRule="auto"/>
        <w:tabs>
          <w:tab w:leader="none" w:pos="1440" w:val="left"/>
        </w:tabs>
        <w:numPr>
          <w:ilvl w:val="0"/>
          <w:numId w:val="137"/>
        </w:numPr>
        <w:rPr>
          <w:rFonts w:ascii="Arial" w:cs="Arial" w:eastAsia="Arial" w:hAnsi="Arial"/>
          <w:sz w:val="12"/>
          <w:szCs w:val="12"/>
          <w:color w:val="auto"/>
        </w:rPr>
      </w:pPr>
      <w:r>
        <w:rPr>
          <w:rFonts w:ascii="Arial" w:cs="Arial" w:eastAsia="Arial" w:hAnsi="Arial"/>
          <w:sz w:val="12"/>
          <w:szCs w:val="12"/>
          <w:b w:val="1"/>
          <w:bCs w:val="1"/>
          <w:color w:val="auto"/>
        </w:rPr>
        <w:t xml:space="preserve">Liver targeted expression. </w:t>
      </w:r>
      <w:r>
        <w:rPr>
          <w:rFonts w:ascii="Arial" w:cs="Arial" w:eastAsia="Arial" w:hAnsi="Arial"/>
          <w:sz w:val="12"/>
          <w:szCs w:val="12"/>
          <w:color w:val="auto"/>
        </w:rPr>
        <w:t>mRNA encoding therapeutic proteins are formulated into LNPs using in-licensed clinically-validated LNP delivery technology owned by Genevant. The</w:t>
      </w:r>
      <w:r>
        <w:rPr>
          <w:rFonts w:ascii="Arial" w:cs="Arial" w:eastAsia="Arial" w:hAnsi="Arial"/>
          <w:sz w:val="12"/>
          <w:szCs w:val="12"/>
          <w:b w:val="1"/>
          <w:bCs w:val="1"/>
          <w:color w:val="auto"/>
        </w:rPr>
        <w:t xml:space="preserve"> </w:t>
      </w:r>
      <w:r>
        <w:rPr>
          <w:rFonts w:ascii="Arial" w:cs="Arial" w:eastAsia="Arial" w:hAnsi="Arial"/>
          <w:sz w:val="12"/>
          <w:szCs w:val="12"/>
          <w:color w:val="auto"/>
        </w:rPr>
        <w:t>mRNA-loaded LNPs are less than 100nm in size. When injected intravenously, these particles are selectively taken up by hepatocytes, the major cell component of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78740</wp:posOffset>
            </wp:positionV>
            <wp:extent cx="3841115" cy="2806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41115" cy="280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Our mRNA-based protein replacement technology. </w:t>
      </w:r>
      <w:r>
        <w:rPr>
          <w:rFonts w:ascii="Arial" w:cs="Arial" w:eastAsia="Arial" w:hAnsi="Arial"/>
          <w:sz w:val="11"/>
          <w:szCs w:val="11"/>
          <w:color w:val="auto"/>
        </w:rPr>
        <w:t>The illustration above depicts our mRNA-based protein replacement process for the treatment of rare diseases.</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protein replacement technology is designed for the treatment of:</w:t>
      </w:r>
    </w:p>
    <w:p>
      <w:pPr>
        <w:spacing w:after="0" w:line="90" w:lineRule="exact"/>
        <w:rPr>
          <w:sz w:val="20"/>
          <w:szCs w:val="20"/>
          <w:color w:val="auto"/>
        </w:rPr>
      </w:pPr>
    </w:p>
    <w:p>
      <w:pPr>
        <w:ind w:left="1520" w:hanging="410"/>
        <w:spacing w:after="0"/>
        <w:tabs>
          <w:tab w:leader="none" w:pos="15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Genetic disorders that manifest due to a missing or defective protein, where mRNA would need to be administered regularly for a lifetime.</w:t>
      </w:r>
    </w:p>
    <w:p>
      <w:pPr>
        <w:spacing w:after="0" w:line="90" w:lineRule="exact"/>
        <w:rPr>
          <w:rFonts w:ascii="Arial" w:cs="Arial" w:eastAsia="Arial" w:hAnsi="Arial"/>
          <w:sz w:val="13"/>
          <w:szCs w:val="13"/>
          <w:color w:val="auto"/>
        </w:rPr>
      </w:pPr>
    </w:p>
    <w:p>
      <w:pPr>
        <w:ind w:left="1520" w:hanging="410"/>
        <w:spacing w:after="0"/>
        <w:tabs>
          <w:tab w:leader="none" w:pos="1520" w:val="left"/>
        </w:tabs>
        <w:numPr>
          <w:ilvl w:val="0"/>
          <w:numId w:val="138"/>
        </w:numPr>
        <w:rPr>
          <w:rFonts w:ascii="Arial" w:cs="Arial" w:eastAsia="Arial" w:hAnsi="Arial"/>
          <w:sz w:val="11"/>
          <w:szCs w:val="11"/>
          <w:color w:val="auto"/>
        </w:rPr>
      </w:pPr>
      <w:r>
        <w:rPr>
          <w:rFonts w:ascii="Arial" w:cs="Arial" w:eastAsia="Arial" w:hAnsi="Arial"/>
          <w:sz w:val="11"/>
          <w:szCs w:val="11"/>
          <w:color w:val="auto"/>
        </w:rPr>
        <w:t>Acute diseases caused by transient depletion of a protein, such as a hormone, where treatment of such diseases with a single or a few doses of the encoding mRNA could be curative.</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Therapeutic proteins encoded by the mRNA can either act intracellularly or be secreted and act extracellularly, in order to produce the desired therapeutic effect.</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mRNA-based protein replacement technology has several advantages over recombinant proteins:</w:t>
      </w:r>
    </w:p>
    <w:p>
      <w:pPr>
        <w:spacing w:after="0" w:line="86" w:lineRule="exact"/>
        <w:rPr>
          <w:sz w:val="20"/>
          <w:szCs w:val="20"/>
          <w:color w:val="auto"/>
        </w:rPr>
      </w:pPr>
    </w:p>
    <w:p>
      <w:pPr>
        <w:jc w:val="both"/>
        <w:ind w:left="1440" w:right="280" w:hanging="330"/>
        <w:spacing w:after="0" w:line="275" w:lineRule="auto"/>
        <w:tabs>
          <w:tab w:leader="none" w:pos="1440" w:val="left"/>
        </w:tabs>
        <w:numPr>
          <w:ilvl w:val="0"/>
          <w:numId w:val="139"/>
        </w:numPr>
        <w:rPr>
          <w:rFonts w:ascii="Arial" w:cs="Arial" w:eastAsia="Arial" w:hAnsi="Arial"/>
          <w:sz w:val="13"/>
          <w:szCs w:val="13"/>
          <w:color w:val="auto"/>
        </w:rPr>
      </w:pPr>
      <w:r>
        <w:rPr>
          <w:rFonts w:ascii="Arial" w:cs="Arial" w:eastAsia="Arial" w:hAnsi="Arial"/>
          <w:sz w:val="13"/>
          <w:szCs w:val="13"/>
          <w:b w:val="1"/>
          <w:bCs w:val="1"/>
          <w:color w:val="auto"/>
        </w:rPr>
        <w:t xml:space="preserve">No need to develop a procedure for protein purification. </w:t>
      </w:r>
      <w:r>
        <w:rPr>
          <w:rFonts w:ascii="Arial" w:cs="Arial" w:eastAsia="Arial" w:hAnsi="Arial"/>
          <w:sz w:val="13"/>
          <w:szCs w:val="13"/>
          <w:color w:val="auto"/>
        </w:rPr>
        <w:t>The development of recombinant proteins is a laborious and expensive procedure due to the requirement for a unique</w:t>
      </w:r>
      <w:r>
        <w:rPr>
          <w:rFonts w:ascii="Arial" w:cs="Arial" w:eastAsia="Arial" w:hAnsi="Arial"/>
          <w:sz w:val="13"/>
          <w:szCs w:val="13"/>
          <w:b w:val="1"/>
          <w:bCs w:val="1"/>
          <w:color w:val="auto"/>
        </w:rPr>
        <w:t xml:space="preserve"> </w:t>
      </w:r>
      <w:r>
        <w:rPr>
          <w:rFonts w:ascii="Arial" w:cs="Arial" w:eastAsia="Arial" w:hAnsi="Arial"/>
          <w:sz w:val="13"/>
          <w:szCs w:val="13"/>
          <w:color w:val="auto"/>
        </w:rPr>
        <w:t>purification protocol for each protein. During mRNA-based protein replacement the protein is produced by the patient, which we believe avoids the need for purification and also accelerates drug development.</w:t>
      </w:r>
    </w:p>
    <w:p>
      <w:pPr>
        <w:spacing w:after="0" w:line="46" w:lineRule="exact"/>
        <w:rPr>
          <w:rFonts w:ascii="Arial" w:cs="Arial" w:eastAsia="Arial" w:hAnsi="Arial"/>
          <w:sz w:val="13"/>
          <w:szCs w:val="13"/>
          <w:color w:val="auto"/>
        </w:rPr>
      </w:pPr>
    </w:p>
    <w:p>
      <w:pPr>
        <w:ind w:left="1440" w:right="200" w:hanging="330"/>
        <w:spacing w:after="0" w:line="294" w:lineRule="auto"/>
        <w:tabs>
          <w:tab w:leader="none" w:pos="1440" w:val="left"/>
        </w:tabs>
        <w:numPr>
          <w:ilvl w:val="0"/>
          <w:numId w:val="139"/>
        </w:numPr>
        <w:rPr>
          <w:rFonts w:ascii="Arial" w:cs="Arial" w:eastAsia="Arial" w:hAnsi="Arial"/>
          <w:sz w:val="13"/>
          <w:szCs w:val="13"/>
          <w:color w:val="auto"/>
        </w:rPr>
      </w:pPr>
      <w:r>
        <w:rPr>
          <w:rFonts w:ascii="Arial" w:cs="Arial" w:eastAsia="Arial" w:hAnsi="Arial"/>
          <w:sz w:val="13"/>
          <w:szCs w:val="13"/>
          <w:b w:val="1"/>
          <w:bCs w:val="1"/>
          <w:color w:val="auto"/>
        </w:rPr>
        <w:t xml:space="preserve">The protein has proper post-translational modification. </w:t>
      </w:r>
      <w:r>
        <w:rPr>
          <w:rFonts w:ascii="Arial" w:cs="Arial" w:eastAsia="Arial" w:hAnsi="Arial"/>
          <w:sz w:val="13"/>
          <w:szCs w:val="13"/>
          <w:color w:val="auto"/>
        </w:rPr>
        <w:t>To function properly, most recombinant proteins need to be modified after synthesis. Proteins produced in patients from</w:t>
      </w:r>
      <w:r>
        <w:rPr>
          <w:rFonts w:ascii="Arial" w:cs="Arial" w:eastAsia="Arial" w:hAnsi="Arial"/>
          <w:sz w:val="13"/>
          <w:szCs w:val="13"/>
          <w:b w:val="1"/>
          <w:bCs w:val="1"/>
          <w:color w:val="auto"/>
        </w:rPr>
        <w:t xml:space="preserve"> </w:t>
      </w:r>
      <w:r>
        <w:rPr>
          <w:rFonts w:ascii="Arial" w:cs="Arial" w:eastAsia="Arial" w:hAnsi="Arial"/>
          <w:sz w:val="13"/>
          <w:szCs w:val="13"/>
          <w:color w:val="auto"/>
        </w:rPr>
        <w:t>mRNA are more likely to obtain the correct modifications than recombinant proteins produced in cultured bacterial or mammalian cells.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17" w:name="page118"/>
    <w:bookmarkEnd w:id="117"/>
    <w:p>
      <w:pPr>
        <w:ind w:left="880" w:right="160" w:hanging="330"/>
        <w:spacing w:after="0" w:line="294" w:lineRule="auto"/>
        <w:tabs>
          <w:tab w:leader="none" w:pos="880" w:val="left"/>
        </w:tabs>
        <w:numPr>
          <w:ilvl w:val="0"/>
          <w:numId w:val="140"/>
        </w:numPr>
        <w:rPr>
          <w:rFonts w:ascii="Arial" w:cs="Arial" w:eastAsia="Arial" w:hAnsi="Arial"/>
          <w:sz w:val="13"/>
          <w:szCs w:val="13"/>
          <w:color w:val="auto"/>
        </w:rPr>
      </w:pPr>
      <w:r>
        <w:rPr>
          <w:rFonts w:ascii="Arial" w:cs="Arial" w:eastAsia="Arial" w:hAnsi="Arial"/>
          <w:sz w:val="13"/>
          <w:szCs w:val="13"/>
          <w:b w:val="1"/>
          <w:bCs w:val="1"/>
          <w:color w:val="auto"/>
        </w:rPr>
        <w:t xml:space="preserve">Continuous </w:t>
      </w:r>
      <w:r>
        <w:rPr>
          <w:rFonts w:ascii="Arial" w:cs="Arial" w:eastAsia="Arial" w:hAnsi="Arial"/>
          <w:sz w:val="13"/>
          <w:szCs w:val="13"/>
          <w:b w:val="1"/>
          <w:bCs w:val="1"/>
          <w:i w:val="1"/>
          <w:iCs w:val="1"/>
          <w:color w:val="auto"/>
        </w:rPr>
        <w:t>in vivo</w:t>
      </w:r>
      <w:r>
        <w:rPr>
          <w:rFonts w:ascii="Arial" w:cs="Arial" w:eastAsia="Arial" w:hAnsi="Arial"/>
          <w:sz w:val="13"/>
          <w:szCs w:val="13"/>
          <w:b w:val="1"/>
          <w:bCs w:val="1"/>
          <w:color w:val="auto"/>
        </w:rPr>
        <w:t xml:space="preserve"> supply of encoded protein. </w:t>
      </w:r>
      <w:r>
        <w:rPr>
          <w:rFonts w:ascii="Arial" w:cs="Arial" w:eastAsia="Arial" w:hAnsi="Arial"/>
          <w:sz w:val="13"/>
          <w:szCs w:val="13"/>
          <w:color w:val="auto"/>
        </w:rPr>
        <w:t>Recombinant proteins, especially those with short half-lives, can be cleared from the body very quickly, thereby limiting therapeutic</w:t>
      </w:r>
      <w:r>
        <w:rPr>
          <w:rFonts w:ascii="Arial" w:cs="Arial" w:eastAsia="Arial" w:hAnsi="Arial"/>
          <w:sz w:val="13"/>
          <w:szCs w:val="13"/>
          <w:b w:val="1"/>
          <w:bCs w:val="1"/>
          <w:color w:val="auto"/>
        </w:rPr>
        <w:t xml:space="preserve"> </w:t>
      </w:r>
      <w:r>
        <w:rPr>
          <w:rFonts w:ascii="Arial" w:cs="Arial" w:eastAsia="Arial" w:hAnsi="Arial"/>
          <w:sz w:val="13"/>
          <w:szCs w:val="13"/>
          <w:color w:val="auto"/>
        </w:rPr>
        <w:t>effect. During mRNA-based therapy, the encoded therapeutic protein is produced for a longer duration (</w:t>
      </w:r>
      <w:r>
        <w:rPr>
          <w:rFonts w:ascii="Arial" w:cs="Arial" w:eastAsia="Arial" w:hAnsi="Arial"/>
          <w:sz w:val="13"/>
          <w:szCs w:val="13"/>
          <w:i w:val="1"/>
          <w:iCs w:val="1"/>
          <w:color w:val="auto"/>
        </w:rPr>
        <w:t>e.g</w:t>
      </w:r>
      <w:r>
        <w:rPr>
          <w:rFonts w:ascii="Arial" w:cs="Arial" w:eastAsia="Arial" w:hAnsi="Arial"/>
          <w:sz w:val="13"/>
          <w:szCs w:val="13"/>
          <w:color w:val="auto"/>
        </w:rPr>
        <w:t>., 10-14 days).</w:t>
      </w:r>
    </w:p>
    <w:p>
      <w:pPr>
        <w:spacing w:after="0" w:line="33" w:lineRule="exact"/>
        <w:rPr>
          <w:rFonts w:ascii="Arial" w:cs="Arial" w:eastAsia="Arial" w:hAnsi="Arial"/>
          <w:sz w:val="13"/>
          <w:szCs w:val="13"/>
          <w:color w:val="auto"/>
        </w:rPr>
      </w:pPr>
    </w:p>
    <w:p>
      <w:pPr>
        <w:ind w:left="880" w:right="60" w:hanging="330"/>
        <w:spacing w:after="0" w:line="338" w:lineRule="auto"/>
        <w:tabs>
          <w:tab w:leader="none" w:pos="880" w:val="left"/>
        </w:tabs>
        <w:numPr>
          <w:ilvl w:val="0"/>
          <w:numId w:val="140"/>
        </w:numPr>
        <w:rPr>
          <w:rFonts w:ascii="Arial" w:cs="Arial" w:eastAsia="Arial" w:hAnsi="Arial"/>
          <w:sz w:val="12"/>
          <w:szCs w:val="12"/>
          <w:color w:val="auto"/>
        </w:rPr>
      </w:pPr>
      <w:r>
        <w:rPr>
          <w:rFonts w:ascii="Arial" w:cs="Arial" w:eastAsia="Arial" w:hAnsi="Arial"/>
          <w:sz w:val="12"/>
          <w:szCs w:val="12"/>
          <w:b w:val="1"/>
          <w:bCs w:val="1"/>
          <w:color w:val="auto"/>
        </w:rPr>
        <w:t xml:space="preserve">Production of intracellular proteins. </w:t>
      </w:r>
      <w:r>
        <w:rPr>
          <w:rFonts w:ascii="Arial" w:cs="Arial" w:eastAsia="Arial" w:hAnsi="Arial"/>
          <w:sz w:val="12"/>
          <w:szCs w:val="12"/>
          <w:color w:val="auto"/>
        </w:rPr>
        <w:t>Recombinant proteins have limited intracellular therapeutic effects. In contrast, proteins encoded by mRNA can reach any cellular compartment</w:t>
      </w:r>
      <w:r>
        <w:rPr>
          <w:rFonts w:ascii="Arial" w:cs="Arial" w:eastAsia="Arial" w:hAnsi="Arial"/>
          <w:sz w:val="12"/>
          <w:szCs w:val="12"/>
          <w:b w:val="1"/>
          <w:bCs w:val="1"/>
          <w:color w:val="auto"/>
        </w:rPr>
        <w:t xml:space="preserve"> </w:t>
      </w:r>
      <w:r>
        <w:rPr>
          <w:rFonts w:ascii="Arial" w:cs="Arial" w:eastAsia="Arial" w:hAnsi="Arial"/>
          <w:sz w:val="12"/>
          <w:szCs w:val="12"/>
          <w:color w:val="auto"/>
        </w:rPr>
        <w:t>and potentially help to cure diseases where the therapeutic protein needs to function in different subcellular locations, including the mitochondria, nucleus or cell membrane.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Our Protein Replacement Development Plan in Rare Diseases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expect to initiate our first rare disease clinical trial in the first half of 2021.</w:t>
      </w:r>
    </w:p>
    <w:p>
      <w:pPr>
        <w:spacing w:after="0" w:line="250" w:lineRule="exact"/>
        <w:rPr>
          <w:sz w:val="20"/>
          <w:szCs w:val="20"/>
          <w:color w:val="auto"/>
        </w:rPr>
      </w:pPr>
    </w:p>
    <w:p>
      <w:pPr>
        <w:ind w:left="1100" w:hanging="550"/>
        <w:spacing w:after="0"/>
        <w:tabs>
          <w:tab w:leader="none" w:pos="1100" w:val="left"/>
        </w:tabs>
        <w:numPr>
          <w:ilvl w:val="0"/>
          <w:numId w:val="14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RiboMabs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At a glance: Our RiboMab Platform</w:t>
      </w:r>
    </w:p>
    <w:p>
      <w:pPr>
        <w:spacing w:after="0" w:line="86" w:lineRule="exact"/>
        <w:rPr>
          <w:sz w:val="20"/>
          <w:szCs w:val="20"/>
          <w:color w:val="auto"/>
        </w:rPr>
      </w:pPr>
    </w:p>
    <w:p>
      <w:pPr>
        <w:ind w:left="880" w:hanging="330"/>
        <w:spacing w:after="0"/>
        <w:tabs>
          <w:tab w:leader="none" w:pos="880" w:val="left"/>
        </w:tabs>
        <w:numPr>
          <w:ilvl w:val="0"/>
          <w:numId w:val="142"/>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Antibodies encoded by mRNA and produced in the patient as an alternative to recombinant antibodies.</w:t>
      </w:r>
    </w:p>
    <w:p>
      <w:pPr>
        <w:spacing w:after="0" w:line="90" w:lineRule="exact"/>
        <w:rPr>
          <w:rFonts w:ascii="Arial" w:cs="Arial" w:eastAsia="Arial" w:hAnsi="Arial"/>
          <w:sz w:val="13"/>
          <w:szCs w:val="13"/>
          <w:color w:val="auto"/>
        </w:rPr>
      </w:pPr>
    </w:p>
    <w:p>
      <w:pPr>
        <w:ind w:left="880" w:right="240" w:hanging="330"/>
        <w:spacing w:after="0" w:line="294" w:lineRule="auto"/>
        <w:tabs>
          <w:tab w:leader="none" w:pos="880" w:val="left"/>
        </w:tabs>
        <w:numPr>
          <w:ilvl w:val="0"/>
          <w:numId w:val="142"/>
        </w:numPr>
        <w:rPr>
          <w:rFonts w:ascii="Arial" w:cs="Arial" w:eastAsia="Arial" w:hAnsi="Arial"/>
          <w:sz w:val="13"/>
          <w:szCs w:val="13"/>
          <w:color w:val="auto"/>
        </w:rPr>
      </w:pPr>
      <w:r>
        <w:rPr>
          <w:rFonts w:ascii="Arial" w:cs="Arial" w:eastAsia="Arial" w:hAnsi="Arial"/>
          <w:sz w:val="13"/>
          <w:szCs w:val="13"/>
          <w:b w:val="1"/>
          <w:bCs w:val="1"/>
          <w:color w:val="auto"/>
        </w:rPr>
        <w:t xml:space="preserve">mRNA Format: </w:t>
      </w:r>
      <w:r>
        <w:rPr>
          <w:rFonts w:ascii="Arial" w:cs="Arial" w:eastAsia="Arial" w:hAnsi="Arial"/>
          <w:sz w:val="13"/>
          <w:szCs w:val="13"/>
          <w:color w:val="auto"/>
        </w:rPr>
        <w:t>Nucleoside-modified mRNA engineered for minimal immunogenicity in order to avoid immune detection and allow translation of the encoded antibodies to occur</w:t>
      </w:r>
      <w:r>
        <w:rPr>
          <w:rFonts w:ascii="Arial" w:cs="Arial" w:eastAsia="Arial" w:hAnsi="Arial"/>
          <w:sz w:val="13"/>
          <w:szCs w:val="13"/>
          <w:b w:val="1"/>
          <w:bCs w:val="1"/>
          <w:color w:val="auto"/>
        </w:rPr>
        <w:t xml:space="preserve"> </w:t>
      </w:r>
      <w:r>
        <w:rPr>
          <w:rFonts w:ascii="Arial" w:cs="Arial" w:eastAsia="Arial" w:hAnsi="Arial"/>
          <w:sz w:val="13"/>
          <w:szCs w:val="13"/>
          <w:color w:val="auto"/>
        </w:rPr>
        <w:t>within the cells.</w:t>
      </w:r>
    </w:p>
    <w:p>
      <w:pPr>
        <w:spacing w:after="0" w:line="33" w:lineRule="exact"/>
        <w:rPr>
          <w:rFonts w:ascii="Arial" w:cs="Arial" w:eastAsia="Arial" w:hAnsi="Arial"/>
          <w:sz w:val="13"/>
          <w:szCs w:val="13"/>
          <w:color w:val="auto"/>
        </w:rPr>
      </w:pPr>
    </w:p>
    <w:p>
      <w:pPr>
        <w:ind w:left="880" w:hanging="330"/>
        <w:spacing w:after="0"/>
        <w:tabs>
          <w:tab w:leader="none" w:pos="880" w:val="left"/>
        </w:tabs>
        <w:numPr>
          <w:ilvl w:val="0"/>
          <w:numId w:val="142"/>
        </w:numPr>
        <w:rPr>
          <w:rFonts w:ascii="Arial" w:cs="Arial" w:eastAsia="Arial" w:hAnsi="Arial"/>
          <w:sz w:val="12"/>
          <w:szCs w:val="12"/>
          <w:color w:val="auto"/>
        </w:rPr>
      </w:pPr>
      <w:r>
        <w:rPr>
          <w:rFonts w:ascii="Arial" w:cs="Arial" w:eastAsia="Arial" w:hAnsi="Arial"/>
          <w:sz w:val="12"/>
          <w:szCs w:val="12"/>
          <w:b w:val="1"/>
          <w:bCs w:val="1"/>
          <w:color w:val="auto"/>
        </w:rPr>
        <w:t xml:space="preserve">mRNA Delivery Formulation: </w:t>
      </w:r>
      <w:r>
        <w:rPr>
          <w:rFonts w:ascii="Arial" w:cs="Arial" w:eastAsia="Arial" w:hAnsi="Arial"/>
          <w:sz w:val="12"/>
          <w:szCs w:val="12"/>
          <w:color w:val="auto"/>
        </w:rPr>
        <w:t>Various liver-targeting LNP formulations, delivered intravenously, to ensure systemic availability and prolonged production of the antibody</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in vivo</w:t>
      </w:r>
      <w:r>
        <w:rPr>
          <w:rFonts w:ascii="Arial" w:cs="Arial" w:eastAsia="Arial" w:hAnsi="Arial"/>
          <w:sz w:val="12"/>
          <w:szCs w:val="12"/>
          <w:color w:val="auto"/>
        </w:rPr>
        <w:t>.</w:t>
      </w:r>
    </w:p>
    <w:p>
      <w:pPr>
        <w:spacing w:after="0" w:line="101" w:lineRule="exact"/>
        <w:rPr>
          <w:rFonts w:ascii="Arial" w:cs="Arial" w:eastAsia="Arial" w:hAnsi="Arial"/>
          <w:sz w:val="12"/>
          <w:szCs w:val="12"/>
          <w:color w:val="auto"/>
        </w:rPr>
      </w:pPr>
    </w:p>
    <w:p>
      <w:pPr>
        <w:ind w:left="880" w:hanging="330"/>
        <w:spacing w:after="0"/>
        <w:tabs>
          <w:tab w:leader="none" w:pos="880" w:val="left"/>
        </w:tabs>
        <w:numPr>
          <w:ilvl w:val="0"/>
          <w:numId w:val="142"/>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Worldwide rights; wholly owned.</w:t>
      </w:r>
    </w:p>
    <w:p>
      <w:pPr>
        <w:spacing w:after="0" w:line="90" w:lineRule="exact"/>
        <w:rPr>
          <w:rFonts w:ascii="Arial" w:cs="Arial" w:eastAsia="Arial" w:hAnsi="Arial"/>
          <w:sz w:val="13"/>
          <w:szCs w:val="13"/>
          <w:color w:val="auto"/>
        </w:rPr>
      </w:pPr>
    </w:p>
    <w:p>
      <w:pPr>
        <w:ind w:left="880" w:hanging="330"/>
        <w:spacing w:after="0"/>
        <w:tabs>
          <w:tab w:leader="none" w:pos="880" w:val="left"/>
        </w:tabs>
        <w:numPr>
          <w:ilvl w:val="0"/>
          <w:numId w:val="142"/>
        </w:numPr>
        <w:rPr>
          <w:rFonts w:ascii="Arial" w:cs="Arial" w:eastAsia="Arial" w:hAnsi="Arial"/>
          <w:sz w:val="13"/>
          <w:szCs w:val="13"/>
          <w:color w:val="auto"/>
        </w:rPr>
      </w:pPr>
      <w:r>
        <w:rPr>
          <w:rFonts w:ascii="Arial" w:cs="Arial" w:eastAsia="Arial" w:hAnsi="Arial"/>
          <w:sz w:val="13"/>
          <w:szCs w:val="13"/>
          <w:b w:val="1"/>
          <w:bCs w:val="1"/>
          <w:color w:val="auto"/>
        </w:rPr>
        <w:t xml:space="preserve">Lead Candidate: </w:t>
      </w:r>
      <w:r>
        <w:rPr>
          <w:rFonts w:ascii="Arial" w:cs="Arial" w:eastAsia="Arial" w:hAnsi="Arial"/>
          <w:sz w:val="13"/>
          <w:szCs w:val="13"/>
          <w:color w:val="auto"/>
        </w:rPr>
        <w:t>BNT141 in multiple solid tumors.</w:t>
      </w:r>
    </w:p>
    <w:p>
      <w:pPr>
        <w:spacing w:after="0" w:line="174" w:lineRule="exact"/>
        <w:rPr>
          <w:sz w:val="20"/>
          <w:szCs w:val="20"/>
          <w:color w:val="auto"/>
        </w:rPr>
      </w:pPr>
    </w:p>
    <w:p>
      <w:pPr>
        <w:ind w:firstLine="527"/>
        <w:spacing w:after="0" w:line="291" w:lineRule="auto"/>
        <w:rPr>
          <w:sz w:val="20"/>
          <w:szCs w:val="20"/>
          <w:color w:val="auto"/>
        </w:rPr>
      </w:pPr>
      <w:r>
        <w:rPr>
          <w:rFonts w:ascii="Arial" w:cs="Arial" w:eastAsia="Arial" w:hAnsi="Arial"/>
          <w:sz w:val="12"/>
          <w:szCs w:val="12"/>
          <w:color w:val="auto"/>
        </w:rPr>
        <w:t xml:space="preserve">Our RiboMab product candidates are designed to encode secreted antibodies for expression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by the patient’s cells. We believe our RiboMab technology represents the next generation of antibody-based drugs. Antibody drugs are a leading class of biologics for the treatment of various diseases, but have a number of limitations. The development of antibodies is currently challenged by demanding and costly procedures of production, purification and formulation of a recombinant protein, which we believe hampers the rapid development and clinical testing of new drugs in this class. Recombinant protein antibodies require development of a cell line, establishment and adaptation of processes for production, purification and analytical testing. The whole process typically takes 18 to 30 months to optimize, scale-up and produce first clinical batches. Some of these antibodies are produced in low yields making them unsuitable for therapeutic application.</w:t>
      </w:r>
    </w:p>
    <w:p>
      <w:pPr>
        <w:spacing w:after="0" w:line="123" w:lineRule="exact"/>
        <w:rPr>
          <w:sz w:val="20"/>
          <w:szCs w:val="20"/>
          <w:color w:val="auto"/>
        </w:rPr>
      </w:pPr>
    </w:p>
    <w:p>
      <w:pPr>
        <w:ind w:right="200" w:firstLine="527"/>
        <w:spacing w:after="0" w:line="296" w:lineRule="auto"/>
        <w:rPr>
          <w:sz w:val="20"/>
          <w:szCs w:val="20"/>
          <w:color w:val="auto"/>
        </w:rPr>
      </w:pPr>
      <w:r>
        <w:rPr>
          <w:rFonts w:ascii="Arial" w:cs="Arial" w:eastAsia="Arial" w:hAnsi="Arial"/>
          <w:sz w:val="12"/>
          <w:szCs w:val="12"/>
          <w:color w:val="auto"/>
        </w:rPr>
        <w:t>By contrast, mRNA not only involves a simpler and less expensive manufacturing process, but also is effective in much lower volumes than are required to produce similar effects using recombinant proteins. RiboMabs provide an antibody’s mRNA sequence, and the body does the production work itself. This simplicity is designed to allow for both shorter development times and a greater diversity of druggable targets. For efficient RiboMab production, the encoding mRNA is encapsulated in LNPs that deliver the mRNA to the liver cells. For cancer treatment, we focus on tumor-associated antigens to keep adverse effects for the patients as low as possible. We believe we can integrate any antibody sequence in our RiboMab-encoding mRNA.</w:t>
      </w:r>
    </w:p>
    <w:p>
      <w:pPr>
        <w:spacing w:after="0" w:line="119" w:lineRule="exact"/>
        <w:rPr>
          <w:sz w:val="20"/>
          <w:szCs w:val="20"/>
          <w:color w:val="auto"/>
        </w:rPr>
      </w:pPr>
    </w:p>
    <w:p>
      <w:pPr>
        <w:jc w:val="center"/>
        <w:ind w:right="56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207" w:right="319" w:bottom="1440" w:gutter="0" w:footer="0" w:header="0"/>
        </w:sectPr>
      </w:pPr>
    </w:p>
    <w:bookmarkStart w:id="118" w:name="page119"/>
    <w:bookmarkEnd w:id="118"/>
    <w:p>
      <w:pPr>
        <w:ind w:left="560" w:right="60" w:firstLine="527"/>
        <w:spacing w:after="0" w:line="287" w:lineRule="auto"/>
        <w:rPr>
          <w:sz w:val="20"/>
          <w:szCs w:val="20"/>
          <w:color w:val="auto"/>
        </w:rPr>
      </w:pPr>
      <w:r>
        <w:rPr>
          <w:rFonts w:ascii="Arial" w:cs="Arial" w:eastAsia="Arial" w:hAnsi="Arial"/>
          <w:sz w:val="13"/>
          <w:szCs w:val="13"/>
          <w:color w:val="auto"/>
        </w:rPr>
        <w:t>We have demonstrated the feasibility of our RiboMab technology for a variety of antibody formats, such as full immunoglobulins (Ig), primarily IgG, or different bispecific antibody variants, all of which engage the patient’s own immune cells to eradicate antigen-positive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95885</wp:posOffset>
            </wp:positionV>
            <wp:extent cx="3961765" cy="28251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61765" cy="282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54" w:lineRule="auto"/>
        <w:rPr>
          <w:sz w:val="20"/>
          <w:szCs w:val="20"/>
          <w:color w:val="auto"/>
        </w:rPr>
      </w:pPr>
      <w:r>
        <w:rPr>
          <w:rFonts w:ascii="Arial" w:cs="Arial" w:eastAsia="Arial" w:hAnsi="Arial"/>
          <w:sz w:val="10"/>
          <w:szCs w:val="10"/>
          <w:b w:val="1"/>
          <w:bCs w:val="1"/>
          <w:color w:val="auto"/>
        </w:rPr>
        <w:t xml:space="preserve">Our RiboMab technology. </w:t>
      </w:r>
      <w:r>
        <w:rPr>
          <w:rFonts w:ascii="Arial" w:cs="Arial" w:eastAsia="Arial" w:hAnsi="Arial"/>
          <w:sz w:val="10"/>
          <w:szCs w:val="10"/>
          <w:color w:val="auto"/>
        </w:rPr>
        <w:t>The figure above depicts the structure of</w:t>
      </w:r>
      <w:r>
        <w:rPr>
          <w:rFonts w:ascii="Arial" w:cs="Arial" w:eastAsia="Arial" w:hAnsi="Arial"/>
          <w:sz w:val="10"/>
          <w:szCs w:val="10"/>
          <w:b w:val="1"/>
          <w:bCs w:val="1"/>
          <w:color w:val="auto"/>
        </w:rPr>
        <w:t xml:space="preserve"> </w:t>
      </w:r>
      <w:r>
        <w:rPr>
          <w:rFonts w:ascii="Arial" w:cs="Arial" w:eastAsia="Arial" w:hAnsi="Arial"/>
          <w:sz w:val="10"/>
          <w:szCs w:val="10"/>
          <w:i w:val="1"/>
          <w:iCs w:val="1"/>
          <w:color w:val="auto"/>
        </w:rPr>
        <w:t>in vitro</w:t>
      </w:r>
      <w:r>
        <w:rPr>
          <w:rFonts w:ascii="Arial" w:cs="Arial" w:eastAsia="Arial" w:hAnsi="Arial"/>
          <w:sz w:val="10"/>
          <w:szCs w:val="10"/>
          <w:b w:val="1"/>
          <w:bCs w:val="1"/>
          <w:color w:val="auto"/>
        </w:rPr>
        <w:t xml:space="preserve"> </w:t>
      </w:r>
      <w:r>
        <w:rPr>
          <w:rFonts w:ascii="Arial" w:cs="Arial" w:eastAsia="Arial" w:hAnsi="Arial"/>
          <w:sz w:val="10"/>
          <w:szCs w:val="10"/>
          <w:color w:val="auto"/>
        </w:rPr>
        <w:t>transcribed (IVT) IgG and bi-(scFv)2 RiboMabs. IVT-mRNA encoding the therapeutic antibody is encapsulated in LNPs and injected intravenously into patients. The mRNA is delivered</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to the liver where it is translated into antibodies and secreted into the blood stream. Abbreviations: A100, poly adenosine tail; bi-(scFv)2, bispecific single chain variable fragment; C, C-terminus; CH, constant heavy domain; CL, constant light domain; IgG, immunoglobulin G; IVT, </w:t>
      </w:r>
      <w:r>
        <w:rPr>
          <w:rFonts w:ascii="Arial" w:cs="Arial" w:eastAsia="Arial" w:hAnsi="Arial"/>
          <w:sz w:val="10"/>
          <w:szCs w:val="10"/>
          <w:i w:val="1"/>
          <w:iCs w:val="1"/>
          <w:color w:val="auto"/>
        </w:rPr>
        <w:t>in vitro</w:t>
      </w:r>
      <w:r>
        <w:rPr>
          <w:rFonts w:ascii="Arial" w:cs="Arial" w:eastAsia="Arial" w:hAnsi="Arial"/>
          <w:sz w:val="10"/>
          <w:szCs w:val="10"/>
          <w:color w:val="auto"/>
        </w:rPr>
        <w:t xml:space="preserve"> transcribed; L, linker; LNP, lipid nanoparticles; m1y, 1-methylpseudouridine; N, N-terminus; TAA, tumor-associated antigen; VH, variable heavy domain; VL, variable light domain; UTR, untranslated region.</w:t>
      </w:r>
    </w:p>
    <w:p>
      <w:pPr>
        <w:spacing w:after="0" w:line="133" w:lineRule="exact"/>
        <w:rPr>
          <w:sz w:val="20"/>
          <w:szCs w:val="20"/>
          <w:color w:val="auto"/>
        </w:rPr>
      </w:pPr>
    </w:p>
    <w:p>
      <w:pPr>
        <w:ind w:left="560" w:right="380" w:firstLine="527"/>
        <w:spacing w:after="0" w:line="287" w:lineRule="auto"/>
        <w:rPr>
          <w:sz w:val="20"/>
          <w:szCs w:val="20"/>
          <w:color w:val="auto"/>
        </w:rPr>
      </w:pPr>
      <w:r>
        <w:rPr>
          <w:rFonts w:ascii="Arial" w:cs="Arial" w:eastAsia="Arial" w:hAnsi="Arial"/>
          <w:sz w:val="13"/>
          <w:szCs w:val="13"/>
          <w:color w:val="auto"/>
        </w:rPr>
        <w:t>We believe our broad portfolio of antibody formats will enable us to produce mRNAs encoding the appropriate antibody format for the individual patient’s medical need and the desired treatment regimen (</w:t>
      </w:r>
      <w:r>
        <w:rPr>
          <w:rFonts w:ascii="Arial" w:cs="Arial" w:eastAsia="Arial" w:hAnsi="Arial"/>
          <w:sz w:val="13"/>
          <w:szCs w:val="13"/>
          <w:i w:val="1"/>
          <w:iCs w:val="1"/>
          <w:color w:val="auto"/>
        </w:rPr>
        <w:t>e.g.,</w:t>
      </w:r>
      <w:r>
        <w:rPr>
          <w:rFonts w:ascii="Arial" w:cs="Arial" w:eastAsia="Arial" w:hAnsi="Arial"/>
          <w:sz w:val="13"/>
          <w:szCs w:val="13"/>
          <w:color w:val="auto"/>
        </w:rPr>
        <w:t xml:space="preserve"> monotherapy or combination therapy).</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RiboMab Development Plan</w:t>
      </w:r>
    </w:p>
    <w:p>
      <w:pPr>
        <w:spacing w:after="0" w:line="90" w:lineRule="exact"/>
        <w:rPr>
          <w:sz w:val="20"/>
          <w:szCs w:val="20"/>
          <w:color w:val="auto"/>
        </w:rPr>
      </w:pPr>
    </w:p>
    <w:p>
      <w:pPr>
        <w:ind w:left="560" w:right="120" w:firstLine="527"/>
        <w:spacing w:after="0" w:line="272" w:lineRule="auto"/>
        <w:rPr>
          <w:sz w:val="20"/>
          <w:szCs w:val="20"/>
          <w:color w:val="auto"/>
        </w:rPr>
      </w:pPr>
      <w:r>
        <w:rPr>
          <w:rFonts w:ascii="Arial" w:cs="Arial" w:eastAsia="Arial" w:hAnsi="Arial"/>
          <w:sz w:val="13"/>
          <w:szCs w:val="13"/>
          <w:color w:val="auto"/>
        </w:rPr>
        <w:t>Our first development candidate, BNT141, is an IgG antibody, which we expect to enter the clinic in the first half of 2021 in a basket trial targeting multiple solid tumor types. We are also currently evaluating multiple additional RiboMab development candidates in the preclinical setting, including RiboMabs encoding bispecific antibodies, one of which, BNT142, we expect to enter the clinic in the first half of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Candidate</w:t>
            </w:r>
          </w:p>
        </w:tc>
        <w:tc>
          <w:tcPr>
            <w:tcW w:w="100" w:type="dxa"/>
            <w:vAlign w:val="bottom"/>
          </w:tcPr>
          <w:p>
            <w:pPr>
              <w:spacing w:after="0"/>
              <w:rPr>
                <w:sz w:val="11"/>
                <w:szCs w:val="11"/>
                <w:color w:val="auto"/>
              </w:rPr>
            </w:pPr>
          </w:p>
        </w:tc>
        <w:tc>
          <w:tcPr>
            <w:tcW w:w="1680" w:type="dxa"/>
            <w:vAlign w:val="bottom"/>
            <w:tcBorders>
              <w:bottom w:val="single" w:sz="8" w:color="auto"/>
            </w:tcBorders>
          </w:tcPr>
          <w:p>
            <w:pPr>
              <w:ind w:left="1100"/>
              <w:spacing w:after="0"/>
              <w:rPr>
                <w:sz w:val="20"/>
                <w:szCs w:val="20"/>
                <w:color w:val="auto"/>
              </w:rPr>
            </w:pPr>
            <w:r>
              <w:rPr>
                <w:rFonts w:ascii="Arial" w:cs="Arial" w:eastAsia="Arial" w:hAnsi="Arial"/>
                <w:sz w:val="11"/>
                <w:szCs w:val="11"/>
                <w:b w:val="1"/>
                <w:bCs w:val="1"/>
                <w:color w:val="auto"/>
              </w:rPr>
              <w:t>Target</w:t>
            </w: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jc w:val="right"/>
              <w:ind w:right="627"/>
              <w:spacing w:after="0"/>
              <w:rPr>
                <w:sz w:val="20"/>
                <w:szCs w:val="20"/>
                <w:color w:val="auto"/>
              </w:rPr>
            </w:pPr>
            <w:r>
              <w:rPr>
                <w:rFonts w:ascii="Arial" w:cs="Arial" w:eastAsia="Arial" w:hAnsi="Arial"/>
                <w:sz w:val="11"/>
                <w:szCs w:val="11"/>
                <w:b w:val="1"/>
                <w:bCs w:val="1"/>
                <w:color w:val="auto"/>
              </w:rPr>
              <w:t>Next Potential Milestone</w:t>
            </w:r>
          </w:p>
        </w:tc>
        <w:tc>
          <w:tcPr>
            <w:tcW w:w="20" w:type="dxa"/>
            <w:vAlign w:val="bottom"/>
          </w:tcPr>
          <w:p>
            <w:pPr>
              <w:spacing w:after="0"/>
              <w:rPr>
                <w:sz w:val="11"/>
                <w:szCs w:val="11"/>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3"/>
                <w:szCs w:val="13"/>
                <w:color w:val="auto"/>
              </w:rPr>
              <w:t>BNT141 (monospecific)</w:t>
            </w:r>
          </w:p>
        </w:tc>
        <w:tc>
          <w:tcPr>
            <w:tcW w:w="1780" w:type="dxa"/>
            <w:vAlign w:val="bottom"/>
            <w:gridSpan w:val="2"/>
          </w:tcPr>
          <w:p>
            <w:pPr>
              <w:ind w:left="100"/>
              <w:spacing w:after="0"/>
              <w:rPr>
                <w:sz w:val="20"/>
                <w:szCs w:val="20"/>
                <w:color w:val="auto"/>
              </w:rPr>
            </w:pPr>
            <w:r>
              <w:rPr>
                <w:rFonts w:ascii="Arial" w:cs="Arial" w:eastAsia="Arial" w:hAnsi="Arial"/>
                <w:sz w:val="13"/>
                <w:szCs w:val="13"/>
                <w:color w:val="auto"/>
              </w:rPr>
              <w:t>Undisclosed</w:t>
            </w:r>
          </w:p>
        </w:tc>
        <w:tc>
          <w:tcPr>
            <w:tcW w:w="82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Preclinical</w:t>
            </w:r>
          </w:p>
        </w:tc>
        <w:tc>
          <w:tcPr>
            <w:tcW w:w="2580" w:type="dxa"/>
            <w:vAlign w:val="bottom"/>
            <w:gridSpan w:val="2"/>
          </w:tcPr>
          <w:p>
            <w:pPr>
              <w:jc w:val="right"/>
              <w:ind w:right="727"/>
              <w:spacing w:after="0"/>
              <w:rPr>
                <w:sz w:val="20"/>
                <w:szCs w:val="20"/>
                <w:color w:val="auto"/>
              </w:rPr>
            </w:pPr>
            <w:r>
              <w:rPr>
                <w:rFonts w:ascii="Arial" w:cs="Arial" w:eastAsia="Arial" w:hAnsi="Arial"/>
                <w:sz w:val="13"/>
                <w:szCs w:val="13"/>
                <w:color w:val="auto"/>
                <w:w w:val="98"/>
              </w:rPr>
              <w:t>Initiate Phase 1 trial in 1H 2021</w:t>
            </w:r>
          </w:p>
        </w:tc>
        <w:tc>
          <w:tcPr>
            <w:tcW w:w="20" w:type="dxa"/>
            <w:vAlign w:val="bottom"/>
          </w:tcPr>
          <w:p>
            <w:pPr>
              <w:spacing w:after="0"/>
              <w:rPr>
                <w:sz w:val="14"/>
                <w:szCs w:val="14"/>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3"/>
                <w:szCs w:val="13"/>
                <w:color w:val="auto"/>
              </w:rPr>
              <w:t>BNT142 (bispecific)</w:t>
            </w:r>
          </w:p>
        </w:tc>
        <w:tc>
          <w:tcPr>
            <w:tcW w:w="1780" w:type="dxa"/>
            <w:vAlign w:val="bottom"/>
            <w:gridSpan w:val="2"/>
          </w:tcPr>
          <w:p>
            <w:pPr>
              <w:ind w:left="100"/>
              <w:spacing w:after="0"/>
              <w:rPr>
                <w:sz w:val="20"/>
                <w:szCs w:val="20"/>
                <w:color w:val="auto"/>
              </w:rPr>
            </w:pPr>
            <w:r>
              <w:rPr>
                <w:rFonts w:ascii="Arial" w:cs="Arial" w:eastAsia="Arial" w:hAnsi="Arial"/>
                <w:sz w:val="13"/>
                <w:szCs w:val="13"/>
                <w:color w:val="auto"/>
              </w:rPr>
              <w:t>CD3xCLDN6</w:t>
            </w:r>
          </w:p>
        </w:tc>
        <w:tc>
          <w:tcPr>
            <w:tcW w:w="82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Preclinical</w:t>
            </w:r>
          </w:p>
        </w:tc>
        <w:tc>
          <w:tcPr>
            <w:tcW w:w="2580" w:type="dxa"/>
            <w:vAlign w:val="bottom"/>
            <w:gridSpan w:val="2"/>
          </w:tcPr>
          <w:p>
            <w:pPr>
              <w:jc w:val="right"/>
              <w:ind w:right="627"/>
              <w:spacing w:after="0"/>
              <w:rPr>
                <w:sz w:val="20"/>
                <w:szCs w:val="20"/>
                <w:color w:val="auto"/>
              </w:rPr>
            </w:pPr>
            <w:r>
              <w:rPr>
                <w:rFonts w:ascii="Arial" w:cs="Arial" w:eastAsia="Arial" w:hAnsi="Arial"/>
                <w:sz w:val="13"/>
                <w:szCs w:val="13"/>
                <w:color w:val="auto"/>
                <w:w w:val="98"/>
              </w:rPr>
              <w:t>Initiate Phase 1/2 trial in 1H 2021</w:t>
            </w:r>
          </w:p>
        </w:tc>
        <w:tc>
          <w:tcPr>
            <w:tcW w:w="20" w:type="dxa"/>
            <w:vAlign w:val="bottom"/>
          </w:tcPr>
          <w:p>
            <w:pPr>
              <w:spacing w:after="0"/>
              <w:rPr>
                <w:sz w:val="14"/>
                <w:szCs w:val="14"/>
                <w:color w:val="auto"/>
              </w:rPr>
            </w:pPr>
          </w:p>
        </w:tc>
      </w:tr>
      <w:tr>
        <w:trPr>
          <w:trHeight w:val="320"/>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jc w:val="right"/>
              <w:ind w:right="293"/>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291" w:right="299" w:bottom="1440" w:gutter="0" w:footer="0" w:header="0"/>
        </w:sectPr>
      </w:pPr>
    </w:p>
    <w:bookmarkStart w:id="119" w:name="page120"/>
    <w:bookmarkEnd w:id="119"/>
    <w:p>
      <w:pPr>
        <w:ind w:left="1660" w:hanging="550"/>
        <w:spacing w:after="0"/>
        <w:tabs>
          <w:tab w:leader="none" w:pos="1660" w:val="left"/>
        </w:tabs>
        <w:numPr>
          <w:ilvl w:val="0"/>
          <w:numId w:val="14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RiboCytokines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At a glance: Our RiboCytokine Platform</w:t>
      </w:r>
    </w:p>
    <w:p>
      <w:pPr>
        <w:spacing w:after="0" w:line="86" w:lineRule="exact"/>
        <w:rPr>
          <w:sz w:val="20"/>
          <w:szCs w:val="20"/>
          <w:color w:val="auto"/>
        </w:rPr>
      </w:pPr>
    </w:p>
    <w:p>
      <w:pPr>
        <w:ind w:left="1440" w:hanging="330"/>
        <w:spacing w:after="0"/>
        <w:tabs>
          <w:tab w:leader="none" w:pos="1440" w:val="left"/>
        </w:tabs>
        <w:numPr>
          <w:ilvl w:val="0"/>
          <w:numId w:val="144"/>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Cytokines encoded by mRNA and produced in the patient as an alternative to recombinant cytokines.</w:t>
      </w:r>
    </w:p>
    <w:p>
      <w:pPr>
        <w:spacing w:after="0" w:line="90" w:lineRule="exact"/>
        <w:rPr>
          <w:rFonts w:ascii="Arial" w:cs="Arial" w:eastAsia="Arial" w:hAnsi="Arial"/>
          <w:sz w:val="13"/>
          <w:szCs w:val="13"/>
          <w:color w:val="auto"/>
        </w:rPr>
      </w:pPr>
    </w:p>
    <w:p>
      <w:pPr>
        <w:ind w:left="1440" w:right="260" w:hanging="330"/>
        <w:spacing w:after="0" w:line="294" w:lineRule="auto"/>
        <w:tabs>
          <w:tab w:leader="none" w:pos="1440" w:val="left"/>
        </w:tabs>
        <w:numPr>
          <w:ilvl w:val="0"/>
          <w:numId w:val="144"/>
        </w:numPr>
        <w:rPr>
          <w:rFonts w:ascii="Arial" w:cs="Arial" w:eastAsia="Arial" w:hAnsi="Arial"/>
          <w:sz w:val="13"/>
          <w:szCs w:val="13"/>
          <w:color w:val="auto"/>
        </w:rPr>
      </w:pPr>
      <w:r>
        <w:rPr>
          <w:rFonts w:ascii="Arial" w:cs="Arial" w:eastAsia="Arial" w:hAnsi="Arial"/>
          <w:sz w:val="13"/>
          <w:szCs w:val="13"/>
          <w:b w:val="1"/>
          <w:bCs w:val="1"/>
          <w:color w:val="auto"/>
        </w:rPr>
        <w:t xml:space="preserve">mRNA Format: </w:t>
      </w:r>
      <w:r>
        <w:rPr>
          <w:rFonts w:ascii="Arial" w:cs="Arial" w:eastAsia="Arial" w:hAnsi="Arial"/>
          <w:sz w:val="13"/>
          <w:szCs w:val="13"/>
          <w:color w:val="auto"/>
        </w:rPr>
        <w:t>Nucleoside-modified mRNA engineered for minimal immunogenicity in order to avoid immune detection and allow translation of the encoded cytokines to occur</w:t>
      </w:r>
      <w:r>
        <w:rPr>
          <w:rFonts w:ascii="Arial" w:cs="Arial" w:eastAsia="Arial" w:hAnsi="Arial"/>
          <w:sz w:val="13"/>
          <w:szCs w:val="13"/>
          <w:b w:val="1"/>
          <w:bCs w:val="1"/>
          <w:color w:val="auto"/>
        </w:rPr>
        <w:t xml:space="preserve"> </w:t>
      </w:r>
      <w:r>
        <w:rPr>
          <w:rFonts w:ascii="Arial" w:cs="Arial" w:eastAsia="Arial" w:hAnsi="Arial"/>
          <w:sz w:val="13"/>
          <w:szCs w:val="13"/>
          <w:color w:val="auto"/>
        </w:rPr>
        <w:t>within the cells.</w:t>
      </w:r>
    </w:p>
    <w:p>
      <w:pPr>
        <w:spacing w:after="0" w:line="33" w:lineRule="exact"/>
        <w:rPr>
          <w:rFonts w:ascii="Arial" w:cs="Arial" w:eastAsia="Arial" w:hAnsi="Arial"/>
          <w:sz w:val="13"/>
          <w:szCs w:val="13"/>
          <w:color w:val="auto"/>
        </w:rPr>
      </w:pPr>
    </w:p>
    <w:p>
      <w:pPr>
        <w:ind w:left="1440" w:hanging="330"/>
        <w:spacing w:after="0"/>
        <w:tabs>
          <w:tab w:leader="none" w:pos="1440" w:val="left"/>
        </w:tabs>
        <w:numPr>
          <w:ilvl w:val="0"/>
          <w:numId w:val="144"/>
        </w:numPr>
        <w:rPr>
          <w:rFonts w:ascii="Arial" w:cs="Arial" w:eastAsia="Arial" w:hAnsi="Arial"/>
          <w:sz w:val="12"/>
          <w:szCs w:val="12"/>
          <w:color w:val="auto"/>
        </w:rPr>
      </w:pPr>
      <w:r>
        <w:rPr>
          <w:rFonts w:ascii="Arial" w:cs="Arial" w:eastAsia="Arial" w:hAnsi="Arial"/>
          <w:sz w:val="12"/>
          <w:szCs w:val="12"/>
          <w:b w:val="1"/>
          <w:bCs w:val="1"/>
          <w:color w:val="auto"/>
        </w:rPr>
        <w:t xml:space="preserve">mRNA Delivery Formulation: </w:t>
      </w:r>
      <w:r>
        <w:rPr>
          <w:rFonts w:ascii="Arial" w:cs="Arial" w:eastAsia="Arial" w:hAnsi="Arial"/>
          <w:sz w:val="12"/>
          <w:szCs w:val="12"/>
          <w:color w:val="auto"/>
        </w:rPr>
        <w:t>Various liver-targeting LNP formulations, delivered intravenously, to ensure systemic availability and prolonged production of the cytokine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in vivo</w:t>
      </w:r>
      <w:r>
        <w:rPr>
          <w:rFonts w:ascii="Arial" w:cs="Arial" w:eastAsia="Arial" w:hAnsi="Arial"/>
          <w:sz w:val="12"/>
          <w:szCs w:val="12"/>
          <w:color w:val="auto"/>
        </w:rPr>
        <w:t>.</w:t>
      </w:r>
    </w:p>
    <w:p>
      <w:pPr>
        <w:spacing w:after="0" w:line="101" w:lineRule="exact"/>
        <w:rPr>
          <w:rFonts w:ascii="Arial" w:cs="Arial" w:eastAsia="Arial" w:hAnsi="Arial"/>
          <w:sz w:val="12"/>
          <w:szCs w:val="12"/>
          <w:color w:val="auto"/>
        </w:rPr>
      </w:pPr>
    </w:p>
    <w:p>
      <w:pPr>
        <w:ind w:left="1440" w:hanging="330"/>
        <w:spacing w:after="0"/>
        <w:tabs>
          <w:tab w:leader="none" w:pos="1440" w:val="left"/>
        </w:tabs>
        <w:numPr>
          <w:ilvl w:val="0"/>
          <w:numId w:val="144"/>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Worldwide rights; wholly owned.</w:t>
      </w:r>
    </w:p>
    <w:p>
      <w:pPr>
        <w:spacing w:after="0" w:line="90" w:lineRule="exact"/>
        <w:rPr>
          <w:rFonts w:ascii="Arial" w:cs="Arial" w:eastAsia="Arial" w:hAnsi="Arial"/>
          <w:sz w:val="13"/>
          <w:szCs w:val="13"/>
          <w:color w:val="auto"/>
        </w:rPr>
      </w:pPr>
    </w:p>
    <w:p>
      <w:pPr>
        <w:ind w:left="1440" w:hanging="330"/>
        <w:spacing w:after="0"/>
        <w:tabs>
          <w:tab w:leader="none" w:pos="1440" w:val="left"/>
        </w:tabs>
        <w:numPr>
          <w:ilvl w:val="0"/>
          <w:numId w:val="144"/>
        </w:numPr>
        <w:rPr>
          <w:rFonts w:ascii="Arial" w:cs="Arial" w:eastAsia="Arial" w:hAnsi="Arial"/>
          <w:sz w:val="13"/>
          <w:szCs w:val="13"/>
          <w:color w:val="auto"/>
        </w:rPr>
      </w:pPr>
      <w:r>
        <w:rPr>
          <w:rFonts w:ascii="Arial" w:cs="Arial" w:eastAsia="Arial" w:hAnsi="Arial"/>
          <w:sz w:val="13"/>
          <w:szCs w:val="13"/>
          <w:b w:val="1"/>
          <w:bCs w:val="1"/>
          <w:color w:val="auto"/>
        </w:rPr>
        <w:t xml:space="preserve">Lead Candidate: </w:t>
      </w:r>
      <w:r>
        <w:rPr>
          <w:rFonts w:ascii="Arial" w:cs="Arial" w:eastAsia="Arial" w:hAnsi="Arial"/>
          <w:sz w:val="13"/>
          <w:szCs w:val="13"/>
          <w:color w:val="auto"/>
        </w:rPr>
        <w:t>BNT151 in multiple advanced malignancies.</w:t>
      </w:r>
    </w:p>
    <w:p>
      <w:pPr>
        <w:spacing w:after="0" w:line="174" w:lineRule="exact"/>
        <w:rPr>
          <w:sz w:val="20"/>
          <w:szCs w:val="20"/>
          <w:color w:val="auto"/>
        </w:rPr>
      </w:pPr>
    </w:p>
    <w:p>
      <w:pPr>
        <w:ind w:left="560" w:firstLine="527"/>
        <w:spacing w:after="0" w:line="291" w:lineRule="auto"/>
        <w:rPr>
          <w:sz w:val="20"/>
          <w:szCs w:val="20"/>
          <w:color w:val="auto"/>
        </w:rPr>
      </w:pPr>
      <w:r>
        <w:rPr>
          <w:rFonts w:ascii="Arial" w:cs="Arial" w:eastAsia="Arial" w:hAnsi="Arial"/>
          <w:sz w:val="12"/>
          <w:szCs w:val="12"/>
          <w:color w:val="auto"/>
        </w:rPr>
        <w:t xml:space="preserve">Our RiboCytokine product candidates utilize mRNA that encodes the desired cytokines for expression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by the patient’s cells. Cytokines represent a large group of relatively small proteins (&lt;30 kDa) that regulate a variety of biological functions as they elicit signaling for immune and non-immune cells. In particular, cytokines play a pivotal role in orchestrating the initiation, execution and extinction of innate and adaptive immunity against pathogens as well as malignant cells. Due to their natural role as immunomodulators, recombinant cytokines are currently used for the treatment of a number of infectious, inflammatory, autoimmune and malignant diseases. One of the major challenges associated with the therapeutic use of cytokines relates to their short serum half-life and low bioavailability. This impedes therapeutic efficacy as it necessitates high and frequent dosing, which often results in dose-limiting toxicities.</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developed a wholly owned, novel mRNA-based platform technology called RiboCytokines, designed to address the limitations of recombinantly expressed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126365</wp:posOffset>
            </wp:positionV>
            <wp:extent cx="3936365" cy="2602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36365" cy="260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Concept of our RiboCytokine technology. </w:t>
      </w:r>
      <w:r>
        <w:rPr>
          <w:rFonts w:ascii="Arial" w:cs="Arial" w:eastAsia="Arial" w:hAnsi="Arial"/>
          <w:sz w:val="11"/>
          <w:szCs w:val="11"/>
          <w:color w:val="auto"/>
        </w:rPr>
        <w:t>The graphic above depicts our RiboCytokine technology, including mRNA formulated in LNPs and administered by injection, having a beneficial pharmacokinetic profile.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0" w:name="page121"/>
    <w:bookmarkEnd w:id="120"/>
    <w:p>
      <w:pPr>
        <w:ind w:left="1080"/>
        <w:spacing w:after="0"/>
        <w:rPr>
          <w:sz w:val="20"/>
          <w:szCs w:val="20"/>
          <w:color w:val="auto"/>
        </w:rPr>
      </w:pPr>
      <w:r>
        <w:rPr>
          <w:rFonts w:ascii="Arial" w:cs="Arial" w:eastAsia="Arial" w:hAnsi="Arial"/>
          <w:sz w:val="13"/>
          <w:szCs w:val="13"/>
          <w:color w:val="auto"/>
        </w:rPr>
        <w:t>Our RiboCytokine platform allows for sustained delivery of the encoded cytokines with prolonged half-life, including through:</w:t>
      </w:r>
    </w:p>
    <w:p>
      <w:pPr>
        <w:spacing w:after="0" w:line="86" w:lineRule="exact"/>
        <w:rPr>
          <w:sz w:val="20"/>
          <w:szCs w:val="20"/>
          <w:color w:val="auto"/>
        </w:rPr>
      </w:pPr>
    </w:p>
    <w:p>
      <w:pPr>
        <w:ind w:left="1440" w:right="20" w:hanging="330"/>
        <w:spacing w:after="0" w:line="294" w:lineRule="auto"/>
        <w:tabs>
          <w:tab w:leader="none" w:pos="1440" w:val="left"/>
        </w:tabs>
        <w:numPr>
          <w:ilvl w:val="0"/>
          <w:numId w:val="145"/>
        </w:numPr>
        <w:rPr>
          <w:rFonts w:ascii="Arial" w:cs="Arial" w:eastAsia="Arial" w:hAnsi="Arial"/>
          <w:sz w:val="13"/>
          <w:szCs w:val="13"/>
          <w:color w:val="auto"/>
        </w:rPr>
      </w:pPr>
      <w:r>
        <w:rPr>
          <w:rFonts w:ascii="Arial" w:cs="Arial" w:eastAsia="Arial" w:hAnsi="Arial"/>
          <w:sz w:val="13"/>
          <w:szCs w:val="13"/>
          <w:b w:val="1"/>
          <w:bCs w:val="1"/>
          <w:color w:val="auto"/>
        </w:rPr>
        <w:t xml:space="preserve">Usage of N1-methylpseudouridine modified mRNA. </w:t>
      </w:r>
      <w:r>
        <w:rPr>
          <w:rFonts w:ascii="Arial" w:cs="Arial" w:eastAsia="Arial" w:hAnsi="Arial"/>
          <w:sz w:val="13"/>
          <w:szCs w:val="13"/>
          <w:color w:val="auto"/>
        </w:rPr>
        <w:t>N1-methylpseudouridine as a nucleoside analogue prevents the recognition of mRNA by TLRs, avoiding immune attack against</w:t>
      </w:r>
      <w:r>
        <w:rPr>
          <w:rFonts w:ascii="Arial" w:cs="Arial" w:eastAsia="Arial" w:hAnsi="Arial"/>
          <w:sz w:val="13"/>
          <w:szCs w:val="13"/>
          <w:b w:val="1"/>
          <w:bCs w:val="1"/>
          <w:color w:val="auto"/>
        </w:rPr>
        <w:t xml:space="preserve"> </w:t>
      </w:r>
      <w:r>
        <w:rPr>
          <w:rFonts w:ascii="Arial" w:cs="Arial" w:eastAsia="Arial" w:hAnsi="Arial"/>
          <w:sz w:val="13"/>
          <w:szCs w:val="13"/>
          <w:color w:val="auto"/>
        </w:rPr>
        <w:t>the RiboCytokines.</w:t>
      </w:r>
    </w:p>
    <w:p>
      <w:pPr>
        <w:spacing w:after="0" w:line="33" w:lineRule="exact"/>
        <w:rPr>
          <w:rFonts w:ascii="Arial" w:cs="Arial" w:eastAsia="Arial" w:hAnsi="Arial"/>
          <w:sz w:val="13"/>
          <w:szCs w:val="13"/>
          <w:color w:val="auto"/>
        </w:rPr>
      </w:pPr>
    </w:p>
    <w:p>
      <w:pPr>
        <w:ind w:left="1440" w:right="120" w:hanging="330"/>
        <w:spacing w:after="0" w:line="294" w:lineRule="auto"/>
        <w:tabs>
          <w:tab w:leader="none" w:pos="1440" w:val="left"/>
        </w:tabs>
        <w:numPr>
          <w:ilvl w:val="0"/>
          <w:numId w:val="145"/>
        </w:numPr>
        <w:rPr>
          <w:rFonts w:ascii="Arial" w:cs="Arial" w:eastAsia="Arial" w:hAnsi="Arial"/>
          <w:sz w:val="13"/>
          <w:szCs w:val="13"/>
          <w:color w:val="auto"/>
        </w:rPr>
      </w:pPr>
      <w:r>
        <w:rPr>
          <w:rFonts w:ascii="Arial" w:cs="Arial" w:eastAsia="Arial" w:hAnsi="Arial"/>
          <w:sz w:val="13"/>
          <w:szCs w:val="13"/>
          <w:b w:val="1"/>
          <w:bCs w:val="1"/>
          <w:color w:val="auto"/>
        </w:rPr>
        <w:t xml:space="preserve">Liver targeted expression. </w:t>
      </w:r>
      <w:r>
        <w:rPr>
          <w:rFonts w:ascii="Arial" w:cs="Arial" w:eastAsia="Arial" w:hAnsi="Arial"/>
          <w:sz w:val="13"/>
          <w:szCs w:val="13"/>
          <w:color w:val="auto"/>
        </w:rPr>
        <w:t>RiboCytokines are formulated using clinically validated LNP delivery technology owned by Genevant. LNPs selectively target the liver resulting in high-level expression.</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that apart from a beneficial pharmacokinetic profile, our mRNA-based RiboCytokine technology has a number of additional advantages over other types of cytokine therapies:</w:t>
      </w:r>
    </w:p>
    <w:p>
      <w:pPr>
        <w:spacing w:after="0" w:line="98" w:lineRule="exact"/>
        <w:rPr>
          <w:sz w:val="20"/>
          <w:szCs w:val="20"/>
          <w:color w:val="auto"/>
        </w:rPr>
      </w:pPr>
    </w:p>
    <w:p>
      <w:pPr>
        <w:ind w:left="1440" w:right="580" w:hanging="330"/>
        <w:spacing w:after="0" w:line="294" w:lineRule="auto"/>
        <w:tabs>
          <w:tab w:leader="none" w:pos="1440" w:val="left"/>
        </w:tabs>
        <w:numPr>
          <w:ilvl w:val="0"/>
          <w:numId w:val="146"/>
        </w:numPr>
        <w:rPr>
          <w:rFonts w:ascii="Arial" w:cs="Arial" w:eastAsia="Arial" w:hAnsi="Arial"/>
          <w:sz w:val="13"/>
          <w:szCs w:val="13"/>
          <w:color w:val="auto"/>
        </w:rPr>
      </w:pPr>
      <w:r>
        <w:rPr>
          <w:rFonts w:ascii="Arial" w:cs="Arial" w:eastAsia="Arial" w:hAnsi="Arial"/>
          <w:sz w:val="13"/>
          <w:szCs w:val="13"/>
          <w:b w:val="1"/>
          <w:bCs w:val="1"/>
          <w:color w:val="auto"/>
        </w:rPr>
        <w:t xml:space="preserve">Less immunogenic than recombinant cytokines. </w:t>
      </w:r>
      <w:r>
        <w:rPr>
          <w:rFonts w:ascii="Arial" w:cs="Arial" w:eastAsia="Arial" w:hAnsi="Arial"/>
          <w:sz w:val="13"/>
          <w:szCs w:val="13"/>
          <w:color w:val="auto"/>
        </w:rPr>
        <w:t>Expression of self and foreign antigens in the liver is associated with immune tolerance due to a unique anti-inflammatory</w:t>
      </w:r>
      <w:r>
        <w:rPr>
          <w:rFonts w:ascii="Arial" w:cs="Arial" w:eastAsia="Arial" w:hAnsi="Arial"/>
          <w:sz w:val="13"/>
          <w:szCs w:val="13"/>
          <w:b w:val="1"/>
          <w:bCs w:val="1"/>
          <w:color w:val="auto"/>
        </w:rPr>
        <w:t xml:space="preserve"> </w:t>
      </w:r>
      <w:r>
        <w:rPr>
          <w:rFonts w:ascii="Arial" w:cs="Arial" w:eastAsia="Arial" w:hAnsi="Arial"/>
          <w:sz w:val="13"/>
          <w:szCs w:val="13"/>
          <w:color w:val="auto"/>
        </w:rPr>
        <w:t>microenvironment. We expect RiboCytokines to be less likely to trigger an immune response when compared to their recombinant counterparts.</w:t>
      </w:r>
    </w:p>
    <w:p>
      <w:pPr>
        <w:spacing w:after="0" w:line="33" w:lineRule="exact"/>
        <w:rPr>
          <w:rFonts w:ascii="Arial" w:cs="Arial" w:eastAsia="Arial" w:hAnsi="Arial"/>
          <w:sz w:val="13"/>
          <w:szCs w:val="13"/>
          <w:color w:val="auto"/>
        </w:rPr>
      </w:pPr>
    </w:p>
    <w:p>
      <w:pPr>
        <w:ind w:left="1440" w:right="640" w:hanging="330"/>
        <w:spacing w:after="0" w:line="338" w:lineRule="auto"/>
        <w:tabs>
          <w:tab w:leader="none" w:pos="1440" w:val="left"/>
        </w:tabs>
        <w:numPr>
          <w:ilvl w:val="0"/>
          <w:numId w:val="146"/>
        </w:numPr>
        <w:rPr>
          <w:rFonts w:ascii="Arial" w:cs="Arial" w:eastAsia="Arial" w:hAnsi="Arial"/>
          <w:sz w:val="12"/>
          <w:szCs w:val="12"/>
          <w:color w:val="auto"/>
        </w:rPr>
      </w:pPr>
      <w:r>
        <w:rPr>
          <w:rFonts w:ascii="Arial" w:cs="Arial" w:eastAsia="Arial" w:hAnsi="Arial"/>
          <w:sz w:val="12"/>
          <w:szCs w:val="12"/>
          <w:b w:val="1"/>
          <w:bCs w:val="1"/>
          <w:color w:val="auto"/>
        </w:rPr>
        <w:t xml:space="preserve">Shorter development times and greater diversity. </w:t>
      </w:r>
      <w:r>
        <w:rPr>
          <w:rFonts w:ascii="Arial" w:cs="Arial" w:eastAsia="Arial" w:hAnsi="Arial"/>
          <w:sz w:val="12"/>
          <w:szCs w:val="12"/>
          <w:color w:val="auto"/>
        </w:rPr>
        <w:t>The development of recombinant cytokines is a challenge due to demanding and costly CMC procedures of production,</w:t>
      </w:r>
      <w:r>
        <w:rPr>
          <w:rFonts w:ascii="Arial" w:cs="Arial" w:eastAsia="Arial" w:hAnsi="Arial"/>
          <w:sz w:val="12"/>
          <w:szCs w:val="12"/>
          <w:b w:val="1"/>
          <w:bCs w:val="1"/>
          <w:color w:val="auto"/>
        </w:rPr>
        <w:t xml:space="preserve"> </w:t>
      </w:r>
      <w:r>
        <w:rPr>
          <w:rFonts w:ascii="Arial" w:cs="Arial" w:eastAsia="Arial" w:hAnsi="Arial"/>
          <w:sz w:val="12"/>
          <w:szCs w:val="12"/>
          <w:color w:val="auto"/>
        </w:rPr>
        <w:t>purification and formulation. The simplicity of our mRNA manufacturing allows for both shorter development times and a greater diversity of druggable targets.</w:t>
      </w:r>
    </w:p>
    <w:p>
      <w:pPr>
        <w:spacing w:after="0" w:line="65" w:lineRule="exact"/>
        <w:rPr>
          <w:sz w:val="20"/>
          <w:szCs w:val="20"/>
          <w:color w:val="auto"/>
        </w:rPr>
      </w:pPr>
    </w:p>
    <w:p>
      <w:pPr>
        <w:ind w:left="560" w:right="420" w:firstLine="527"/>
        <w:spacing w:after="0" w:line="287" w:lineRule="auto"/>
        <w:rPr>
          <w:sz w:val="20"/>
          <w:szCs w:val="20"/>
          <w:color w:val="auto"/>
        </w:rPr>
      </w:pPr>
      <w:r>
        <w:rPr>
          <w:rFonts w:ascii="Arial" w:cs="Arial" w:eastAsia="Arial" w:hAnsi="Arial"/>
          <w:sz w:val="13"/>
          <w:szCs w:val="13"/>
          <w:color w:val="auto"/>
        </w:rPr>
        <w:t>We believe that our RiboCytokine technology is particularly well-suited to identify candidates for combination treatment with our proprietary CAR-T cell and cancer immunotherapies platforms.</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RiboCytokine Development Plan</w:t>
      </w:r>
    </w:p>
    <w:p>
      <w:pPr>
        <w:spacing w:after="0" w:line="90" w:lineRule="exact"/>
        <w:rPr>
          <w:sz w:val="20"/>
          <w:szCs w:val="20"/>
          <w:color w:val="auto"/>
        </w:rPr>
      </w:pPr>
    </w:p>
    <w:p>
      <w:pPr>
        <w:ind w:left="560" w:right="520" w:firstLine="527"/>
        <w:spacing w:after="0" w:line="287" w:lineRule="auto"/>
        <w:rPr>
          <w:sz w:val="20"/>
          <w:szCs w:val="20"/>
          <w:color w:val="auto"/>
        </w:rPr>
      </w:pPr>
      <w:r>
        <w:rPr>
          <w:rFonts w:ascii="Arial" w:cs="Arial" w:eastAsia="Arial" w:hAnsi="Arial"/>
          <w:sz w:val="13"/>
          <w:szCs w:val="13"/>
          <w:color w:val="auto"/>
        </w:rPr>
        <w:t>We expect our first two RiboCytokine product candidates, BNT151 and BNT152/BNT153 (combination), to enter the clinic in the first half of 2021 in basket trials targeting multiple advanced malignancies.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3"/>
              </w:rPr>
              <w:t>Candidate</w:t>
            </w:r>
          </w:p>
        </w:tc>
        <w:tc>
          <w:tcPr>
            <w:tcW w:w="2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Cytokines</w:t>
            </w: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jc w:val="right"/>
              <w:ind w:right="627"/>
              <w:spacing w:after="0"/>
              <w:rPr>
                <w:sz w:val="20"/>
                <w:szCs w:val="20"/>
                <w:color w:val="auto"/>
              </w:rPr>
            </w:pPr>
            <w:r>
              <w:rPr>
                <w:rFonts w:ascii="Arial" w:cs="Arial" w:eastAsia="Arial" w:hAnsi="Arial"/>
                <w:sz w:val="11"/>
                <w:szCs w:val="11"/>
                <w:b w:val="1"/>
                <w:bCs w:val="1"/>
                <w:color w:val="auto"/>
              </w:rPr>
              <w:t>Next Potential Milestone</w:t>
            </w:r>
          </w:p>
        </w:tc>
      </w:tr>
      <w:tr>
        <w:trPr>
          <w:trHeight w:val="171"/>
        </w:trPr>
        <w:tc>
          <w:tcPr>
            <w:tcW w:w="520" w:type="dxa"/>
            <w:vAlign w:val="bottom"/>
          </w:tcPr>
          <w:p>
            <w:pPr>
              <w:spacing w:after="0"/>
              <w:rPr>
                <w:sz w:val="20"/>
                <w:szCs w:val="20"/>
                <w:color w:val="auto"/>
              </w:rPr>
            </w:pPr>
            <w:r>
              <w:rPr>
                <w:rFonts w:ascii="Arial" w:cs="Arial" w:eastAsia="Arial" w:hAnsi="Arial"/>
                <w:sz w:val="13"/>
                <w:szCs w:val="13"/>
                <w:color w:val="auto"/>
              </w:rPr>
              <w:t>BNT151</w:t>
            </w:r>
          </w:p>
        </w:tc>
        <w:tc>
          <w:tcPr>
            <w:tcW w:w="29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color w:val="auto"/>
              </w:rPr>
              <w:t>Optimized IL-2</w:t>
            </w:r>
          </w:p>
        </w:tc>
        <w:tc>
          <w:tcPr>
            <w:tcW w:w="15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Preclinical</w:t>
            </w:r>
          </w:p>
        </w:tc>
        <w:tc>
          <w:tcPr>
            <w:tcW w:w="1820" w:type="dxa"/>
            <w:vAlign w:val="bottom"/>
          </w:tcPr>
          <w:p>
            <w:pPr>
              <w:spacing w:after="0"/>
              <w:rPr>
                <w:sz w:val="14"/>
                <w:szCs w:val="14"/>
                <w:color w:val="auto"/>
              </w:rPr>
            </w:pPr>
          </w:p>
        </w:tc>
        <w:tc>
          <w:tcPr>
            <w:tcW w:w="2580" w:type="dxa"/>
            <w:vAlign w:val="bottom"/>
            <w:gridSpan w:val="2"/>
          </w:tcPr>
          <w:p>
            <w:pPr>
              <w:jc w:val="right"/>
              <w:ind w:right="727"/>
              <w:spacing w:after="0"/>
              <w:rPr>
                <w:sz w:val="20"/>
                <w:szCs w:val="20"/>
                <w:color w:val="auto"/>
              </w:rPr>
            </w:pPr>
            <w:r>
              <w:rPr>
                <w:rFonts w:ascii="Arial" w:cs="Arial" w:eastAsia="Arial" w:hAnsi="Arial"/>
                <w:sz w:val="13"/>
                <w:szCs w:val="13"/>
                <w:color w:val="auto"/>
                <w:w w:val="98"/>
              </w:rPr>
              <w:t>Initiate Phase 1 trial in 1H 2021</w:t>
            </w:r>
          </w:p>
        </w:tc>
      </w:tr>
      <w:tr>
        <w:trPr>
          <w:trHeight w:val="169"/>
        </w:trPr>
        <w:tc>
          <w:tcPr>
            <w:tcW w:w="3500" w:type="dxa"/>
            <w:vAlign w:val="bottom"/>
            <w:gridSpan w:val="2"/>
          </w:tcPr>
          <w:p>
            <w:pPr>
              <w:spacing w:after="0"/>
              <w:rPr>
                <w:sz w:val="20"/>
                <w:szCs w:val="20"/>
                <w:color w:val="auto"/>
              </w:rPr>
            </w:pPr>
            <w:r>
              <w:rPr>
                <w:rFonts w:ascii="Arial" w:cs="Arial" w:eastAsia="Arial" w:hAnsi="Arial"/>
                <w:sz w:val="13"/>
                <w:szCs w:val="13"/>
                <w:color w:val="auto"/>
              </w:rPr>
              <w:t>BNT152/BNT153</w:t>
            </w:r>
          </w:p>
        </w:tc>
        <w:tc>
          <w:tcPr>
            <w:tcW w:w="1020" w:type="dxa"/>
            <w:vAlign w:val="bottom"/>
            <w:gridSpan w:val="2"/>
          </w:tcPr>
          <w:p>
            <w:pPr>
              <w:ind w:left="100"/>
              <w:spacing w:after="0"/>
              <w:rPr>
                <w:sz w:val="20"/>
                <w:szCs w:val="20"/>
                <w:color w:val="auto"/>
              </w:rPr>
            </w:pPr>
            <w:r>
              <w:rPr>
                <w:rFonts w:ascii="Arial" w:cs="Arial" w:eastAsia="Arial" w:hAnsi="Arial"/>
                <w:sz w:val="13"/>
                <w:szCs w:val="13"/>
                <w:color w:val="auto"/>
              </w:rPr>
              <w:t>IL-7/IL-2</w:t>
            </w:r>
          </w:p>
        </w:tc>
        <w:tc>
          <w:tcPr>
            <w:tcW w:w="15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Preclinical</w:t>
            </w:r>
          </w:p>
        </w:tc>
        <w:tc>
          <w:tcPr>
            <w:tcW w:w="1820" w:type="dxa"/>
            <w:vAlign w:val="bottom"/>
          </w:tcPr>
          <w:p>
            <w:pPr>
              <w:spacing w:after="0"/>
              <w:rPr>
                <w:sz w:val="14"/>
                <w:szCs w:val="14"/>
                <w:color w:val="auto"/>
              </w:rPr>
            </w:pPr>
          </w:p>
        </w:tc>
        <w:tc>
          <w:tcPr>
            <w:tcW w:w="2580" w:type="dxa"/>
            <w:vAlign w:val="bottom"/>
            <w:gridSpan w:val="2"/>
          </w:tcPr>
          <w:p>
            <w:pPr>
              <w:jc w:val="right"/>
              <w:ind w:right="627"/>
              <w:spacing w:after="0"/>
              <w:rPr>
                <w:sz w:val="20"/>
                <w:szCs w:val="20"/>
                <w:color w:val="auto"/>
              </w:rPr>
            </w:pPr>
            <w:r>
              <w:rPr>
                <w:rFonts w:ascii="Arial" w:cs="Arial" w:eastAsia="Arial" w:hAnsi="Arial"/>
                <w:sz w:val="13"/>
                <w:szCs w:val="13"/>
                <w:color w:val="auto"/>
                <w:w w:val="98"/>
              </w:rPr>
              <w:t>Initiate Phase 1/2 trial in 1H 2021</w:t>
            </w:r>
          </w:p>
        </w:tc>
      </w:tr>
      <w:tr>
        <w:trPr>
          <w:trHeight w:val="400"/>
        </w:trPr>
        <w:tc>
          <w:tcPr>
            <w:tcW w:w="520" w:type="dxa"/>
            <w:vAlign w:val="bottom"/>
          </w:tcPr>
          <w:p>
            <w:pPr>
              <w:spacing w:after="0"/>
              <w:rPr>
                <w:sz w:val="20"/>
                <w:szCs w:val="20"/>
                <w:color w:val="auto"/>
              </w:rPr>
            </w:pPr>
            <w:r>
              <w:rPr>
                <w:rFonts w:ascii="Arial" w:cs="Arial" w:eastAsia="Arial" w:hAnsi="Arial"/>
                <w:sz w:val="13"/>
                <w:szCs w:val="13"/>
                <w:b w:val="1"/>
                <w:bCs w:val="1"/>
                <w:color w:val="auto"/>
              </w:rPr>
              <w:t>IX.</w:t>
            </w:r>
          </w:p>
        </w:tc>
        <w:tc>
          <w:tcPr>
            <w:tcW w:w="2980" w:type="dxa"/>
            <w:vAlign w:val="bottom"/>
          </w:tcPr>
          <w:p>
            <w:pPr>
              <w:ind w:left="20"/>
              <w:spacing w:after="0"/>
              <w:rPr>
                <w:sz w:val="20"/>
                <w:szCs w:val="20"/>
                <w:color w:val="auto"/>
              </w:rPr>
            </w:pPr>
            <w:r>
              <w:rPr>
                <w:rFonts w:ascii="Arial" w:cs="Arial" w:eastAsia="Arial" w:hAnsi="Arial"/>
                <w:sz w:val="13"/>
                <w:szCs w:val="13"/>
                <w:b w:val="1"/>
                <w:bCs w:val="1"/>
                <w:color w:val="auto"/>
              </w:rPr>
              <w:t>Our Engineered Cell Therapies Drug Class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71" w:lineRule="exact"/>
        <w:rPr>
          <w:sz w:val="20"/>
          <w:szCs w:val="20"/>
          <w:color w:val="auto"/>
        </w:rPr>
      </w:pPr>
    </w:p>
    <w:p>
      <w:pPr>
        <w:jc w:val="both"/>
        <w:ind w:right="300" w:firstLine="556"/>
        <w:spacing w:after="0" w:line="304" w:lineRule="auto"/>
        <w:rPr>
          <w:sz w:val="20"/>
          <w:szCs w:val="20"/>
          <w:color w:val="auto"/>
        </w:rPr>
      </w:pPr>
      <w:r>
        <w:rPr>
          <w:rFonts w:ascii="Arial" w:cs="Arial" w:eastAsia="Arial" w:hAnsi="Arial"/>
          <w:sz w:val="12"/>
          <w:szCs w:val="12"/>
          <w:color w:val="auto"/>
        </w:rPr>
        <w:t>The tailored reprogramming of autologous T cells from cancer patients to recognize and attack their tumors has become a disruptive medical innovation. Retargeting of T cells can be achieved via introduction of tumor-specific receptors into patient-derived T cells. For that purpose, T cells are mostly engineered by retroviral gene transfer to express either T cell receptors, or TCRs, or chimeric antigen receptors, or CARs. Recently, CAR expressing T cells, or CAR-T cells, became the first engineered T cell therapy to obtain FDA approval for some B cell derived hematological malignancies.</w:t>
      </w:r>
    </w:p>
    <w:p>
      <w:pPr>
        <w:spacing w:after="0" w:line="192" w:lineRule="exact"/>
        <w:rPr>
          <w:sz w:val="20"/>
          <w:szCs w:val="20"/>
          <w:color w:val="auto"/>
        </w:rPr>
      </w:pPr>
    </w:p>
    <w:p>
      <w:pPr>
        <w:ind w:left="1100" w:hanging="550"/>
        <w:spacing w:after="0"/>
        <w:tabs>
          <w:tab w:leader="none" w:pos="1100"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CAR-T Cells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3"/>
          <w:szCs w:val="13"/>
          <w:b w:val="1"/>
          <w:bCs w:val="1"/>
          <w:i w:val="1"/>
          <w:iCs w:val="1"/>
          <w:color w:val="auto"/>
        </w:rPr>
        <w:t>At a glance: Our CAR-T Platform</w:t>
      </w:r>
    </w:p>
    <w:p>
      <w:pPr>
        <w:spacing w:after="0" w:line="86" w:lineRule="exact"/>
        <w:rPr>
          <w:sz w:val="20"/>
          <w:szCs w:val="20"/>
          <w:color w:val="auto"/>
        </w:rPr>
      </w:pPr>
    </w:p>
    <w:p>
      <w:pPr>
        <w:ind w:left="880" w:hanging="330"/>
        <w:spacing w:after="0"/>
        <w:tabs>
          <w:tab w:leader="none" w:pos="880" w:val="left"/>
        </w:tabs>
        <w:numPr>
          <w:ilvl w:val="0"/>
          <w:numId w:val="148"/>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Second-generation CAR-T therapy designed to overcome the shortcomings of CAR-T therapy in solid tumors.</w:t>
      </w:r>
    </w:p>
    <w:p>
      <w:pPr>
        <w:spacing w:after="0" w:line="23" w:lineRule="exact"/>
        <w:rPr>
          <w:rFonts w:ascii="Arial" w:cs="Arial" w:eastAsia="Arial" w:hAnsi="Arial"/>
          <w:sz w:val="13"/>
          <w:szCs w:val="13"/>
          <w:color w:val="auto"/>
        </w:rPr>
      </w:pPr>
    </w:p>
    <w:p>
      <w:pPr>
        <w:ind w:left="880" w:right="340" w:hanging="330"/>
        <w:spacing w:after="0" w:line="273" w:lineRule="auto"/>
        <w:tabs>
          <w:tab w:leader="none" w:pos="880" w:val="left"/>
        </w:tabs>
        <w:numPr>
          <w:ilvl w:val="0"/>
          <w:numId w:val="148"/>
        </w:numPr>
        <w:rPr>
          <w:rFonts w:ascii="Arial" w:cs="Arial" w:eastAsia="Arial" w:hAnsi="Arial"/>
          <w:sz w:val="13"/>
          <w:szCs w:val="13"/>
          <w:color w:val="auto"/>
        </w:rPr>
      </w:pPr>
      <w:r>
        <w:rPr>
          <w:rFonts w:ascii="Arial" w:cs="Arial" w:eastAsia="Arial" w:hAnsi="Arial"/>
          <w:sz w:val="13"/>
          <w:szCs w:val="13"/>
          <w:b w:val="1"/>
          <w:bCs w:val="1"/>
          <w:color w:val="auto"/>
        </w:rPr>
        <w:t xml:space="preserve">Mechanism: </w:t>
      </w:r>
      <w:r>
        <w:rPr>
          <w:rFonts w:ascii="Arial" w:cs="Arial" w:eastAsia="Arial" w:hAnsi="Arial"/>
          <w:sz w:val="13"/>
          <w:szCs w:val="13"/>
          <w:color w:val="auto"/>
        </w:rPr>
        <w:t>T cells with CARs engineered to target cancer-specific antigens, including novel antigens selected from our proprietary antigen library and administered with an mRNA-based</w:t>
      </w:r>
      <w:r>
        <w:rPr>
          <w:rFonts w:ascii="Arial" w:cs="Arial" w:eastAsia="Arial" w:hAnsi="Arial"/>
          <w:sz w:val="13"/>
          <w:szCs w:val="13"/>
          <w:b w:val="1"/>
          <w:bCs w:val="1"/>
          <w:color w:val="auto"/>
        </w:rPr>
        <w:t xml:space="preserve"> </w:t>
      </w:r>
      <w:r>
        <w:rPr>
          <w:rFonts w:ascii="Arial" w:cs="Arial" w:eastAsia="Arial" w:hAnsi="Arial"/>
          <w:sz w:val="13"/>
          <w:szCs w:val="13"/>
          <w:color w:val="auto"/>
        </w:rPr>
        <w:t>immune booster, which we refer to as CARVac, to enhance CAR-T cell expansion and persistence.</w:t>
      </w:r>
    </w:p>
    <w:p>
      <w:pPr>
        <w:spacing w:after="0" w:line="47" w:lineRule="exact"/>
        <w:rPr>
          <w:rFonts w:ascii="Arial" w:cs="Arial" w:eastAsia="Arial" w:hAnsi="Arial"/>
          <w:sz w:val="13"/>
          <w:szCs w:val="13"/>
          <w:color w:val="auto"/>
        </w:rPr>
      </w:pPr>
    </w:p>
    <w:p>
      <w:pPr>
        <w:ind w:left="880" w:hanging="330"/>
        <w:spacing w:after="0"/>
        <w:tabs>
          <w:tab w:leader="none" w:pos="880" w:val="left"/>
        </w:tabs>
        <w:numPr>
          <w:ilvl w:val="0"/>
          <w:numId w:val="148"/>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Worldwide rights; wholly owned.</w:t>
      </w:r>
    </w:p>
    <w:p>
      <w:pPr>
        <w:spacing w:after="0" w:line="90" w:lineRule="exact"/>
        <w:rPr>
          <w:rFonts w:ascii="Arial" w:cs="Arial" w:eastAsia="Arial" w:hAnsi="Arial"/>
          <w:sz w:val="13"/>
          <w:szCs w:val="13"/>
          <w:color w:val="auto"/>
        </w:rPr>
      </w:pPr>
    </w:p>
    <w:p>
      <w:pPr>
        <w:ind w:left="880" w:hanging="330"/>
        <w:spacing w:after="0"/>
        <w:tabs>
          <w:tab w:leader="none" w:pos="880" w:val="left"/>
        </w:tabs>
        <w:numPr>
          <w:ilvl w:val="0"/>
          <w:numId w:val="148"/>
        </w:numPr>
        <w:rPr>
          <w:rFonts w:ascii="Arial" w:cs="Arial" w:eastAsia="Arial" w:hAnsi="Arial"/>
          <w:sz w:val="13"/>
          <w:szCs w:val="13"/>
          <w:color w:val="auto"/>
        </w:rPr>
      </w:pPr>
      <w:r>
        <w:rPr>
          <w:rFonts w:ascii="Arial" w:cs="Arial" w:eastAsia="Arial" w:hAnsi="Arial"/>
          <w:sz w:val="13"/>
          <w:szCs w:val="13"/>
          <w:b w:val="1"/>
          <w:bCs w:val="1"/>
          <w:color w:val="auto"/>
        </w:rPr>
        <w:t xml:space="preserve">Lead Candidate: </w:t>
      </w:r>
      <w:r>
        <w:rPr>
          <w:rFonts w:ascii="Arial" w:cs="Arial" w:eastAsia="Arial" w:hAnsi="Arial"/>
          <w:sz w:val="13"/>
          <w:szCs w:val="13"/>
          <w:color w:val="auto"/>
        </w:rPr>
        <w:t>BNT211 for multiple solid tumors.</w:t>
      </w:r>
    </w:p>
    <w:p>
      <w:pPr>
        <w:spacing w:after="0" w:line="174" w:lineRule="exact"/>
        <w:rPr>
          <w:sz w:val="20"/>
          <w:szCs w:val="20"/>
          <w:color w:val="auto"/>
        </w:rPr>
      </w:pPr>
    </w:p>
    <w:p>
      <w:pPr>
        <w:ind w:right="240" w:firstLine="554"/>
        <w:spacing w:after="0" w:line="287" w:lineRule="auto"/>
        <w:rPr>
          <w:sz w:val="20"/>
          <w:szCs w:val="20"/>
          <w:color w:val="auto"/>
        </w:rPr>
      </w:pPr>
      <w:r>
        <w:rPr>
          <w:rFonts w:ascii="Arial" w:cs="Arial" w:eastAsia="Arial" w:hAnsi="Arial"/>
          <w:sz w:val="13"/>
          <w:szCs w:val="13"/>
          <w:color w:val="auto"/>
        </w:rPr>
        <w:t>CARs are artificial receptors that consist of an antigen recognition domain derived from a tumor-specific antibody linked to intracellular T cell signaling domains. CARs redirect T cells to eradicate tumors through specific recognition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21" w:name="page122"/>
    <w:bookmarkEnd w:id="121"/>
    <w:p>
      <w:pPr>
        <w:spacing w:after="0" w:line="292" w:lineRule="auto"/>
        <w:rPr>
          <w:sz w:val="20"/>
          <w:szCs w:val="20"/>
          <w:color w:val="auto"/>
        </w:rPr>
      </w:pPr>
      <w:r>
        <w:rPr>
          <w:rFonts w:ascii="Arial" w:cs="Arial" w:eastAsia="Arial" w:hAnsi="Arial"/>
          <w:sz w:val="13"/>
          <w:szCs w:val="13"/>
          <w:color w:val="auto"/>
        </w:rPr>
        <w:t>native surface proteins expressed on tumor cells in a non-MHC-restricted manner. Therefore, CAR-T cells can be used for the treatment of all individuals whose tumor expresses the respective target, independent of the individual’s HLA genotype. CARs can be used for redirection of both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38735</wp:posOffset>
            </wp:positionV>
            <wp:extent cx="2812415" cy="2361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12415"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Second-generation CAR. </w:t>
      </w:r>
      <w:r>
        <w:rPr>
          <w:rFonts w:ascii="Arial" w:cs="Arial" w:eastAsia="Arial" w:hAnsi="Arial"/>
          <w:sz w:val="11"/>
          <w:szCs w:val="11"/>
          <w:color w:val="auto"/>
        </w:rPr>
        <w:t>The figure above illustrates the basic structure of a second-generation CAR, such as those included in our BNT211 and BNT212 product candidates.</w:t>
      </w:r>
    </w:p>
    <w:p>
      <w:pPr>
        <w:spacing w:after="0" w:line="152" w:lineRule="exact"/>
        <w:rPr>
          <w:sz w:val="20"/>
          <w:szCs w:val="20"/>
          <w:color w:val="auto"/>
        </w:rPr>
      </w:pPr>
    </w:p>
    <w:p>
      <w:pPr>
        <w:ind w:right="480" w:firstLine="554"/>
        <w:spacing w:after="0" w:line="287" w:lineRule="auto"/>
        <w:rPr>
          <w:sz w:val="20"/>
          <w:szCs w:val="20"/>
          <w:color w:val="auto"/>
        </w:rPr>
      </w:pPr>
      <w:r>
        <w:rPr>
          <w:rFonts w:ascii="Arial" w:cs="Arial" w:eastAsia="Arial" w:hAnsi="Arial"/>
          <w:sz w:val="13"/>
          <w:szCs w:val="13"/>
          <w:color w:val="auto"/>
        </w:rPr>
        <w:t>While CAR-T therapy has shown potent anti-tumor responses in patients with B cell malignancies, clinical efficacy in solid tumors so far is limited. The main hurdles for application of CAR-T therapies in solid tumors are:</w:t>
      </w:r>
    </w:p>
    <w:p>
      <w:pPr>
        <w:spacing w:after="0" w:line="42" w:lineRule="exact"/>
        <w:rPr>
          <w:sz w:val="20"/>
          <w:szCs w:val="20"/>
          <w:color w:val="auto"/>
        </w:rPr>
      </w:pPr>
    </w:p>
    <w:p>
      <w:pPr>
        <w:ind w:left="1020" w:hanging="340"/>
        <w:spacing w:after="0"/>
        <w:tabs>
          <w:tab w:leader="none" w:pos="10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Lack of highly tumor-selective targets, which are needed for safe and effective tumor targeting;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Low anti-tumoral activity due to insufficient expansion of engineered T cells.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are developing the next generation of engineered T cell therapies that:</w:t>
      </w:r>
    </w:p>
    <w:p>
      <w:pPr>
        <w:spacing w:after="0" w:line="90" w:lineRule="exact"/>
        <w:rPr>
          <w:sz w:val="20"/>
          <w:szCs w:val="20"/>
          <w:color w:val="auto"/>
        </w:rPr>
      </w:pPr>
    </w:p>
    <w:p>
      <w:pPr>
        <w:ind w:left="1020" w:hanging="340"/>
        <w:spacing w:after="0"/>
        <w:tabs>
          <w:tab w:leader="none" w:pos="10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target novel and known tumor-specific antigens, including mutant neoantigens, and a broad spectrum of tumor-associated antigens expressed in a wide range of cancers; and</w:t>
      </w:r>
    </w:p>
    <w:p>
      <w:pPr>
        <w:spacing w:after="0" w:line="240"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22" w:name="page123"/>
    <w:bookmarkEnd w:id="122"/>
    <w:p>
      <w:pPr>
        <w:ind w:left="1020" w:hanging="340"/>
        <w:spacing w:after="0"/>
        <w:tabs>
          <w:tab w:leader="none" w:pos="10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leverage our proprietary CARVac technology for controlled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stimulation, activation and expansion of engineered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126365</wp:posOffset>
            </wp:positionV>
            <wp:extent cx="2774315" cy="1701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74315" cy="170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Our platforms for development of next-generation engineered T cell therapies. </w:t>
      </w:r>
      <w:r>
        <w:rPr>
          <w:rFonts w:ascii="Arial" w:cs="Arial" w:eastAsia="Arial" w:hAnsi="Arial"/>
          <w:sz w:val="10"/>
          <w:szCs w:val="10"/>
          <w:color w:val="auto"/>
        </w:rPr>
        <w:t>Our engineered cell therapies combine our antigen selection capabilities with our vaccine immunotherapy to enhance T cell activation and expansion.</w:t>
      </w:r>
    </w:p>
    <w:p>
      <w:pPr>
        <w:spacing w:after="0" w:line="163" w:lineRule="exact"/>
        <w:rPr>
          <w:sz w:val="20"/>
          <w:szCs w:val="20"/>
          <w:color w:val="auto"/>
        </w:rPr>
      </w:pPr>
    </w:p>
    <w:p>
      <w:pPr>
        <w:ind w:right="400" w:firstLine="556"/>
        <w:spacing w:after="0" w:line="287" w:lineRule="auto"/>
        <w:rPr>
          <w:sz w:val="20"/>
          <w:szCs w:val="20"/>
          <w:color w:val="auto"/>
        </w:rPr>
      </w:pPr>
      <w:r>
        <w:rPr>
          <w:rFonts w:ascii="Arial" w:cs="Arial" w:eastAsia="Arial" w:hAnsi="Arial"/>
          <w:sz w:val="13"/>
          <w:szCs w:val="13"/>
          <w:color w:val="auto"/>
        </w:rPr>
        <w:t>The powerful characteristics of CAR-T cells, including their potential to eradicate targeted tumor cells in combination with their potentially life-long persistence in the host, require careful target selection. We believe the essential features of an ideal antigen for T cell-based immunotherapy are:</w:t>
      </w:r>
    </w:p>
    <w:p>
      <w:pPr>
        <w:spacing w:after="0" w:line="42" w:lineRule="exact"/>
        <w:rPr>
          <w:sz w:val="20"/>
          <w:szCs w:val="20"/>
          <w:color w:val="auto"/>
        </w:rPr>
      </w:pPr>
    </w:p>
    <w:p>
      <w:pPr>
        <w:ind w:left="1020" w:hanging="340"/>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Absence of expression from any toxicity-relevant non-malignant tissue, to prevent off-tumor/on-target toxicity;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Expression on the cell surface of tumor cells at sufficient levels to allow for recognition and lysis by CAR-T cells.</w:t>
      </w:r>
    </w:p>
    <w:p>
      <w:pPr>
        <w:spacing w:after="0" w:line="170" w:lineRule="exact"/>
        <w:rPr>
          <w:sz w:val="20"/>
          <w:szCs w:val="20"/>
          <w:color w:val="auto"/>
        </w:rPr>
      </w:pPr>
    </w:p>
    <w:p>
      <w:pPr>
        <w:ind w:right="140" w:firstLine="556"/>
        <w:spacing w:after="0" w:line="304" w:lineRule="auto"/>
        <w:rPr>
          <w:sz w:val="20"/>
          <w:szCs w:val="20"/>
          <w:color w:val="auto"/>
        </w:rPr>
      </w:pPr>
      <w:r>
        <w:rPr>
          <w:rFonts w:ascii="Arial" w:cs="Arial" w:eastAsia="Arial" w:hAnsi="Arial"/>
          <w:sz w:val="12"/>
          <w:szCs w:val="12"/>
          <w:color w:val="auto"/>
        </w:rPr>
        <w:t>We are developing CAR-T programs targeting two different members of the Claudin family, namely CLDN6 and CLDN18.2. Claudins, or CLDNs, are central components of tight junctions that regulate epithelial-cell barrier function and polarity. Most of the CLDNs are broadly expressed, while CLDN6 and CLDN18.2 are exclusively expressed in different high medical need cancers. Disturbance and dysregulation of tight junction molecules is a frequent hallmark of cancer cells and often associated with malignant transformation and metastasis and, hence, disease progression.</w:t>
      </w:r>
    </w:p>
    <w:p>
      <w:pPr>
        <w:spacing w:after="0" w:line="116"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auto"/>
        </w:rPr>
        <w:t>CLDN6 is an oncofetal cell surface antigen expressed in embryonic stem cells during fetal development. The gene encoding CLDN6 is strictly silenced and not expressed in healthy adult tissues but re-activated in different cancers with a high medical need including ovarian, endometrial, testicular and lung cancers.</w:t>
      </w:r>
    </w:p>
    <w:p>
      <w:pPr>
        <w:spacing w:after="0" w:line="12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In contrast to CLDN6, CLDN18.2 is a tissue restricted marker that is exclusively expressed in short-lived differentiated cells of the gastric mucosa. CLDN18.2 is observed in a large fraction of gastric cancers. In addition, CLDN18.2 is aberrantly activated in a variety of tumor entities, including esophageal cancer, pancreatic adenocarcinoma and cholangiocarcinoma.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 xml:space="preserve">In-vivo </w:t>
      </w:r>
      <w:r>
        <w:rPr>
          <w:rFonts w:ascii="Arial" w:cs="Arial" w:eastAsia="Arial" w:hAnsi="Arial"/>
          <w:sz w:val="13"/>
          <w:szCs w:val="13"/>
          <w:b w:val="1"/>
          <w:bCs w:val="1"/>
          <w:i w:val="1"/>
          <w:iCs w:val="1"/>
          <w:color w:val="auto"/>
        </w:rPr>
        <w:t>expansion of engineered T cells using liposomally formulated mRNA</w:t>
      </w:r>
    </w:p>
    <w:p>
      <w:pPr>
        <w:spacing w:after="0" w:line="94"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Besides targeting an ideal tumor-specific antigen, the frequency and the persistence of CAR-T cells in the respective patient is a critical factor determining antitumor efficacy. A positive correlation between clinical outcome and CAR-T cell engraftment and persistence has been shown in several CD19-targeting CAR-T trials. Both tend to be much more limited in the solid tumor setting, likely due to the lack of circulating antigen-presenting cells, or APCs, such as dendritic cells expressing the target CAR antigen.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3" w:name="page124"/>
    <w:bookmarkEnd w:id="123"/>
    <w:p>
      <w:pPr>
        <w:ind w:right="160" w:firstLine="556"/>
        <w:spacing w:after="0" w:line="267" w:lineRule="auto"/>
        <w:rPr>
          <w:sz w:val="20"/>
          <w:szCs w:val="20"/>
          <w:color w:val="auto"/>
        </w:rPr>
      </w:pPr>
      <w:r>
        <w:rPr>
          <w:rFonts w:ascii="Arial" w:cs="Arial" w:eastAsia="Arial" w:hAnsi="Arial"/>
          <w:sz w:val="13"/>
          <w:szCs w:val="13"/>
          <w:color w:val="auto"/>
        </w:rPr>
        <w:t xml:space="preserve">To address this critical factor, we developed an approach for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stimulation of CAR-T cells that relies on our proprietary FixVac technology for systemic mRNA delivery in combination with our CAR-T product candidates. Intravenous administration of a FixVac encoding for the tumor antigen induces expression of the desired target on antigen-presenting cells in secondary lymphoid tissues. FixVac treatment facilitates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expansion of CAR-T cells in a dose-dependent manner. Moreover repetitive administration of FixVac results in an improved CAR-T cell persistence as well as increased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103505</wp:posOffset>
            </wp:positionV>
            <wp:extent cx="3923665" cy="27552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23665" cy="275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27" w:lineRule="auto"/>
        <w:rPr>
          <w:sz w:val="20"/>
          <w:szCs w:val="20"/>
          <w:color w:val="auto"/>
        </w:rPr>
      </w:pPr>
      <w:r>
        <w:rPr>
          <w:rFonts w:ascii="Arial" w:cs="Arial" w:eastAsia="Arial" w:hAnsi="Arial"/>
          <w:sz w:val="11"/>
          <w:szCs w:val="11"/>
          <w:b w:val="1"/>
          <w:bCs w:val="1"/>
          <w:color w:val="auto"/>
        </w:rPr>
        <w:t xml:space="preserve">Our CAR-T cell immunotherapies combined with CARVac-mediated </w:t>
      </w:r>
      <w:r>
        <w:rPr>
          <w:rFonts w:ascii="Arial" w:cs="Arial" w:eastAsia="Arial" w:hAnsi="Arial"/>
          <w:sz w:val="11"/>
          <w:szCs w:val="11"/>
          <w:b w:val="1"/>
          <w:bCs w:val="1"/>
          <w:i w:val="1"/>
          <w:iCs w:val="1"/>
          <w:color w:val="auto"/>
        </w:rPr>
        <w:t>in vivo</w:t>
      </w:r>
      <w:r>
        <w:rPr>
          <w:rFonts w:ascii="Arial" w:cs="Arial" w:eastAsia="Arial" w:hAnsi="Arial"/>
          <w:sz w:val="11"/>
          <w:szCs w:val="11"/>
          <w:b w:val="1"/>
          <w:bCs w:val="1"/>
          <w:color w:val="auto"/>
        </w:rPr>
        <w:t xml:space="preserve"> expansion. </w:t>
      </w:r>
      <w:r>
        <w:rPr>
          <w:rFonts w:ascii="Arial" w:cs="Arial" w:eastAsia="Arial" w:hAnsi="Arial"/>
          <w:sz w:val="11"/>
          <w:szCs w:val="11"/>
          <w:color w:val="auto"/>
        </w:rPr>
        <w:t>(A) Autologous T cells engineered to express a CAR are adoptively transferred into the patient. (B) Full-length CAR target-encoding mRNA is complexed with liposomes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to form RNA-LPX lipoplexes (CARVac). (C) Intravenously administered CARVac selectively targets APCs in secondary lymphoid organs facilitating uptake, antigen expression and maturation of APCs. Exposure of CAR-T cells to their target results in CAR-T cell </w:t>
      </w:r>
      <w:r>
        <w:rPr>
          <w:rFonts w:ascii="Arial" w:cs="Arial" w:eastAsia="Arial" w:hAnsi="Arial"/>
          <w:sz w:val="11"/>
          <w:szCs w:val="11"/>
          <w:i w:val="1"/>
          <w:iCs w:val="1"/>
          <w:color w:val="auto"/>
        </w:rPr>
        <w:t xml:space="preserve">in vivo </w:t>
      </w:r>
      <w:r>
        <w:rPr>
          <w:rFonts w:ascii="Arial" w:cs="Arial" w:eastAsia="Arial" w:hAnsi="Arial"/>
          <w:sz w:val="11"/>
          <w:szCs w:val="11"/>
          <w:color w:val="auto"/>
        </w:rPr>
        <w:t>expansion. (D) CARVac can be administered repetitively to achieve controlled expansion and persistence of CAR-T cells within the therapeutic window.</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CAR-T Development Plan</w:t>
      </w:r>
    </w:p>
    <w:p>
      <w:pPr>
        <w:spacing w:after="0" w:line="90"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auto"/>
        </w:rPr>
        <w:t>Our first CAR-T product candidate, BNT211, includes a second-generation CAR directed against CLDN6. Our second product candidate is BNT212, which includes a CLDN18.2-targeting CAR. We expect to initiate a Phase 1/2 basket trial of our novel combination CLDN6 CAR-T cell and CLDN6 CARVac product candidate in multiple solid tumors in the first half of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Candidate</w:t>
            </w:r>
          </w:p>
        </w:tc>
        <w:tc>
          <w:tcPr>
            <w:tcW w:w="100" w:type="dxa"/>
            <w:vAlign w:val="bottom"/>
          </w:tcPr>
          <w:p>
            <w:pPr>
              <w:spacing w:after="0"/>
              <w:rPr>
                <w:sz w:val="11"/>
                <w:szCs w:val="11"/>
                <w:color w:val="auto"/>
              </w:rPr>
            </w:pPr>
          </w:p>
        </w:tc>
        <w:tc>
          <w:tcPr>
            <w:tcW w:w="1760" w:type="dxa"/>
            <w:vAlign w:val="bottom"/>
            <w:tcBorders>
              <w:bottom w:val="single" w:sz="8" w:color="auto"/>
            </w:tcBorders>
          </w:tcPr>
          <w:p>
            <w:pPr>
              <w:ind w:left="900"/>
              <w:spacing w:after="0"/>
              <w:rPr>
                <w:sz w:val="20"/>
                <w:szCs w:val="20"/>
                <w:color w:val="auto"/>
              </w:rPr>
            </w:pPr>
            <w:r>
              <w:rPr>
                <w:rFonts w:ascii="Arial" w:cs="Arial" w:eastAsia="Arial" w:hAnsi="Arial"/>
                <w:sz w:val="11"/>
                <w:szCs w:val="11"/>
                <w:b w:val="1"/>
                <w:bCs w:val="1"/>
                <w:color w:val="auto"/>
              </w:rPr>
              <w:t>Antigen Target</w:t>
            </w: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Next Potential Milestone</w:t>
            </w:r>
          </w:p>
        </w:tc>
        <w:tc>
          <w:tcPr>
            <w:tcW w:w="20" w:type="dxa"/>
            <w:vAlign w:val="bottom"/>
          </w:tcPr>
          <w:p>
            <w:pPr>
              <w:spacing w:after="0"/>
              <w:rPr>
                <w:sz w:val="11"/>
                <w:szCs w:val="11"/>
                <w:color w:val="auto"/>
              </w:rPr>
            </w:pPr>
          </w:p>
        </w:tc>
      </w:tr>
      <w:tr>
        <w:trPr>
          <w:trHeight w:val="180"/>
        </w:trPr>
        <w:tc>
          <w:tcPr>
            <w:tcW w:w="3500" w:type="dxa"/>
            <w:vAlign w:val="bottom"/>
          </w:tcPr>
          <w:p>
            <w:pPr>
              <w:spacing w:after="0"/>
              <w:rPr>
                <w:sz w:val="20"/>
                <w:szCs w:val="20"/>
                <w:color w:val="auto"/>
              </w:rPr>
            </w:pPr>
            <w:r>
              <w:rPr>
                <w:rFonts w:ascii="Arial" w:cs="Arial" w:eastAsia="Arial" w:hAnsi="Arial"/>
                <w:sz w:val="13"/>
                <w:szCs w:val="13"/>
                <w:color w:val="auto"/>
              </w:rPr>
              <w:t>BNT211</w:t>
            </w:r>
          </w:p>
        </w:tc>
        <w:tc>
          <w:tcPr>
            <w:tcW w:w="1860" w:type="dxa"/>
            <w:vAlign w:val="bottom"/>
            <w:gridSpan w:val="2"/>
          </w:tcPr>
          <w:p>
            <w:pPr>
              <w:ind w:left="100"/>
              <w:spacing w:after="0"/>
              <w:rPr>
                <w:sz w:val="20"/>
                <w:szCs w:val="20"/>
                <w:color w:val="auto"/>
              </w:rPr>
            </w:pPr>
            <w:r>
              <w:rPr>
                <w:rFonts w:ascii="Arial" w:cs="Arial" w:eastAsia="Arial" w:hAnsi="Arial"/>
                <w:sz w:val="13"/>
                <w:szCs w:val="13"/>
                <w:color w:val="auto"/>
              </w:rPr>
              <w:t>CLDN6</w:t>
            </w:r>
          </w:p>
        </w:tc>
        <w:tc>
          <w:tcPr>
            <w:tcW w:w="740" w:type="dxa"/>
            <w:vAlign w:val="bottom"/>
          </w:tcPr>
          <w:p>
            <w:pPr>
              <w:spacing w:after="0"/>
              <w:rPr>
                <w:sz w:val="15"/>
                <w:szCs w:val="15"/>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Preclinical</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Initiate Phase 1/2 trial in 1H 2020</w:t>
            </w:r>
          </w:p>
        </w:tc>
        <w:tc>
          <w:tcPr>
            <w:tcW w:w="20" w:type="dxa"/>
            <w:vAlign w:val="bottom"/>
          </w:tcPr>
          <w:p>
            <w:pPr>
              <w:spacing w:after="0"/>
              <w:rPr>
                <w:sz w:val="15"/>
                <w:szCs w:val="15"/>
                <w:color w:val="auto"/>
              </w:rPr>
            </w:pPr>
          </w:p>
        </w:tc>
      </w:tr>
      <w:tr>
        <w:trPr>
          <w:trHeight w:val="320"/>
        </w:trPr>
        <w:tc>
          <w:tcPr>
            <w:tcW w:w="3500" w:type="dxa"/>
            <w:vAlign w:val="bottom"/>
          </w:tcPr>
          <w:p>
            <w:pPr>
              <w:spacing w:after="0"/>
              <w:rPr>
                <w:sz w:val="20"/>
                <w:szCs w:val="20"/>
                <w:color w:val="auto"/>
              </w:rPr>
            </w:pPr>
            <w:r>
              <w:rPr>
                <w:rFonts w:ascii="Arial" w:cs="Arial" w:eastAsia="Arial" w:hAnsi="Arial"/>
                <w:sz w:val="13"/>
                <w:szCs w:val="13"/>
                <w:color w:val="auto"/>
              </w:rPr>
              <w:t>BNT212</w:t>
            </w:r>
          </w:p>
        </w:tc>
        <w:tc>
          <w:tcPr>
            <w:tcW w:w="1860" w:type="dxa"/>
            <w:vAlign w:val="bottom"/>
            <w:gridSpan w:val="2"/>
          </w:tcPr>
          <w:p>
            <w:pPr>
              <w:ind w:left="100"/>
              <w:spacing w:after="0"/>
              <w:rPr>
                <w:sz w:val="20"/>
                <w:szCs w:val="20"/>
                <w:color w:val="auto"/>
              </w:rPr>
            </w:pPr>
            <w:r>
              <w:rPr>
                <w:rFonts w:ascii="Arial" w:cs="Arial" w:eastAsia="Arial" w:hAnsi="Arial"/>
                <w:sz w:val="13"/>
                <w:szCs w:val="13"/>
                <w:color w:val="auto"/>
              </w:rPr>
              <w:t>CLDN18.2</w:t>
            </w:r>
          </w:p>
        </w:tc>
        <w:tc>
          <w:tcPr>
            <w:tcW w:w="740" w:type="dxa"/>
            <w:vAlign w:val="bottom"/>
          </w:tcPr>
          <w:p>
            <w:pPr>
              <w:spacing w:after="0"/>
              <w:rPr>
                <w:sz w:val="24"/>
                <w:szCs w:val="2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Preclinical</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r>
      <w:tr>
        <w:trPr>
          <w:trHeight w:val="320"/>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jc w:val="right"/>
              <w:ind w:right="293"/>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291" w:right="299" w:bottom="1440" w:gutter="0" w:footer="0" w:header="0"/>
        </w:sectPr>
      </w:pPr>
    </w:p>
    <w:bookmarkStart w:id="124" w:name="page125"/>
    <w:bookmarkEnd w:id="124"/>
    <w:p>
      <w:pPr>
        <w:ind w:left="1100" w:hanging="550"/>
        <w:spacing w:after="0"/>
        <w:tabs>
          <w:tab w:leader="none" w:pos="1100" w:val="left"/>
        </w:tabs>
        <w:numPr>
          <w:ilvl w:val="0"/>
          <w:numId w:val="153"/>
        </w:numPr>
        <w:rPr>
          <w:rFonts w:ascii="Arial" w:cs="Arial" w:eastAsia="Arial" w:hAnsi="Arial"/>
          <w:sz w:val="13"/>
          <w:szCs w:val="13"/>
          <w:b w:val="1"/>
          <w:bCs w:val="1"/>
          <w:color w:val="auto"/>
        </w:rPr>
      </w:pPr>
      <w:r>
        <w:rPr>
          <w:rFonts w:ascii="Arial" w:cs="Arial" w:eastAsia="Arial" w:hAnsi="Arial"/>
          <w:sz w:val="13"/>
          <w:szCs w:val="13"/>
          <w:b w:val="1"/>
          <w:bCs w:val="1"/>
          <w:color w:val="auto"/>
        </w:rPr>
        <w:t>TCRs</w:t>
      </w:r>
    </w:p>
    <w:p>
      <w:pPr>
        <w:spacing w:after="0" w:line="94" w:lineRule="exact"/>
        <w:rPr>
          <w:sz w:val="20"/>
          <w:szCs w:val="20"/>
          <w:color w:val="auto"/>
        </w:rPr>
      </w:pPr>
    </w:p>
    <w:p>
      <w:pPr>
        <w:ind w:right="40" w:firstLine="556"/>
        <w:spacing w:after="0" w:line="252" w:lineRule="auto"/>
        <w:rPr>
          <w:sz w:val="20"/>
          <w:szCs w:val="20"/>
          <w:color w:val="auto"/>
        </w:rPr>
      </w:pPr>
      <w:r>
        <w:rPr>
          <w:rFonts w:ascii="Arial" w:cs="Arial" w:eastAsia="Arial" w:hAnsi="Arial"/>
          <w:sz w:val="12"/>
          <w:szCs w:val="12"/>
          <w:color w:val="auto"/>
        </w:rPr>
        <w:t>The T cell receptor, or TCR, is part of a complex signaling machinery, which includes the TCR a and ß chains that are responsible for antigen recognition, the co-receptor CD4</w:t>
      </w:r>
      <w:r>
        <w:rPr>
          <w:rFonts w:ascii="Arial" w:cs="Arial" w:eastAsia="Arial" w:hAnsi="Arial"/>
          <w:sz w:val="17"/>
          <w:szCs w:val="17"/>
          <w:color w:val="auto"/>
          <w:vertAlign w:val="superscript"/>
        </w:rPr>
        <w:t>+</w:t>
      </w:r>
      <w:r>
        <w:rPr>
          <w:rFonts w:ascii="Arial" w:cs="Arial" w:eastAsia="Arial" w:hAnsi="Arial"/>
          <w:sz w:val="12"/>
          <w:szCs w:val="12"/>
          <w:color w:val="auto"/>
        </w:rPr>
        <w:t xml:space="preserve"> or CD8</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the CD3 signal transduction complex. TCRs recognize antigens presented on the cell surface as small peptides loaded on the patients’ HLA molecules. Those peptides are derived from proteins after intracellular degradation. In contrast to CARs that recognize solely native membrane proteins, the repertoire of suitable TCR target antigens include TAAs and mutant neoantigens.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110490</wp:posOffset>
            </wp:positionV>
            <wp:extent cx="2583815" cy="23679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83815"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TCR Complex. </w:t>
      </w:r>
      <w:r>
        <w:rPr>
          <w:rFonts w:ascii="Arial" w:cs="Arial" w:eastAsia="Arial" w:hAnsi="Arial"/>
          <w:sz w:val="11"/>
          <w:szCs w:val="11"/>
          <w:color w:val="auto"/>
        </w:rPr>
        <w:t>The illustration above shows the basic structure of a TCR complex.</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TCR Discovery and Validation Platform</w:t>
      </w:r>
    </w:p>
    <w:p>
      <w:pPr>
        <w:spacing w:after="0" w:line="90"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3"/>
          <w:szCs w:val="13"/>
          <w:color w:val="auto"/>
        </w:rPr>
        <w:t>We have developed an integrated technology platform for the systematic identification of functional, fully human TCRs from single antigen-reactive T cells. This technology consists of a proprietary high-throughput approach for the fast retrieval, cloning and rapid validation of novel paired T cell receptor sequences. Our approach facilitates the isolation of tumor cell specific TCRs against multiple antigens and various HLA class I and II alleles.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believe our TCR discovery technology has the potential to unlock an array of patient- and tumor-specific TCRs suitable for clinical use. We believe this technology has potential utility for:</w:t>
      </w:r>
    </w:p>
    <w:p>
      <w:pPr>
        <w:spacing w:after="0" w:line="102" w:lineRule="exact"/>
        <w:rPr>
          <w:sz w:val="20"/>
          <w:szCs w:val="20"/>
          <w:color w:val="auto"/>
        </w:rPr>
      </w:pPr>
    </w:p>
    <w:p>
      <w:pPr>
        <w:ind w:left="1020" w:hanging="340"/>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therapeutic TCR products encompassing single TCRs to target a specific antigen;</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 therapeutic TCR warehouse encompassing multiple TCRs to target one or more tumor antigens; or</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individualized T cell therapy involving on-demand identification and timely manufacturing of customized, engineered T cells with autologous TCRs against neoepitopes for adoptive transfer.</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TCR Development Plan</w:t>
      </w:r>
    </w:p>
    <w:p>
      <w:pPr>
        <w:spacing w:after="0" w:line="90" w:lineRule="exact"/>
        <w:rPr>
          <w:sz w:val="20"/>
          <w:szCs w:val="20"/>
          <w:color w:val="auto"/>
        </w:rPr>
      </w:pPr>
    </w:p>
    <w:p>
      <w:pPr>
        <w:ind w:right="540" w:firstLine="556"/>
        <w:spacing w:after="0" w:line="287" w:lineRule="auto"/>
        <w:rPr>
          <w:sz w:val="20"/>
          <w:szCs w:val="20"/>
          <w:color w:val="auto"/>
        </w:rPr>
      </w:pPr>
      <w:r>
        <w:rPr>
          <w:rFonts w:ascii="Arial" w:cs="Arial" w:eastAsia="Arial" w:hAnsi="Arial"/>
          <w:sz w:val="13"/>
          <w:szCs w:val="13"/>
          <w:color w:val="auto"/>
        </w:rPr>
        <w:t>We and our collaborator Eli Lilly are studying potential TCR product candidates in preclinical studies. On September 5, 2019, Eli Lilly notified us that it has selected its first target under the collaboration.</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180"/>
          </w:cols>
          <w:pgMar w:left="300" w:top="127" w:right="419" w:bottom="1440" w:gutter="0" w:footer="0" w:header="0"/>
        </w:sectPr>
      </w:pPr>
    </w:p>
    <w:bookmarkStart w:id="125" w:name="page126"/>
    <w:bookmarkEnd w:id="125"/>
    <w:p>
      <w:pPr>
        <w:ind w:left="540" w:hanging="540"/>
        <w:spacing w:after="0"/>
        <w:tabs>
          <w:tab w:leader="none" w:pos="540" w:val="left"/>
        </w:tabs>
        <w:numPr>
          <w:ilvl w:val="0"/>
          <w:numId w:val="155"/>
        </w:numPr>
        <w:rPr>
          <w:rFonts w:ascii="Arial" w:cs="Arial" w:eastAsia="Arial" w:hAnsi="Arial"/>
          <w:sz w:val="13"/>
          <w:szCs w:val="13"/>
          <w:b w:val="1"/>
          <w:bCs w:val="1"/>
          <w:color w:val="auto"/>
        </w:rPr>
      </w:pPr>
      <w:r>
        <w:rPr>
          <w:rFonts w:ascii="Arial" w:cs="Arial" w:eastAsia="Arial" w:hAnsi="Arial"/>
          <w:sz w:val="13"/>
          <w:szCs w:val="13"/>
          <w:b w:val="1"/>
          <w:bCs w:val="1"/>
          <w:color w:val="auto"/>
        </w:rPr>
        <w:t>Our Antibodies Drug Class</w:t>
      </w:r>
    </w:p>
    <w:p>
      <w:pPr>
        <w:spacing w:after="0" w:line="94"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In the past decades, monoclonal antibodies, or mAbs, have transformed from scientific tools to powerful human therapeutics. As one of the fastest growing classes of drugs, to date, more than 40 mAbs have been approved to treat a variety of diseases including cancer, inflammation, autoimmune diseases and others. In addition, identified antigen-binding domains are also fundamental elements for the construction of novel therapeutic formats and formulations, such as CAR-T cells, bispecific therapeutics and targeted nanoparticles.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have developed and integrated multiple complementary antibody and antibody-mimetic protein technologies into our overall portfolio of treatment approaches.</w:t>
      </w:r>
    </w:p>
    <w:p>
      <w:pPr>
        <w:spacing w:after="0" w:line="246" w:lineRule="exact"/>
        <w:rPr>
          <w:sz w:val="20"/>
          <w:szCs w:val="20"/>
          <w:color w:val="auto"/>
        </w:rPr>
      </w:pPr>
    </w:p>
    <w:p>
      <w:pPr>
        <w:ind w:left="1100" w:hanging="550"/>
        <w:spacing w:after="0"/>
        <w:tabs>
          <w:tab w:leader="none" w:pos="1100"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Our Next-generation Checkpoint Immunomodulators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At a glance: Our Next-generation Checkpoint Immunomodulators</w:t>
      </w:r>
    </w:p>
    <w:p>
      <w:pPr>
        <w:spacing w:after="0" w:line="86" w:lineRule="exact"/>
        <w:rPr>
          <w:sz w:val="20"/>
          <w:szCs w:val="20"/>
          <w:color w:val="auto"/>
        </w:rPr>
      </w:pPr>
    </w:p>
    <w:p>
      <w:pPr>
        <w:ind w:left="1020" w:right="560" w:hanging="340"/>
        <w:spacing w:after="0" w:line="294" w:lineRule="auto"/>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 xml:space="preserve">Concept: </w:t>
      </w:r>
      <w:r>
        <w:rPr>
          <w:rFonts w:ascii="Arial" w:cs="Arial" w:eastAsia="Arial" w:hAnsi="Arial"/>
          <w:sz w:val="13"/>
          <w:szCs w:val="13"/>
          <w:color w:val="auto"/>
        </w:rPr>
        <w:t>Bispecific antibodies for dual immunomodulation, initially targeting 4-1BB, an immune checkpoint that is expressed on T cells and NK cells and can enhance immune cell</w:t>
      </w:r>
      <w:r>
        <w:rPr>
          <w:rFonts w:ascii="Arial" w:cs="Arial" w:eastAsia="Arial" w:hAnsi="Arial"/>
          <w:sz w:val="13"/>
          <w:szCs w:val="13"/>
          <w:b w:val="1"/>
          <w:bCs w:val="1"/>
          <w:color w:val="auto"/>
        </w:rPr>
        <w:t xml:space="preserve"> </w:t>
      </w:r>
      <w:r>
        <w:rPr>
          <w:rFonts w:ascii="Arial" w:cs="Arial" w:eastAsia="Arial" w:hAnsi="Arial"/>
          <w:sz w:val="13"/>
          <w:szCs w:val="13"/>
          <w:color w:val="auto"/>
        </w:rPr>
        <w:t>proliferation and activation, in combination with simultaneous checkpoint inhibition.</w:t>
      </w:r>
    </w:p>
    <w:p>
      <w:pPr>
        <w:spacing w:after="0" w:line="33" w:lineRule="exact"/>
        <w:rPr>
          <w:rFonts w:ascii="Arial" w:cs="Arial" w:eastAsia="Arial" w:hAnsi="Arial"/>
          <w:sz w:val="13"/>
          <w:szCs w:val="13"/>
          <w:color w:val="auto"/>
        </w:rPr>
      </w:pPr>
    </w:p>
    <w:p>
      <w:pPr>
        <w:ind w:left="1020" w:right="40" w:hanging="340"/>
        <w:spacing w:after="0" w:line="294" w:lineRule="auto"/>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 xml:space="preserve">Mechanism: </w:t>
      </w:r>
      <w:r>
        <w:rPr>
          <w:rFonts w:ascii="Arial" w:cs="Arial" w:eastAsia="Arial" w:hAnsi="Arial"/>
          <w:sz w:val="13"/>
          <w:szCs w:val="13"/>
          <w:color w:val="auto"/>
        </w:rPr>
        <w:t>Conditional activation of 4-1BB checkpoint only upon simultaneous binding of PD-L1 or CD40 (in the case of our initial candidates), potentially avoiding toxicities seen in prior</w:t>
      </w:r>
      <w:r>
        <w:rPr>
          <w:rFonts w:ascii="Arial" w:cs="Arial" w:eastAsia="Arial" w:hAnsi="Arial"/>
          <w:sz w:val="13"/>
          <w:szCs w:val="13"/>
          <w:b w:val="1"/>
          <w:bCs w:val="1"/>
          <w:color w:val="auto"/>
        </w:rPr>
        <w:t xml:space="preserve"> </w:t>
      </w:r>
      <w:r>
        <w:rPr>
          <w:rFonts w:ascii="Arial" w:cs="Arial" w:eastAsia="Arial" w:hAnsi="Arial"/>
          <w:sz w:val="13"/>
          <w:szCs w:val="13"/>
          <w:color w:val="auto"/>
        </w:rPr>
        <w:t>attempts at 4-1BB agonism by localizing 4-1BB activation to the tumor environment.</w:t>
      </w:r>
    </w:p>
    <w:p>
      <w:pPr>
        <w:spacing w:after="0" w:line="33" w:lineRule="exact"/>
        <w:rPr>
          <w:rFonts w:ascii="Arial" w:cs="Arial" w:eastAsia="Arial" w:hAnsi="Arial"/>
          <w:sz w:val="13"/>
          <w:szCs w:val="13"/>
          <w:color w:val="auto"/>
        </w:rPr>
      </w:pPr>
    </w:p>
    <w:p>
      <w:pPr>
        <w:ind w:left="1020" w:right="500" w:hanging="340"/>
        <w:spacing w:after="0" w:line="269" w:lineRule="auto"/>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50:50 cost and profit share with Genmab, combining our and Genmab’s immunostimulatory antibodies and extensive immunology expertise with Genmab’s</w:t>
      </w:r>
      <w:r>
        <w:rPr>
          <w:rFonts w:ascii="Arial" w:cs="Arial" w:eastAsia="Arial" w:hAnsi="Arial"/>
          <w:sz w:val="13"/>
          <w:szCs w:val="13"/>
          <w:b w:val="1"/>
          <w:bCs w:val="1"/>
          <w:color w:val="auto"/>
        </w:rPr>
        <w:t xml:space="preserve"> </w:t>
      </w:r>
      <w:r>
        <w:rPr>
          <w:rFonts w:ascii="Arial" w:cs="Arial" w:eastAsia="Arial" w:hAnsi="Arial"/>
          <w:sz w:val="13"/>
          <w:szCs w:val="13"/>
          <w:color w:val="auto"/>
        </w:rPr>
        <w:t>DuoBody</w:t>
      </w:r>
      <w:r>
        <w:rPr>
          <w:rFonts w:ascii="Arial" w:cs="Arial" w:eastAsia="Arial" w:hAnsi="Arial"/>
          <w:sz w:val="19"/>
          <w:szCs w:val="19"/>
          <w:color w:val="auto"/>
          <w:vertAlign w:val="superscript"/>
        </w:rPr>
        <w:t>®</w:t>
      </w:r>
      <w:r>
        <w:rPr>
          <w:rFonts w:ascii="Arial" w:cs="Arial" w:eastAsia="Arial" w:hAnsi="Arial"/>
          <w:sz w:val="13"/>
          <w:szCs w:val="13"/>
          <w:color w:val="auto"/>
        </w:rPr>
        <w:t xml:space="preserve"> bispecific antibody platform.</w:t>
      </w:r>
    </w:p>
    <w:p>
      <w:pPr>
        <w:spacing w:after="0" w:line="1" w:lineRule="exact"/>
        <w:rPr>
          <w:rFonts w:ascii="Arial" w:cs="Arial" w:eastAsia="Arial" w:hAnsi="Arial"/>
          <w:sz w:val="13"/>
          <w:szCs w:val="13"/>
          <w:color w:val="auto"/>
        </w:rPr>
      </w:pPr>
    </w:p>
    <w:p>
      <w:pPr>
        <w:ind w:left="1020" w:hanging="340"/>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 xml:space="preserve">Lead Candidate: </w:t>
      </w:r>
      <w:r>
        <w:rPr>
          <w:rFonts w:ascii="Arial" w:cs="Arial" w:eastAsia="Arial" w:hAnsi="Arial"/>
          <w:sz w:val="13"/>
          <w:szCs w:val="13"/>
          <w:color w:val="auto"/>
        </w:rPr>
        <w:t>GEN1046 (BNT311), our PD-L1x4-1BB product candidate for multiple solid tumors.</w:t>
      </w:r>
    </w:p>
    <w:p>
      <w:pPr>
        <w:spacing w:after="0" w:line="160" w:lineRule="exact"/>
        <w:rPr>
          <w:sz w:val="20"/>
          <w:szCs w:val="20"/>
          <w:color w:val="auto"/>
        </w:rPr>
      </w:pPr>
    </w:p>
    <w:p>
      <w:pPr>
        <w:ind w:firstLine="554"/>
        <w:spacing w:after="0" w:line="296" w:lineRule="auto"/>
        <w:rPr>
          <w:sz w:val="20"/>
          <w:szCs w:val="20"/>
          <w:color w:val="auto"/>
        </w:rPr>
      </w:pPr>
      <w:r>
        <w:rPr>
          <w:rFonts w:ascii="Arial" w:cs="Arial" w:eastAsia="Arial" w:hAnsi="Arial"/>
          <w:sz w:val="12"/>
          <w:szCs w:val="12"/>
          <w:color w:val="auto"/>
        </w:rPr>
        <w:t>Following the success of immune checkpoint-blocking antibodies targeting CTLA-4, PD-1 or PD-L1 in cancer treatment, bispecific antibody approaches represent the next generation of emerging immunotherapies with the potential to further improve clinical efficacy. In addition to bispecific T cell engager formats, which redirect T-cell cytotoxicity to malignant cells, bispecific antibodies can be formatted as tumor-targeted immunomodulators and dual immunomodulators. Tumor-targeted immunomodulators direct potent immune costimulation to the tumor-infiltrating immune cells, whereas dual immunomodulators simultaneously address two immunomodulating targets, resulting in blockade of inhibitory targets, depletion of suppressive cells or activation of immune effector cells.</w:t>
      </w:r>
    </w:p>
    <w:p>
      <w:pPr>
        <w:spacing w:after="0" w:line="119" w:lineRule="exact"/>
        <w:rPr>
          <w:sz w:val="20"/>
          <w:szCs w:val="20"/>
          <w:color w:val="auto"/>
        </w:rPr>
      </w:pPr>
    </w:p>
    <w:p>
      <w:pPr>
        <w:ind w:right="240" w:firstLine="556"/>
        <w:spacing w:after="0" w:line="252" w:lineRule="auto"/>
        <w:rPr>
          <w:sz w:val="20"/>
          <w:szCs w:val="20"/>
          <w:color w:val="auto"/>
        </w:rPr>
      </w:pPr>
      <w:r>
        <w:rPr>
          <w:rFonts w:ascii="Arial" w:cs="Arial" w:eastAsia="Arial" w:hAnsi="Arial"/>
          <w:sz w:val="12"/>
          <w:szCs w:val="12"/>
          <w:color w:val="auto"/>
        </w:rPr>
        <w:t>We are developing, in collaboration with Genmab, bispecific antibodies that function as tumor-targeted and dual immunomodulators, applying Genmab’s proprietary DuoBody</w:t>
      </w:r>
      <w:r>
        <w:rPr>
          <w:rFonts w:ascii="Arial" w:cs="Arial" w:eastAsia="Arial" w:hAnsi="Arial"/>
          <w:sz w:val="17"/>
          <w:szCs w:val="17"/>
          <w:color w:val="auto"/>
          <w:vertAlign w:val="superscript"/>
        </w:rPr>
        <w:t>®</w:t>
      </w:r>
      <w:r>
        <w:rPr>
          <w:rFonts w:ascii="Arial" w:cs="Arial" w:eastAsia="Arial" w:hAnsi="Arial"/>
          <w:sz w:val="12"/>
          <w:szCs w:val="12"/>
          <w:color w:val="auto"/>
        </w:rPr>
        <w:t xml:space="preserve"> technology in combination with our joint target identification and product concept expertise. These next-generation checkpoint immunomodulators are thought to induce beneficial co-stimulation, promoting specific T cell activation, survival, proliferation and T cell effector functions. Our collaboration encompasses three potential classes of immunotherapeutic bispecific antibodies:</w:t>
      </w:r>
    </w:p>
    <w:p>
      <w:pPr>
        <w:spacing w:after="0" w:line="65" w:lineRule="exact"/>
        <w:rPr>
          <w:sz w:val="20"/>
          <w:szCs w:val="20"/>
          <w:color w:val="auto"/>
        </w:rPr>
      </w:pPr>
    </w:p>
    <w:p>
      <w:pPr>
        <w:ind w:left="1020" w:right="240" w:hanging="340"/>
        <w:spacing w:after="0" w:line="236" w:lineRule="auto"/>
        <w:tabs>
          <w:tab w:leader="none" w:pos="10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Tumor-targeted DuoBody</w:t>
      </w:r>
      <w:r>
        <w:rPr>
          <w:rFonts w:ascii="Arial" w:cs="Arial" w:eastAsia="Arial" w:hAnsi="Arial"/>
          <w:sz w:val="17"/>
          <w:szCs w:val="17"/>
          <w:color w:val="auto"/>
          <w:vertAlign w:val="superscript"/>
        </w:rPr>
        <w:t>®</w:t>
      </w:r>
      <w:r>
        <w:rPr>
          <w:rFonts w:ascii="Arial" w:cs="Arial" w:eastAsia="Arial" w:hAnsi="Arial"/>
          <w:sz w:val="12"/>
          <w:szCs w:val="12"/>
          <w:color w:val="auto"/>
        </w:rPr>
        <w:t xml:space="preserve"> molecules are bispecific antibodies targeting a tumor-specific antigen expressed by the malignant cell, and an immunomodulatory receptor expressed by tumor-infiltrating immune cells. This is expected to induce powerful activation of tumor-specific effector immune cells with reduced risk of immune-related adverse events.</w:t>
      </w:r>
    </w:p>
    <w:p>
      <w:pPr>
        <w:spacing w:after="0" w:line="72" w:lineRule="exact"/>
        <w:rPr>
          <w:rFonts w:ascii="Arial" w:cs="Arial" w:eastAsia="Arial" w:hAnsi="Arial"/>
          <w:sz w:val="12"/>
          <w:szCs w:val="12"/>
          <w:color w:val="auto"/>
        </w:rPr>
      </w:pPr>
    </w:p>
    <w:p>
      <w:pPr>
        <w:ind w:left="1020" w:right="40" w:hanging="340"/>
        <w:spacing w:after="0" w:line="214" w:lineRule="auto"/>
        <w:tabs>
          <w:tab w:leader="none" w:pos="102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Cis-activating DuoBody</w:t>
      </w:r>
      <w:r>
        <w:rPr>
          <w:rFonts w:ascii="Arial" w:cs="Arial" w:eastAsia="Arial" w:hAnsi="Arial"/>
          <w:sz w:val="19"/>
          <w:szCs w:val="19"/>
          <w:color w:val="auto"/>
          <w:vertAlign w:val="superscript"/>
        </w:rPr>
        <w:t>®</w:t>
      </w:r>
      <w:r>
        <w:rPr>
          <w:rFonts w:ascii="Arial" w:cs="Arial" w:eastAsia="Arial" w:hAnsi="Arial"/>
          <w:sz w:val="13"/>
          <w:szCs w:val="13"/>
          <w:color w:val="auto"/>
        </w:rPr>
        <w:t xml:space="preserve"> molecules are bispecific antibodies that bind two distinct immunomodulating targets presented on the same cell. These targets are specifically expressed on activated immune cells with the rationale to boost existing immune responses by additive or synergistic effects of dual immunomodulation.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26" w:name="page127"/>
    <w:bookmarkEnd w:id="126"/>
    <w:p>
      <w:pPr>
        <w:ind w:left="1020" w:right="380" w:hanging="340"/>
        <w:spacing w:after="0" w:line="236" w:lineRule="auto"/>
        <w:tabs>
          <w:tab w:leader="none" w:pos="102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Trans-activating DuoBody</w:t>
      </w:r>
      <w:r>
        <w:rPr>
          <w:rFonts w:ascii="Arial" w:cs="Arial" w:eastAsia="Arial" w:hAnsi="Arial"/>
          <w:sz w:val="17"/>
          <w:szCs w:val="17"/>
          <w:color w:val="auto"/>
          <w:vertAlign w:val="superscript"/>
        </w:rPr>
        <w:t>®</w:t>
      </w:r>
      <w:r>
        <w:rPr>
          <w:rFonts w:ascii="Arial" w:cs="Arial" w:eastAsia="Arial" w:hAnsi="Arial"/>
          <w:sz w:val="12"/>
          <w:szCs w:val="12"/>
          <w:color w:val="auto"/>
        </w:rPr>
        <w:t xml:space="preserve"> molecules are bispecific antibodies that bind two distinct immunomodulating targets expressed on two separate cell subsets. By simultaneously targeting, for example, effector immune cells and antigen-presenting cells, these compounds are thought to amplify the immune cell priming process and augment subsequent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114935</wp:posOffset>
            </wp:positionV>
            <wp:extent cx="1746250" cy="18599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4625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Next-generation checkpoint immunomodulators. </w:t>
      </w:r>
      <w:r>
        <w:rPr>
          <w:rFonts w:ascii="Arial" w:cs="Arial" w:eastAsia="Arial" w:hAnsi="Arial"/>
          <w:sz w:val="11"/>
          <w:szCs w:val="11"/>
          <w:color w:val="auto"/>
        </w:rPr>
        <w:t>Our collaboration with Genmab potentially includes bispecific antibodies from three different classes: trans-activating, cis-activating and tumor-targeting antibodies.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Next-generation Checkpoint Immunomodulator Development Plan</w:t>
      </w:r>
    </w:p>
    <w:p>
      <w:pPr>
        <w:spacing w:after="0" w:line="90" w:lineRule="exact"/>
        <w:rPr>
          <w:sz w:val="20"/>
          <w:szCs w:val="20"/>
          <w:color w:val="auto"/>
        </w:rPr>
      </w:pPr>
    </w:p>
    <w:p>
      <w:pPr>
        <w:ind w:right="260" w:firstLine="556"/>
        <w:spacing w:after="0" w:line="287" w:lineRule="auto"/>
        <w:rPr>
          <w:sz w:val="20"/>
          <w:szCs w:val="20"/>
          <w:color w:val="auto"/>
        </w:rPr>
      </w:pPr>
      <w:r>
        <w:rPr>
          <w:rFonts w:ascii="Arial" w:cs="Arial" w:eastAsia="Arial" w:hAnsi="Arial"/>
          <w:sz w:val="13"/>
          <w:szCs w:val="13"/>
          <w:color w:val="auto"/>
        </w:rPr>
        <w:t>We are currently developing two next-generation checkpoint immunomodulator product candidates in collaboration with Genmab: GEN1046 (BNT311), our jointly owned PDL1x4-1BB bispecific antibody, and GEN1042 (BNT312), our jointly owned CD40x4-1BB bispecific antibody.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Candidate</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Targets</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Next Potential Milestone</w:t>
            </w:r>
          </w:p>
        </w:tc>
      </w:tr>
      <w:tr>
        <w:trPr>
          <w:trHeight w:val="180"/>
        </w:trPr>
        <w:tc>
          <w:tcPr>
            <w:tcW w:w="3500" w:type="dxa"/>
            <w:vAlign w:val="bottom"/>
          </w:tcPr>
          <w:p>
            <w:pPr>
              <w:spacing w:after="0"/>
              <w:rPr>
                <w:sz w:val="20"/>
                <w:szCs w:val="20"/>
                <w:color w:val="auto"/>
              </w:rPr>
            </w:pPr>
            <w:r>
              <w:rPr>
                <w:rFonts w:ascii="Arial" w:cs="Arial" w:eastAsia="Arial" w:hAnsi="Arial"/>
                <w:sz w:val="13"/>
                <w:szCs w:val="13"/>
                <w:color w:val="auto"/>
              </w:rPr>
              <w:t>GEN1046 (BNT311)</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PD-L1x4-1BB</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Phase 1/2a trial in multiple solid tumors</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Data update in 2H 2020</w:t>
            </w:r>
          </w:p>
        </w:tc>
      </w:tr>
      <w:tr>
        <w:trPr>
          <w:trHeight w:val="320"/>
        </w:trPr>
        <w:tc>
          <w:tcPr>
            <w:tcW w:w="3500" w:type="dxa"/>
            <w:vAlign w:val="bottom"/>
          </w:tcPr>
          <w:p>
            <w:pPr>
              <w:spacing w:after="0"/>
              <w:rPr>
                <w:sz w:val="20"/>
                <w:szCs w:val="20"/>
                <w:color w:val="auto"/>
              </w:rPr>
            </w:pPr>
            <w:r>
              <w:rPr>
                <w:rFonts w:ascii="Arial" w:cs="Arial" w:eastAsia="Arial" w:hAnsi="Arial"/>
                <w:sz w:val="13"/>
                <w:szCs w:val="13"/>
                <w:color w:val="auto"/>
              </w:rPr>
              <w:t>GEN1042 (BNT312)</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CD-40x4-1BB</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Phase 1/2a trial in multiple solid tumors</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w:t>
            </w:r>
          </w:p>
        </w:tc>
      </w:tr>
    </w:tbl>
    <w:p>
      <w:pPr>
        <w:spacing w:after="0" w:line="227" w:lineRule="exact"/>
        <w:rPr>
          <w:sz w:val="20"/>
          <w:szCs w:val="20"/>
          <w:color w:val="auto"/>
        </w:rPr>
      </w:pPr>
    </w:p>
    <w:p>
      <w:pPr>
        <w:ind w:left="1100" w:hanging="547"/>
        <w:spacing w:after="0"/>
        <w:tabs>
          <w:tab w:leader="none" w:pos="1100"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Our Antibody Discovery Engines</w:t>
      </w:r>
    </w:p>
    <w:p>
      <w:pPr>
        <w:spacing w:after="0" w:line="94" w:lineRule="exact"/>
        <w:rPr>
          <w:sz w:val="20"/>
          <w:szCs w:val="20"/>
          <w:color w:val="auto"/>
        </w:rPr>
      </w:pPr>
    </w:p>
    <w:p>
      <w:pPr>
        <w:ind w:firstLine="556"/>
        <w:spacing w:after="0" w:line="298" w:lineRule="auto"/>
        <w:rPr>
          <w:sz w:val="20"/>
          <w:szCs w:val="20"/>
          <w:color w:val="auto"/>
        </w:rPr>
      </w:pPr>
      <w:r>
        <w:rPr>
          <w:rFonts w:ascii="Arial" w:cs="Arial" w:eastAsia="Arial" w:hAnsi="Arial"/>
          <w:sz w:val="12"/>
          <w:szCs w:val="12"/>
          <w:color w:val="auto"/>
        </w:rPr>
        <w:t>We believe that our multiple antibody discovery engines significantly expand our targeting repertoire and enable us to directly, rapidly and efficiently produce new mAb candidates. In addition, antigen-binding domain sequences identified through our antibody discovery engines also feed into our proprietary CAR-T cell and mRNA-encoded RiboMab platforms as well as our next-generation checkpoint immunomodulator collaboration. For instance, binders to human 4-1BB were identified from a previous antibody generation campaign and are currently under clinical and preclinical development as part of our next-generation checkpoint immunomodulator collaboration with Genmab. HuMab, our human antibody discovery engine acquired from MabVax Therapeutics in 2019, led to the clinical development of our fully human IgG1 monoclonal antibody product candidate targeting Sialyl Lewis</w:t>
      </w:r>
      <w:r>
        <w:rPr>
          <w:rFonts w:ascii="Arial" w:cs="Arial" w:eastAsia="Arial" w:hAnsi="Arial"/>
          <w:sz w:val="17"/>
          <w:szCs w:val="17"/>
          <w:color w:val="auto"/>
          <w:vertAlign w:val="superscript"/>
        </w:rPr>
        <w:t>a</w:t>
      </w:r>
      <w:r>
        <w:rPr>
          <w:rFonts w:ascii="Arial" w:cs="Arial" w:eastAsia="Arial" w:hAnsi="Arial"/>
          <w:sz w:val="12"/>
          <w:szCs w:val="12"/>
          <w:color w:val="auto"/>
        </w:rPr>
        <w:t xml:space="preserve"> (sLe</w:t>
      </w:r>
      <w:r>
        <w:rPr>
          <w:rFonts w:ascii="Arial" w:cs="Arial" w:eastAsia="Arial" w:hAnsi="Arial"/>
          <w:sz w:val="17"/>
          <w:szCs w:val="17"/>
          <w:color w:val="auto"/>
          <w:vertAlign w:val="superscript"/>
        </w:rPr>
        <w:t>a</w:t>
      </w:r>
      <w:r>
        <w:rPr>
          <w:rFonts w:ascii="Arial" w:cs="Arial" w:eastAsia="Arial" w:hAnsi="Arial"/>
          <w:sz w:val="12"/>
          <w:szCs w:val="12"/>
          <w:color w:val="auto"/>
        </w:rPr>
        <w:t>), a carbohydrate moiety that is present in over 90% of pancreatic and a large percentage of gastrointestinal cancers.</w:t>
      </w:r>
    </w:p>
    <w:p>
      <w:pPr>
        <w:spacing w:after="0" w:line="112" w:lineRule="exact"/>
        <w:rPr>
          <w:sz w:val="20"/>
          <w:szCs w:val="20"/>
          <w:color w:val="auto"/>
        </w:rPr>
      </w:pPr>
    </w:p>
    <w:p>
      <w:pPr>
        <w:ind w:left="1660" w:hanging="550"/>
        <w:spacing w:after="0"/>
        <w:tabs>
          <w:tab w:leader="none" w:pos="1660" w:val="left"/>
        </w:tabs>
        <w:numPr>
          <w:ilvl w:val="0"/>
          <w:numId w:val="16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Our Rabbit-based Antibody Discovery Engine</w:t>
      </w:r>
    </w:p>
    <w:p>
      <w:pPr>
        <w:spacing w:after="0" w:line="90" w:lineRule="exact"/>
        <w:rPr>
          <w:sz w:val="20"/>
          <w:szCs w:val="20"/>
          <w:color w:val="auto"/>
        </w:rPr>
      </w:pPr>
    </w:p>
    <w:p>
      <w:pPr>
        <w:ind w:left="560" w:right="280" w:firstLine="527"/>
        <w:spacing w:after="0" w:line="287" w:lineRule="auto"/>
        <w:rPr>
          <w:sz w:val="20"/>
          <w:szCs w:val="20"/>
          <w:color w:val="auto"/>
        </w:rPr>
      </w:pPr>
      <w:r>
        <w:rPr>
          <w:rFonts w:ascii="Arial" w:cs="Arial" w:eastAsia="Arial" w:hAnsi="Arial"/>
          <w:sz w:val="13"/>
          <w:szCs w:val="13"/>
          <w:color w:val="auto"/>
        </w:rPr>
        <w:t>With the acquisition of MAB Discovery GmbH’s antibody generation unit in 2019, we integrated a unique and proprietary rabbit-based antibody discovery platform that can generate and develop high quality, functional mAbs targeting traditional proteins and receptors as well as a wide variety of more challenging targets. Rabbit monoclonal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7" w:name="page128"/>
    <w:bookmarkEnd w:id="127"/>
    <w:p>
      <w:pPr>
        <w:ind w:left="560" w:right="300"/>
        <w:spacing w:after="0" w:line="272" w:lineRule="auto"/>
        <w:rPr>
          <w:sz w:val="20"/>
          <w:szCs w:val="20"/>
          <w:color w:val="auto"/>
        </w:rPr>
      </w:pPr>
      <w:r>
        <w:rPr>
          <w:rFonts w:ascii="Arial" w:cs="Arial" w:eastAsia="Arial" w:hAnsi="Arial"/>
          <w:sz w:val="13"/>
          <w:szCs w:val="13"/>
          <w:color w:val="auto"/>
        </w:rPr>
        <w:t>antibodies are highly diverse and do not require affinity maturation, due to consistently high affinities. They often recognize epitopes on human antigens that are not immunogenic in rodents, thus increasing the total number of targetable epitopes. The mechanisms of antibody diversification in rabbits allow an easy and quick translation of preclinical data into the clinic with an improved probability of success. We established a streamlined semi-automated process of rabbit immunization for the efficient production of high-affinity rabbit 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101600</wp:posOffset>
            </wp:positionV>
            <wp:extent cx="3923665" cy="2507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923665" cy="250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Our rabbit-based antibody discovery engine. </w:t>
      </w:r>
      <w:r>
        <w:rPr>
          <w:rFonts w:ascii="Arial" w:cs="Arial" w:eastAsia="Arial" w:hAnsi="Arial"/>
          <w:sz w:val="11"/>
          <w:szCs w:val="11"/>
          <w:color w:val="auto"/>
        </w:rPr>
        <w:t>The figure above depicts our semi-automated process for the discovery and production of high-affinity rabbit mAbs.</w:t>
      </w:r>
    </w:p>
    <w:p>
      <w:pPr>
        <w:spacing w:after="0" w:line="232" w:lineRule="exact"/>
        <w:rPr>
          <w:sz w:val="20"/>
          <w:szCs w:val="20"/>
          <w:color w:val="auto"/>
        </w:rPr>
      </w:pPr>
    </w:p>
    <w:p>
      <w:pPr>
        <w:ind w:left="1660" w:hanging="547"/>
        <w:spacing w:after="0"/>
        <w:tabs>
          <w:tab w:leader="none" w:pos="1660" w:val="left"/>
        </w:tabs>
        <w:numPr>
          <w:ilvl w:val="0"/>
          <w:numId w:val="16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Our Fully Human Antibody Discovery Engine</w:t>
      </w:r>
    </w:p>
    <w:p>
      <w:pPr>
        <w:spacing w:after="0" w:line="90" w:lineRule="exact"/>
        <w:rPr>
          <w:sz w:val="20"/>
          <w:szCs w:val="20"/>
          <w:color w:val="auto"/>
        </w:rPr>
      </w:pPr>
    </w:p>
    <w:p>
      <w:pPr>
        <w:ind w:left="560" w:firstLine="527"/>
        <w:spacing w:after="0" w:line="267" w:lineRule="auto"/>
        <w:rPr>
          <w:sz w:val="20"/>
          <w:szCs w:val="20"/>
          <w:color w:val="auto"/>
        </w:rPr>
      </w:pPr>
      <w:r>
        <w:rPr>
          <w:rFonts w:ascii="Arial" w:cs="Arial" w:eastAsia="Arial" w:hAnsi="Arial"/>
          <w:sz w:val="13"/>
          <w:szCs w:val="13"/>
          <w:color w:val="auto"/>
        </w:rPr>
        <w:t>Our HuMab discovery technology focuses on abnormal carbohydrate targets upregulated on solid tumors. Aberrant glycosylation is a common phenotypic change of cancer cells that mainly affects the outer part of glycans. These abnormal carbohydrate structures are known as tumor-associated carbohydrate antigens, or TACAs, and are associated with malignancy grade, invasion, metastasis and poor prognosis. TACAs are considered promising novel targets for therapeutic intervention using, in particular, mAbs or CAR-T cells. However, TACAs usually induce only low-affinity humoral immune responses, since carbohydrate moieties do not trigger the necessary T cell responses.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11" w:right="359" w:bottom="1440" w:gutter="0" w:footer="0" w:header="0"/>
        </w:sectPr>
      </w:pPr>
    </w:p>
    <w:bookmarkStart w:id="128" w:name="page129"/>
    <w:bookmarkEnd w:id="128"/>
    <w:p>
      <w:pPr>
        <w:ind w:left="560" w:right="420" w:firstLine="527"/>
        <w:spacing w:after="0" w:line="331" w:lineRule="auto"/>
        <w:rPr>
          <w:sz w:val="20"/>
          <w:szCs w:val="20"/>
          <w:color w:val="auto"/>
        </w:rPr>
      </w:pPr>
      <w:r>
        <w:rPr>
          <w:rFonts w:ascii="Arial" w:cs="Arial" w:eastAsia="Arial" w:hAnsi="Arial"/>
          <w:sz w:val="12"/>
          <w:szCs w:val="12"/>
          <w:color w:val="auto"/>
        </w:rPr>
        <w:t>Using B cell sorting, hit identification, sequencing, antibody production and high-throughput antibody screening, we are able to select optimal TACA-specific antibodies from multiple clinically confirmed immunotherapy responders. All antibodies emanating from this platform are fully human with no need for additional humanization at minimal risk for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81280</wp:posOffset>
            </wp:positionV>
            <wp:extent cx="3904615" cy="1670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904615" cy="167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Our fully human antibody discovery engine. </w:t>
      </w:r>
      <w:r>
        <w:rPr>
          <w:rFonts w:ascii="Arial" w:cs="Arial" w:eastAsia="Arial" w:hAnsi="Arial"/>
          <w:sz w:val="11"/>
          <w:szCs w:val="11"/>
          <w:color w:val="auto"/>
        </w:rPr>
        <w:t>The figure above shows our proprietary approach to the discovery and development of novel fully human antibody therapeutic and diagnostic agents.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Targeted Cancer Antibody Development Plan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3"/>
              </w:rPr>
              <w:t>Candidate</w:t>
            </w:r>
          </w:p>
        </w:tc>
        <w:tc>
          <w:tcPr>
            <w:tcW w:w="29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Targets</w:t>
            </w: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Next Potential Milestone</w:t>
            </w:r>
          </w:p>
        </w:tc>
      </w:tr>
      <w:tr>
        <w:trPr>
          <w:trHeight w:val="171"/>
        </w:trPr>
        <w:tc>
          <w:tcPr>
            <w:tcW w:w="3540" w:type="dxa"/>
            <w:vAlign w:val="bottom"/>
            <w:gridSpan w:val="3"/>
          </w:tcPr>
          <w:p>
            <w:pPr>
              <w:spacing w:after="0"/>
              <w:rPr>
                <w:sz w:val="20"/>
                <w:szCs w:val="20"/>
                <w:color w:val="auto"/>
              </w:rPr>
            </w:pPr>
            <w:r>
              <w:rPr>
                <w:rFonts w:ascii="Arial" w:cs="Arial" w:eastAsia="Arial" w:hAnsi="Arial"/>
                <w:sz w:val="13"/>
                <w:szCs w:val="13"/>
                <w:color w:val="auto"/>
              </w:rPr>
              <w:t>MVT-5873 (BNT321)</w:t>
            </w:r>
          </w:p>
        </w:tc>
        <w:tc>
          <w:tcPr>
            <w:tcW w:w="256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sLe</w:t>
            </w:r>
            <w:r>
              <w:rPr>
                <w:rFonts w:ascii="Arial" w:cs="Arial" w:eastAsia="Arial" w:hAnsi="Arial"/>
                <w:sz w:val="19"/>
                <w:szCs w:val="19"/>
                <w:color w:val="auto"/>
                <w:vertAlign w:val="superscript"/>
              </w:rPr>
              <w:t>a</w:t>
            </w: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w w:val="97"/>
              </w:rPr>
              <w:t>Phase 1 basket trial in multiple solid tumors;</w:t>
            </w:r>
          </w:p>
        </w:tc>
        <w:tc>
          <w:tcPr>
            <w:tcW w:w="10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69"/>
        </w:trPr>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first patient enrolled</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400"/>
        </w:trPr>
        <w:tc>
          <w:tcPr>
            <w:tcW w:w="520" w:type="dxa"/>
            <w:vAlign w:val="bottom"/>
          </w:tcPr>
          <w:p>
            <w:pPr>
              <w:spacing w:after="0"/>
              <w:rPr>
                <w:sz w:val="20"/>
                <w:szCs w:val="20"/>
                <w:color w:val="auto"/>
              </w:rPr>
            </w:pPr>
            <w:r>
              <w:rPr>
                <w:rFonts w:ascii="Arial" w:cs="Arial" w:eastAsia="Arial" w:hAnsi="Arial"/>
                <w:sz w:val="13"/>
                <w:szCs w:val="13"/>
                <w:b w:val="1"/>
                <w:bCs w:val="1"/>
                <w:color w:val="auto"/>
              </w:rPr>
              <w:t>XI.</w:t>
            </w:r>
          </w:p>
        </w:tc>
        <w:tc>
          <w:tcPr>
            <w:tcW w:w="302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Our Small Molecule Immunomodulator Drug Class</w:t>
            </w: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40"/>
        </w:trPr>
        <w:tc>
          <w:tcPr>
            <w:tcW w:w="520" w:type="dxa"/>
            <w:vAlign w:val="bottom"/>
          </w:tcPr>
          <w:p>
            <w:pPr>
              <w:spacing w:after="0"/>
              <w:rPr>
                <w:sz w:val="20"/>
                <w:szCs w:val="20"/>
                <w:color w:val="auto"/>
              </w:rPr>
            </w:pPr>
          </w:p>
        </w:tc>
        <w:tc>
          <w:tcPr>
            <w:tcW w:w="302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w w:val="91"/>
              </w:rPr>
              <w:t>At a glance: Our Small Molecule Immunomodulators</w:t>
            </w: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67" w:lineRule="exact"/>
        <w:rPr>
          <w:sz w:val="20"/>
          <w:szCs w:val="20"/>
          <w:color w:val="auto"/>
        </w:rPr>
      </w:pPr>
    </w:p>
    <w:p>
      <w:pPr>
        <w:ind w:left="1020" w:hanging="340"/>
        <w:spacing w:after="0"/>
        <w:tabs>
          <w:tab w:leader="none" w:pos="1020" w:val="left"/>
        </w:tabs>
        <w:numPr>
          <w:ilvl w:val="0"/>
          <w:numId w:val="163"/>
        </w:numPr>
        <w:rPr>
          <w:rFonts w:ascii="Arial" w:cs="Arial" w:eastAsia="Arial" w:hAnsi="Arial"/>
          <w:sz w:val="12"/>
          <w:szCs w:val="12"/>
          <w:color w:val="auto"/>
        </w:rPr>
      </w:pPr>
      <w:r>
        <w:rPr>
          <w:rFonts w:ascii="Arial" w:cs="Arial" w:eastAsia="Arial" w:hAnsi="Arial"/>
          <w:sz w:val="12"/>
          <w:szCs w:val="12"/>
          <w:b w:val="1"/>
          <w:bCs w:val="1"/>
          <w:color w:val="auto"/>
        </w:rPr>
        <w:t xml:space="preserve">Concept: </w:t>
      </w:r>
      <w:r>
        <w:rPr>
          <w:rFonts w:ascii="Arial" w:cs="Arial" w:eastAsia="Arial" w:hAnsi="Arial"/>
          <w:sz w:val="12"/>
          <w:szCs w:val="12"/>
          <w:color w:val="auto"/>
        </w:rPr>
        <w:t>Small molecule therapies, with a specific focus on TLRs, that can be used synergistically with other cancer therapeutics, including other product candidates in our portfolio.</w:t>
      </w:r>
    </w:p>
    <w:p>
      <w:pPr>
        <w:spacing w:after="0" w:line="101" w:lineRule="exact"/>
        <w:rPr>
          <w:rFonts w:ascii="Arial" w:cs="Arial" w:eastAsia="Arial" w:hAnsi="Arial"/>
          <w:sz w:val="12"/>
          <w:szCs w:val="12"/>
          <w:color w:val="auto"/>
        </w:rPr>
      </w:pPr>
    </w:p>
    <w:p>
      <w:pPr>
        <w:ind w:left="1020" w:hanging="340"/>
        <w:spacing w:after="0"/>
        <w:tabs>
          <w:tab w:leader="none" w:pos="1020" w:val="left"/>
        </w:tabs>
        <w:numPr>
          <w:ilvl w:val="0"/>
          <w:numId w:val="163"/>
        </w:numPr>
        <w:rPr>
          <w:rFonts w:ascii="Arial" w:cs="Arial" w:eastAsia="Arial" w:hAnsi="Arial"/>
          <w:sz w:val="13"/>
          <w:szCs w:val="13"/>
          <w:color w:val="auto"/>
        </w:rPr>
      </w:pPr>
      <w:r>
        <w:rPr>
          <w:rFonts w:ascii="Arial" w:cs="Arial" w:eastAsia="Arial" w:hAnsi="Arial"/>
          <w:sz w:val="13"/>
          <w:szCs w:val="13"/>
          <w:b w:val="1"/>
          <w:bCs w:val="1"/>
          <w:color w:val="auto"/>
        </w:rPr>
        <w:t xml:space="preserve">Development Approach: </w:t>
      </w:r>
      <w:r>
        <w:rPr>
          <w:rFonts w:ascii="Arial" w:cs="Arial" w:eastAsia="Arial" w:hAnsi="Arial"/>
          <w:sz w:val="13"/>
          <w:szCs w:val="13"/>
          <w:color w:val="auto"/>
        </w:rPr>
        <w:t>Worldwide rights; wholly owned.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163"/>
        </w:numPr>
        <w:rPr>
          <w:rFonts w:ascii="Arial" w:cs="Arial" w:eastAsia="Arial" w:hAnsi="Arial"/>
          <w:sz w:val="13"/>
          <w:szCs w:val="13"/>
          <w:color w:val="auto"/>
        </w:rPr>
      </w:pPr>
      <w:r>
        <w:rPr>
          <w:rFonts w:ascii="Arial" w:cs="Arial" w:eastAsia="Arial" w:hAnsi="Arial"/>
          <w:sz w:val="13"/>
          <w:szCs w:val="13"/>
          <w:b w:val="1"/>
          <w:bCs w:val="1"/>
          <w:color w:val="auto"/>
        </w:rPr>
        <w:t xml:space="preserve">Lead Candidate: </w:t>
      </w:r>
      <w:r>
        <w:rPr>
          <w:rFonts w:ascii="Arial" w:cs="Arial" w:eastAsia="Arial" w:hAnsi="Arial"/>
          <w:sz w:val="13"/>
          <w:szCs w:val="13"/>
          <w:color w:val="auto"/>
        </w:rPr>
        <w:t>BNT411, our TLR7 agonist product candidate intended for combination therapies.</w:t>
      </w:r>
    </w:p>
    <w:p>
      <w:pPr>
        <w:spacing w:after="0" w:line="174" w:lineRule="exact"/>
        <w:rPr>
          <w:sz w:val="20"/>
          <w:szCs w:val="20"/>
          <w:color w:val="auto"/>
        </w:rPr>
      </w:pPr>
    </w:p>
    <w:p>
      <w:pPr>
        <w:ind w:right="100" w:firstLine="556"/>
        <w:spacing w:after="0" w:line="296" w:lineRule="auto"/>
        <w:rPr>
          <w:sz w:val="20"/>
          <w:szCs w:val="20"/>
          <w:color w:val="auto"/>
        </w:rPr>
      </w:pPr>
      <w:r>
        <w:rPr>
          <w:rFonts w:ascii="Arial" w:cs="Arial" w:eastAsia="Arial" w:hAnsi="Arial"/>
          <w:sz w:val="12"/>
          <w:szCs w:val="12"/>
          <w:color w:val="auto"/>
        </w:rPr>
        <w:t>Small molecule cancer therapeutics can be used to regulate cancer growth, halt blood vessel formation in tumors, deliver toxins to cancer cells and mark cancer cells for destruction by the immune system. Unlike larger antibody-based cancer therapies, small molecule compounds are often developed for targets located within cells since they can enter the cells more easily as a result of their physical properties and low molecular weight. Small molecules also often have other intrinsic benefits including relative ease and cost of production compared to larger compounds, as well as more frequently having the potential for oral administration to patients. They can also often be used synergistically in combination with other therapeutics such as mRNA, checkpoint inhibitors, radiation therapy and chemotherapy.</w:t>
      </w:r>
    </w:p>
    <w:p>
      <w:pPr>
        <w:spacing w:after="0" w:line="119"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We aim to discover and develop the next generation of small molecule immunomodulatory compounds to improve the standard of care. We have a team of approximately 25 scientists and technicians, with extensive small molecule experience, focused on drug discovery.</w:t>
      </w:r>
    </w:p>
    <w:p>
      <w:pPr>
        <w:spacing w:after="0" w:line="122"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color w:val="auto"/>
        </w:rPr>
        <w:t>Our immunomodulatory small molecule product class focuses on a range of endosomal and intracellular targets that are known to stimulate the activity of a wide range of immune cells. We have a particular emphasis on TLRs. TLRs are a family of pattern recognition receptors that function as primary sensors of the innate immune system to recognize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29" w:name="page130"/>
    <w:bookmarkEnd w:id="129"/>
    <w:p>
      <w:pPr>
        <w:jc w:val="both"/>
        <w:ind w:right="80"/>
        <w:spacing w:after="0" w:line="264" w:lineRule="auto"/>
        <w:rPr>
          <w:sz w:val="20"/>
          <w:szCs w:val="20"/>
          <w:color w:val="auto"/>
        </w:rPr>
      </w:pPr>
      <w:r>
        <w:rPr>
          <w:rFonts w:ascii="Arial" w:cs="Arial" w:eastAsia="Arial" w:hAnsi="Arial"/>
          <w:sz w:val="13"/>
          <w:szCs w:val="13"/>
          <w:color w:val="auto"/>
        </w:rPr>
        <w:t>pathogens. We believe TLRs represent a promising target class for cancer immunotherapy, particularly for inflammatory re-programming of the tumor microenvironment. In many cancers, tumors are protected by an anti-inflammatory environment, which reduces the ability of the immune system to attack the cancer cells. TLR7 agonists are able to initiate a direct cellular immune response, for example, by activating immature dendritic cells, cytotoxic T cells and NK cells, as well as stimulating the release of signal molecules such as cytokines and chemokines including IFN-a and IP-10, which can be directed against tumor cells. The activation of the innate and adaptive immune system and the release of cytokines and chemokines, for instance by our small molecule TLR7 agonist, results in the potent stimulation of antigen-specific T cells, B cells and innate immune cells such as NK cells and macrophages.</w:t>
      </w:r>
    </w:p>
    <w:p>
      <w:pPr>
        <w:spacing w:after="0" w:line="138"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auto"/>
        </w:rPr>
        <w:t>Our initial focus is on small molecule product candidates that activate the innate and adaptive immune system via TLR7 and are designed to be used in combination with chemotherapeutics as well as checkpoint inhibitors.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Small Molecule Immunomodulator Development Plan</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initial development candidate is a potent TLR7 agonist, which we plan to develop as a combination therapy for small cell lung cancer and other solid tumors.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Candidate</w:t>
            </w:r>
          </w:p>
        </w:tc>
        <w:tc>
          <w:tcPr>
            <w:tcW w:w="100" w:type="dxa"/>
            <w:vAlign w:val="bottom"/>
          </w:tcPr>
          <w:p>
            <w:pPr>
              <w:spacing w:after="0"/>
              <w:rPr>
                <w:sz w:val="11"/>
                <w:szCs w:val="11"/>
                <w:color w:val="auto"/>
              </w:rPr>
            </w:pPr>
          </w:p>
        </w:tc>
        <w:tc>
          <w:tcPr>
            <w:tcW w:w="1680" w:type="dxa"/>
            <w:vAlign w:val="bottom"/>
            <w:tcBorders>
              <w:bottom w:val="single" w:sz="8" w:color="auto"/>
            </w:tcBorders>
          </w:tcPr>
          <w:p>
            <w:pPr>
              <w:ind w:left="1100"/>
              <w:spacing w:after="0"/>
              <w:rPr>
                <w:sz w:val="20"/>
                <w:szCs w:val="20"/>
                <w:color w:val="auto"/>
              </w:rPr>
            </w:pPr>
            <w:r>
              <w:rPr>
                <w:rFonts w:ascii="Arial" w:cs="Arial" w:eastAsia="Arial" w:hAnsi="Arial"/>
                <w:sz w:val="11"/>
                <w:szCs w:val="11"/>
                <w:b w:val="1"/>
                <w:bCs w:val="1"/>
                <w:color w:val="auto"/>
              </w:rPr>
              <w:t>Target</w:t>
            </w: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Development Phase</w:t>
            </w:r>
          </w:p>
        </w:tc>
        <w:tc>
          <w:tcPr>
            <w:tcW w:w="100" w:type="dxa"/>
            <w:vAlign w:val="bottom"/>
          </w:tcPr>
          <w:p>
            <w:pPr>
              <w:spacing w:after="0"/>
              <w:rPr>
                <w:sz w:val="11"/>
                <w:szCs w:val="11"/>
                <w:color w:val="auto"/>
              </w:rPr>
            </w:pPr>
          </w:p>
        </w:tc>
        <w:tc>
          <w:tcPr>
            <w:tcW w:w="248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Next Potential Milestone</w:t>
            </w:r>
          </w:p>
        </w:tc>
        <w:tc>
          <w:tcPr>
            <w:tcW w:w="20" w:type="dxa"/>
            <w:vAlign w:val="bottom"/>
          </w:tcPr>
          <w:p>
            <w:pPr>
              <w:spacing w:after="0"/>
              <w:rPr>
                <w:sz w:val="11"/>
                <w:szCs w:val="11"/>
                <w:color w:val="auto"/>
              </w:rPr>
            </w:pPr>
          </w:p>
        </w:tc>
      </w:tr>
      <w:tr>
        <w:trPr>
          <w:trHeight w:val="180"/>
        </w:trPr>
        <w:tc>
          <w:tcPr>
            <w:tcW w:w="3500" w:type="dxa"/>
            <w:vAlign w:val="bottom"/>
          </w:tcPr>
          <w:p>
            <w:pPr>
              <w:spacing w:after="0"/>
              <w:rPr>
                <w:sz w:val="20"/>
                <w:szCs w:val="20"/>
                <w:color w:val="auto"/>
              </w:rPr>
            </w:pPr>
            <w:r>
              <w:rPr>
                <w:rFonts w:ascii="Arial" w:cs="Arial" w:eastAsia="Arial" w:hAnsi="Arial"/>
                <w:sz w:val="13"/>
                <w:szCs w:val="13"/>
                <w:color w:val="auto"/>
              </w:rPr>
              <w:t>BNT411</w:t>
            </w:r>
          </w:p>
        </w:tc>
        <w:tc>
          <w:tcPr>
            <w:tcW w:w="1780" w:type="dxa"/>
            <w:vAlign w:val="bottom"/>
            <w:gridSpan w:val="2"/>
          </w:tcPr>
          <w:p>
            <w:pPr>
              <w:ind w:left="100"/>
              <w:spacing w:after="0"/>
              <w:rPr>
                <w:sz w:val="20"/>
                <w:szCs w:val="20"/>
                <w:color w:val="auto"/>
              </w:rPr>
            </w:pPr>
            <w:r>
              <w:rPr>
                <w:rFonts w:ascii="Arial" w:cs="Arial" w:eastAsia="Arial" w:hAnsi="Arial"/>
                <w:sz w:val="13"/>
                <w:szCs w:val="13"/>
                <w:color w:val="auto"/>
              </w:rPr>
              <w:t>TLR7</w:t>
            </w:r>
          </w:p>
        </w:tc>
        <w:tc>
          <w:tcPr>
            <w:tcW w:w="820" w:type="dxa"/>
            <w:vAlign w:val="bottom"/>
          </w:tcPr>
          <w:p>
            <w:pPr>
              <w:spacing w:after="0"/>
              <w:rPr>
                <w:sz w:val="15"/>
                <w:szCs w:val="15"/>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Preclinical</w:t>
            </w:r>
          </w:p>
        </w:tc>
        <w:tc>
          <w:tcPr>
            <w:tcW w:w="2580" w:type="dxa"/>
            <w:vAlign w:val="bottom"/>
            <w:gridSpan w:val="2"/>
          </w:tcPr>
          <w:p>
            <w:pPr>
              <w:ind w:left="100"/>
              <w:spacing w:after="0"/>
              <w:rPr>
                <w:sz w:val="20"/>
                <w:szCs w:val="20"/>
                <w:color w:val="auto"/>
              </w:rPr>
            </w:pPr>
            <w:r>
              <w:rPr>
                <w:rFonts w:ascii="Arial" w:cs="Arial" w:eastAsia="Arial" w:hAnsi="Arial"/>
                <w:sz w:val="13"/>
                <w:szCs w:val="13"/>
                <w:color w:val="auto"/>
              </w:rPr>
              <w:t>Initiate Phase 1 trial in 2H 2020</w:t>
            </w:r>
          </w:p>
        </w:tc>
        <w:tc>
          <w:tcPr>
            <w:tcW w:w="20" w:type="dxa"/>
            <w:vAlign w:val="bottom"/>
          </w:tcPr>
          <w:p>
            <w:pPr>
              <w:spacing w:after="0"/>
              <w:rPr>
                <w:sz w:val="15"/>
                <w:szCs w:val="15"/>
                <w:color w:val="auto"/>
              </w:rPr>
            </w:pPr>
          </w:p>
        </w:tc>
      </w:tr>
      <w:tr>
        <w:trPr>
          <w:trHeight w:val="320"/>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jc w:val="right"/>
              <w:ind w:right="293"/>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291" w:right="299" w:bottom="1440" w:gutter="0" w:footer="0" w:header="0"/>
        </w:sectPr>
      </w:pPr>
    </w:p>
    <w:bookmarkStart w:id="130" w:name="page131"/>
    <w:bookmarkEnd w:id="130"/>
    <w:p>
      <w:pPr>
        <w:spacing w:after="0"/>
        <w:tabs>
          <w:tab w:leader="none" w:pos="700" w:val="left"/>
        </w:tabs>
        <w:rPr>
          <w:sz w:val="20"/>
          <w:szCs w:val="20"/>
          <w:color w:val="auto"/>
        </w:rPr>
      </w:pPr>
      <w:r>
        <w:rPr>
          <w:rFonts w:ascii="Arial" w:cs="Arial" w:eastAsia="Arial" w:hAnsi="Arial"/>
          <w:sz w:val="13"/>
          <w:szCs w:val="13"/>
          <w:b w:val="1"/>
          <w:bCs w:val="1"/>
          <w:color w:val="auto"/>
        </w:rPr>
        <w:t>XII.</w:t>
      </w:r>
      <w:r>
        <w:rPr>
          <w:sz w:val="20"/>
          <w:szCs w:val="20"/>
          <w:color w:val="auto"/>
        </w:rPr>
        <w:tab/>
      </w:r>
      <w:r>
        <w:rPr>
          <w:rFonts w:ascii="Arial" w:cs="Arial" w:eastAsia="Arial" w:hAnsi="Arial"/>
          <w:sz w:val="13"/>
          <w:szCs w:val="13"/>
          <w:b w:val="1"/>
          <w:bCs w:val="1"/>
          <w:color w:val="auto"/>
        </w:rPr>
        <w:t>OUR PRODUCT CANDIDATES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are developing a broad and deep pipeline of over 20 product candidates across our four drug classes. Our product candidates are currently being investigated in 11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133985</wp:posOffset>
            </wp:positionV>
            <wp:extent cx="4196715" cy="46412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96715" cy="464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60"/>
          </w:cols>
          <w:pgMar w:left="300" w:top="367" w:right="1439" w:bottom="1440" w:gutter="0" w:footer="0" w:header="0"/>
        </w:sectPr>
      </w:pPr>
    </w:p>
    <w:bookmarkStart w:id="131" w:name="page132"/>
    <w:bookmarkEnd w:id="131"/>
    <w:p>
      <w:pPr>
        <w:ind w:left="540" w:hanging="517"/>
        <w:spacing w:after="0"/>
        <w:tabs>
          <w:tab w:leader="none" w:pos="540" w:val="left"/>
        </w:tabs>
        <w:numPr>
          <w:ilvl w:val="0"/>
          <w:numId w:val="164"/>
        </w:numPr>
        <w:rPr>
          <w:rFonts w:ascii="Arial" w:cs="Arial" w:eastAsia="Arial" w:hAnsi="Arial"/>
          <w:sz w:val="13"/>
          <w:szCs w:val="13"/>
          <w:b w:val="1"/>
          <w:bCs w:val="1"/>
          <w:color w:val="auto"/>
        </w:rPr>
      </w:pPr>
      <w:r>
        <w:rPr>
          <w:rFonts w:ascii="Arial" w:cs="Arial" w:eastAsia="Arial" w:hAnsi="Arial"/>
          <w:sz w:val="13"/>
          <w:szCs w:val="13"/>
          <w:b w:val="1"/>
          <w:bCs w:val="1"/>
          <w:color w:val="auto"/>
        </w:rPr>
        <w:t>Our mRNA Product Class in Oncology</w:t>
      </w:r>
    </w:p>
    <w:p>
      <w:pPr>
        <w:spacing w:after="0" w:line="94" w:lineRule="exact"/>
        <w:rPr>
          <w:sz w:val="20"/>
          <w:szCs w:val="20"/>
          <w:color w:val="auto"/>
        </w:rPr>
      </w:pPr>
    </w:p>
    <w:p>
      <w:pPr>
        <w:ind w:left="1100" w:hanging="550"/>
        <w:spacing w:after="0"/>
        <w:tabs>
          <w:tab w:leader="none" w:pos="1100" w:val="left"/>
        </w:tabs>
        <w:numPr>
          <w:ilvl w:val="0"/>
          <w:numId w:val="16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FixVac</w:t>
      </w:r>
    </w:p>
    <w:p>
      <w:pPr>
        <w:spacing w:after="0" w:line="90" w:lineRule="exact"/>
        <w:rPr>
          <w:sz w:val="20"/>
          <w:szCs w:val="20"/>
          <w:color w:val="auto"/>
        </w:rPr>
      </w:pPr>
    </w:p>
    <w:p>
      <w:pPr>
        <w:ind w:right="140" w:firstLine="527"/>
        <w:spacing w:after="0" w:line="267" w:lineRule="auto"/>
        <w:rPr>
          <w:sz w:val="20"/>
          <w:szCs w:val="20"/>
          <w:color w:val="auto"/>
        </w:rPr>
      </w:pPr>
      <w:r>
        <w:rPr>
          <w:rFonts w:ascii="Arial" w:cs="Arial" w:eastAsia="Arial" w:hAnsi="Arial"/>
          <w:sz w:val="13"/>
          <w:szCs w:val="13"/>
          <w:color w:val="auto"/>
        </w:rPr>
        <w:t>FixVac is our wholly owned, systemic, off-the-shelf mRNA-based cancer immunotherapy platform, from which we are developing several first-in-human and potential first-in-class product candidates. Our FixVac product candidates contain selected combinations of pharmacologically optimized uridine mRNA encoding known cancer-specific shared antigens. FixVac product candidates feature our proprietary immunogenic mRNA backbone and proprietary RNA-LPX delivery formulation, which are designed to enhance stability and translation as well as trigger both innate and adaptive immune responses.</w:t>
      </w:r>
    </w:p>
    <w:p>
      <w:pPr>
        <w:spacing w:after="0" w:line="215" w:lineRule="exact"/>
        <w:rPr>
          <w:sz w:val="20"/>
          <w:szCs w:val="20"/>
          <w:color w:val="auto"/>
        </w:rPr>
      </w:pPr>
    </w:p>
    <w:p>
      <w:pPr>
        <w:ind w:left="1640" w:hanging="540"/>
        <w:spacing w:after="0"/>
        <w:tabs>
          <w:tab w:leader="none" w:pos="1640" w:val="left"/>
        </w:tabs>
        <w:numPr>
          <w:ilvl w:val="0"/>
          <w:numId w:val="16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BNT111: Our FixVac Cancer Immunotherapy for the Treatment of Advanced Melanoma</w:t>
      </w:r>
    </w:p>
    <w:p>
      <w:pPr>
        <w:spacing w:after="0" w:line="90" w:lineRule="exact"/>
        <w:rPr>
          <w:sz w:val="20"/>
          <w:szCs w:val="20"/>
          <w:color w:val="auto"/>
        </w:rPr>
      </w:pPr>
    </w:p>
    <w:p>
      <w:pPr>
        <w:ind w:left="560" w:right="220" w:firstLine="499"/>
        <w:spacing w:after="0" w:line="287" w:lineRule="auto"/>
        <w:rPr>
          <w:sz w:val="20"/>
          <w:szCs w:val="20"/>
          <w:color w:val="auto"/>
        </w:rPr>
      </w:pPr>
      <w:r>
        <w:rPr>
          <w:rFonts w:ascii="Arial" w:cs="Arial" w:eastAsia="Arial" w:hAnsi="Arial"/>
          <w:sz w:val="13"/>
          <w:szCs w:val="13"/>
          <w:color w:val="auto"/>
        </w:rPr>
        <w:t>We are developing our mRNA-based FixVac product candidate BNT111 for the treatment of advanced melanoma in patients with metastatic tumors and as an adjuvant treatment after tumor resection. We are currently studying BNT111 in an ongoing Phase 1 clinical trial.</w:t>
      </w:r>
    </w:p>
    <w:p>
      <w:pPr>
        <w:spacing w:after="0" w:line="202"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Melanoma</w:t>
      </w:r>
    </w:p>
    <w:p>
      <w:pPr>
        <w:spacing w:after="0" w:line="90" w:lineRule="exact"/>
        <w:rPr>
          <w:sz w:val="20"/>
          <w:szCs w:val="20"/>
          <w:color w:val="auto"/>
        </w:rPr>
      </w:pPr>
    </w:p>
    <w:p>
      <w:pPr>
        <w:ind w:left="560" w:right="80" w:firstLine="499"/>
        <w:spacing w:after="0" w:line="267" w:lineRule="auto"/>
        <w:rPr>
          <w:sz w:val="20"/>
          <w:szCs w:val="20"/>
          <w:color w:val="auto"/>
        </w:rPr>
      </w:pPr>
      <w:r>
        <w:rPr>
          <w:rFonts w:ascii="Arial" w:cs="Arial" w:eastAsia="Arial" w:hAnsi="Arial"/>
          <w:sz w:val="13"/>
          <w:szCs w:val="13"/>
          <w:color w:val="auto"/>
        </w:rPr>
        <w:t>Melanoma is an increasingly prevalent, deadly form of skin cancer in which melanocytes, which are the cells that color the skin, form malignant cells. With 132,000 new cases diagnosed globally each year, melanoma constitutes less than five percent of all skin cancers. In recent decades, however, the incidence rate of melanoma has risen faster than almost any other cancer type, on average by 1.5% per year over the last 10 years. In 2018, approximately 91,000 new melanoma cases were diagnosed in the United States, representing 5.3% of all new cancer cases in the United States.</w:t>
      </w:r>
    </w:p>
    <w:p>
      <w:pPr>
        <w:spacing w:after="0" w:line="135" w:lineRule="exact"/>
        <w:rPr>
          <w:sz w:val="20"/>
          <w:szCs w:val="20"/>
          <w:color w:val="auto"/>
        </w:rPr>
      </w:pPr>
    </w:p>
    <w:p>
      <w:pPr>
        <w:ind w:left="560" w:right="160" w:firstLine="499"/>
        <w:spacing w:after="0" w:line="272" w:lineRule="auto"/>
        <w:rPr>
          <w:sz w:val="20"/>
          <w:szCs w:val="20"/>
          <w:color w:val="auto"/>
        </w:rPr>
      </w:pPr>
      <w:r>
        <w:rPr>
          <w:rFonts w:ascii="Arial" w:cs="Arial" w:eastAsia="Arial" w:hAnsi="Arial"/>
          <w:sz w:val="13"/>
          <w:szCs w:val="13"/>
          <w:color w:val="auto"/>
        </w:rPr>
        <w:t>Melanoma is the most lethal form of skin cancer, accounting for the majority of skin cancer deaths. There were an estimated 9,300 deaths from melanoma in the United States in 2018. While the five-year survival rate for melanoma, regardless of disease stage, is approximately 91.8%, patients with stage III melanoma have a five-year survival rate of approximately 63%. The five-year survival rate for metastatic melanoma (stage IV) is approximately 20%.</w:t>
      </w:r>
    </w:p>
    <w:p>
      <w:pPr>
        <w:spacing w:after="0" w:line="132" w:lineRule="exact"/>
        <w:rPr>
          <w:sz w:val="20"/>
          <w:szCs w:val="20"/>
          <w:color w:val="auto"/>
        </w:rPr>
      </w:pPr>
    </w:p>
    <w:p>
      <w:pPr>
        <w:ind w:left="560" w:firstLine="499"/>
        <w:spacing w:after="0" w:line="272" w:lineRule="auto"/>
        <w:rPr>
          <w:sz w:val="20"/>
          <w:szCs w:val="20"/>
          <w:color w:val="auto"/>
        </w:rPr>
      </w:pPr>
      <w:r>
        <w:rPr>
          <w:rFonts w:ascii="Arial" w:cs="Arial" w:eastAsia="Arial" w:hAnsi="Arial"/>
          <w:sz w:val="13"/>
          <w:szCs w:val="13"/>
          <w:color w:val="auto"/>
        </w:rPr>
        <w:t>The current treatment regimen involves surgical removal for earlier stages, while a number of targeted therapies, such as BRAF and MEK inhibitors, and checkpoint inhibitors, or CPIs, are approved for advanced disease. CPIs include nivolumab (Opdivo) for advanced or metastatic melanoma after resection, and pembrolizumab (Keytruda) in unresectable or metastatic disease.</w:t>
      </w:r>
    </w:p>
    <w:p>
      <w:pPr>
        <w:spacing w:after="0" w:line="212"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Our BNT111 Targets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BNT111 is designed to elicit an immune response to the following four antigens that have each been found to be associated with melanoma:</w:t>
      </w:r>
    </w:p>
    <w:p>
      <w:pPr>
        <w:spacing w:after="0" w:line="90" w:lineRule="exact"/>
        <w:rPr>
          <w:sz w:val="20"/>
          <w:szCs w:val="20"/>
          <w:color w:val="auto"/>
        </w:rPr>
      </w:pPr>
    </w:p>
    <w:p>
      <w:pPr>
        <w:ind w:left="1440" w:hanging="340"/>
        <w:spacing w:after="0"/>
        <w:tabs>
          <w:tab w:leader="none" w:pos="144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New York esophageal squamous cell carcinoma 1, or NY-ESO-1, a well-known cancer-testis antigen that is also expressed in numerous cancers, including melanoma;</w:t>
      </w:r>
    </w:p>
    <w:p>
      <w:pPr>
        <w:spacing w:after="0" w:line="101" w:lineRule="exact"/>
        <w:rPr>
          <w:rFonts w:ascii="Arial" w:cs="Arial" w:eastAsia="Arial" w:hAnsi="Arial"/>
          <w:sz w:val="12"/>
          <w:szCs w:val="12"/>
          <w:color w:val="auto"/>
        </w:rPr>
      </w:pPr>
    </w:p>
    <w:p>
      <w:pPr>
        <w:ind w:left="1440" w:hanging="340"/>
        <w:spacing w:after="0"/>
        <w:tabs>
          <w:tab w:leader="none" w:pos="144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melanoma-associated antigen A3, or MAGE-A3, which is not expressed in normal tissues, except the testis and the placenta;</w:t>
      </w:r>
    </w:p>
    <w:p>
      <w:pPr>
        <w:spacing w:after="0" w:line="19" w:lineRule="exact"/>
        <w:rPr>
          <w:rFonts w:ascii="Arial" w:cs="Arial" w:eastAsia="Arial" w:hAnsi="Arial"/>
          <w:sz w:val="13"/>
          <w:szCs w:val="13"/>
          <w:color w:val="auto"/>
        </w:rPr>
      </w:pPr>
    </w:p>
    <w:p>
      <w:pPr>
        <w:ind w:left="1440" w:hanging="340"/>
        <w:spacing w:after="0"/>
        <w:tabs>
          <w:tab w:leader="none" w:pos="144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tyrosinase, an enzyme that is required for melanin production and that is produced in increased levels in melanoma; and</w:t>
      </w:r>
    </w:p>
    <w:p>
      <w:pPr>
        <w:spacing w:after="0" w:line="81" w:lineRule="exact"/>
        <w:rPr>
          <w:rFonts w:ascii="Arial" w:cs="Arial" w:eastAsia="Arial" w:hAnsi="Arial"/>
          <w:sz w:val="13"/>
          <w:szCs w:val="13"/>
          <w:color w:val="auto"/>
        </w:rPr>
      </w:pPr>
    </w:p>
    <w:p>
      <w:pPr>
        <w:ind w:left="1440" w:hanging="340"/>
        <w:spacing w:after="0"/>
        <w:tabs>
          <w:tab w:leader="none" w:pos="144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trans-membrane phosphatase with tensin homology, or TPTE, a novel cancer/testis antigen that we discovered internally.</w:t>
      </w:r>
    </w:p>
    <w:p>
      <w:pPr>
        <w:spacing w:after="0" w:line="300"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127" w:right="319" w:bottom="1440" w:gutter="0" w:footer="0" w:header="0"/>
        </w:sectPr>
      </w:pPr>
    </w:p>
    <w:bookmarkStart w:id="132" w:name="page133"/>
    <w:bookmarkEnd w:id="132"/>
    <w:p>
      <w:pPr>
        <w:ind w:left="1620"/>
        <w:spacing w:after="0"/>
        <w:rPr>
          <w:sz w:val="20"/>
          <w:szCs w:val="20"/>
          <w:color w:val="auto"/>
        </w:rPr>
      </w:pPr>
      <w:r>
        <w:rPr>
          <w:rFonts w:ascii="Arial" w:cs="Arial" w:eastAsia="Arial" w:hAnsi="Arial"/>
          <w:sz w:val="13"/>
          <w:szCs w:val="13"/>
          <w:color w:val="auto"/>
        </w:rPr>
        <w:t>We sequenced 337 melanoma tumors and detected at least one of these four antigens in over 90% of such melanoma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126365</wp:posOffset>
            </wp:positionV>
            <wp:extent cx="3860165" cy="641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60165" cy="64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36" w:lineRule="auto"/>
        <w:rPr>
          <w:sz w:val="20"/>
          <w:szCs w:val="20"/>
          <w:color w:val="auto"/>
        </w:rPr>
      </w:pPr>
      <w:r>
        <w:rPr>
          <w:rFonts w:ascii="Arial" w:cs="Arial" w:eastAsia="Arial" w:hAnsi="Arial"/>
          <w:sz w:val="11"/>
          <w:szCs w:val="11"/>
          <w:b w:val="1"/>
          <w:bCs w:val="1"/>
          <w:color w:val="auto"/>
        </w:rPr>
        <w:t xml:space="preserve">BNT111 antigens detected in over 90% of melanoma tumors. </w:t>
      </w:r>
      <w:r>
        <w:rPr>
          <w:rFonts w:ascii="Arial" w:cs="Arial" w:eastAsia="Arial" w:hAnsi="Arial"/>
          <w:sz w:val="11"/>
          <w:szCs w:val="11"/>
          <w:color w:val="auto"/>
        </w:rPr>
        <w:t>The graphic above shows expression of BNT111 target antigens on a patient by patient basis. Each row at the bottom of the graphic represents an antigen, and each vertical line represents a patient,</w:t>
      </w:r>
      <w:r>
        <w:rPr>
          <w:rFonts w:ascii="Arial" w:cs="Arial" w:eastAsia="Arial" w:hAnsi="Arial"/>
          <w:sz w:val="11"/>
          <w:szCs w:val="11"/>
          <w:b w:val="1"/>
          <w:bCs w:val="1"/>
          <w:color w:val="auto"/>
        </w:rPr>
        <w:t xml:space="preserve"> </w:t>
      </w:r>
      <w:r>
        <w:rPr>
          <w:rFonts w:ascii="Arial" w:cs="Arial" w:eastAsia="Arial" w:hAnsi="Arial"/>
          <w:sz w:val="11"/>
          <w:szCs w:val="11"/>
          <w:color w:val="auto"/>
        </w:rPr>
        <w:t>depicting whether or not that patient expressed each antigen.</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Our BNT111 Clinical Trials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3"/>
          <w:szCs w:val="13"/>
          <w:i w:val="1"/>
          <w:iCs w:val="1"/>
          <w:color w:val="auto"/>
        </w:rPr>
        <w:t>Ongoing Phase 1 Trial in Advanced Melanoma Patients (LIPOMERIT study)</w:t>
      </w:r>
    </w:p>
    <w:p>
      <w:pPr>
        <w:spacing w:after="0" w:line="90" w:lineRule="exact"/>
        <w:rPr>
          <w:sz w:val="20"/>
          <w:szCs w:val="20"/>
          <w:color w:val="auto"/>
        </w:rPr>
      </w:pPr>
    </w:p>
    <w:p>
      <w:pPr>
        <w:ind w:left="1120" w:right="40" w:firstLine="499"/>
        <w:spacing w:after="0" w:line="331" w:lineRule="auto"/>
        <w:rPr>
          <w:sz w:val="20"/>
          <w:szCs w:val="20"/>
          <w:color w:val="auto"/>
        </w:rPr>
      </w:pPr>
      <w:r>
        <w:rPr>
          <w:rFonts w:ascii="Arial" w:cs="Arial" w:eastAsia="Arial" w:hAnsi="Arial"/>
          <w:sz w:val="12"/>
          <w:szCs w:val="12"/>
          <w:color w:val="auto"/>
        </w:rPr>
        <w:t>We are conducting a multi-center, open-label, first-in-human, Phase 1 dose escalation study evaluating the safety and tolerability of multiple intravenous administrations of BNT111 in patients with advanced melanoma. This is the first clinical trial worldwide in which an mRNA-based cancer immunotherapy is administered intravenously for systemic treatment.</w:t>
      </w:r>
    </w:p>
    <w:p>
      <w:pPr>
        <w:spacing w:after="0" w:line="99" w:lineRule="exact"/>
        <w:rPr>
          <w:sz w:val="20"/>
          <w:szCs w:val="20"/>
          <w:color w:val="auto"/>
        </w:rPr>
      </w:pPr>
    </w:p>
    <w:p>
      <w:pPr>
        <w:ind w:left="1120" w:right="160" w:firstLine="499"/>
        <w:spacing w:after="0" w:line="331" w:lineRule="auto"/>
        <w:rPr>
          <w:sz w:val="20"/>
          <w:szCs w:val="20"/>
          <w:color w:val="auto"/>
        </w:rPr>
      </w:pPr>
      <w:r>
        <w:rPr>
          <w:rFonts w:ascii="Arial" w:cs="Arial" w:eastAsia="Arial" w:hAnsi="Arial"/>
          <w:sz w:val="12"/>
          <w:szCs w:val="12"/>
          <w:color w:val="auto"/>
        </w:rPr>
        <w:t>The trial employs a conventional 3+3 design in which patients are dosed in groups of three at incrementally greater dosages until the maximum tolerated dose is identified, during the dose escalation phase, which is then followed by expanded dose cohorts. Patients are treated with doses from 7.2µg up to the highest administered dose of 400µg of total mRNA.</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3"/>
          <w:szCs w:val="13"/>
          <w:i w:val="1"/>
          <w:iCs w:val="1"/>
          <w:color w:val="auto"/>
        </w:rPr>
        <w:t>July 2019 Interim Data</w:t>
      </w:r>
    </w:p>
    <w:p>
      <w:pPr>
        <w:spacing w:after="0" w:line="90" w:lineRule="exact"/>
        <w:rPr>
          <w:sz w:val="20"/>
          <w:szCs w:val="20"/>
          <w:color w:val="auto"/>
        </w:rPr>
      </w:pPr>
    </w:p>
    <w:p>
      <w:pPr>
        <w:ind w:left="1120" w:right="100" w:firstLine="499"/>
        <w:spacing w:after="0" w:line="296" w:lineRule="auto"/>
        <w:rPr>
          <w:sz w:val="20"/>
          <w:szCs w:val="20"/>
          <w:color w:val="auto"/>
        </w:rPr>
      </w:pPr>
      <w:r>
        <w:rPr>
          <w:rFonts w:ascii="Arial" w:cs="Arial" w:eastAsia="Arial" w:hAnsi="Arial"/>
          <w:sz w:val="12"/>
          <w:szCs w:val="12"/>
          <w:color w:val="auto"/>
        </w:rPr>
        <w:t>As of the July 2019 interim cut-off date, 95 patients with metastatic melanoma had been dosed at least once at one of four centers in Germany. Baseline and demographic characteristics were largely as expected for a trial recruiting advanced stage IIIB-IIIC and stage IV melanoma patients with and without measurable disease. Approximately half of the patients were resected and had radiographically non-evaluable disease at baseline. The other half of the patients had radiographically evaluable disease at baseline and most of these patients were heavily pretreated. Only the subset of patients with evaluable disease at baseline was assessed for preliminary clinical activity.</w:t>
      </w:r>
    </w:p>
    <w:p>
      <w:pPr>
        <w:spacing w:after="0" w:line="119" w:lineRule="exact"/>
        <w:rPr>
          <w:sz w:val="20"/>
          <w:szCs w:val="20"/>
          <w:color w:val="auto"/>
        </w:rPr>
      </w:pPr>
    </w:p>
    <w:p>
      <w:pPr>
        <w:ind w:left="1120" w:firstLine="499"/>
        <w:spacing w:after="0" w:line="202" w:lineRule="auto"/>
        <w:rPr>
          <w:sz w:val="20"/>
          <w:szCs w:val="20"/>
          <w:color w:val="auto"/>
        </w:rPr>
      </w:pPr>
      <w:r>
        <w:rPr>
          <w:rFonts w:ascii="Arial" w:cs="Arial" w:eastAsia="Arial" w:hAnsi="Arial"/>
          <w:sz w:val="13"/>
          <w:szCs w:val="13"/>
          <w:i w:val="1"/>
          <w:iCs w:val="1"/>
          <w:color w:val="auto"/>
        </w:rPr>
        <w:t xml:space="preserve">Immunogenicity. </w:t>
      </w:r>
      <w:r>
        <w:rPr>
          <w:rFonts w:ascii="Arial" w:cs="Arial" w:eastAsia="Arial" w:hAnsi="Arial"/>
          <w:sz w:val="13"/>
          <w:szCs w:val="13"/>
          <w:color w:val="auto"/>
        </w:rPr>
        <w:t>Immune responses induced by BNT111 were assessed using various orthogonal assay systems by analyzing T cells against each vaccine antigen in pre- and post-treatment blood samples of patients. So far, about half of the dosed patients have been analyzed for immune responses in this ongoing study. A first analysis in a subset of 18 patients evaluated vaccine antigen reactivity of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by IFN-α ELISpot after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stimulation. All tested patients showed either a de novo or an augmented (as compared to baseline) immune response against at least one of the BNT111-encoded tumor antigens. Most patients exhibited either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or concurrently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 responses against the individual vaccine targets. A second analysis looked at the magnitude of immune responses on the individual level by using an </w:t>
      </w:r>
      <w:r>
        <w:rPr>
          <w:rFonts w:ascii="Arial" w:cs="Arial" w:eastAsia="Arial" w:hAnsi="Arial"/>
          <w:sz w:val="13"/>
          <w:szCs w:val="13"/>
          <w:i w:val="1"/>
          <w:iCs w:val="1"/>
          <w:color w:val="auto"/>
        </w:rPr>
        <w:t>ex vivo</w:t>
      </w:r>
      <w:r>
        <w:rPr>
          <w:rFonts w:ascii="Arial" w:cs="Arial" w:eastAsia="Arial" w:hAnsi="Arial"/>
          <w:sz w:val="13"/>
          <w:szCs w:val="13"/>
          <w:color w:val="auto"/>
        </w:rPr>
        <w:t xml:space="preserve"> IFN-α ELISpot, which due to its sensitivity level would capture only very strong T cell responses, and showed that more than 75% of patients exhibited vaccine-induced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or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 responses. The kinetics of </w:t>
      </w:r>
      <w:r>
        <w:rPr>
          <w:rFonts w:ascii="Arial" w:cs="Arial" w:eastAsia="Arial" w:hAnsi="Arial"/>
          <w:sz w:val="13"/>
          <w:szCs w:val="13"/>
          <w:i w:val="1"/>
          <w:iCs w:val="1"/>
          <w:color w:val="auto"/>
        </w:rPr>
        <w:t>de novo</w:t>
      </w:r>
      <w:r>
        <w:rPr>
          <w:rFonts w:ascii="Arial" w:cs="Arial" w:eastAsia="Arial" w:hAnsi="Arial"/>
          <w:sz w:val="13"/>
          <w:szCs w:val="13"/>
          <w:color w:val="auto"/>
        </w:rPr>
        <w:t>-induced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were further characterized in selected patients of interest by a third method using e</w:t>
      </w:r>
      <w:r>
        <w:rPr>
          <w:rFonts w:ascii="Arial" w:cs="Arial" w:eastAsia="Arial" w:hAnsi="Arial"/>
          <w:sz w:val="13"/>
          <w:szCs w:val="13"/>
          <w:i w:val="1"/>
          <w:iCs w:val="1"/>
          <w:color w:val="auto"/>
        </w:rPr>
        <w:t>x vivo</w:t>
      </w:r>
      <w:r>
        <w:rPr>
          <w:rFonts w:ascii="Arial" w:cs="Arial" w:eastAsia="Arial" w:hAnsi="Arial"/>
          <w:sz w:val="13"/>
          <w:szCs w:val="13"/>
          <w:color w:val="auto"/>
        </w:rPr>
        <w:t xml:space="preserve"> MHC peptide multimer staining of blood samples collected at baseline and at different time points after start of vaccination. Mostly, antigen-specific T cell counts showed a fast ramp-up from being undetectable at baseline to levels ranging from 1,000 to more than 100,000 per million circulating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within the first 4-8 weeks. Under monthly maintenance treatment, frequencies of individual antigen-specific T cells continued to slowly increase or remained stable up to over one year.</w:t>
      </w:r>
    </w:p>
    <w:p>
      <w:pPr>
        <w:spacing w:after="0" w:line="153" w:lineRule="exact"/>
        <w:rPr>
          <w:sz w:val="20"/>
          <w:szCs w:val="20"/>
          <w:color w:val="auto"/>
        </w:rPr>
      </w:pPr>
    </w:p>
    <w:p>
      <w:pPr>
        <w:ind w:left="1120" w:right="540" w:firstLine="503"/>
        <w:spacing w:after="0" w:line="287" w:lineRule="auto"/>
        <w:rPr>
          <w:sz w:val="20"/>
          <w:szCs w:val="20"/>
          <w:color w:val="auto"/>
        </w:rPr>
      </w:pPr>
      <w:r>
        <w:rPr>
          <w:rFonts w:ascii="Arial" w:cs="Arial" w:eastAsia="Arial" w:hAnsi="Arial"/>
          <w:sz w:val="13"/>
          <w:szCs w:val="13"/>
          <w:i w:val="1"/>
          <w:iCs w:val="1"/>
          <w:color w:val="auto"/>
        </w:rPr>
        <w:t xml:space="preserve">Clinical activity. </w:t>
      </w:r>
      <w:r>
        <w:rPr>
          <w:rFonts w:ascii="Arial" w:cs="Arial" w:eastAsia="Arial" w:hAnsi="Arial"/>
          <w:sz w:val="13"/>
          <w:szCs w:val="13"/>
          <w:color w:val="auto"/>
        </w:rPr>
        <w:t>As of the July 2019 cut-off date, in our review of interim data, we assessed 42 patients with radiographically evaluable, measurable disease at baseline for</w:t>
      </w:r>
      <w:r>
        <w:rPr>
          <w:rFonts w:ascii="Arial" w:cs="Arial" w:eastAsia="Arial" w:hAnsi="Arial"/>
          <w:sz w:val="13"/>
          <w:szCs w:val="13"/>
          <w:i w:val="1"/>
          <w:iCs w:val="1"/>
          <w:color w:val="auto"/>
        </w:rPr>
        <w:t xml:space="preserve"> </w:t>
      </w:r>
      <w:r>
        <w:rPr>
          <w:rFonts w:ascii="Arial" w:cs="Arial" w:eastAsia="Arial" w:hAnsi="Arial"/>
          <w:sz w:val="13"/>
          <w:szCs w:val="13"/>
          <w:color w:val="auto"/>
        </w:rPr>
        <w:t>preliminary clinical activity according to Response Evaluation Criteria in Solid Tumors, Version 1.1, or RECIST v1.1. Twenty-five of these 42 patients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color w:val="auto"/>
        </w:rPr>
        <w:t>received BNT111 as a monotherapy, and 17 patients received BNT111 in combination with an anti-PD-1 checkpoint inhibitor, or CPI (either pembrolizumab or nivolumab).</w:t>
      </w:r>
    </w:p>
    <w:p>
      <w:pPr>
        <w:spacing w:after="0" w:line="170" w:lineRule="exact"/>
        <w:rPr>
          <w:sz w:val="20"/>
          <w:szCs w:val="20"/>
          <w:color w:val="auto"/>
        </w:rPr>
      </w:pPr>
    </w:p>
    <w:p>
      <w:pPr>
        <w:ind w:firstLine="499"/>
        <w:spacing w:after="0" w:line="296" w:lineRule="auto"/>
        <w:rPr>
          <w:sz w:val="20"/>
          <w:szCs w:val="20"/>
          <w:color w:val="auto"/>
        </w:rPr>
      </w:pPr>
      <w:r>
        <w:rPr>
          <w:rFonts w:ascii="Arial" w:cs="Arial" w:eastAsia="Arial" w:hAnsi="Arial"/>
          <w:sz w:val="12"/>
          <w:szCs w:val="12"/>
          <w:color w:val="auto"/>
        </w:rPr>
        <w:t>In the BNT111 monotherapy cohort, we observed clinical activity for all 25 patients. All of these patients had received at least one line of prior treatment with a checkpoint inhibitor, and 24 of the 25 patients had failed prior sequential or combination treatment with anti-PD-1 and anti-CTLA4 antibodies. Three of 25 patients (12%) showed a partial response, or PR, one patient had a metabolic complete response as measured by FGD-PET imaging and seven patients (28%) demonstrated stable disease. The clinical benefit rate, or CBR, is 44%. Two of the PRs manifested early on during treatment (at imaging day 90); the two others manifested at imaging days 180 and 360, respectively.</w:t>
      </w:r>
    </w:p>
    <w:p>
      <w:pPr>
        <w:spacing w:after="0" w:line="119" w:lineRule="exact"/>
        <w:rPr>
          <w:sz w:val="20"/>
          <w:szCs w:val="20"/>
          <w:color w:val="auto"/>
        </w:rPr>
      </w:pPr>
    </w:p>
    <w:p>
      <w:pPr>
        <w:ind w:right="40" w:firstLine="499"/>
        <w:spacing w:after="0" w:line="267" w:lineRule="auto"/>
        <w:rPr>
          <w:sz w:val="20"/>
          <w:szCs w:val="20"/>
          <w:color w:val="auto"/>
        </w:rPr>
      </w:pPr>
      <w:r>
        <w:rPr>
          <w:rFonts w:ascii="Arial" w:cs="Arial" w:eastAsia="Arial" w:hAnsi="Arial"/>
          <w:sz w:val="13"/>
          <w:szCs w:val="13"/>
          <w:color w:val="auto"/>
        </w:rPr>
        <w:t>In the BNT111 in combination with anti-PD-1 checkpoint inhibitor cohort, 16 of the 17 patients had prior treatment with CPI. Six patients (35%) showed a partial response, and two patients (12%) demonstrated stable disease. The CBR is 47%. Objective responses were observed across all dose levels explored in expansion cohorts (14µg, 50 µg and 100µg). Five of 10 (50%) patients who received the highest target dose of 100µg demonstrated a PR. By contrast, the expected ORR for anti-PD1 treatment in an anti-PD1 experienced patient population is in the range of 10%.</w:t>
      </w:r>
    </w:p>
    <w:p>
      <w:pPr>
        <w:spacing w:after="0" w:line="135" w:lineRule="exact"/>
        <w:rPr>
          <w:sz w:val="20"/>
          <w:szCs w:val="20"/>
          <w:color w:val="auto"/>
        </w:rPr>
      </w:pPr>
    </w:p>
    <w:p>
      <w:pPr>
        <w:ind w:right="60" w:firstLine="499"/>
        <w:spacing w:after="0" w:line="284" w:lineRule="auto"/>
        <w:rPr>
          <w:sz w:val="20"/>
          <w:szCs w:val="20"/>
          <w:color w:val="auto"/>
        </w:rPr>
      </w:pPr>
      <w:r>
        <w:rPr>
          <w:rFonts w:ascii="Arial" w:cs="Arial" w:eastAsia="Arial" w:hAnsi="Arial"/>
          <w:sz w:val="12"/>
          <w:szCs w:val="12"/>
          <w:i w:val="1"/>
          <w:iCs w:val="1"/>
          <w:color w:val="auto"/>
        </w:rPr>
        <w:t>Safety</w:t>
      </w:r>
      <w:r>
        <w:rPr>
          <w:rFonts w:ascii="Arial" w:cs="Arial" w:eastAsia="Arial" w:hAnsi="Arial"/>
          <w:sz w:val="12"/>
          <w:szCs w:val="12"/>
          <w:color w:val="auto"/>
        </w:rPr>
        <w:t>. As of the July 2019 cut-off date, no dose-limiting toxicities to BNT111 have been reported. The highest explored dose level is 400µg total mRNA and doses up to 100µg</w:t>
      </w:r>
      <w:r>
        <w:rPr>
          <w:rFonts w:ascii="Arial" w:cs="Arial" w:eastAsia="Arial" w:hAnsi="Arial"/>
          <w:sz w:val="12"/>
          <w:szCs w:val="12"/>
          <w:i w:val="1"/>
          <w:iCs w:val="1"/>
          <w:color w:val="auto"/>
        </w:rPr>
        <w:t xml:space="preserve"> </w:t>
      </w:r>
      <w:r>
        <w:rPr>
          <w:rFonts w:ascii="Arial" w:cs="Arial" w:eastAsia="Arial" w:hAnsi="Arial"/>
          <w:sz w:val="12"/>
          <w:szCs w:val="12"/>
          <w:color w:val="auto"/>
        </w:rPr>
        <w:t>total mRNA were tested further in expansion cohorts. The overall adverse event profile was dominated by mild-to-moderate, transient and manageable flu-like symptoms. This profile may have been driven by the mode of action of the RNA-LPX, which activates antigen presenting cells via signaling of TLRs, resulting in a temporary, self-limiting release of a distinct range of pro-inflammatory cytokines upon intravenous application. These symptoms were managed by pre-medication with non-steroidal antipyretics, such as ibuprofen and acetaminophen. Eight subjects dosed with BNT111 experienced related treatment-emergent serious adverse events, or TESAEs. The related TESAEs were comprised of two cases of Grade 2 pyrexia, and one case each of Grade 2 asthenia, Grade 2 dizziness, Grade 3 anaphylactic reaction, Grade 3 dizziness, Grade 3 syncope, Grade 3 exudative retinopathy, Grade 3 posterior reversible encephalopathy syndrome, Grade 3 epileptic seizure, and Grade 2 suspected pancreatitis. There were confounding factors, such as treatment with other therapies or underlying medical conditions, for the subjects with related TESAEs. We could not establish a clear causal relationship between BNT111 and the cases of anaphylactic reaction, retinopathy, encephalopathy syndrome, seizure and suspected pancreatitis. There have been no deaths in this study that were assessed by the investigators as related to BNT111.</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Completed Phase 1 Trial in Patients with Advanced Melanoma (MERIT study)</w:t>
      </w:r>
    </w:p>
    <w:p>
      <w:pPr>
        <w:spacing w:after="0" w:line="90" w:lineRule="exact"/>
        <w:rPr>
          <w:sz w:val="20"/>
          <w:szCs w:val="20"/>
          <w:color w:val="auto"/>
        </w:rPr>
      </w:pPr>
    </w:p>
    <w:p>
      <w:pPr>
        <w:ind w:right="360" w:firstLine="499"/>
        <w:spacing w:after="0" w:line="287" w:lineRule="auto"/>
        <w:rPr>
          <w:sz w:val="20"/>
          <w:szCs w:val="20"/>
          <w:color w:val="auto"/>
        </w:rPr>
      </w:pPr>
      <w:r>
        <w:rPr>
          <w:rFonts w:ascii="Arial" w:cs="Arial" w:eastAsia="Arial" w:hAnsi="Arial"/>
          <w:sz w:val="13"/>
          <w:szCs w:val="13"/>
          <w:color w:val="auto"/>
        </w:rPr>
        <w:t>In 2016, we published results of a first-in-human dose escalation study evaluating the safety and tolerability of intranodal administration of an earlier generation of BNT111 in patients with advanced melanoma. In this study, the earlier formulation of BNT111 targeted only NY-ESO-1 and tyrosinase.</w:t>
      </w:r>
    </w:p>
    <w:p>
      <w:pPr>
        <w:spacing w:after="0" w:line="122" w:lineRule="exact"/>
        <w:rPr>
          <w:sz w:val="20"/>
          <w:szCs w:val="20"/>
          <w:color w:val="auto"/>
        </w:rPr>
      </w:pPr>
    </w:p>
    <w:p>
      <w:pPr>
        <w:ind w:right="200" w:firstLine="499"/>
        <w:spacing w:after="0" w:line="272" w:lineRule="auto"/>
        <w:rPr>
          <w:sz w:val="20"/>
          <w:szCs w:val="20"/>
          <w:color w:val="auto"/>
        </w:rPr>
      </w:pPr>
      <w:r>
        <w:rPr>
          <w:rFonts w:ascii="Arial" w:cs="Arial" w:eastAsia="Arial" w:hAnsi="Arial"/>
          <w:sz w:val="13"/>
          <w:szCs w:val="13"/>
          <w:color w:val="auto"/>
        </w:rPr>
        <w:t>This international, multi-center, open-label interventional study’s primary endpoints were the maximum tolerated dose for multiple dosing, safety and adverse reactions and tolerability profile of multiple dosing. The secondary endpoints were (i) to observe immunotherapy-induced immune responses following multiple treatment cycles and (ii) clinical benefit (complete response, partial response and stable disease).</w:t>
      </w:r>
    </w:p>
    <w:p>
      <w:pPr>
        <w:spacing w:after="0" w:line="132" w:lineRule="exact"/>
        <w:rPr>
          <w:sz w:val="20"/>
          <w:szCs w:val="20"/>
          <w:color w:val="auto"/>
        </w:rPr>
      </w:pPr>
    </w:p>
    <w:p>
      <w:pPr>
        <w:ind w:firstLine="499"/>
        <w:spacing w:after="0" w:line="288" w:lineRule="auto"/>
        <w:rPr>
          <w:sz w:val="20"/>
          <w:szCs w:val="20"/>
          <w:color w:val="auto"/>
        </w:rPr>
      </w:pPr>
      <w:r>
        <w:rPr>
          <w:rFonts w:ascii="Arial" w:cs="Arial" w:eastAsia="Arial" w:hAnsi="Arial"/>
          <w:sz w:val="12"/>
          <w:szCs w:val="12"/>
          <w:color w:val="auto"/>
        </w:rPr>
        <w:t>Five dosages were administered to patients sequentially: 50µg, 100µg, 300µg, 600µg, and 1,000µg. The sample size for the first three doses was three each. The 600µg dose cohort was comprised of 13 patients and the 1,000µg dose cohort was comprised of seven patients. In the 100µg, 300µg and 600µg dose cohorts, seven patients in total received continued treatment. The overall individual treatment period was 43 to 51 days and comprised eight treatment cycles of ultrasound-guided intranodal injections on days one, four, eight, 11, 15-17, 22-26, 29-35 and 43-51. In case of an optional continued treatment for patients who neither exhibited unacceptable drug-related toxicity nor disease progression, four additional treatment cycles were administered at the same dosage that the patient had received in his or her cohort. The first cycle of continued treatment was scheduled 14-42 days after the last visit, with the second and third additional treatment cycles following after a one-month interval each. The fourth treatment cycle then followed after an interval of three months.</w:t>
      </w:r>
    </w:p>
    <w:p>
      <w:pPr>
        <w:spacing w:after="0" w:line="126" w:lineRule="exact"/>
        <w:rPr>
          <w:sz w:val="20"/>
          <w:szCs w:val="20"/>
          <w:color w:val="auto"/>
        </w:rPr>
      </w:pPr>
    </w:p>
    <w:p>
      <w:pPr>
        <w:ind w:right="440" w:firstLine="499"/>
        <w:spacing w:after="0" w:line="287" w:lineRule="auto"/>
        <w:rPr>
          <w:sz w:val="20"/>
          <w:szCs w:val="20"/>
          <w:color w:val="auto"/>
        </w:rPr>
      </w:pPr>
      <w:r>
        <w:rPr>
          <w:rFonts w:ascii="Arial" w:cs="Arial" w:eastAsia="Arial" w:hAnsi="Arial"/>
          <w:sz w:val="13"/>
          <w:szCs w:val="13"/>
          <w:color w:val="auto"/>
        </w:rPr>
        <w:t>The occurrence of new measurable lesions was observed in only one patient of the 1,000µg dose cohort, while new non-measurable lesions were identified in seven patients. Twenty-one patients, or 75%, were</w:t>
      </w:r>
    </w:p>
    <w:p>
      <w:pPr>
        <w:spacing w:after="0" w:line="12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62865</wp:posOffset>
            </wp:positionV>
            <wp:extent cx="7180580"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60"/>
          </w:cols>
          <w:pgMar w:left="1420" w:top="291" w:right="31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auto"/>
        </w:rPr>
        <w:t>classified as having immune-related stable disease and six patients, or 21.4%, had immune-related progressive disease.</w:t>
      </w:r>
    </w:p>
    <w:p>
      <w:pPr>
        <w:spacing w:after="0" w:line="170" w:lineRule="exact"/>
        <w:rPr>
          <w:sz w:val="20"/>
          <w:szCs w:val="20"/>
          <w:color w:val="auto"/>
        </w:rPr>
      </w:pPr>
    </w:p>
    <w:p>
      <w:pPr>
        <w:ind w:right="40" w:firstLine="499"/>
        <w:spacing w:after="0" w:line="296" w:lineRule="auto"/>
        <w:rPr>
          <w:sz w:val="20"/>
          <w:szCs w:val="20"/>
          <w:color w:val="auto"/>
        </w:rPr>
      </w:pPr>
      <w:r>
        <w:rPr>
          <w:rFonts w:ascii="Arial" w:cs="Arial" w:eastAsia="Arial" w:hAnsi="Arial"/>
          <w:sz w:val="12"/>
          <w:szCs w:val="12"/>
          <w:color w:val="auto"/>
        </w:rPr>
        <w:t>The most frequent adverse events included administration-site conditions, infections and infestations, musculoskeletal and connective tissue disorders, nasopharyngitis, fatigue, headache and back pain. No life-threatening adverse events nor deaths occurred in this study. Thirteen severe adverse events were reported, including infections and infestations and vascular disorders. Sixteen patients were affected by adverse events with a suspected relationship to the study drug. These were most frequently fatigue, application site erythema and application site pain. None of the drug-related adverse events was categorized as serious. No dose-limiting toxicities were observed.</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We expect to report Phase 1 data from the LIPOMERIT trial and to initiate a Phase 2 clinical trial with registrational potential for BNT111 in the second half of 2020.</w:t>
      </w:r>
    </w:p>
    <w:p>
      <w:pPr>
        <w:spacing w:after="0" w:line="250" w:lineRule="exact"/>
        <w:rPr>
          <w:sz w:val="20"/>
          <w:szCs w:val="20"/>
          <w:color w:val="auto"/>
        </w:rPr>
      </w:pPr>
    </w:p>
    <w:p>
      <w:pPr>
        <w:ind w:left="1080" w:hanging="587"/>
        <w:spacing w:after="0"/>
        <w:tabs>
          <w:tab w:leader="none" w:pos="1080" w:val="left"/>
        </w:tabs>
        <w:numPr>
          <w:ilvl w:val="0"/>
          <w:numId w:val="16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BNT112: Our FixVac Cancer Immunotherapy for the Treatment of Prostate Cancer</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We are developing BNT112 for the treatment of prostate cancer.</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Prostate Cancer</w:t>
      </w:r>
    </w:p>
    <w:p>
      <w:pPr>
        <w:spacing w:after="0" w:line="90" w:lineRule="exact"/>
        <w:rPr>
          <w:sz w:val="20"/>
          <w:szCs w:val="20"/>
          <w:color w:val="auto"/>
        </w:rPr>
      </w:pPr>
    </w:p>
    <w:p>
      <w:pPr>
        <w:ind w:firstLine="499"/>
        <w:spacing w:after="0" w:line="264" w:lineRule="auto"/>
        <w:rPr>
          <w:sz w:val="20"/>
          <w:szCs w:val="20"/>
          <w:color w:val="auto"/>
        </w:rPr>
      </w:pPr>
      <w:r>
        <w:rPr>
          <w:rFonts w:ascii="Arial" w:cs="Arial" w:eastAsia="Arial" w:hAnsi="Arial"/>
          <w:sz w:val="13"/>
          <w:szCs w:val="13"/>
          <w:color w:val="auto"/>
        </w:rPr>
        <w:t>Prostate cancer is the second most common cancer amongst men worldwide and the fourth most commonly occurring cancer overall, with around 1.3 million new cases recorded worldwide in 2018 and 174,650 cases expected in 2019 in the United States alone. The stage of the prostate cancer (I-IV), alongside the prostate-specific antigen and Gleason score, are the key factors for defining the treatment options for individual cases. Surgical or radiation based approaches are often used in first-line therapy, however after relapse (up to 30-40% of patients), androgen-deprivation therapies are employed, which in turn also often becomes redundant (metastatic castration-resistant prostate cancer, or mCRPC) at which point patients are treated with either further hormonal agents or chemotherapy.</w:t>
      </w:r>
    </w:p>
    <w:p>
      <w:pPr>
        <w:spacing w:after="0" w:line="13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62865</wp:posOffset>
            </wp:positionV>
            <wp:extent cx="7180580"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40"/>
          </w:cols>
          <w:pgMar w:left="1420" w:top="291" w:right="339" w:bottom="1440" w:gutter="0" w:footer="0" w:header="0"/>
        </w:sectPr>
      </w:pPr>
    </w:p>
    <w:bookmarkStart w:id="135" w:name="page136"/>
    <w:bookmarkEnd w:id="135"/>
    <w:p>
      <w:pPr>
        <w:ind w:left="500"/>
        <w:spacing w:after="0"/>
        <w:rPr>
          <w:sz w:val="20"/>
          <w:szCs w:val="20"/>
          <w:color w:val="auto"/>
        </w:rPr>
      </w:pPr>
      <w:r>
        <w:rPr>
          <w:rFonts w:ascii="Arial" w:cs="Arial" w:eastAsia="Arial" w:hAnsi="Arial"/>
          <w:sz w:val="13"/>
          <w:szCs w:val="13"/>
          <w:b w:val="1"/>
          <w:bCs w:val="1"/>
          <w:i w:val="1"/>
          <w:iCs w:val="1"/>
          <w:color w:val="auto"/>
        </w:rPr>
        <w:t>Our BNT112 Targets</w:t>
      </w:r>
    </w:p>
    <w:p>
      <w:pPr>
        <w:spacing w:after="0" w:line="90" w:lineRule="exact"/>
        <w:rPr>
          <w:sz w:val="20"/>
          <w:szCs w:val="20"/>
          <w:color w:val="auto"/>
        </w:rPr>
      </w:pPr>
    </w:p>
    <w:p>
      <w:pPr>
        <w:ind w:firstLine="499"/>
        <w:spacing w:after="0" w:line="287" w:lineRule="auto"/>
        <w:rPr>
          <w:sz w:val="20"/>
          <w:szCs w:val="20"/>
          <w:color w:val="auto"/>
        </w:rPr>
      </w:pPr>
      <w:r>
        <w:rPr>
          <w:rFonts w:ascii="Arial" w:cs="Arial" w:eastAsia="Arial" w:hAnsi="Arial"/>
          <w:sz w:val="13"/>
          <w:szCs w:val="13"/>
          <w:color w:val="auto"/>
        </w:rPr>
        <w:t>BNT112 is designed to elicit an immune response to five prostate cancer-specific antigens, including prostate-specific antigen, or PSA, a transmembrane protein that is expressed by virtually all prostate cancers, prostatic acid phosphatase, or PAP, and three additional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95885</wp:posOffset>
            </wp:positionV>
            <wp:extent cx="3148965" cy="21901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48965" cy="219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Our BNT112 Clinical Trials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Phase 1/2 Clinical Trial</w:t>
      </w:r>
    </w:p>
    <w:p>
      <w:pPr>
        <w:spacing w:after="0" w:line="90" w:lineRule="exact"/>
        <w:rPr>
          <w:sz w:val="20"/>
          <w:szCs w:val="20"/>
          <w:color w:val="auto"/>
        </w:rPr>
      </w:pPr>
    </w:p>
    <w:p>
      <w:pPr>
        <w:ind w:right="320" w:firstLine="499"/>
        <w:spacing w:after="0" w:line="304" w:lineRule="auto"/>
        <w:rPr>
          <w:sz w:val="20"/>
          <w:szCs w:val="20"/>
          <w:color w:val="auto"/>
        </w:rPr>
      </w:pPr>
      <w:r>
        <w:rPr>
          <w:rFonts w:ascii="Arial" w:cs="Arial" w:eastAsia="Arial" w:hAnsi="Arial"/>
          <w:sz w:val="12"/>
          <w:szCs w:val="12"/>
          <w:color w:val="auto"/>
        </w:rPr>
        <w:t>We enrolled the first patient in an open-label, multi-center, first-in-human Phase 1/2 individual dose titration study of BNT112 in patients with mCRPC and high-risk localized prostate cancer, or LPC, in the second half of 2019. Eligible patients have newly-diagnosed, high-risk, localized prostate cancer and will be treated with BNT112 as a single agent, in combination with cemiplimab and goserelin acetate or in combination with goserelin acetate alone. We anticipate a total enrollment of 60 to 80 patients at up to 20 investigational sites.</w:t>
      </w:r>
    </w:p>
    <w:p>
      <w:pPr>
        <w:spacing w:after="0" w:line="116" w:lineRule="exact"/>
        <w:rPr>
          <w:sz w:val="20"/>
          <w:szCs w:val="20"/>
          <w:color w:val="auto"/>
        </w:rPr>
      </w:pPr>
    </w:p>
    <w:p>
      <w:pPr>
        <w:ind w:right="20" w:firstLine="499"/>
        <w:spacing w:after="0" w:line="267" w:lineRule="auto"/>
        <w:rPr>
          <w:sz w:val="20"/>
          <w:szCs w:val="20"/>
          <w:color w:val="auto"/>
        </w:rPr>
      </w:pPr>
      <w:r>
        <w:rPr>
          <w:rFonts w:ascii="Arial" w:cs="Arial" w:eastAsia="Arial" w:hAnsi="Arial"/>
          <w:sz w:val="13"/>
          <w:szCs w:val="13"/>
          <w:color w:val="auto"/>
        </w:rPr>
        <w:t>The study is designed to evaluate the safety, tolerability, immunogenicity and preliminary efficacy of BNT112 in mCRPC and LPC patients. The primary objective of this study will be to establish the safety and tolerability of BNT112 alone, or in combination with goserelin acetate with or without cemiplimab. The secondary objectives of the trial will be to examine the immunogenicity of BNT112 alone or in combination with goserelin acetate with or without cemiplimab, and to evaluate anti-tumor activity based on levels of prostate-specific antigen, or PSA.</w:t>
      </w:r>
    </w:p>
    <w:p>
      <w:pPr>
        <w:spacing w:after="0" w:line="135" w:lineRule="exact"/>
        <w:rPr>
          <w:sz w:val="20"/>
          <w:szCs w:val="20"/>
          <w:color w:val="auto"/>
        </w:rPr>
      </w:pPr>
    </w:p>
    <w:p>
      <w:pPr>
        <w:ind w:right="80" w:firstLine="499"/>
        <w:spacing w:after="0" w:line="267" w:lineRule="auto"/>
        <w:rPr>
          <w:sz w:val="20"/>
          <w:szCs w:val="20"/>
          <w:color w:val="auto"/>
        </w:rPr>
      </w:pPr>
      <w:r>
        <w:rPr>
          <w:rFonts w:ascii="Arial" w:cs="Arial" w:eastAsia="Arial" w:hAnsi="Arial"/>
          <w:sz w:val="13"/>
          <w:szCs w:val="13"/>
          <w:color w:val="auto"/>
        </w:rPr>
        <w:t>The study will consist of three arms. The first arm will start with a dose titration phase for the initial safety assessment and recommended expansion dose range assessment. We anticipate enrollment of approximately 20 patients in arm one who will receive BNT112 alone, with up to nine patients participating in the dose titration part of the arm (with staggered starting groups of three patients one week apart). Titration will continue until unacceptable toxicity or disease progression. Efficacy in the first arm will be assessed by on-treatment imaging and in the second and third arms by tumor volume measurement.</w:t>
      </w:r>
    </w:p>
    <w:p>
      <w:pPr>
        <w:spacing w:after="0" w:line="135" w:lineRule="exact"/>
        <w:rPr>
          <w:sz w:val="20"/>
          <w:szCs w:val="20"/>
          <w:color w:val="auto"/>
        </w:rPr>
      </w:pPr>
    </w:p>
    <w:p>
      <w:pPr>
        <w:ind w:right="100" w:firstLine="499"/>
        <w:spacing w:after="0" w:line="272" w:lineRule="auto"/>
        <w:rPr>
          <w:sz w:val="20"/>
          <w:szCs w:val="20"/>
          <w:color w:val="auto"/>
        </w:rPr>
      </w:pPr>
      <w:r>
        <w:rPr>
          <w:rFonts w:ascii="Arial" w:cs="Arial" w:eastAsia="Arial" w:hAnsi="Arial"/>
          <w:sz w:val="13"/>
          <w:szCs w:val="13"/>
          <w:color w:val="auto"/>
        </w:rPr>
        <w:t>After at least six patients are treated and evaluable for at least one treatment cycle, we plan to commence enrollment of the second and third arms, each enrolling approximately 20 patients with newly diagnosed LPC. Patients in the second arm will receive BNT112 combined with goserelin acetate and cemiplimab, and patients in the third arm will receive BNT112 combined with goserelin acetate alone. Treatment periods in the second</w:t>
      </w:r>
    </w:p>
    <w:p>
      <w:pPr>
        <w:spacing w:after="0" w:line="13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62865</wp:posOffset>
            </wp:positionV>
            <wp:extent cx="7180580"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40"/>
          </w:cols>
          <w:pgMar w:left="1420" w:top="371" w:right="33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color w:val="auto"/>
        </w:rPr>
        <w:t>and third arms will last until unacceptable toxicity or until the end of the eighth cycle, which will be followed by planned radical prostatectomy.</w:t>
      </w:r>
    </w:p>
    <w:p>
      <w:pPr>
        <w:spacing w:after="0" w:line="250" w:lineRule="exact"/>
        <w:rPr>
          <w:sz w:val="20"/>
          <w:szCs w:val="20"/>
          <w:color w:val="auto"/>
        </w:rPr>
      </w:pPr>
    </w:p>
    <w:p>
      <w:pPr>
        <w:ind w:left="1080" w:hanging="540"/>
        <w:spacing w:after="0"/>
        <w:tabs>
          <w:tab w:leader="none" w:pos="1080" w:val="left"/>
        </w:tabs>
        <w:numPr>
          <w:ilvl w:val="0"/>
          <w:numId w:val="16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BNT113: Our FixVac Cancer Immunotherapy for the Treatment of HPV+ Head and Neck Cancer</w:t>
      </w:r>
    </w:p>
    <w:p>
      <w:pPr>
        <w:spacing w:after="0" w:line="90" w:lineRule="exact"/>
        <w:rPr>
          <w:sz w:val="20"/>
          <w:szCs w:val="20"/>
          <w:color w:val="auto"/>
        </w:rPr>
      </w:pPr>
    </w:p>
    <w:p>
      <w:pPr>
        <w:ind w:right="260" w:firstLine="499"/>
        <w:spacing w:after="0" w:line="287" w:lineRule="auto"/>
        <w:rPr>
          <w:sz w:val="20"/>
          <w:szCs w:val="20"/>
          <w:color w:val="auto"/>
        </w:rPr>
      </w:pPr>
      <w:r>
        <w:rPr>
          <w:rFonts w:ascii="Arial" w:cs="Arial" w:eastAsia="Arial" w:hAnsi="Arial"/>
          <w:sz w:val="13"/>
          <w:szCs w:val="13"/>
          <w:color w:val="auto"/>
        </w:rPr>
        <w:t>We are developing BNT113 for the treatment of HPV+ head and neck cancer. BNT113 is currently being studied by the University of Southampton in an ongoing investigator-sponsored Phase 1/2 basket study in HPV+ cancers, including head and neck cancer.</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HPV+ Head and Neck Cancer</w:t>
      </w:r>
    </w:p>
    <w:p>
      <w:pPr>
        <w:spacing w:after="0" w:line="90" w:lineRule="exact"/>
        <w:rPr>
          <w:sz w:val="20"/>
          <w:szCs w:val="20"/>
          <w:color w:val="auto"/>
        </w:rPr>
      </w:pPr>
    </w:p>
    <w:p>
      <w:pPr>
        <w:ind w:firstLine="499"/>
        <w:spacing w:after="0" w:line="261" w:lineRule="auto"/>
        <w:rPr>
          <w:sz w:val="20"/>
          <w:szCs w:val="20"/>
          <w:color w:val="auto"/>
        </w:rPr>
      </w:pPr>
      <w:r>
        <w:rPr>
          <w:rFonts w:ascii="Arial" w:cs="Arial" w:eastAsia="Arial" w:hAnsi="Arial"/>
          <w:sz w:val="13"/>
          <w:szCs w:val="13"/>
          <w:color w:val="auto"/>
        </w:rPr>
        <w:t>Head and neck cancer defines a heterogeneous group of tumors originating in the squamous cells that line the moist, mucosal surfaces inside the head and neck. Head and neck cancer is the sixth most common malignancy worldwide, accounting for approximately 6% of all cancer cases, and is responsible for 1-2% of all cancer deaths. An increasing percentage of this cancer is now attributed to HPV infection in the United States and Europe, particularly those arising from the oropharynx. In the U.S., HPV-related oropharynx cancer, or OPC, is one of only five cancers with rising incidence and prevalence. The percentage of OPC related to HPV rose from approximately 16% in 1984 to 1989 to approximately 72% during 2000 to 2004. Early stage head and neck cancer is typically either treated with surgery or radiation alone, however approximately 66% of patients present with advanced disease and fewer than 30% of these are cured. The management of advanced disease consists of multiple-modality therapy with surgery, radiation and chemotherapy. Long-term survival rates in these patients have not increased significantly in the past 30 years: five-year survival rates are 60-80%.</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Our BNT113 Targets</w:t>
      </w:r>
    </w:p>
    <w:p>
      <w:pPr>
        <w:spacing w:after="0" w:line="90" w:lineRule="exact"/>
        <w:rPr>
          <w:sz w:val="20"/>
          <w:szCs w:val="20"/>
          <w:color w:val="auto"/>
        </w:rPr>
      </w:pPr>
    </w:p>
    <w:p>
      <w:pPr>
        <w:ind w:right="80" w:firstLine="499"/>
        <w:spacing w:after="0" w:line="287" w:lineRule="auto"/>
        <w:rPr>
          <w:sz w:val="20"/>
          <w:szCs w:val="20"/>
          <w:color w:val="auto"/>
        </w:rPr>
      </w:pPr>
      <w:r>
        <w:rPr>
          <w:rFonts w:ascii="Arial" w:cs="Arial" w:eastAsia="Arial" w:hAnsi="Arial"/>
          <w:sz w:val="13"/>
          <w:szCs w:val="13"/>
          <w:color w:val="auto"/>
        </w:rPr>
        <w:t>BNT113 is designed to elicit an immune response against the well-characterized HPV16-derived oncoproteins E6 and E7, which are strongly immunogenic, viral neoantigens that are found in HPV16+ solid cancers such as head and neck squamous cell carcinoma.</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Our BNT113 Clinical Trials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Ongoing Phase 1/2 Basket Study (Investigator-Sponsored)</w:t>
      </w:r>
    </w:p>
    <w:p>
      <w:pPr>
        <w:spacing w:after="0" w:line="90" w:lineRule="exact"/>
        <w:rPr>
          <w:sz w:val="20"/>
          <w:szCs w:val="20"/>
          <w:color w:val="auto"/>
        </w:rPr>
      </w:pPr>
    </w:p>
    <w:p>
      <w:pPr>
        <w:ind w:right="20" w:firstLine="499"/>
        <w:spacing w:after="0" w:line="267" w:lineRule="auto"/>
        <w:rPr>
          <w:sz w:val="20"/>
          <w:szCs w:val="20"/>
          <w:color w:val="auto"/>
        </w:rPr>
      </w:pPr>
      <w:r>
        <w:rPr>
          <w:rFonts w:ascii="Arial" w:cs="Arial" w:eastAsia="Arial" w:hAnsi="Arial"/>
          <w:sz w:val="13"/>
          <w:szCs w:val="13"/>
          <w:color w:val="auto"/>
        </w:rPr>
        <w:t>BNT113 is being studied in an investigator sponsored open-label, Phase 1/2 dose escalation basket study with two different arms in approximately 44 patients with HPV+ head and neck and other cancers. The first arm will perform dose escalation in patients with previously treated HPV+ head and neck cancer using two dose cohorts to establish a safe, tolerable and recommended dose of BNT113. The second arm will perform dose escalation in patients with advanced HPV+ cancers, including head and neck, anogenital, penile and cervical cancers, using a single cohort to establish a safe, tolerable and recommended dose.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We intend to initiate a Phase 2 trial with registrational potential of BNT113 in HPV+ cancers in the second half of 2020.</w:t>
      </w:r>
    </w:p>
    <w:p>
      <w:pPr>
        <w:spacing w:after="0" w:line="250" w:lineRule="exact"/>
        <w:rPr>
          <w:sz w:val="20"/>
          <w:szCs w:val="20"/>
          <w:color w:val="auto"/>
        </w:rPr>
      </w:pPr>
    </w:p>
    <w:p>
      <w:pPr>
        <w:ind w:left="1080" w:hanging="540"/>
        <w:spacing w:after="0"/>
        <w:tabs>
          <w:tab w:leader="none" w:pos="1080" w:val="left"/>
        </w:tabs>
        <w:numPr>
          <w:ilvl w:val="0"/>
          <w:numId w:val="17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BNT114: Our FixVac Cancer Immunotherapy for the Treatment of Triple Negative Breast Cancer</w:t>
      </w:r>
    </w:p>
    <w:p>
      <w:pPr>
        <w:spacing w:after="0" w:line="90" w:lineRule="exact"/>
        <w:rPr>
          <w:sz w:val="20"/>
          <w:szCs w:val="20"/>
          <w:color w:val="auto"/>
        </w:rPr>
      </w:pPr>
    </w:p>
    <w:p>
      <w:pPr>
        <w:ind w:right="280" w:firstLine="499"/>
        <w:spacing w:after="0" w:line="287" w:lineRule="auto"/>
        <w:rPr>
          <w:sz w:val="20"/>
          <w:szCs w:val="20"/>
          <w:color w:val="auto"/>
        </w:rPr>
      </w:pPr>
      <w:r>
        <w:rPr>
          <w:rFonts w:ascii="Arial" w:cs="Arial" w:eastAsia="Arial" w:hAnsi="Arial"/>
          <w:sz w:val="13"/>
          <w:szCs w:val="13"/>
          <w:color w:val="auto"/>
        </w:rPr>
        <w:t>We are currently studying antigens selected for BNT114 in a three-arm clinical trial as both a monotherapy and in combination with our RO7198457 (BNT122) individualized iNeST immunotherapy in patients with triple negative breast cancers.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Triple Negative Breast Cancer (TNBC)</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Breast cancer is the most commonly occurring cancer in women and the second most common cancer overall with over two million new cases globally in 2018 with an expected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268,600 cases in 2019 in the United States alone. There are three broadly defined categories of breast cancer. About 80% of breast cancers are</w:t>
      </w:r>
    </w:p>
    <w:p>
      <w:pPr>
        <w:spacing w:after="0" w:line="16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62865</wp:posOffset>
            </wp:positionV>
            <wp:extent cx="7180580"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080"/>
          </w:cols>
          <w:pgMar w:left="1420" w:top="291" w:right="399" w:bottom="1440" w:gutter="0" w:footer="0" w:header="0"/>
        </w:sectPr>
      </w:pPr>
    </w:p>
    <w:bookmarkStart w:id="137" w:name="page138"/>
    <w:bookmarkEnd w:id="137"/>
    <w:p>
      <w:pPr>
        <w:spacing w:after="0" w:line="261" w:lineRule="auto"/>
        <w:rPr>
          <w:sz w:val="20"/>
          <w:szCs w:val="20"/>
          <w:color w:val="auto"/>
        </w:rPr>
      </w:pPr>
      <w:r>
        <w:rPr>
          <w:rFonts w:ascii="Arial" w:cs="Arial" w:eastAsia="Arial" w:hAnsi="Arial"/>
          <w:sz w:val="13"/>
          <w:szCs w:val="13"/>
          <w:color w:val="auto"/>
        </w:rPr>
        <w:t>defined as ER+, meaning that they grow in response to the hormone estrogen, while 65% of these are also defined as PR+, as they also grow in response to another hormone, progesterone. Such cancers can be identified by the presence of estrogen receptors, or ER, and/or progesterone receptors, or PR, on the cancer cell surface and are more likely to be treatable by hormone therapies than cancers that are ER or PR negative. In about 20% of cancers, the tumor can be identified by its production of an excess of the HER2 protein. Such HER2+ cancers tend to be aggressive and fast moving. Breast cancers that neither express ER or PR, nor over-express HER2-, are known as triple negative breast cancers, or TNBCs. TNBC patients represent approximately 12-15% of all breast cancer cases, however it remains an area of high unmet medical need given it is typically the most aggressive form of breast cancer. There are currently no effective treatments for TNBC. While initial treatment options include surgery or chemotherapy, TNBC is characterized by rapid resistance to chemotherapy, and few remaining treatment options remain thereafter.</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Our BNT114 Targets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BNT114 is designed to elicit an immune response to selected antigens that are found in breast cancers.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Our BNT114 Clinical Trials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Ongoing Phase 1 Clinical Trial (BNT114 monotherapy and in combination with RO7198457 (BNT122))</w:t>
      </w:r>
    </w:p>
    <w:p>
      <w:pPr>
        <w:spacing w:after="0" w:line="90" w:lineRule="exact"/>
        <w:rPr>
          <w:sz w:val="20"/>
          <w:szCs w:val="20"/>
          <w:color w:val="auto"/>
        </w:rPr>
      </w:pPr>
    </w:p>
    <w:p>
      <w:pPr>
        <w:ind w:firstLine="499"/>
        <w:spacing w:after="0" w:line="264" w:lineRule="auto"/>
        <w:rPr>
          <w:sz w:val="20"/>
          <w:szCs w:val="20"/>
          <w:color w:val="auto"/>
        </w:rPr>
      </w:pPr>
      <w:r>
        <w:rPr>
          <w:rFonts w:ascii="Arial" w:cs="Arial" w:eastAsia="Arial" w:hAnsi="Arial"/>
          <w:sz w:val="13"/>
          <w:szCs w:val="13"/>
          <w:color w:val="auto"/>
        </w:rPr>
        <w:t>We are currently conducting an international, multi-center, open-label, three-arm Phase 1 study of BNT114 as a monotherapy and in combination with our RO7198457 (BNT122) individualized iNeST immunotherapy in 39 TNBC patients who had previously received the standard of care therapy (</w:t>
      </w:r>
      <w:r>
        <w:rPr>
          <w:rFonts w:ascii="Arial" w:cs="Arial" w:eastAsia="Arial" w:hAnsi="Arial"/>
          <w:sz w:val="13"/>
          <w:szCs w:val="13"/>
          <w:i w:val="1"/>
          <w:iCs w:val="1"/>
          <w:color w:val="auto"/>
        </w:rPr>
        <w:t>i.e.</w:t>
      </w:r>
      <w:r>
        <w:rPr>
          <w:rFonts w:ascii="Arial" w:cs="Arial" w:eastAsia="Arial" w:hAnsi="Arial"/>
          <w:sz w:val="13"/>
          <w:szCs w:val="13"/>
          <w:color w:val="auto"/>
        </w:rPr>
        <w:t>, surgery, chemotherapy and/or radiotherapy). The primary endpoints of the study are to assess safety and tolerability. Safety will be analyzed by adverse event documentation and clinical observation and tolerability will be analyzed based on patients’ vital signs and clinical chemistry. The secondary endpoint of the study is the observation of the treatment-induced immune responses, expressed as treatment-induced T cell responses, resulting from multiple treatment cycles.</w:t>
      </w:r>
    </w:p>
    <w:p>
      <w:pPr>
        <w:spacing w:after="0" w:line="138" w:lineRule="exact"/>
        <w:rPr>
          <w:sz w:val="20"/>
          <w:szCs w:val="20"/>
          <w:color w:val="auto"/>
        </w:rPr>
      </w:pPr>
    </w:p>
    <w:p>
      <w:pPr>
        <w:ind w:right="180" w:firstLine="499"/>
        <w:spacing w:after="0" w:line="287" w:lineRule="auto"/>
        <w:rPr>
          <w:sz w:val="20"/>
          <w:szCs w:val="20"/>
          <w:color w:val="auto"/>
        </w:rPr>
      </w:pPr>
      <w:r>
        <w:rPr>
          <w:rFonts w:ascii="Arial" w:cs="Arial" w:eastAsia="Arial" w:hAnsi="Arial"/>
          <w:sz w:val="13"/>
          <w:szCs w:val="13"/>
          <w:color w:val="auto"/>
        </w:rPr>
        <w:t>Patients in the first arm receive BNT114, patients in the second arm receive BNT114 in combination with RO7198457 (BNT122) and patients in the third arm receive BNT114 in combination with mRNA encoding tetanus-toxin help epitopes.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We expect to report a data update in the second half of 2020 and assess the immunogenicity of the selected antigens.</w:t>
      </w:r>
    </w:p>
    <w:p>
      <w:pPr>
        <w:spacing w:after="0" w:line="250" w:lineRule="exact"/>
        <w:rPr>
          <w:sz w:val="20"/>
          <w:szCs w:val="20"/>
          <w:color w:val="auto"/>
        </w:rPr>
      </w:pPr>
    </w:p>
    <w:p>
      <w:pPr>
        <w:ind w:left="1080" w:hanging="540"/>
        <w:spacing w:after="0"/>
        <w:tabs>
          <w:tab w:leader="none" w:pos="1080" w:val="left"/>
        </w:tabs>
        <w:numPr>
          <w:ilvl w:val="0"/>
          <w:numId w:val="17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BNT115: Our FixVac Cancer Immunotherapy for the Treatment of Ovarian Cancer</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are developing BNT115 for the treatment of ovarian cancer. BNT115 is currently being studied in an ongoing investigator-sponsored Phase 1 study in ovarian cancer.</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Our BNT115 Targets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BNT115 is designed to elicit an immune response to selected antigens that are found in ovarian cancers.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Our BNT115 Clinical Trial</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Ongoing Phase 1 Trial (Investigator Sponsored)</w:t>
      </w:r>
    </w:p>
    <w:p>
      <w:pPr>
        <w:spacing w:after="0" w:line="90" w:lineRule="exact"/>
        <w:rPr>
          <w:sz w:val="20"/>
          <w:szCs w:val="20"/>
          <w:color w:val="auto"/>
        </w:rPr>
      </w:pPr>
    </w:p>
    <w:p>
      <w:pPr>
        <w:ind w:right="220" w:firstLine="499"/>
        <w:spacing w:after="0" w:line="264" w:lineRule="auto"/>
        <w:rPr>
          <w:sz w:val="20"/>
          <w:szCs w:val="20"/>
          <w:color w:val="auto"/>
        </w:rPr>
      </w:pPr>
      <w:r>
        <w:rPr>
          <w:rFonts w:ascii="Arial" w:cs="Arial" w:eastAsia="Arial" w:hAnsi="Arial"/>
          <w:sz w:val="13"/>
          <w:szCs w:val="13"/>
          <w:color w:val="auto"/>
        </w:rPr>
        <w:t>BNT115 is being studied in a 10 patient investigator sponsored, first-in-human, open label, Phase 1 dose escalation study in ovarian cancer patients eligible for standard-of-care treatment with neo-adjuvant chemotherapy. Eight doses of BNT115 will be administered prior to and in combination with the neo-adjuvant chemotherapy to induce an anti-tumor immune response. Systemic immune responses will be determined using peripheral blood mononuclear cells collected before, during and after vaccinations. Intratumoral accumulation of T-cells recognizing vaccine-encoded tumor associated antigens will be determined before vaccination in a tumor biopsy and after 3 cycles of chemotherapy and the 5th vaccination using tumor tissue derived from interval surgery.</w:t>
      </w:r>
    </w:p>
    <w:p>
      <w:pPr>
        <w:spacing w:after="0" w:line="13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62865</wp:posOffset>
            </wp:positionV>
            <wp:extent cx="7180580"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60"/>
          </w:cols>
          <w:pgMar w:left="1420" w:top="211" w:right="319" w:bottom="1440" w:gutter="0" w:footer="0" w:header="0"/>
        </w:sectPr>
      </w:pPr>
    </w:p>
    <w:bookmarkStart w:id="138" w:name="page139"/>
    <w:bookmarkEnd w:id="138"/>
    <w:p>
      <w:pPr>
        <w:ind w:left="1640" w:hanging="540"/>
        <w:spacing w:after="0"/>
        <w:tabs>
          <w:tab w:leader="none" w:pos="1640" w:val="left"/>
        </w:tabs>
        <w:numPr>
          <w:ilvl w:val="0"/>
          <w:numId w:val="17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Other FixVac Indications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We are also exploring FixVac development candidates in other cancer indications, including non-small cell lung cancer.</w:t>
      </w:r>
    </w:p>
    <w:p>
      <w:pPr>
        <w:spacing w:after="0" w:line="250" w:lineRule="exact"/>
        <w:rPr>
          <w:sz w:val="20"/>
          <w:szCs w:val="20"/>
          <w:color w:val="auto"/>
        </w:rPr>
      </w:pPr>
    </w:p>
    <w:p>
      <w:pPr>
        <w:ind w:left="1100" w:hanging="550"/>
        <w:spacing w:after="0"/>
        <w:tabs>
          <w:tab w:leader="none" w:pos="1100" w:val="left"/>
        </w:tabs>
        <w:numPr>
          <w:ilvl w:val="0"/>
          <w:numId w:val="17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Individualized Neoantigen Specific Immunotherapy (iNeST)</w:t>
      </w:r>
    </w:p>
    <w:p>
      <w:pPr>
        <w:spacing w:after="0" w:line="90" w:lineRule="exact"/>
        <w:rPr>
          <w:sz w:val="20"/>
          <w:szCs w:val="20"/>
          <w:color w:val="auto"/>
        </w:rPr>
      </w:pPr>
    </w:p>
    <w:p>
      <w:pPr>
        <w:ind w:right="40" w:firstLine="527"/>
        <w:spacing w:after="0" w:line="272" w:lineRule="auto"/>
        <w:rPr>
          <w:sz w:val="20"/>
          <w:szCs w:val="20"/>
          <w:color w:val="auto"/>
        </w:rPr>
      </w:pPr>
      <w:r>
        <w:rPr>
          <w:rFonts w:ascii="Arial" w:cs="Arial" w:eastAsia="Arial" w:hAnsi="Arial"/>
          <w:sz w:val="13"/>
          <w:szCs w:val="13"/>
          <w:color w:val="auto"/>
        </w:rPr>
        <w:t>Our iNeST product candidate is an individualized cancer immunotherapy that targets specific neoantigens that are present on a patient’s tumor. Our iNeST immunotherapies contain pharmacologically optimized uridine mRNA encoding up to 20 patient-specific neoantigens, as well as our proprietary RNA-LPX formulation. We are developing our iNeST cancer immunotherapy in collaboration with Genentech.</w:t>
      </w:r>
    </w:p>
    <w:p>
      <w:pPr>
        <w:spacing w:after="0" w:line="212" w:lineRule="exact"/>
        <w:rPr>
          <w:sz w:val="20"/>
          <w:szCs w:val="20"/>
          <w:color w:val="auto"/>
        </w:rPr>
      </w:pPr>
    </w:p>
    <w:p>
      <w:pPr>
        <w:ind w:left="1640" w:hanging="540"/>
        <w:spacing w:after="0"/>
        <w:tabs>
          <w:tab w:leader="none" w:pos="1640" w:val="left"/>
        </w:tabs>
        <w:numPr>
          <w:ilvl w:val="0"/>
          <w:numId w:val="17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BNT122: Our iNeST Cancer Immunotherapy for Multiple Potential Indications</w:t>
      </w:r>
    </w:p>
    <w:p>
      <w:pPr>
        <w:spacing w:after="0" w:line="90" w:lineRule="exact"/>
        <w:rPr>
          <w:sz w:val="20"/>
          <w:szCs w:val="20"/>
          <w:color w:val="auto"/>
        </w:rPr>
      </w:pPr>
    </w:p>
    <w:p>
      <w:pPr>
        <w:ind w:left="560" w:firstLine="499"/>
        <w:spacing w:after="0" w:line="264" w:lineRule="auto"/>
        <w:rPr>
          <w:sz w:val="20"/>
          <w:szCs w:val="20"/>
          <w:color w:val="auto"/>
        </w:rPr>
      </w:pPr>
      <w:r>
        <w:rPr>
          <w:rFonts w:ascii="Arial" w:cs="Arial" w:eastAsia="Arial" w:hAnsi="Arial"/>
          <w:sz w:val="13"/>
          <w:szCs w:val="13"/>
          <w:color w:val="auto"/>
        </w:rPr>
        <w:t>We and our collaborator Genentech are developing RO7198457 (BNT122) for the treatment of metastatic melanoma and other solid tumors. We are currently conducting a randomized Phase 2 trial of RO7198457 (BNT122) in collaboration with Genentech in first-line melanoma in combination with pembrolizumab. In collaboration with Genentech, we are also studying RO7198457 (BNT122) as a monotherapy and in combination with atezolizumab in a Phase 1a/1b study of patients with locally advanced or metastatic solid tumors (including in melanoma, non-small cell lung cancer, bladder cancer as well as other solid tumors). The Phase 1a/1b trial is a non-registrational, signal-seeking study recruiting mostly patients with late-stage advanced cancers including patients who failed multiple lines of prior treatment.</w:t>
      </w: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Our RO7198457 (BNT122) Targets</w:t>
      </w:r>
    </w:p>
    <w:p>
      <w:pPr>
        <w:spacing w:after="0" w:line="90" w:lineRule="exact"/>
        <w:rPr>
          <w:sz w:val="20"/>
          <w:szCs w:val="20"/>
          <w:color w:val="auto"/>
        </w:rPr>
      </w:pPr>
    </w:p>
    <w:p>
      <w:pPr>
        <w:ind w:left="560" w:right="40" w:firstLine="499"/>
        <w:spacing w:after="0" w:line="287" w:lineRule="auto"/>
        <w:rPr>
          <w:sz w:val="20"/>
          <w:szCs w:val="20"/>
          <w:color w:val="auto"/>
        </w:rPr>
      </w:pPr>
      <w:r>
        <w:rPr>
          <w:rFonts w:ascii="Arial" w:cs="Arial" w:eastAsia="Arial" w:hAnsi="Arial"/>
          <w:sz w:val="13"/>
          <w:szCs w:val="13"/>
          <w:color w:val="auto"/>
        </w:rPr>
        <w:t>RO7198457 (BNT122) is an individualized neoantigen-specific immunotherapy. Each RO7198457 (BNT122) dose includes up to 20 different neoepitopes selected on a patient-by-patient basis. We believe that neoepitope-specific T cells induced by RO7198457 (BNT122) can enhance the therapeutic efficacy of immune checkpoint blockade.</w:t>
      </w:r>
    </w:p>
    <w:p>
      <w:pPr>
        <w:spacing w:after="0" w:line="202"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Our RO7198457 (BNT122) Clinical Trials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i w:val="1"/>
          <w:iCs w:val="1"/>
          <w:color w:val="auto"/>
        </w:rPr>
        <w:t>Ongoing Phase 2 Clinical Trial (First-line with pembrolizumab)</w:t>
      </w:r>
    </w:p>
    <w:p>
      <w:pPr>
        <w:spacing w:after="0" w:line="90" w:lineRule="exact"/>
        <w:rPr>
          <w:sz w:val="20"/>
          <w:szCs w:val="20"/>
          <w:color w:val="auto"/>
        </w:rPr>
      </w:pPr>
    </w:p>
    <w:p>
      <w:pPr>
        <w:ind w:left="560" w:firstLine="499"/>
        <w:spacing w:after="0" w:line="296" w:lineRule="auto"/>
        <w:rPr>
          <w:sz w:val="20"/>
          <w:szCs w:val="20"/>
          <w:color w:val="auto"/>
        </w:rPr>
      </w:pPr>
      <w:r>
        <w:rPr>
          <w:rFonts w:ascii="Arial" w:cs="Arial" w:eastAsia="Arial" w:hAnsi="Arial"/>
          <w:sz w:val="12"/>
          <w:szCs w:val="12"/>
          <w:color w:val="auto"/>
        </w:rPr>
        <w:t>In January 2019, we and Genentech initiated a Phase 2, open-label, multi-center, randomized clinical trial investigating the safety and efficacy of RO7198457 (BNT122) in combination with pembrolizumab in 132 patients with previously untreated metastatic melanoma. Patients in the experimental arm will receive pembrolizumab by intravenous infusion every three weeks, plus a selected dose of RO7198457 (BNT122) at defined intervals. Patients in the active comparator arm will receive 200mg of pembrolizumab by intravenous infusion every three weeks. Following treatment in the comparator arm, patients will be permitted to cross over to combination therapy with RO7198457 (BNT122).</w:t>
      </w:r>
    </w:p>
    <w:p>
      <w:pPr>
        <w:spacing w:after="0" w:line="119"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The primary endpoint is:</w:t>
      </w:r>
    </w:p>
    <w:p>
      <w:pPr>
        <w:spacing w:after="0" w:line="90" w:lineRule="exact"/>
        <w:rPr>
          <w:sz w:val="20"/>
          <w:szCs w:val="20"/>
          <w:color w:val="auto"/>
        </w:rPr>
      </w:pPr>
    </w:p>
    <w:p>
      <w:pPr>
        <w:ind w:left="1440" w:hanging="340"/>
        <w:spacing w:after="0"/>
        <w:tabs>
          <w:tab w:leader="none" w:pos="144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progression-free survival, or PFS, of patients treated with RO7198457 (BNT122) compared with patients receiving pembrolizumab alone, according to RECIST v1.1; and</w:t>
      </w:r>
    </w:p>
    <w:p>
      <w:pPr>
        <w:spacing w:after="0" w:line="182"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Secondary endpoints include:</w:t>
      </w:r>
    </w:p>
    <w:p>
      <w:pPr>
        <w:spacing w:after="0" w:line="90" w:lineRule="exact"/>
        <w:rPr>
          <w:sz w:val="20"/>
          <w:szCs w:val="20"/>
          <w:color w:val="auto"/>
        </w:rPr>
      </w:pPr>
    </w:p>
    <w:p>
      <w:pPr>
        <w:ind w:left="1440" w:right="440" w:hanging="340"/>
        <w:spacing w:after="0" w:line="287" w:lineRule="auto"/>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objective response rate, or ORR, in patients treated with RO7198457 (BNT122) compared with patients receiving pembrolizumab alone, defined as the proportion of participants with complete response, or CR, or partial response, or PR.</w:t>
      </w:r>
    </w:p>
    <w:p>
      <w:pPr>
        <w:spacing w:after="0" w:line="42" w:lineRule="exact"/>
        <w:rPr>
          <w:rFonts w:ascii="Arial" w:cs="Arial" w:eastAsia="Arial" w:hAnsi="Arial"/>
          <w:sz w:val="13"/>
          <w:szCs w:val="13"/>
          <w:color w:val="auto"/>
        </w:rPr>
      </w:pPr>
    </w:p>
    <w:p>
      <w:pPr>
        <w:ind w:left="1440" w:hanging="340"/>
        <w:spacing w:after="0"/>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overall survival, or OS, of patients treated with RO7198457 (BNT122) compared with patients receiving pembrolizumab only;</w:t>
      </w:r>
    </w:p>
    <w:p>
      <w:pPr>
        <w:spacing w:after="0" w:line="90" w:lineRule="exact"/>
        <w:rPr>
          <w:rFonts w:ascii="Arial" w:cs="Arial" w:eastAsia="Arial" w:hAnsi="Arial"/>
          <w:sz w:val="13"/>
          <w:szCs w:val="13"/>
          <w:color w:val="auto"/>
        </w:rPr>
      </w:pPr>
    </w:p>
    <w:p>
      <w:pPr>
        <w:ind w:left="1440" w:hanging="340"/>
        <w:spacing w:after="0"/>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duration of response according to RECIST v1.1 of patients treated with RO7198457 (BNT122) compared with patients receiving pembrolizumab only;</w:t>
      </w:r>
    </w:p>
    <w:p>
      <w:pPr>
        <w:spacing w:after="0" w:line="90" w:lineRule="exact"/>
        <w:rPr>
          <w:rFonts w:ascii="Arial" w:cs="Arial" w:eastAsia="Arial" w:hAnsi="Arial"/>
          <w:sz w:val="13"/>
          <w:szCs w:val="13"/>
          <w:color w:val="auto"/>
        </w:rPr>
      </w:pPr>
    </w:p>
    <w:p>
      <w:pPr>
        <w:ind w:left="1440" w:hanging="340"/>
        <w:spacing w:after="0"/>
        <w:tabs>
          <w:tab w:leader="none" w:pos="14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mean change in health-related quality of life, scores of patients treated with RO7198457 (BNT122) compared with patients receiving pembrolizumab only;</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680"/>
          </w:cols>
          <w:pgMar w:left="860" w:top="131" w:right="359" w:bottom="1440" w:gutter="0" w:footer="0" w:header="0"/>
        </w:sectPr>
      </w:pPr>
    </w:p>
    <w:bookmarkStart w:id="139" w:name="page140"/>
    <w:bookmarkEnd w:id="139"/>
    <w:p>
      <w:pPr>
        <w:ind w:left="880" w:hanging="340"/>
        <w:spacing w:after="0"/>
        <w:tabs>
          <w:tab w:leader="none" w:pos="8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percentage of patients with CR or PR following cross-over from pembrolizumab monotherapy to combination therapy following cross-over, according to RECIST v1.1; and</w:t>
      </w:r>
    </w:p>
    <w:p>
      <w:pPr>
        <w:spacing w:after="0" w:line="101" w:lineRule="exact"/>
        <w:rPr>
          <w:rFonts w:ascii="Arial" w:cs="Arial" w:eastAsia="Arial" w:hAnsi="Arial"/>
          <w:sz w:val="12"/>
          <w:szCs w:val="12"/>
          <w:color w:val="auto"/>
        </w:rPr>
      </w:pPr>
    </w:p>
    <w:p>
      <w:pPr>
        <w:ind w:left="880" w:hanging="340"/>
        <w:spacing w:after="0"/>
        <w:tabs>
          <w:tab w:leader="none" w:pos="88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incidence and severity of adverse events.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Ongoing Phase 1 Clinical Trial</w:t>
      </w:r>
    </w:p>
    <w:p>
      <w:pPr>
        <w:spacing w:after="0" w:line="90" w:lineRule="exact"/>
        <w:rPr>
          <w:sz w:val="20"/>
          <w:szCs w:val="20"/>
          <w:color w:val="auto"/>
        </w:rPr>
      </w:pPr>
    </w:p>
    <w:p>
      <w:pPr>
        <w:ind w:firstLine="499"/>
        <w:spacing w:after="0" w:line="272" w:lineRule="auto"/>
        <w:rPr>
          <w:sz w:val="20"/>
          <w:szCs w:val="20"/>
          <w:color w:val="auto"/>
        </w:rPr>
      </w:pPr>
      <w:r>
        <w:rPr>
          <w:rFonts w:ascii="Arial" w:cs="Arial" w:eastAsia="Arial" w:hAnsi="Arial"/>
          <w:sz w:val="13"/>
          <w:szCs w:val="13"/>
          <w:color w:val="auto"/>
        </w:rPr>
        <w:t>The iNeST Phase 1a (monotherapy)/1b (in combination with atezolizumab) trial is a non-registrational, signal seeking study recruiting patients with locally advanced or metastatic solid tumors, including patients with melanoma, non-small cell lung cancer, bladder cancer, colorectal cancer, TNBC, renal cancer, head and neck cancer and sarcomas. The study is designed to enroll both patients with and without prior checkpoint inhibitor regimens.</w:t>
      </w:r>
    </w:p>
    <w:p>
      <w:pPr>
        <w:spacing w:after="0" w:line="132" w:lineRule="exact"/>
        <w:rPr>
          <w:sz w:val="20"/>
          <w:szCs w:val="20"/>
          <w:color w:val="auto"/>
        </w:rPr>
      </w:pPr>
    </w:p>
    <w:p>
      <w:pPr>
        <w:ind w:right="100" w:firstLine="499"/>
        <w:spacing w:after="0" w:line="267" w:lineRule="auto"/>
        <w:rPr>
          <w:sz w:val="20"/>
          <w:szCs w:val="20"/>
          <w:color w:val="auto"/>
        </w:rPr>
      </w:pPr>
      <w:r>
        <w:rPr>
          <w:rFonts w:ascii="Arial" w:cs="Arial" w:eastAsia="Arial" w:hAnsi="Arial"/>
          <w:sz w:val="13"/>
          <w:szCs w:val="13"/>
          <w:color w:val="auto"/>
        </w:rPr>
        <w:t>The primary objective of the study was to assess safety (including dose-limiting toxicities), and additional objectives included evaluation of immunogenicity and preliminary assessment of anti-tumor activity. The trial included a Phase 1a (monotherapy) dose escalation, a Phase 1b (combination) dose escalation, and multiple Phase 1b expansion cohorts. Patients received nine doses of the vaccine administered I.V. in weekly and bi-weekly intervals during the induction phase and every eight cycles during the maintenance phase. In the Phase 1b portion of the trial, atezolizumab was administered on day one of each 21-day cycle.</w:t>
      </w:r>
    </w:p>
    <w:p>
      <w:pPr>
        <w:spacing w:after="0" w:line="135" w:lineRule="exact"/>
        <w:rPr>
          <w:sz w:val="20"/>
          <w:szCs w:val="20"/>
          <w:color w:val="auto"/>
        </w:rPr>
      </w:pPr>
    </w:p>
    <w:p>
      <w:pPr>
        <w:ind w:firstLine="499"/>
        <w:spacing w:after="0" w:line="267" w:lineRule="auto"/>
        <w:rPr>
          <w:sz w:val="20"/>
          <w:szCs w:val="20"/>
          <w:color w:val="auto"/>
        </w:rPr>
      </w:pPr>
      <w:r>
        <w:rPr>
          <w:rFonts w:ascii="Arial" w:cs="Arial" w:eastAsia="Arial" w:hAnsi="Arial"/>
          <w:sz w:val="13"/>
          <w:szCs w:val="13"/>
          <w:color w:val="auto"/>
        </w:rPr>
        <w:t>BNT122 was manufactured on a per-patient basis including in-house determination of cancer mutation profiles, computational prediction of neoantigens, design, and manufacturing of the iNeST vaccine based on liposomally formulated RNA (RNA-LPX). Each vaccine contained up to 20 patient-specific neoepitopes. Importantly, the manufacturing of BNT122 for individual patients within clinical practice compatible turn-around times was shown to be feasible using clinical biopsies or routine clinical specimens across a range of tumor types including those with low or intermediate tumor mutational burden.</w:t>
      </w:r>
    </w:p>
    <w:p>
      <w:pPr>
        <w:spacing w:after="0" w:line="135" w:lineRule="exact"/>
        <w:rPr>
          <w:sz w:val="20"/>
          <w:szCs w:val="20"/>
          <w:color w:val="auto"/>
        </w:rPr>
      </w:pPr>
    </w:p>
    <w:p>
      <w:pPr>
        <w:ind w:right="40" w:firstLine="499"/>
        <w:spacing w:after="0" w:line="284" w:lineRule="auto"/>
        <w:rPr>
          <w:sz w:val="20"/>
          <w:szCs w:val="20"/>
          <w:color w:val="auto"/>
        </w:rPr>
      </w:pPr>
      <w:r>
        <w:rPr>
          <w:rFonts w:ascii="Arial" w:cs="Arial" w:eastAsia="Arial" w:hAnsi="Arial"/>
          <w:sz w:val="12"/>
          <w:szCs w:val="12"/>
          <w:color w:val="auto"/>
        </w:rPr>
        <w:t>We and our collaborator, Genentech, have assessed preliminary clinical results from 29 patients in the Phase 1a trial and 132 patients in the Phase 1b trial. Phase 1a patients had received a median of 5 prior therapies (range 1-17), and Phase 1b patients had received a median of 3 prior therapies (range 1-11). BNT122, both with and without atezolizumab, has a manageable safety profile with predominantly transient and reversible grade 1 and grade 2 adverse events such as infusion related reaction/cytokine release syndrome manifesting as fever and chills. Analyses with complementary quantitative immunoassays showed that BNT122, both with and without atezolizumab, induces strong neoepitope-specific immune responses, including in patients with tumors of low and intermediate mutational burden. Vaccine-induced neo-antigen specific T cells were detected in post-vaccine biopsies. We observed a best response of stable disease in almost half of BNT122 treated patients, including objective responses in a limited number of patients, including both patients with and without prior checkpoint inhibitor regimens. This indicates a level of clinical activity for BNT122 in combination with atezolizumab, however randomized data is needed to assess the individual contribution of BNT 122 on top of a checkpoint inhibitor. A randomized Phase 2 trial testing BNT122 plus pembrolizumab vs pembrolizumab alone is currently ongoing and intended to evaluate clinical efficacy of iNeST in patients with previously untreated advanced melanoma.</w:t>
      </w:r>
    </w:p>
    <w:p>
      <w:pPr>
        <w:spacing w:after="0" w:line="130" w:lineRule="exact"/>
        <w:rPr>
          <w:sz w:val="20"/>
          <w:szCs w:val="20"/>
          <w:color w:val="auto"/>
        </w:rPr>
      </w:pPr>
    </w:p>
    <w:p>
      <w:pPr>
        <w:ind w:right="60" w:firstLine="499"/>
        <w:spacing w:after="0" w:line="272" w:lineRule="auto"/>
        <w:rPr>
          <w:sz w:val="20"/>
          <w:szCs w:val="20"/>
          <w:color w:val="auto"/>
        </w:rPr>
      </w:pPr>
      <w:r>
        <w:rPr>
          <w:rFonts w:ascii="Arial" w:cs="Arial" w:eastAsia="Arial" w:hAnsi="Arial"/>
          <w:sz w:val="13"/>
          <w:szCs w:val="13"/>
          <w:color w:val="auto"/>
        </w:rPr>
        <w:t>Moreover, based on data from our study of BNT121 as an adjunct to surgery in patients with metastatic melanoma, we believe that BNT122 is potentially well suited to control metastatic relapses in patients with a lower tumor burden. Accordingly, we and our collaborator, Genentech, intend to initiate two additional randomized Phase 2 trials in the adjuvant setting in solid cancer indications in the second half of 2020.</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Completed Phase 1 Clinical Trial (BNT121 First Generation iNeST)</w:t>
      </w:r>
    </w:p>
    <w:p>
      <w:pPr>
        <w:spacing w:after="0" w:line="90" w:lineRule="exact"/>
        <w:rPr>
          <w:sz w:val="20"/>
          <w:szCs w:val="20"/>
          <w:color w:val="auto"/>
        </w:rPr>
      </w:pPr>
    </w:p>
    <w:p>
      <w:pPr>
        <w:ind w:right="180" w:firstLine="499"/>
        <w:spacing w:after="0" w:line="272" w:lineRule="auto"/>
        <w:rPr>
          <w:sz w:val="20"/>
          <w:szCs w:val="20"/>
          <w:color w:val="auto"/>
        </w:rPr>
      </w:pPr>
      <w:r>
        <w:rPr>
          <w:rFonts w:ascii="Arial" w:cs="Arial" w:eastAsia="Arial" w:hAnsi="Arial"/>
          <w:sz w:val="13"/>
          <w:szCs w:val="13"/>
          <w:color w:val="auto"/>
        </w:rPr>
        <w:t>In 2017, we published the results of a 13-patient, first-in-human trial of our first-generation intranodal iNeST product candidate, BNT121, in patients with late-stage malignant melanoma. The objective of this clinical trial was to study the feasibility, safety, tolerability, immunogenicity and potential anti-tumoral activity of iNeST. All patients had stable disease at enrollment with a high risk for relapse.</w:t>
      </w:r>
    </w:p>
    <w:p>
      <w:pPr>
        <w:spacing w:after="0" w:line="132" w:lineRule="exact"/>
        <w:rPr>
          <w:sz w:val="20"/>
          <w:szCs w:val="20"/>
          <w:color w:val="auto"/>
        </w:rPr>
      </w:pPr>
    </w:p>
    <w:p>
      <w:pPr>
        <w:ind w:right="420" w:firstLine="499"/>
        <w:spacing w:after="0" w:line="292" w:lineRule="auto"/>
        <w:rPr>
          <w:sz w:val="20"/>
          <w:szCs w:val="20"/>
          <w:color w:val="auto"/>
        </w:rPr>
      </w:pPr>
      <w:r>
        <w:rPr>
          <w:rFonts w:ascii="Arial" w:cs="Arial" w:eastAsia="Arial" w:hAnsi="Arial"/>
          <w:sz w:val="13"/>
          <w:szCs w:val="13"/>
          <w:color w:val="auto"/>
        </w:rPr>
        <w:t>All 13 patients developed T cell immune responses against multiple immunotherapy neoepitopes at up to high single-digit percentages. As shown below, 60% of the selected neoepitopes elicited a T cell response. The detected immune response was elicited by both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and the majority was induced </w:t>
      </w:r>
      <w:r>
        <w:rPr>
          <w:rFonts w:ascii="Arial" w:cs="Arial" w:eastAsia="Arial" w:hAnsi="Arial"/>
          <w:sz w:val="13"/>
          <w:szCs w:val="13"/>
          <w:i w:val="1"/>
          <w:iCs w:val="1"/>
          <w:color w:val="auto"/>
        </w:rPr>
        <w:t>de novo</w:t>
      </w:r>
      <w:r>
        <w:rPr>
          <w:rFonts w:ascii="Arial" w:cs="Arial" w:eastAsia="Arial" w:hAnsi="Arial"/>
          <w:sz w:val="13"/>
          <w:szCs w:val="13"/>
          <w:color w:val="auto"/>
        </w:rPr>
        <w:t>,</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62865</wp:posOffset>
            </wp:positionV>
            <wp:extent cx="7180580"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40"/>
          </w:cols>
          <w:pgMar w:left="1420" w:top="211" w:right="339" w:bottom="1440" w:gutter="0" w:footer="0" w:header="0"/>
        </w:sectPr>
      </w:pPr>
    </w:p>
    <w:bookmarkStart w:id="140" w:name="page141"/>
    <w:bookmarkEnd w:id="140"/>
    <w:p>
      <w:pPr>
        <w:ind w:left="1120"/>
        <w:spacing w:after="0"/>
        <w:rPr>
          <w:sz w:val="20"/>
          <w:szCs w:val="20"/>
          <w:color w:val="auto"/>
        </w:rPr>
      </w:pPr>
      <w:r>
        <w:rPr>
          <w:rFonts w:ascii="Arial" w:cs="Arial" w:eastAsia="Arial" w:hAnsi="Arial"/>
          <w:sz w:val="13"/>
          <w:szCs w:val="13"/>
          <w:color w:val="auto"/>
        </w:rPr>
        <w:t>which we believe to be an important requirement for an effective immune response and an added benefit beyond checkpoint inhibition alone.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No severe adverse drug reactions were reported in the study. Common adverse events included flu-like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126365</wp:posOffset>
            </wp:positionV>
            <wp:extent cx="1974215" cy="22282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74215" cy="222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Immune responses documented in our prior BNT121 study</w:t>
      </w:r>
      <w:r>
        <w:rPr>
          <w:rFonts w:ascii="Arial" w:cs="Arial" w:eastAsia="Arial" w:hAnsi="Arial"/>
          <w:sz w:val="8"/>
          <w:szCs w:val="8"/>
          <w:color w:val="auto"/>
        </w:rPr>
        <w:t>. Patients showed immune responses, including both CD4</w:t>
      </w:r>
      <w:r>
        <w:rPr>
          <w:rFonts w:ascii="Arial" w:cs="Arial" w:eastAsia="Arial" w:hAnsi="Arial"/>
          <w:sz w:val="6"/>
          <w:szCs w:val="6"/>
          <w:color w:val="auto"/>
        </w:rPr>
        <w:t>+</w:t>
      </w:r>
      <w:r>
        <w:rPr>
          <w:rFonts w:ascii="Arial" w:cs="Arial" w:eastAsia="Arial" w:hAnsi="Arial"/>
          <w:sz w:val="8"/>
          <w:szCs w:val="8"/>
          <w:b w:val="1"/>
          <w:bCs w:val="1"/>
          <w:color w:val="auto"/>
        </w:rPr>
        <w:t xml:space="preserve"> </w:t>
      </w:r>
      <w:r>
        <w:rPr>
          <w:rFonts w:ascii="Arial" w:cs="Arial" w:eastAsia="Arial" w:hAnsi="Arial"/>
          <w:sz w:val="8"/>
          <w:szCs w:val="8"/>
          <w:color w:val="auto"/>
        </w:rPr>
        <w:t>and CD8</w:t>
      </w:r>
      <w:r>
        <w:rPr>
          <w:rFonts w:ascii="Arial" w:cs="Arial" w:eastAsia="Arial" w:hAnsi="Arial"/>
          <w:sz w:val="6"/>
          <w:szCs w:val="6"/>
          <w:color w:val="auto"/>
        </w:rPr>
        <w:t>+</w:t>
      </w:r>
      <w:r>
        <w:rPr>
          <w:rFonts w:ascii="Arial" w:cs="Arial" w:eastAsia="Arial" w:hAnsi="Arial"/>
          <w:sz w:val="8"/>
          <w:szCs w:val="8"/>
          <w:b w:val="1"/>
          <w:bCs w:val="1"/>
          <w:color w:val="auto"/>
        </w:rPr>
        <w:t xml:space="preserve"> </w:t>
      </w:r>
      <w:r>
        <w:rPr>
          <w:rFonts w:ascii="Arial" w:cs="Arial" w:eastAsia="Arial" w:hAnsi="Arial"/>
          <w:sz w:val="8"/>
          <w:szCs w:val="8"/>
          <w:color w:val="auto"/>
        </w:rPr>
        <w:t>responses, against multiple neoantigens. Source: Nature 547, 222-226 (13 July 2017)</w:t>
      </w:r>
      <w:r>
        <w:rPr>
          <w:rFonts w:ascii="Arial" w:cs="Arial" w:eastAsia="Arial" w:hAnsi="Arial"/>
          <w:sz w:val="8"/>
          <w:szCs w:val="8"/>
          <w:b w:val="1"/>
          <w:bCs w:val="1"/>
          <w:color w:val="auto"/>
        </w:rPr>
        <w:t>.</w:t>
      </w:r>
    </w:p>
    <w:p>
      <w:pPr>
        <w:spacing w:after="0" w:line="31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59"/>
          </w:cols>
          <w:pgMar w:left="300" w:top="291" w:right="1440" w:bottom="1440" w:gutter="0" w:footer="0" w:header="0"/>
        </w:sectPr>
      </w:pPr>
    </w:p>
    <w:bookmarkStart w:id="141" w:name="page142"/>
    <w:bookmarkEnd w:id="141"/>
    <w:p>
      <w:pPr>
        <w:ind w:left="1120" w:firstLine="499"/>
        <w:spacing w:after="0" w:line="287" w:lineRule="auto"/>
        <w:rPr>
          <w:sz w:val="20"/>
          <w:szCs w:val="20"/>
          <w:color w:val="auto"/>
        </w:rPr>
      </w:pPr>
      <w:r>
        <w:rPr>
          <w:rFonts w:ascii="Arial" w:cs="Arial" w:eastAsia="Arial" w:hAnsi="Arial"/>
          <w:sz w:val="12"/>
          <w:szCs w:val="12"/>
          <w:color w:val="auto"/>
        </w:rPr>
        <w:t>In addition, metastases resected from two patients following treatment with BNT121 demonstrated evidence of treatment-induced infiltration with BNT121-induced neoepitope-specific T cells and neoepitope-specific killing of tumor cells. The cumulative rate of metastatic events was significantly reduced after the start of treatment, resulting in a sustained progression-free survival. Of the 13 patients entering the trial, eight patients that had no radiologically detectable lesions at start of neo-epitope vaccination were relapse free and remained recurrence-free for the whole follow-up period (12 to 23 months). Five patients experienced melanoma relapses shortly after inclusion in the trial and despite initiation of standard treatment had progressing metastases at start of their neoepitope treatment. Of these, three patients developed neoepitope treatment-related objective clinical responses. One of these patients exhibited a complete response and remained relapse-free for 26 months. The second patient had an immunotherapy-related partial response. This patient had a late relapse owing to outgrowth of ß2-microglobulin-deficient melanoma cells as an acquired resistance mechanism. A third patient developed a complete response to treatment in combination with PD-1 blockade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97155</wp:posOffset>
            </wp:positionV>
            <wp:extent cx="2926715" cy="23171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926715" cy="2317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36" w:lineRule="auto"/>
        <w:rPr>
          <w:sz w:val="20"/>
          <w:szCs w:val="20"/>
          <w:color w:val="auto"/>
        </w:rPr>
      </w:pPr>
      <w:r>
        <w:rPr>
          <w:rFonts w:ascii="Arial" w:cs="Arial" w:eastAsia="Arial" w:hAnsi="Arial"/>
          <w:sz w:val="11"/>
          <w:szCs w:val="11"/>
          <w:b w:val="1"/>
          <w:bCs w:val="1"/>
          <w:color w:val="auto"/>
        </w:rPr>
        <w:t xml:space="preserve">Metastatic relapses before and after treatment with BNT121. </w:t>
      </w:r>
      <w:r>
        <w:rPr>
          <w:rFonts w:ascii="Arial" w:cs="Arial" w:eastAsia="Arial" w:hAnsi="Arial"/>
          <w:sz w:val="11"/>
          <w:szCs w:val="11"/>
          <w:color w:val="auto"/>
        </w:rPr>
        <w:t>The chart above shows the metastatic relapses of patients before and after treatment with BNT121. Each horizontal line represents the time course of a single patient. The vertical line indicates the</w:t>
      </w:r>
      <w:r>
        <w:rPr>
          <w:rFonts w:ascii="Arial" w:cs="Arial" w:eastAsia="Arial" w:hAnsi="Arial"/>
          <w:sz w:val="11"/>
          <w:szCs w:val="11"/>
          <w:b w:val="1"/>
          <w:bCs w:val="1"/>
          <w:color w:val="auto"/>
        </w:rPr>
        <w:t xml:space="preserve"> </w:t>
      </w:r>
      <w:r>
        <w:rPr>
          <w:rFonts w:ascii="Arial" w:cs="Arial" w:eastAsia="Arial" w:hAnsi="Arial"/>
          <w:sz w:val="11"/>
          <w:szCs w:val="11"/>
          <w:color w:val="auto"/>
        </w:rPr>
        <w:t>treatment start of BNT121. Source: Nature 547, 222-226 (13 July 2017).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42" w:name="page143"/>
    <w:bookmarkEnd w:id="142"/>
    <w:p>
      <w:pPr>
        <w:ind w:left="1060"/>
        <w:spacing w:after="0"/>
        <w:rPr>
          <w:sz w:val="20"/>
          <w:szCs w:val="20"/>
          <w:color w:val="auto"/>
        </w:rPr>
      </w:pPr>
      <w:r>
        <w:rPr>
          <w:rFonts w:ascii="Arial" w:cs="Arial" w:eastAsia="Arial" w:hAnsi="Arial"/>
          <w:sz w:val="13"/>
          <w:szCs w:val="13"/>
          <w:color w:val="auto"/>
        </w:rPr>
        <w:t>As of October 2019, nine out of 13 patients had remained recurrence-free through follow-up of up to 41 months post-vaccination.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126365</wp:posOffset>
            </wp:positionV>
            <wp:extent cx="3606165" cy="1447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06165" cy="144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560" w:right="20" w:firstLine="499"/>
        <w:spacing w:after="0" w:line="272" w:lineRule="auto"/>
        <w:rPr>
          <w:sz w:val="20"/>
          <w:szCs w:val="20"/>
          <w:color w:val="auto"/>
        </w:rPr>
      </w:pPr>
      <w:r>
        <w:rPr>
          <w:rFonts w:ascii="Arial" w:cs="Arial" w:eastAsia="Arial" w:hAnsi="Arial"/>
          <w:sz w:val="13"/>
          <w:szCs w:val="13"/>
          <w:color w:val="auto"/>
        </w:rPr>
        <w:t>We expect to report a topline data update from our RO7198457 (BNT122) first-line Phase 2 melanoma trial in the second half of 2020 and report a data update from our RO7198457 (BNT122) Phase 1a/1b solid tumor trial in 2020. We and Genentech plan to initiate two additional clinical trials for RO7198457 (BNT122) in 2020 in first-line solid cancers in the adjuvant setting, one in combination with atezolizumab and the other as a monotherapy.</w:t>
      </w:r>
    </w:p>
    <w:p>
      <w:pPr>
        <w:spacing w:after="0" w:line="212" w:lineRule="exact"/>
        <w:rPr>
          <w:sz w:val="20"/>
          <w:szCs w:val="20"/>
          <w:color w:val="auto"/>
        </w:rPr>
      </w:pPr>
    </w:p>
    <w:p>
      <w:pPr>
        <w:ind w:left="1100" w:hanging="550"/>
        <w:spacing w:after="0"/>
        <w:tabs>
          <w:tab w:leader="none" w:pos="1100" w:val="left"/>
        </w:tabs>
        <w:numPr>
          <w:ilvl w:val="0"/>
          <w:numId w:val="17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Intratumoral Immunotherapy</w:t>
      </w:r>
    </w:p>
    <w:p>
      <w:pPr>
        <w:spacing w:after="0" w:line="90" w:lineRule="exact"/>
        <w:rPr>
          <w:sz w:val="20"/>
          <w:szCs w:val="20"/>
          <w:color w:val="auto"/>
        </w:rPr>
      </w:pPr>
    </w:p>
    <w:p>
      <w:pPr>
        <w:ind w:right="100" w:firstLine="527"/>
        <w:spacing w:after="0" w:line="272" w:lineRule="auto"/>
        <w:rPr>
          <w:sz w:val="20"/>
          <w:szCs w:val="20"/>
          <w:color w:val="auto"/>
        </w:rPr>
      </w:pPr>
      <w:r>
        <w:rPr>
          <w:rFonts w:ascii="Arial" w:cs="Arial" w:eastAsia="Arial" w:hAnsi="Arial"/>
          <w:sz w:val="13"/>
          <w:szCs w:val="13"/>
          <w:color w:val="auto"/>
        </w:rPr>
        <w:t>We, in collaboration with Sanofi, are developing intratumoral immunotherapies utilizing our proprietary mRNA technology. These immunotherapies are designed to be administered directly into the tumor in order to alter the tumor microenvironment and enhance the immune system’s ability to recognize and fight cancer within the tumor (proximal) as well as in other untreated locations (distal).</w:t>
      </w:r>
    </w:p>
    <w:p>
      <w:pPr>
        <w:spacing w:after="0" w:line="212" w:lineRule="exact"/>
        <w:rPr>
          <w:sz w:val="20"/>
          <w:szCs w:val="20"/>
          <w:color w:val="auto"/>
        </w:rPr>
      </w:pPr>
    </w:p>
    <w:p>
      <w:pPr>
        <w:ind w:left="1640" w:hanging="540"/>
        <w:spacing w:after="0"/>
        <w:tabs>
          <w:tab w:leader="none" w:pos="1640" w:val="left"/>
        </w:tabs>
        <w:numPr>
          <w:ilvl w:val="0"/>
          <w:numId w:val="17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SAR441000 (BNT131): Our Initial Intratumoral Immunotherapy for the Treatment of Solid Tumors</w:t>
      </w:r>
    </w:p>
    <w:p>
      <w:pPr>
        <w:spacing w:after="0" w:line="90" w:lineRule="exact"/>
        <w:rPr>
          <w:sz w:val="20"/>
          <w:szCs w:val="20"/>
          <w:color w:val="auto"/>
        </w:rPr>
      </w:pPr>
    </w:p>
    <w:p>
      <w:pPr>
        <w:ind w:left="560" w:firstLine="499"/>
        <w:spacing w:after="0" w:line="267" w:lineRule="auto"/>
        <w:rPr>
          <w:sz w:val="20"/>
          <w:szCs w:val="20"/>
          <w:color w:val="auto"/>
        </w:rPr>
      </w:pPr>
      <w:r>
        <w:rPr>
          <w:rFonts w:ascii="Arial" w:cs="Arial" w:eastAsia="Arial" w:hAnsi="Arial"/>
          <w:sz w:val="13"/>
          <w:szCs w:val="13"/>
          <w:color w:val="auto"/>
        </w:rPr>
        <w:t>We and Sanofi are developing SAR441000 (BNT131) as an intratumoral immunotherapy for the treatment of solid tumors. SAR441000 (BNT131) consists of modified mRNA that is injected directly into the tumor, where it is thought to express cytokines to alter the tumor microenvironment. SAR441000 (BNT131) is being studied in a Sanofi-sponsored Phase 1 clinical trial as a monotherapy in patients with advanced melanoma and in combination with an anti-PD-1/PD-L1 checkpoint inhibitor in patients with advanced melanoma and certain advanced solid tumors.</w:t>
      </w:r>
    </w:p>
    <w:p>
      <w:pPr>
        <w:spacing w:after="0" w:line="215"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Our SAR441000 (BNT131) Targets</w:t>
      </w:r>
    </w:p>
    <w:p>
      <w:pPr>
        <w:spacing w:after="0" w:line="90" w:lineRule="exact"/>
        <w:rPr>
          <w:sz w:val="20"/>
          <w:szCs w:val="20"/>
          <w:color w:val="auto"/>
        </w:rPr>
      </w:pPr>
    </w:p>
    <w:p>
      <w:pPr>
        <w:ind w:left="560" w:right="160" w:firstLine="499"/>
        <w:spacing w:after="0" w:line="287" w:lineRule="auto"/>
        <w:rPr>
          <w:sz w:val="20"/>
          <w:szCs w:val="20"/>
          <w:color w:val="auto"/>
        </w:rPr>
      </w:pPr>
      <w:r>
        <w:rPr>
          <w:rFonts w:ascii="Arial" w:cs="Arial" w:eastAsia="Arial" w:hAnsi="Arial"/>
          <w:sz w:val="13"/>
          <w:szCs w:val="13"/>
          <w:color w:val="auto"/>
        </w:rPr>
        <w:t>SAR441000 (BNT131) comprises mRNA that encodes the cytokines IL-12sc, IL-15sushi, IFN-α and GM-CSF. By expressing these cytokines in the tumor microenvironment, the immune system may more easily recognize and fight cancer.</w:t>
      </w:r>
    </w:p>
    <w:p>
      <w:pPr>
        <w:spacing w:after="0" w:line="202"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Our SAR441000 (BNT131) Clinical Trials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i w:val="1"/>
          <w:iCs w:val="1"/>
          <w:color w:val="auto"/>
        </w:rPr>
        <w:t>Ongoing Phase 1 Clinical Trial</w:t>
      </w:r>
    </w:p>
    <w:p>
      <w:pPr>
        <w:spacing w:after="0" w:line="90" w:lineRule="exact"/>
        <w:rPr>
          <w:sz w:val="20"/>
          <w:szCs w:val="20"/>
          <w:color w:val="auto"/>
        </w:rPr>
      </w:pPr>
    </w:p>
    <w:p>
      <w:pPr>
        <w:ind w:left="560" w:right="40" w:firstLine="499"/>
        <w:spacing w:after="0" w:line="272" w:lineRule="auto"/>
        <w:rPr>
          <w:sz w:val="20"/>
          <w:szCs w:val="20"/>
          <w:color w:val="auto"/>
        </w:rPr>
      </w:pPr>
      <w:r>
        <w:rPr>
          <w:rFonts w:ascii="Arial" w:cs="Arial" w:eastAsia="Arial" w:hAnsi="Arial"/>
          <w:sz w:val="13"/>
          <w:szCs w:val="13"/>
          <w:color w:val="auto"/>
        </w:rPr>
        <w:t>Sanofi, in collaboration with BioNTech, has commenced a first-in-human, multi-center, open-label, Phase 1, dose escalation and expansion trial to evaluate the safety, pharmacokinetics, pharmacodynamics and anti-tumor activity of SAR441000 (BNT131) administered intratumorally as monotherapy and in combination with cemiplimab, with an estimated enrollment of 264 patients with certain advanced solid tumors.</w:t>
      </w:r>
    </w:p>
    <w:p>
      <w:pPr>
        <w:spacing w:after="0" w:line="132"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291" w:right="319" w:bottom="1440" w:gutter="0" w:footer="0" w:header="0"/>
        </w:sectPr>
      </w:pPr>
    </w:p>
    <w:bookmarkStart w:id="143" w:name="page144"/>
    <w:bookmarkEnd w:id="143"/>
    <w:p>
      <w:pPr>
        <w:ind w:left="1620"/>
        <w:spacing w:after="0"/>
        <w:rPr>
          <w:sz w:val="20"/>
          <w:szCs w:val="20"/>
          <w:color w:val="auto"/>
        </w:rPr>
      </w:pPr>
      <w:r>
        <w:rPr>
          <w:rFonts w:ascii="Arial" w:cs="Arial" w:eastAsia="Arial" w:hAnsi="Arial"/>
          <w:sz w:val="13"/>
          <w:szCs w:val="13"/>
          <w:b w:val="1"/>
          <w:bCs w:val="1"/>
          <w:i w:val="1"/>
          <w:iCs w:val="1"/>
          <w:color w:val="auto"/>
        </w:rPr>
        <w:t>Our SAR441000 (BNT131) Preclinical Studies</w:t>
      </w:r>
    </w:p>
    <w:p>
      <w:pPr>
        <w:spacing w:after="0" w:line="90" w:lineRule="exact"/>
        <w:rPr>
          <w:sz w:val="20"/>
          <w:szCs w:val="20"/>
          <w:color w:val="auto"/>
        </w:rPr>
      </w:pPr>
    </w:p>
    <w:p>
      <w:pPr>
        <w:jc w:val="both"/>
        <w:ind w:left="1120" w:right="380" w:firstLine="499"/>
        <w:spacing w:after="0" w:line="277" w:lineRule="auto"/>
        <w:rPr>
          <w:sz w:val="20"/>
          <w:szCs w:val="20"/>
          <w:color w:val="auto"/>
        </w:rPr>
      </w:pPr>
      <w:r>
        <w:rPr>
          <w:rFonts w:ascii="Arial" w:cs="Arial" w:eastAsia="Arial" w:hAnsi="Arial"/>
          <w:sz w:val="13"/>
          <w:szCs w:val="13"/>
          <w:color w:val="auto"/>
        </w:rPr>
        <w:t xml:space="preserve">In collaboration with Sanofi, we conducted a preclinical study of SAR441000 (BNT131) in mouse tumor models. In these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models, the anti-tumor activity of cytokines encoded by mRNA was driven by the action of T cells as well as NK cells and was accompanied by robust intratumoral induction of interferon gamma, systemic expansion of antigen-specific T cells and increased granzyme B positive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 infiltration.</w:t>
      </w:r>
    </w:p>
    <w:p>
      <w:pPr>
        <w:spacing w:after="0" w:line="43" w:lineRule="exact"/>
        <w:rPr>
          <w:sz w:val="20"/>
          <w:szCs w:val="20"/>
          <w:color w:val="auto"/>
        </w:rPr>
      </w:pPr>
    </w:p>
    <w:p>
      <w:pPr>
        <w:ind w:left="1120" w:right="140" w:firstLine="499"/>
        <w:spacing w:after="0" w:line="267" w:lineRule="auto"/>
        <w:rPr>
          <w:sz w:val="20"/>
          <w:szCs w:val="20"/>
          <w:color w:val="auto"/>
        </w:rPr>
      </w:pPr>
      <w:r>
        <w:rPr>
          <w:rFonts w:ascii="Arial" w:cs="Arial" w:eastAsia="Arial" w:hAnsi="Arial"/>
          <w:sz w:val="13"/>
          <w:szCs w:val="13"/>
          <w:color w:val="auto"/>
        </w:rPr>
        <w:t>SAR441000 (BNT131) was shown to form immunological memory toward both dominant and subdominant antigens, which protected long-term survivors from re-challenge with autologous tumors. Importantly, although cytokine mRNAs were administered intratumorally, resulting in local target expression, anti-tumor activity extended beyond the injected tumor to effectively control the growth of distal tumors in both a dual-tumor model and an experimental lung metastasis model. Finally, SAR441000 (BNT131) demonstrated improved overall survival and higher incidence of complete tumor regressions across several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84455</wp:posOffset>
            </wp:positionV>
            <wp:extent cx="3409315" cy="2177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0931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spacing w:after="0" w:line="246" w:lineRule="auto"/>
        <w:rPr>
          <w:sz w:val="20"/>
          <w:szCs w:val="20"/>
          <w:color w:val="auto"/>
        </w:rPr>
      </w:pPr>
      <w:r>
        <w:rPr>
          <w:rFonts w:ascii="Arial" w:cs="Arial" w:eastAsia="Arial" w:hAnsi="Arial"/>
          <w:sz w:val="10"/>
          <w:szCs w:val="10"/>
          <w:b w:val="1"/>
          <w:bCs w:val="1"/>
          <w:color w:val="auto"/>
        </w:rPr>
        <w:t xml:space="preserve">Systemic anti-tumor effects in mouse model. </w:t>
      </w:r>
      <w:r>
        <w:rPr>
          <w:rFonts w:ascii="Arial" w:cs="Arial" w:eastAsia="Arial" w:hAnsi="Arial"/>
          <w:sz w:val="10"/>
          <w:szCs w:val="10"/>
          <w:color w:val="auto"/>
        </w:rPr>
        <w:t>As shown above, BNT131 demonstrated local and systemic anti-tumor effects of intratumoral cytokine mRNA. In this study, mice were implanted with a tumor on each of the right and left flank. One tumor was</w:t>
      </w:r>
      <w:r>
        <w:rPr>
          <w:rFonts w:ascii="Arial" w:cs="Arial" w:eastAsia="Arial" w:hAnsi="Arial"/>
          <w:sz w:val="10"/>
          <w:szCs w:val="10"/>
          <w:b w:val="1"/>
          <w:bCs w:val="1"/>
          <w:color w:val="auto"/>
        </w:rPr>
        <w:t xml:space="preserve"> </w:t>
      </w:r>
      <w:r>
        <w:rPr>
          <w:rFonts w:ascii="Arial" w:cs="Arial" w:eastAsia="Arial" w:hAnsi="Arial"/>
          <w:sz w:val="10"/>
          <w:szCs w:val="10"/>
          <w:color w:val="auto"/>
        </w:rPr>
        <w:t>injected with intratumoral cytokine mRNA (or control mRNA) while the other was not. The top center figure shows the tumor volume of the treated tumor (red line) against the control (blue line). The top right figure shows an anti-tumor effect on the untreated tumor (red line) against the control (blue line). The figures on the bottom show the abscopal effect of an intratumoral cytokine mRNA (center bottom) on distal lung metastases compared to the control mRNA (right bottom). Source: Wagenaar et al., Local immunotherapy with a mixture of mRNAs encoding pro-inflammatory cytokines promotes potent anti-tumor immunity and tumor eradication across multiple preclinical tumor models; poster presented at SITC 2018.</w:t>
      </w:r>
    </w:p>
    <w:p>
      <w:pPr>
        <w:spacing w:after="0" w:line="137" w:lineRule="exact"/>
        <w:rPr>
          <w:sz w:val="20"/>
          <w:szCs w:val="20"/>
          <w:color w:val="auto"/>
        </w:rPr>
      </w:pPr>
    </w:p>
    <w:p>
      <w:pPr>
        <w:ind w:left="1120" w:right="200" w:firstLine="499"/>
        <w:spacing w:after="0" w:line="287" w:lineRule="auto"/>
        <w:rPr>
          <w:sz w:val="20"/>
          <w:szCs w:val="20"/>
          <w:color w:val="auto"/>
        </w:rPr>
      </w:pPr>
      <w:r>
        <w:rPr>
          <w:rFonts w:ascii="Arial" w:cs="Arial" w:eastAsia="Arial" w:hAnsi="Arial"/>
          <w:sz w:val="13"/>
          <w:szCs w:val="13"/>
          <w:color w:val="auto"/>
        </w:rPr>
        <w:t>Based on these preclinical results, we intend to investigate whether our synthetic mRNA technology can potentially deliver localized cytokine-based cancer immunotherapy with broad anti-tumor activity against treated and untreated lesions.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120" w:firstLine="499"/>
        <w:spacing w:after="0" w:line="287" w:lineRule="auto"/>
        <w:rPr>
          <w:sz w:val="20"/>
          <w:szCs w:val="20"/>
          <w:color w:val="auto"/>
        </w:rPr>
      </w:pPr>
      <w:r>
        <w:rPr>
          <w:rFonts w:ascii="Arial" w:cs="Arial" w:eastAsia="Arial" w:hAnsi="Arial"/>
          <w:sz w:val="13"/>
          <w:szCs w:val="13"/>
          <w:color w:val="auto"/>
        </w:rPr>
        <w:t>A data update from this trial may be reported in the second half of 2020. As the trial is sponsored and conducted by Sanofi, the timing of data updates is not under our control, and is subject to change by Sanofi.</w:t>
      </w:r>
    </w:p>
    <w:p>
      <w:pPr>
        <w:spacing w:after="0" w:line="202" w:lineRule="exact"/>
        <w:rPr>
          <w:sz w:val="20"/>
          <w:szCs w:val="20"/>
          <w:color w:val="auto"/>
        </w:rPr>
      </w:pPr>
    </w:p>
    <w:p>
      <w:pPr>
        <w:ind w:left="1660" w:hanging="550"/>
        <w:spacing w:after="0"/>
        <w:tabs>
          <w:tab w:leader="none" w:pos="1660" w:val="left"/>
        </w:tabs>
        <w:numPr>
          <w:ilvl w:val="0"/>
          <w:numId w:val="18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RiboMabs</w:t>
      </w:r>
    </w:p>
    <w:p>
      <w:pPr>
        <w:spacing w:after="0" w:line="90" w:lineRule="exact"/>
        <w:rPr>
          <w:sz w:val="20"/>
          <w:szCs w:val="20"/>
          <w:color w:val="auto"/>
        </w:rPr>
      </w:pPr>
    </w:p>
    <w:p>
      <w:pPr>
        <w:ind w:left="560" w:right="160" w:firstLine="527"/>
        <w:spacing w:after="0" w:line="287" w:lineRule="auto"/>
        <w:rPr>
          <w:sz w:val="20"/>
          <w:szCs w:val="20"/>
          <w:color w:val="auto"/>
        </w:rPr>
      </w:pPr>
      <w:r>
        <w:rPr>
          <w:rFonts w:ascii="Arial" w:cs="Arial" w:eastAsia="Arial" w:hAnsi="Arial"/>
          <w:sz w:val="13"/>
          <w:szCs w:val="13"/>
          <w:color w:val="auto"/>
        </w:rPr>
        <w:t xml:space="preserve">Our RiboMab product candidates are designed to encode secreted antibodies for expression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by the patient’s cells. RiboMab product candidates consist of our proprietary nucleoside-modified mRNA that is designed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371" w:right="339" w:bottom="1440" w:gutter="0" w:footer="0" w:header="0"/>
        </w:sectPr>
      </w:pPr>
    </w:p>
    <w:bookmarkStart w:id="144" w:name="page145"/>
    <w:bookmarkEnd w:id="144"/>
    <w:p>
      <w:pPr>
        <w:ind w:right="420"/>
        <w:spacing w:after="0" w:line="272" w:lineRule="auto"/>
        <w:rPr>
          <w:sz w:val="20"/>
          <w:szCs w:val="20"/>
          <w:color w:val="auto"/>
        </w:rPr>
      </w:pPr>
      <w:r>
        <w:rPr>
          <w:rFonts w:ascii="Arial" w:cs="Arial" w:eastAsia="Arial" w:hAnsi="Arial"/>
          <w:sz w:val="13"/>
          <w:szCs w:val="13"/>
          <w:color w:val="auto"/>
        </w:rPr>
        <w:t>minimize the immunomodulatory activity of the mRNA, and these candidates are formulated using liver-targeting LNPs for intravenous delivery. RiboMabs potentially address the limitations of recombinant antibodies, including costly manufacturing processes and unfavorable pharmacokinetics, such as short plasma half-life. We are conducting preclinical studies for two development candidates, and have published compelling preclinical data.</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RiboMab Preclinical Studies</w:t>
      </w:r>
    </w:p>
    <w:p>
      <w:pPr>
        <w:spacing w:after="0" w:line="90" w:lineRule="exact"/>
        <w:rPr>
          <w:sz w:val="20"/>
          <w:szCs w:val="20"/>
          <w:color w:val="auto"/>
        </w:rPr>
      </w:pPr>
    </w:p>
    <w:p>
      <w:pPr>
        <w:ind w:right="120" w:firstLine="527"/>
        <w:spacing w:after="0" w:line="291" w:lineRule="auto"/>
        <w:rPr>
          <w:sz w:val="20"/>
          <w:szCs w:val="20"/>
          <w:color w:val="auto"/>
        </w:rPr>
      </w:pPr>
      <w:r>
        <w:rPr>
          <w:rFonts w:ascii="Arial" w:cs="Arial" w:eastAsia="Arial" w:hAnsi="Arial"/>
          <w:sz w:val="12"/>
          <w:szCs w:val="12"/>
          <w:color w:val="auto"/>
        </w:rPr>
        <w:t xml:space="preserve">We have generated RiboMabs targeting different tumor antigens and tested their therapeutic potency in mice engrafted with human tumors that were repopulated with human immune cells. We demonstrated in preclinical studies that injection with a RiboMab product candidate encoding bispecific RiboMabs directed against CD3 and CLDN6 antigens resulted in elimination of aggressively growing, large tumors. Intravenously administering a microgram dose of mRNA encoding RiboMabs resulted in bispecific RiboMab production in the liver cells and rapid secretion into circulation, reaching peak plasma concentration within hours and remaining at therapeutically effective levels for one week. The dosage and frequency of dosing of recombinant bispecific antibodies required to produce similar effects was substantially greater. This was the first preclinical study to demonstrate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application of mRNA-encoded antibodies for the successful treatment of cancer.</w:t>
      </w:r>
    </w:p>
    <w:p>
      <w:pPr>
        <w:spacing w:after="0" w:line="203" w:lineRule="exact"/>
        <w:rPr>
          <w:sz w:val="20"/>
          <w:szCs w:val="20"/>
          <w:color w:val="auto"/>
        </w:rPr>
      </w:pPr>
    </w:p>
    <w:p>
      <w:pPr>
        <w:ind w:left="1640" w:hanging="540"/>
        <w:spacing w:after="0"/>
        <w:tabs>
          <w:tab w:leader="none" w:pos="1640" w:val="left"/>
        </w:tabs>
        <w:numPr>
          <w:ilvl w:val="0"/>
          <w:numId w:val="18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BNT141: Our Initial RiboMab for the Treatment of Solid Tumors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BNT141 is our RiboMab product candidate for the treatment of solid tumors. BNT141 is designed to encode secreted IgG antibodies.</w:t>
      </w: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Our BNT141 Targets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BNT141 is designed to encode secreted antibodies that target multiple epithelial solid tumors, including gastric and pancreatic cancers.</w:t>
      </w: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We expect to initiate a Phase 1 basket trial of BNT141 for the treatment of various solid tumors, including gastrointestinal tumors, in the first half of 2021.</w:t>
      </w:r>
    </w:p>
    <w:p>
      <w:pPr>
        <w:spacing w:after="0" w:line="250" w:lineRule="exact"/>
        <w:rPr>
          <w:sz w:val="20"/>
          <w:szCs w:val="20"/>
          <w:color w:val="auto"/>
        </w:rPr>
      </w:pPr>
    </w:p>
    <w:p>
      <w:pPr>
        <w:ind w:left="1640" w:hanging="540"/>
        <w:spacing w:after="0"/>
        <w:tabs>
          <w:tab w:leader="none" w:pos="1640" w:val="left"/>
        </w:tabs>
        <w:numPr>
          <w:ilvl w:val="0"/>
          <w:numId w:val="18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BNT142: Our Second RiboMab for the Treatment of Solid Tumors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BNT142 is our RiboMab product candidate for the treatment of solid tumors. BNT142 is designed to encode a secreted bispecific antibody that targets CD3 and CLDN6.</w:t>
      </w: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Our BNT142 Targets</w:t>
      </w:r>
    </w:p>
    <w:p>
      <w:pPr>
        <w:spacing w:after="0" w:line="90" w:lineRule="exact"/>
        <w:rPr>
          <w:sz w:val="20"/>
          <w:szCs w:val="20"/>
          <w:color w:val="auto"/>
        </w:rPr>
      </w:pPr>
    </w:p>
    <w:p>
      <w:pPr>
        <w:ind w:left="560" w:firstLine="499"/>
        <w:spacing w:after="0" w:line="214" w:lineRule="auto"/>
        <w:rPr>
          <w:sz w:val="20"/>
          <w:szCs w:val="20"/>
          <w:color w:val="auto"/>
        </w:rPr>
      </w:pPr>
      <w:r>
        <w:rPr>
          <w:rFonts w:ascii="Arial" w:cs="Arial" w:eastAsia="Arial" w:hAnsi="Arial"/>
          <w:sz w:val="13"/>
          <w:szCs w:val="13"/>
          <w:color w:val="auto"/>
        </w:rPr>
        <w:t>BNT142 is designed to encode bispecific antibodies that target CD3, a T cell receptor that plays a key role in the activation of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CD4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and CLDN6, a highly specific oncofetal cell surface antigen that is found in solid tumors, but not in normal cells.</w:t>
      </w:r>
    </w:p>
    <w:p>
      <w:pPr>
        <w:spacing w:after="0" w:line="232"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We expect to initiate a Phase 1 basket trial of BNT142 for the treatment of numerous solid tumors in the first half of 2021.</w:t>
      </w:r>
    </w:p>
    <w:p>
      <w:pPr>
        <w:spacing w:after="0" w:line="250" w:lineRule="exact"/>
        <w:rPr>
          <w:sz w:val="20"/>
          <w:szCs w:val="20"/>
          <w:color w:val="auto"/>
        </w:rPr>
      </w:pPr>
    </w:p>
    <w:p>
      <w:pPr>
        <w:ind w:left="1100" w:hanging="550"/>
        <w:spacing w:after="0"/>
        <w:tabs>
          <w:tab w:leader="none" w:pos="1100" w:val="left"/>
        </w:tabs>
        <w:numPr>
          <w:ilvl w:val="0"/>
          <w:numId w:val="18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RiboCytokines</w:t>
      </w:r>
    </w:p>
    <w:p>
      <w:pPr>
        <w:spacing w:after="0" w:line="90" w:lineRule="exact"/>
        <w:rPr>
          <w:sz w:val="20"/>
          <w:szCs w:val="20"/>
          <w:color w:val="auto"/>
        </w:rPr>
      </w:pPr>
    </w:p>
    <w:p>
      <w:pPr>
        <w:ind w:right="320" w:firstLine="527"/>
        <w:spacing w:after="0" w:line="287" w:lineRule="auto"/>
        <w:rPr>
          <w:sz w:val="20"/>
          <w:szCs w:val="20"/>
          <w:color w:val="auto"/>
        </w:rPr>
      </w:pPr>
      <w:r>
        <w:rPr>
          <w:rFonts w:ascii="Arial" w:cs="Arial" w:eastAsia="Arial" w:hAnsi="Arial"/>
          <w:sz w:val="13"/>
          <w:szCs w:val="13"/>
          <w:color w:val="auto"/>
        </w:rPr>
        <w:t xml:space="preserve">Our RiboCytokine product candidates utilize mRNA that encodes the desired cytokines for expression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by the patient’s cells. RiboCytokine product candidates consist of modified mRNA designed to encode secreted cytokines that are formulated to use liver-targeting LNP for intravenous delivery.</w:t>
      </w:r>
    </w:p>
    <w:p>
      <w:pPr>
        <w:spacing w:after="0" w:line="122"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211" w:right="319" w:bottom="1440" w:gutter="0" w:footer="0" w:header="0"/>
        </w:sectPr>
      </w:pPr>
    </w:p>
    <w:bookmarkStart w:id="145" w:name="page146"/>
    <w:bookmarkEnd w:id="145"/>
    <w:p>
      <w:pPr>
        <w:ind w:right="60" w:firstLine="527"/>
        <w:spacing w:after="0" w:line="287" w:lineRule="auto"/>
        <w:rPr>
          <w:sz w:val="20"/>
          <w:szCs w:val="20"/>
          <w:color w:val="auto"/>
        </w:rPr>
      </w:pPr>
      <w:r>
        <w:rPr>
          <w:rFonts w:ascii="Arial" w:cs="Arial" w:eastAsia="Arial" w:hAnsi="Arial"/>
          <w:sz w:val="13"/>
          <w:szCs w:val="13"/>
          <w:color w:val="auto"/>
        </w:rPr>
        <w:t>Our RiboCytokine product candidates are designed to address the limitations of recombinantly expressed cytokines, including limited serum half-life and production costs. We are developing RiboCytokines to be used primarily in combination with other drugs, including our other pipeline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95885</wp:posOffset>
            </wp:positionV>
            <wp:extent cx="3523615" cy="18789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23615" cy="187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0" w:firstLine="527"/>
        <w:spacing w:after="0" w:line="267" w:lineRule="auto"/>
        <w:rPr>
          <w:sz w:val="20"/>
          <w:szCs w:val="20"/>
          <w:color w:val="auto"/>
        </w:rPr>
      </w:pPr>
      <w:r>
        <w:rPr>
          <w:rFonts w:ascii="Arial" w:cs="Arial" w:eastAsia="Arial" w:hAnsi="Arial"/>
          <w:sz w:val="13"/>
          <w:szCs w:val="13"/>
          <w:color w:val="auto"/>
        </w:rPr>
        <w:t>In a preclinical mouse model, we observed RiboCytokines boost the activity of our RNA-LPX vaccination and a PD-L1 blockade in large tumors. Two out of 11 mice treated with our RNA-LPX vaccination and an anti PD-L1 alone achieved complete response. We observed three out of 11 mice achieve complete response with our RNA-LPX vaccination, an anti PD-L1 and IL7 RiboCytokine, six out of 11 mice with complete response after receiving our RNA-LPX vaccination, an anti PD-L1 and IL2 RiboCytokine and 11 out of 11 mice with complete response when given our RNA-LPX vaccination, an anti PD-L1 and both IL7 and IL2 RiboCytokines.</w:t>
      </w:r>
    </w:p>
    <w:p>
      <w:pPr>
        <w:spacing w:after="0" w:line="215" w:lineRule="exact"/>
        <w:rPr>
          <w:sz w:val="20"/>
          <w:szCs w:val="20"/>
          <w:color w:val="auto"/>
        </w:rPr>
      </w:pPr>
    </w:p>
    <w:p>
      <w:pPr>
        <w:ind w:left="1640" w:hanging="540"/>
        <w:spacing w:after="0"/>
        <w:tabs>
          <w:tab w:leader="none" w:pos="1640" w:val="left"/>
        </w:tabs>
        <w:numPr>
          <w:ilvl w:val="0"/>
          <w:numId w:val="18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BNT151: Our Initial RiboCytokine for the Treatment of Solid Tumors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We are developing BNT151, our RiboCytokine designed to encode a modified version of the human interleukin-2, or optimized IL-2, cytokine for the treatment of solid tumors.</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BNT151 is designed to stimulate T cells without triggering immunosuppression in the tumor microenvironment.</w:t>
      </w:r>
    </w:p>
    <w:p>
      <w:pPr>
        <w:spacing w:after="0" w:line="242"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Our BNT151 Target</w:t>
      </w:r>
    </w:p>
    <w:p>
      <w:pPr>
        <w:spacing w:after="0" w:line="90" w:lineRule="exact"/>
        <w:rPr>
          <w:sz w:val="20"/>
          <w:szCs w:val="20"/>
          <w:color w:val="auto"/>
        </w:rPr>
      </w:pPr>
    </w:p>
    <w:p>
      <w:pPr>
        <w:ind w:left="560" w:right="280" w:firstLine="499"/>
        <w:spacing w:after="0" w:line="287" w:lineRule="auto"/>
        <w:rPr>
          <w:sz w:val="20"/>
          <w:szCs w:val="20"/>
          <w:color w:val="auto"/>
        </w:rPr>
      </w:pPr>
      <w:r>
        <w:rPr>
          <w:rFonts w:ascii="Arial" w:cs="Arial" w:eastAsia="Arial" w:hAnsi="Arial"/>
          <w:sz w:val="13"/>
          <w:szCs w:val="13"/>
          <w:color w:val="auto"/>
        </w:rPr>
        <w:t>BNT151 comprises our nucleoside-modified mRNA that encodes mRNA for a function-modified IL-2. IL-2 is a key cytokine in T cell immunity, supporting the differentiation, proliferation, survival and effector functions of T cells.</w:t>
      </w:r>
    </w:p>
    <w:p>
      <w:pPr>
        <w:spacing w:after="0" w:line="122" w:lineRule="exact"/>
        <w:rPr>
          <w:sz w:val="20"/>
          <w:szCs w:val="20"/>
          <w:color w:val="auto"/>
        </w:rPr>
      </w:pPr>
    </w:p>
    <w:p>
      <w:pPr>
        <w:ind w:left="560" w:firstLine="499"/>
        <w:spacing w:after="0" w:line="267" w:lineRule="auto"/>
        <w:rPr>
          <w:sz w:val="20"/>
          <w:szCs w:val="20"/>
          <w:color w:val="auto"/>
        </w:rPr>
      </w:pPr>
      <w:r>
        <w:rPr>
          <w:rFonts w:ascii="Arial" w:cs="Arial" w:eastAsia="Arial" w:hAnsi="Arial"/>
          <w:sz w:val="13"/>
          <w:szCs w:val="13"/>
          <w:color w:val="auto"/>
        </w:rPr>
        <w:t>Recombinant IL-2, aldesleukin, was the first approved cancer immunotherapy, and has been marketed globally for the treatment of late stage melanoma and renal cell cancer for decades. Most patients with complete responses after IL-2 treatment remain regression free for more than 25 years after initial treatment, but overall response rates are low due in part to the limitations of recombinant cytokines. Recombinant IL-2 has a very short half-life, requiring high and frequent dosing and a partially unfavorable activity profile, which leads to increased side effects, thus limiting its utility as a cancer treatment.</w:t>
      </w:r>
    </w:p>
    <w:p>
      <w:pPr>
        <w:spacing w:after="0" w:line="215" w:lineRule="exact"/>
        <w:rPr>
          <w:sz w:val="20"/>
          <w:szCs w:val="20"/>
          <w:color w:val="auto"/>
        </w:rPr>
      </w:pPr>
    </w:p>
    <w:p>
      <w:pPr>
        <w:ind w:left="106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We expect to initiate a Phase 1 clinical basket trial of BNT151 for the treatment of multiple solid tumors in the first half of 2021.</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291" w:right="319" w:bottom="1440" w:gutter="0" w:footer="0" w:header="0"/>
        </w:sectPr>
      </w:pPr>
    </w:p>
    <w:bookmarkStart w:id="146" w:name="page147"/>
    <w:bookmarkEnd w:id="146"/>
    <w:p>
      <w:pPr>
        <w:ind w:left="1660" w:hanging="540"/>
        <w:spacing w:after="0"/>
        <w:tabs>
          <w:tab w:leader="none" w:pos="1660" w:val="left"/>
        </w:tabs>
        <w:numPr>
          <w:ilvl w:val="0"/>
          <w:numId w:val="18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BNT152: Our Second RiboCytokine for the Treatment of Solid Tumors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developing BNT152, our RiboCytokine designed to encode IL-7 for the treatment of solid tumors.</w:t>
      </w: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to initiate a Phase 1/2 clinical trial of BNT152 in combination with BNT153 for the treatment of multiple solid tumors in the first half of 2021.</w:t>
      </w:r>
    </w:p>
    <w:p>
      <w:pPr>
        <w:spacing w:after="0" w:line="250" w:lineRule="exact"/>
        <w:rPr>
          <w:sz w:val="20"/>
          <w:szCs w:val="20"/>
          <w:color w:val="auto"/>
        </w:rPr>
      </w:pPr>
    </w:p>
    <w:p>
      <w:pPr>
        <w:ind w:left="1660" w:hanging="540"/>
        <w:spacing w:after="0"/>
        <w:tabs>
          <w:tab w:leader="none" w:pos="1660" w:val="left"/>
        </w:tabs>
        <w:numPr>
          <w:ilvl w:val="0"/>
          <w:numId w:val="18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BNT153: Our IL-2 variant RiboCytokine for the Treatment of Solid Tumors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developing BNT153, our RiboCytokine designed to secrete IL-2 for the treatment of solid tumors.</w:t>
      </w: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to initiate a Phase 1/2 clinical trial of BNT153 in combination with BNT152 for the treatment of multiple solid tumors in the first half of 2021.</w:t>
      </w:r>
    </w:p>
    <w:p>
      <w:pPr>
        <w:spacing w:after="0" w:line="246" w:lineRule="exact"/>
        <w:rPr>
          <w:sz w:val="20"/>
          <w:szCs w:val="20"/>
          <w:color w:val="auto"/>
        </w:rPr>
      </w:pPr>
    </w:p>
    <w:p>
      <w:pPr>
        <w:ind w:left="560" w:hanging="550"/>
        <w:spacing w:after="0"/>
        <w:tabs>
          <w:tab w:leader="none" w:pos="560" w:val="left"/>
        </w:tabs>
        <w:numPr>
          <w:ilvl w:val="0"/>
          <w:numId w:val="187"/>
        </w:numPr>
        <w:rPr>
          <w:rFonts w:ascii="Arial" w:cs="Arial" w:eastAsia="Arial" w:hAnsi="Arial"/>
          <w:sz w:val="13"/>
          <w:szCs w:val="13"/>
          <w:b w:val="1"/>
          <w:bCs w:val="1"/>
          <w:color w:val="auto"/>
        </w:rPr>
      </w:pPr>
      <w:r>
        <w:rPr>
          <w:rFonts w:ascii="Arial" w:cs="Arial" w:eastAsia="Arial" w:hAnsi="Arial"/>
          <w:sz w:val="13"/>
          <w:szCs w:val="13"/>
          <w:b w:val="1"/>
          <w:bCs w:val="1"/>
          <w:color w:val="auto"/>
        </w:rPr>
        <w:t>Our Oncology Engineered Cell Therapy Product Candidates</w:t>
      </w:r>
    </w:p>
    <w:p>
      <w:pPr>
        <w:spacing w:after="0" w:line="94" w:lineRule="exact"/>
        <w:rPr>
          <w:rFonts w:ascii="Arial" w:cs="Arial" w:eastAsia="Arial" w:hAnsi="Arial"/>
          <w:sz w:val="13"/>
          <w:szCs w:val="13"/>
          <w:b w:val="1"/>
          <w:bCs w:val="1"/>
          <w:color w:val="auto"/>
        </w:rPr>
      </w:pPr>
    </w:p>
    <w:p>
      <w:pPr>
        <w:ind w:left="1120" w:hanging="550"/>
        <w:spacing w:after="0"/>
        <w:tabs>
          <w:tab w:leader="none" w:pos="1120" w:val="left"/>
        </w:tabs>
        <w:numPr>
          <w:ilvl w:val="1"/>
          <w:numId w:val="18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CAR-T</w:t>
      </w:r>
    </w:p>
    <w:p>
      <w:pPr>
        <w:spacing w:after="0" w:line="90" w:lineRule="exact"/>
        <w:rPr>
          <w:sz w:val="20"/>
          <w:szCs w:val="20"/>
          <w:color w:val="auto"/>
        </w:rPr>
      </w:pPr>
    </w:p>
    <w:p>
      <w:pPr>
        <w:ind w:left="20" w:firstLine="527"/>
        <w:spacing w:after="0" w:line="233" w:lineRule="auto"/>
        <w:rPr>
          <w:sz w:val="20"/>
          <w:szCs w:val="20"/>
          <w:color w:val="auto"/>
        </w:rPr>
      </w:pPr>
      <w:r>
        <w:rPr>
          <w:rFonts w:ascii="Arial" w:cs="Arial" w:eastAsia="Arial" w:hAnsi="Arial"/>
          <w:sz w:val="12"/>
          <w:szCs w:val="12"/>
          <w:color w:val="auto"/>
        </w:rPr>
        <w:t>We are advancing multiple CAR-T product candidates, the most advanced of which, BNT211, is targeting the novel and highly specific target CLDN6</w:t>
      </w:r>
      <w:r>
        <w:rPr>
          <w:rFonts w:ascii="Arial" w:cs="Arial" w:eastAsia="Arial" w:hAnsi="Arial"/>
          <w:sz w:val="17"/>
          <w:szCs w:val="17"/>
          <w:color w:val="auto"/>
          <w:vertAlign w:val="superscript"/>
        </w:rPr>
        <w:t>+</w:t>
      </w:r>
      <w:r>
        <w:rPr>
          <w:rFonts w:ascii="Arial" w:cs="Arial" w:eastAsia="Arial" w:hAnsi="Arial"/>
          <w:sz w:val="12"/>
          <w:szCs w:val="12"/>
          <w:color w:val="auto"/>
        </w:rPr>
        <w:t xml:space="preserve"> in solid tumors, and which we expect to enter the clinic in the second half of 2019 for the treatment of CLDN6</w:t>
      </w:r>
      <w:r>
        <w:rPr>
          <w:rFonts w:ascii="Arial" w:cs="Arial" w:eastAsia="Arial" w:hAnsi="Arial"/>
          <w:sz w:val="17"/>
          <w:szCs w:val="17"/>
          <w:color w:val="auto"/>
          <w:vertAlign w:val="superscript"/>
        </w:rPr>
        <w:t>+</w:t>
      </w:r>
      <w:r>
        <w:rPr>
          <w:rFonts w:ascii="Arial" w:cs="Arial" w:eastAsia="Arial" w:hAnsi="Arial"/>
          <w:sz w:val="12"/>
          <w:szCs w:val="12"/>
          <w:color w:val="auto"/>
        </w:rPr>
        <w:t xml:space="preserve"> solid tumors, including ovarian cancer. We plan to use our initial CAR-T cell product candidates in combination with a FixVac immunotherapy that encodes the same target as the CAR-T. The FixVac selectively targets dendritic cells, which leads to uptake, antigen expression and maturation of the dendritic cells. The co-stimulation provided by dendritic cell maturation has been shown in preclinical studies to amplify and expand CAR-T cells </w:t>
      </w:r>
      <w:r>
        <w:rPr>
          <w:rFonts w:ascii="Arial" w:cs="Arial" w:eastAsia="Arial" w:hAnsi="Arial"/>
          <w:sz w:val="12"/>
          <w:szCs w:val="12"/>
          <w:i w:val="1"/>
          <w:iCs w:val="1"/>
          <w:color w:val="auto"/>
        </w:rPr>
        <w:t>in vivo</w:t>
      </w:r>
      <w:r>
        <w:rPr>
          <w:rFonts w:ascii="Arial" w:cs="Arial" w:eastAsia="Arial" w:hAnsi="Arial"/>
          <w:sz w:val="12"/>
          <w:szCs w:val="12"/>
          <w:color w:val="auto"/>
        </w:rPr>
        <w:t>, leading to increased persistence of the CAR-T.</w:t>
      </w:r>
    </w:p>
    <w:p>
      <w:pPr>
        <w:spacing w:after="0" w:line="232" w:lineRule="exact"/>
        <w:rPr>
          <w:sz w:val="20"/>
          <w:szCs w:val="20"/>
          <w:color w:val="auto"/>
        </w:rPr>
      </w:pPr>
    </w:p>
    <w:p>
      <w:pPr>
        <w:ind w:left="1660" w:hanging="540"/>
        <w:spacing w:after="0"/>
        <w:tabs>
          <w:tab w:leader="none" w:pos="1660" w:val="left"/>
        </w:tabs>
        <w:numPr>
          <w:ilvl w:val="0"/>
          <w:numId w:val="18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BNT211: Our CAR-T Cell Therapy for the Treatment of CLDN6</w:t>
      </w:r>
      <w:r>
        <w:rPr>
          <w:rFonts w:ascii="Arial" w:cs="Arial" w:eastAsia="Arial" w:hAnsi="Arial"/>
          <w:sz w:val="19"/>
          <w:szCs w:val="19"/>
          <w:b w:val="1"/>
          <w:bCs w:val="1"/>
          <w:i w:val="1"/>
          <w:iCs w:val="1"/>
          <w:color w:val="auto"/>
          <w:vertAlign w:val="superscript"/>
        </w:rPr>
        <w:t>+</w:t>
      </w:r>
      <w:r>
        <w:rPr>
          <w:rFonts w:ascii="Arial" w:cs="Arial" w:eastAsia="Arial" w:hAnsi="Arial"/>
          <w:sz w:val="13"/>
          <w:szCs w:val="13"/>
          <w:b w:val="1"/>
          <w:bCs w:val="1"/>
          <w:i w:val="1"/>
          <w:iCs w:val="1"/>
          <w:color w:val="auto"/>
        </w:rPr>
        <w:t xml:space="preserve"> Solid Tumors</w:t>
      </w:r>
    </w:p>
    <w:p>
      <w:pPr>
        <w:ind w:left="1080"/>
        <w:spacing w:after="0" w:line="235" w:lineRule="auto"/>
        <w:rPr>
          <w:sz w:val="20"/>
          <w:szCs w:val="20"/>
          <w:color w:val="auto"/>
        </w:rPr>
      </w:pPr>
      <w:r>
        <w:rPr>
          <w:rFonts w:ascii="Arial" w:cs="Arial" w:eastAsia="Arial" w:hAnsi="Arial"/>
          <w:sz w:val="12"/>
          <w:szCs w:val="12"/>
          <w:color w:val="auto"/>
        </w:rPr>
        <w:t>BNT211 is our CAR-T cell therapy for the treatment of CLDN6</w:t>
      </w:r>
      <w:r>
        <w:rPr>
          <w:rFonts w:ascii="Arial" w:cs="Arial" w:eastAsia="Arial" w:hAnsi="Arial"/>
          <w:sz w:val="17"/>
          <w:szCs w:val="17"/>
          <w:color w:val="auto"/>
          <w:vertAlign w:val="superscript"/>
        </w:rPr>
        <w:t>+</w:t>
      </w:r>
      <w:r>
        <w:rPr>
          <w:rFonts w:ascii="Arial" w:cs="Arial" w:eastAsia="Arial" w:hAnsi="Arial"/>
          <w:sz w:val="12"/>
          <w:szCs w:val="12"/>
          <w:color w:val="auto"/>
        </w:rPr>
        <w:t xml:space="preserve"> solid tumors. BNT211 targets CLDN6 and will initially be evaluated in combination with a CARVac that encodes</w:t>
      </w:r>
    </w:p>
    <w:p>
      <w:pPr>
        <w:ind w:left="580"/>
        <w:spacing w:after="0"/>
        <w:rPr>
          <w:sz w:val="20"/>
          <w:szCs w:val="20"/>
          <w:color w:val="auto"/>
        </w:rPr>
      </w:pPr>
      <w:r>
        <w:rPr>
          <w:rFonts w:ascii="Arial" w:cs="Arial" w:eastAsia="Arial" w:hAnsi="Arial"/>
          <w:sz w:val="13"/>
          <w:szCs w:val="13"/>
          <w:color w:val="auto"/>
        </w:rPr>
        <w:t>CLDN6.</w:t>
      </w:r>
    </w:p>
    <w:p>
      <w:pPr>
        <w:spacing w:after="0" w:line="24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BNT211 Target</w:t>
      </w:r>
    </w:p>
    <w:p>
      <w:pPr>
        <w:spacing w:after="0" w:line="90" w:lineRule="exact"/>
        <w:rPr>
          <w:sz w:val="20"/>
          <w:szCs w:val="20"/>
          <w:color w:val="auto"/>
        </w:rPr>
      </w:pPr>
    </w:p>
    <w:p>
      <w:pPr>
        <w:ind w:left="580" w:right="260" w:firstLine="499"/>
        <w:spacing w:after="0" w:line="287" w:lineRule="auto"/>
        <w:rPr>
          <w:sz w:val="20"/>
          <w:szCs w:val="20"/>
          <w:color w:val="auto"/>
        </w:rPr>
      </w:pPr>
      <w:r>
        <w:rPr>
          <w:rFonts w:ascii="Arial" w:cs="Arial" w:eastAsia="Arial" w:hAnsi="Arial"/>
          <w:sz w:val="13"/>
          <w:szCs w:val="13"/>
          <w:color w:val="auto"/>
        </w:rPr>
        <w:t>BNT211 targets Claudin 6, or CLDN6, a highly specific oncofetal cell surface antigen that is found in multiple cancers, including ovarian, testicular and lung cancers, but not in normal cells.</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BNT211 Trials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Planned Phase 1/2 Clinical Trial</w:t>
      </w:r>
    </w:p>
    <w:p>
      <w:pPr>
        <w:spacing w:after="0" w:line="94" w:lineRule="exact"/>
        <w:rPr>
          <w:sz w:val="20"/>
          <w:szCs w:val="20"/>
          <w:color w:val="auto"/>
        </w:rPr>
      </w:pPr>
    </w:p>
    <w:p>
      <w:pPr>
        <w:jc w:val="both"/>
        <w:ind w:left="580" w:right="100" w:firstLine="499"/>
        <w:spacing w:after="0" w:line="272" w:lineRule="auto"/>
        <w:rPr>
          <w:sz w:val="20"/>
          <w:szCs w:val="20"/>
          <w:color w:val="auto"/>
        </w:rPr>
      </w:pPr>
      <w:r>
        <w:rPr>
          <w:rFonts w:ascii="Arial" w:cs="Arial" w:eastAsia="Arial" w:hAnsi="Arial"/>
          <w:sz w:val="13"/>
          <w:szCs w:val="13"/>
          <w:color w:val="auto"/>
        </w:rPr>
        <w:t>We anticipate initiating a Phase 1/2 open-label, multi-center dose escalation and dose expansion basket study of BNT211 with or without a CLDN6 CARVac immunotherapy in the first half of 2020. We anticipate enrolling patients with advanced solid tumor malignancies who express CLDN6. While our preclinical focus has been on ovarian cancer, we expect patients with uterine, testicular, lung and gastric cancers may also be enrolled in our upcoming CAR-T trials.</w:t>
      </w:r>
    </w:p>
    <w:p>
      <w:pPr>
        <w:spacing w:after="0" w:line="132"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62865</wp:posOffset>
            </wp:positionV>
            <wp:extent cx="7180580"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40"/>
          </w:cols>
          <w:pgMar w:left="840" w:top="131" w:right="319" w:bottom="1440" w:gutter="0" w:footer="0" w:header="0"/>
        </w:sectPr>
      </w:pPr>
    </w:p>
    <w:bookmarkStart w:id="147" w:name="page148"/>
    <w:bookmarkEnd w:id="147"/>
    <w:p>
      <w:pPr>
        <w:ind w:left="1620"/>
        <w:spacing w:after="0"/>
        <w:rPr>
          <w:sz w:val="20"/>
          <w:szCs w:val="20"/>
          <w:color w:val="auto"/>
        </w:rPr>
      </w:pPr>
      <w:r>
        <w:rPr>
          <w:rFonts w:ascii="Arial" w:cs="Arial" w:eastAsia="Arial" w:hAnsi="Arial"/>
          <w:sz w:val="13"/>
          <w:szCs w:val="13"/>
          <w:i w:val="1"/>
          <w:iCs w:val="1"/>
          <w:color w:val="auto"/>
        </w:rPr>
        <w:t>Preclinical Studies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We have observed compelling preclinical data of BNT211 demonstrating potent anti-tumoral activity, including eradication of advanced tumors in an ovarian carcinoma xenograft</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120650</wp:posOffset>
            </wp:positionV>
            <wp:extent cx="1904365" cy="1961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0436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Potent anti-tumoral activity. </w:t>
      </w:r>
      <w:r>
        <w:rPr>
          <w:rFonts w:ascii="Arial" w:cs="Arial" w:eastAsia="Arial" w:hAnsi="Arial"/>
          <w:sz w:val="11"/>
          <w:szCs w:val="11"/>
          <w:color w:val="auto"/>
        </w:rPr>
        <w:t>As shown above, BNT211 demonstrated eradication of advanced tumors in a mouse model.</w:t>
      </w:r>
    </w:p>
    <w:p>
      <w:pPr>
        <w:spacing w:after="0" w:line="152" w:lineRule="exact"/>
        <w:rPr>
          <w:sz w:val="20"/>
          <w:szCs w:val="20"/>
          <w:color w:val="auto"/>
        </w:rPr>
      </w:pPr>
    </w:p>
    <w:p>
      <w:pPr>
        <w:ind w:left="1120" w:right="140" w:firstLine="499"/>
        <w:spacing w:after="0" w:line="264" w:lineRule="auto"/>
        <w:rPr>
          <w:sz w:val="20"/>
          <w:szCs w:val="20"/>
          <w:color w:val="auto"/>
        </w:rPr>
      </w:pPr>
      <w:r>
        <w:rPr>
          <w:rFonts w:ascii="Arial" w:cs="Arial" w:eastAsia="Arial" w:hAnsi="Arial"/>
          <w:sz w:val="13"/>
          <w:szCs w:val="13"/>
          <w:color w:val="auto"/>
        </w:rPr>
        <w:t>In January 2020, we published results for a preclinical study in which BNT211 was evaluated both in vitro in tumor cell lines and in vivo in mice with human ovarian cancer transplants. In mice, BNT211 demonstrated complete tumor regression of transplanted large human tumors within two weeks after treatment initiation. Furthermore, the combination with CARVac achieved improved engraftment, proliferation and expansion of CAR-T cells in vivo, resulting in tumor regression even at sub-therapeutic CAR-T doses. CARVac was also successfully applied for CAR-T cells targeting the pan-cancer antigen CLDN18.2 and CD19, the target of approved CAR-T cell therapies. The combination of CAR-T cell therapy with CARVac underlines the value of cross-platform synergies to address key development challenges in the treatment of cancer.</w:t>
      </w: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120" w:right="280" w:firstLine="499"/>
        <w:spacing w:after="0" w:line="214" w:lineRule="auto"/>
        <w:rPr>
          <w:sz w:val="20"/>
          <w:szCs w:val="20"/>
          <w:color w:val="auto"/>
        </w:rPr>
      </w:pPr>
      <w:r>
        <w:rPr>
          <w:rFonts w:ascii="Arial" w:cs="Arial" w:eastAsia="Arial" w:hAnsi="Arial"/>
          <w:sz w:val="13"/>
          <w:szCs w:val="13"/>
          <w:color w:val="auto"/>
        </w:rPr>
        <w:t>We are planning to initiate a Phase 1/2 clinical trial of the combination of BNT211 and a CLDN6-encoded CARVac in the first half of 2020 for the treatment of CLDN6</w:t>
      </w:r>
      <w:r>
        <w:rPr>
          <w:rFonts w:ascii="Arial" w:cs="Arial" w:eastAsia="Arial" w:hAnsi="Arial"/>
          <w:sz w:val="19"/>
          <w:szCs w:val="19"/>
          <w:color w:val="auto"/>
          <w:vertAlign w:val="superscript"/>
        </w:rPr>
        <w:t>+</w:t>
      </w:r>
      <w:r>
        <w:rPr>
          <w:rFonts w:ascii="Arial" w:cs="Arial" w:eastAsia="Arial" w:hAnsi="Arial"/>
          <w:sz w:val="13"/>
          <w:szCs w:val="13"/>
          <w:color w:val="auto"/>
        </w:rPr>
        <w:t xml:space="preserve"> solid tumors, including ovarian, testicular, uterine and lung cancer.</w:t>
      </w:r>
    </w:p>
    <w:p>
      <w:pPr>
        <w:spacing w:after="0" w:line="232" w:lineRule="exact"/>
        <w:rPr>
          <w:sz w:val="20"/>
          <w:szCs w:val="20"/>
          <w:color w:val="auto"/>
        </w:rPr>
      </w:pPr>
    </w:p>
    <w:p>
      <w:pPr>
        <w:ind w:left="2200" w:hanging="587"/>
        <w:spacing w:after="0"/>
        <w:tabs>
          <w:tab w:leader="none" w:pos="2200" w:val="left"/>
        </w:tabs>
        <w:numPr>
          <w:ilvl w:val="0"/>
          <w:numId w:val="18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BNT212: Our CAR-T Cell Therapy for the Treatment of CLDN18.2</w:t>
      </w:r>
      <w:r>
        <w:rPr>
          <w:rFonts w:ascii="Arial" w:cs="Arial" w:eastAsia="Arial" w:hAnsi="Arial"/>
          <w:sz w:val="19"/>
          <w:szCs w:val="19"/>
          <w:b w:val="1"/>
          <w:bCs w:val="1"/>
          <w:i w:val="1"/>
          <w:iCs w:val="1"/>
          <w:color w:val="auto"/>
          <w:vertAlign w:val="superscript"/>
        </w:rPr>
        <w:t>+</w:t>
      </w:r>
      <w:r>
        <w:rPr>
          <w:rFonts w:ascii="Arial" w:cs="Arial" w:eastAsia="Arial" w:hAnsi="Arial"/>
          <w:sz w:val="13"/>
          <w:szCs w:val="13"/>
          <w:b w:val="1"/>
          <w:bCs w:val="1"/>
          <w:i w:val="1"/>
          <w:iCs w:val="1"/>
          <w:color w:val="auto"/>
        </w:rPr>
        <w:t xml:space="preserve"> Solid Tumors</w:t>
      </w:r>
    </w:p>
    <w:p>
      <w:pPr>
        <w:spacing w:after="0" w:line="31" w:lineRule="exact"/>
        <w:rPr>
          <w:sz w:val="20"/>
          <w:szCs w:val="20"/>
          <w:color w:val="auto"/>
        </w:rPr>
      </w:pPr>
    </w:p>
    <w:p>
      <w:pPr>
        <w:ind w:left="1120" w:right="520" w:firstLine="499"/>
        <w:spacing w:after="0" w:line="271" w:lineRule="auto"/>
        <w:rPr>
          <w:sz w:val="20"/>
          <w:szCs w:val="20"/>
          <w:color w:val="auto"/>
        </w:rPr>
      </w:pPr>
      <w:r>
        <w:rPr>
          <w:rFonts w:ascii="Arial" w:cs="Arial" w:eastAsia="Arial" w:hAnsi="Arial"/>
          <w:sz w:val="13"/>
          <w:szCs w:val="13"/>
          <w:color w:val="auto"/>
        </w:rPr>
        <w:t>BNT212 is our CAR-T cell therapy for the treatment of CLDN18.2-positive solid tumors. BNT212 will initially be evaluated in combination with a CARVac that encodes CLDN18.2.</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Our BNT212 Target</w:t>
      </w:r>
    </w:p>
    <w:p>
      <w:pPr>
        <w:spacing w:after="0" w:line="90" w:lineRule="exact"/>
        <w:rPr>
          <w:sz w:val="20"/>
          <w:szCs w:val="20"/>
          <w:color w:val="auto"/>
        </w:rPr>
      </w:pPr>
    </w:p>
    <w:p>
      <w:pPr>
        <w:ind w:left="1120" w:firstLine="499"/>
        <w:spacing w:after="0" w:line="287" w:lineRule="auto"/>
        <w:rPr>
          <w:sz w:val="20"/>
          <w:szCs w:val="20"/>
          <w:color w:val="auto"/>
        </w:rPr>
      </w:pPr>
      <w:r>
        <w:rPr>
          <w:rFonts w:ascii="Arial" w:cs="Arial" w:eastAsia="Arial" w:hAnsi="Arial"/>
          <w:sz w:val="13"/>
          <w:szCs w:val="13"/>
          <w:color w:val="auto"/>
        </w:rPr>
        <w:t>BNT212 targets Claudin 18.2, or CLDN18.2, a highly specific target that is only expressed in cancer and in differentiated epithelial cells of the gastric mucosa, but it is absent from the gastric stem cell zone. CLDN18.2 is expressed in numerous epithelial solid tumors, including gastric, pancreatic, esophageal, ovarian and lung tumors.</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00"/>
          </w:cols>
          <w:pgMar w:left="300" w:top="371" w:right="399" w:bottom="1440" w:gutter="0" w:footer="0" w:header="0"/>
        </w:sectPr>
      </w:pPr>
    </w:p>
    <w:bookmarkStart w:id="148" w:name="page149"/>
    <w:bookmarkEnd w:id="148"/>
    <w:p>
      <w:pPr>
        <w:ind w:left="1100" w:hanging="550"/>
        <w:spacing w:after="0"/>
        <w:tabs>
          <w:tab w:leader="none" w:pos="1100" w:val="left"/>
        </w:tabs>
        <w:numPr>
          <w:ilvl w:val="0"/>
          <w:numId w:val="190"/>
        </w:numPr>
        <w:rPr>
          <w:rFonts w:ascii="Arial" w:cs="Arial" w:eastAsia="Arial" w:hAnsi="Arial"/>
          <w:sz w:val="13"/>
          <w:szCs w:val="13"/>
          <w:b w:val="1"/>
          <w:bCs w:val="1"/>
          <w:color w:val="auto"/>
        </w:rPr>
      </w:pPr>
      <w:r>
        <w:rPr>
          <w:rFonts w:ascii="Arial" w:cs="Arial" w:eastAsia="Arial" w:hAnsi="Arial"/>
          <w:sz w:val="13"/>
          <w:szCs w:val="13"/>
          <w:b w:val="1"/>
          <w:bCs w:val="1"/>
          <w:color w:val="auto"/>
        </w:rPr>
        <w:t>Our TCR Product Candidates in Oncology</w:t>
      </w:r>
    </w:p>
    <w:p>
      <w:pPr>
        <w:spacing w:after="0" w:line="94" w:lineRule="exact"/>
        <w:rPr>
          <w:sz w:val="20"/>
          <w:szCs w:val="20"/>
          <w:color w:val="auto"/>
        </w:rPr>
      </w:pPr>
    </w:p>
    <w:p>
      <w:pPr>
        <w:ind w:right="360" w:firstLine="556"/>
        <w:spacing w:after="0" w:line="272" w:lineRule="auto"/>
        <w:rPr>
          <w:sz w:val="20"/>
          <w:szCs w:val="20"/>
          <w:color w:val="auto"/>
        </w:rPr>
      </w:pPr>
      <w:r>
        <w:rPr>
          <w:rFonts w:ascii="Arial" w:cs="Arial" w:eastAsia="Arial" w:hAnsi="Arial"/>
          <w:sz w:val="13"/>
          <w:szCs w:val="13"/>
          <w:color w:val="auto"/>
        </w:rPr>
        <w:t>We are developing T cell receptor therapies for the treatment of cancer, including in collaboration with Eli Lilly. Under our collaboration, Eli Lilly has an exclusive option to pursue clinical development of certain potential TCR product candidates. We and Eli Lilly have concluded the research phase of the collaboration and Eli Lilly has exercised its option and selected a target to develop and commercialize.</w:t>
      </w:r>
    </w:p>
    <w:p>
      <w:pPr>
        <w:spacing w:after="0" w:line="208" w:lineRule="exact"/>
        <w:rPr>
          <w:sz w:val="20"/>
          <w:szCs w:val="20"/>
          <w:color w:val="auto"/>
        </w:rPr>
      </w:pPr>
    </w:p>
    <w:p>
      <w:pPr>
        <w:ind w:left="1100" w:hanging="550"/>
        <w:spacing w:after="0"/>
        <w:tabs>
          <w:tab w:leader="none" w:pos="1100" w:val="left"/>
        </w:tabs>
        <w:numPr>
          <w:ilvl w:val="0"/>
          <w:numId w:val="191"/>
        </w:numPr>
        <w:rPr>
          <w:rFonts w:ascii="Arial" w:cs="Arial" w:eastAsia="Arial" w:hAnsi="Arial"/>
          <w:sz w:val="13"/>
          <w:szCs w:val="13"/>
          <w:b w:val="1"/>
          <w:bCs w:val="1"/>
          <w:color w:val="auto"/>
        </w:rPr>
      </w:pPr>
      <w:r>
        <w:rPr>
          <w:rFonts w:ascii="Arial" w:cs="Arial" w:eastAsia="Arial" w:hAnsi="Arial"/>
          <w:sz w:val="13"/>
          <w:szCs w:val="13"/>
          <w:b w:val="1"/>
          <w:bCs w:val="1"/>
          <w:color w:val="auto"/>
        </w:rPr>
        <w:t>Our Antibody Product Candidates in Oncology</w:t>
      </w:r>
    </w:p>
    <w:p>
      <w:pPr>
        <w:spacing w:after="0" w:line="94" w:lineRule="exact"/>
        <w:rPr>
          <w:sz w:val="20"/>
          <w:szCs w:val="20"/>
          <w:color w:val="auto"/>
        </w:rPr>
      </w:pPr>
    </w:p>
    <w:p>
      <w:pPr>
        <w:ind w:left="1660" w:hanging="550"/>
        <w:spacing w:after="0"/>
        <w:tabs>
          <w:tab w:leader="none" w:pos="1660" w:val="left"/>
        </w:tabs>
        <w:numPr>
          <w:ilvl w:val="0"/>
          <w:numId w:val="19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Next-Generation Checkpoint Immunomodulators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our 50:50 collaboration program with Genmab, we are currently studying two bispecific antibody checkpoint immunomodulators.</w:t>
      </w:r>
    </w:p>
    <w:p>
      <w:pPr>
        <w:spacing w:after="0" w:line="250" w:lineRule="exact"/>
        <w:rPr>
          <w:sz w:val="20"/>
          <w:szCs w:val="20"/>
          <w:color w:val="auto"/>
        </w:rPr>
      </w:pPr>
    </w:p>
    <w:p>
      <w:pPr>
        <w:ind w:left="2200" w:hanging="540"/>
        <w:spacing w:after="0"/>
        <w:tabs>
          <w:tab w:leader="none" w:pos="2200" w:val="left"/>
        </w:tabs>
        <w:numPr>
          <w:ilvl w:val="0"/>
          <w:numId w:val="19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GEN1046 (BNT311): Our Jointly Owned DuoBody</w:t>
      </w:r>
      <w:r>
        <w:rPr>
          <w:rFonts w:ascii="Arial" w:cs="Arial" w:eastAsia="Arial" w:hAnsi="Arial"/>
          <w:sz w:val="19"/>
          <w:szCs w:val="19"/>
          <w:b w:val="1"/>
          <w:bCs w:val="1"/>
          <w:i w:val="1"/>
          <w:iCs w:val="1"/>
          <w:color w:val="auto"/>
          <w:vertAlign w:val="superscript"/>
        </w:rPr>
        <w:t>®</w:t>
      </w:r>
      <w:r>
        <w:rPr>
          <w:rFonts w:ascii="Arial" w:cs="Arial" w:eastAsia="Arial" w:hAnsi="Arial"/>
          <w:sz w:val="13"/>
          <w:szCs w:val="13"/>
          <w:b w:val="1"/>
          <w:bCs w:val="1"/>
          <w:i w:val="1"/>
          <w:iCs w:val="1"/>
          <w:color w:val="auto"/>
        </w:rPr>
        <w:t xml:space="preserve"> PD-L1x4-1BB Bispecific Antibody for the Treatment of Solid Tumors</w:t>
      </w:r>
    </w:p>
    <w:p>
      <w:pPr>
        <w:spacing w:after="0" w:line="31" w:lineRule="exact"/>
        <w:rPr>
          <w:sz w:val="20"/>
          <w:szCs w:val="20"/>
          <w:color w:val="auto"/>
        </w:rPr>
      </w:pPr>
    </w:p>
    <w:p>
      <w:pPr>
        <w:ind w:left="1120" w:right="360" w:firstLine="499"/>
        <w:spacing w:after="0" w:line="271" w:lineRule="auto"/>
        <w:rPr>
          <w:sz w:val="20"/>
          <w:szCs w:val="20"/>
          <w:color w:val="auto"/>
        </w:rPr>
      </w:pPr>
      <w:r>
        <w:rPr>
          <w:rFonts w:ascii="Arial" w:cs="Arial" w:eastAsia="Arial" w:hAnsi="Arial"/>
          <w:sz w:val="13"/>
          <w:szCs w:val="13"/>
          <w:color w:val="auto"/>
        </w:rPr>
        <w:t>GEN1046 (BNT311), our jointly owned PD-L1x4-1BB product candidate, is a potential first-in-class bispecific antibody combining PD-L1 checkpoint inhibition with 4-1BB checkpoint activation. The first patient in a Phase 1/2a trial of GEN1046 (BNT311) for the treatment of malignant solid tumors was dosed in May 2019.</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Our GEN1046 (BNT311) Targets</w:t>
      </w:r>
    </w:p>
    <w:p>
      <w:pPr>
        <w:spacing w:after="0" w:line="90" w:lineRule="exact"/>
        <w:rPr>
          <w:sz w:val="20"/>
          <w:szCs w:val="20"/>
          <w:color w:val="auto"/>
        </w:rPr>
      </w:pPr>
    </w:p>
    <w:p>
      <w:pPr>
        <w:ind w:left="1120" w:firstLine="499"/>
        <w:spacing w:after="0" w:line="271" w:lineRule="auto"/>
        <w:rPr>
          <w:sz w:val="20"/>
          <w:szCs w:val="20"/>
          <w:color w:val="auto"/>
        </w:rPr>
      </w:pPr>
      <w:r>
        <w:rPr>
          <w:rFonts w:ascii="Arial" w:cs="Arial" w:eastAsia="Arial" w:hAnsi="Arial"/>
          <w:sz w:val="13"/>
          <w:szCs w:val="13"/>
          <w:color w:val="auto"/>
        </w:rPr>
        <w:t>GEN1046 (BNT311) is a PD-L1x4-1BB bispecific antibody that induces conditional activation of T cells through 4-1BB stimulation which is dependent on simultaneous binding to PD-L1. In addition, the PD-L1-specific arm of DuoBody-PD-L1x4-1BB functions as a classical immune checkpoint inhibitor by blocking the PD-1/PD-L1 axis, also in the absence of 4-1BB binding. PD-L1 is a validated target that is expressed on tumor cells. 4-1BB is a trans-membrane receptor belonging to the TNF super-family and is expressed predominantly on activated T cells. DuoBody</w:t>
      </w:r>
      <w:r>
        <w:rPr>
          <w:rFonts w:ascii="Arial" w:cs="Arial" w:eastAsia="Arial" w:hAnsi="Arial"/>
          <w:sz w:val="19"/>
          <w:szCs w:val="19"/>
          <w:color w:val="auto"/>
          <w:vertAlign w:val="superscript"/>
        </w:rPr>
        <w:t>®</w:t>
      </w:r>
      <w:r>
        <w:rPr>
          <w:rFonts w:ascii="Arial" w:cs="Arial" w:eastAsia="Arial" w:hAnsi="Arial"/>
          <w:sz w:val="13"/>
          <w:szCs w:val="13"/>
          <w:color w:val="auto"/>
        </w:rPr>
        <w:t xml:space="preserve"> is a registered trademark of Genmab.</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GEN1046 (BNT311) Trials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3"/>
          <w:szCs w:val="13"/>
          <w:i w:val="1"/>
          <w:iCs w:val="1"/>
          <w:color w:val="auto"/>
        </w:rPr>
        <w:t>Ongoing Phase 1/2a Clinical Trial</w:t>
      </w:r>
    </w:p>
    <w:p>
      <w:pPr>
        <w:spacing w:after="0" w:line="90" w:lineRule="exact"/>
        <w:rPr>
          <w:sz w:val="20"/>
          <w:szCs w:val="20"/>
          <w:color w:val="auto"/>
        </w:rPr>
      </w:pPr>
    </w:p>
    <w:p>
      <w:pPr>
        <w:ind w:left="1120" w:firstLine="499"/>
        <w:spacing w:after="0" w:line="291" w:lineRule="auto"/>
        <w:rPr>
          <w:sz w:val="20"/>
          <w:szCs w:val="20"/>
          <w:color w:val="auto"/>
        </w:rPr>
      </w:pPr>
      <w:r>
        <w:rPr>
          <w:rFonts w:ascii="Arial" w:cs="Arial" w:eastAsia="Arial" w:hAnsi="Arial"/>
          <w:sz w:val="12"/>
          <w:szCs w:val="12"/>
          <w:color w:val="auto"/>
        </w:rPr>
        <w:t>The ongoing Phase 1/2a, open-label, single-arm GEN1046 (BNT311) trial with multiple expansion cohorts, conducted in collaboration with Genmab, is expected to enroll approximately 192 patients with malignant solid tumors. The trial consists of a dose escalation part and an expansion part. The dose escalation part will determine the safety profile of GEN1046 (BNT311) in subjects with certain relapsed or refractory, advanced and/or metastatic malignant solid tumors who are no longer candidates for standard therapy. The expansion part will be initiated once the recommended Phase 2 dose has been established in Phase 1. In the expansion part, GEN1046 (BNT311) will be administered intravenously once every 21 days. The primary endpoints of the trial are dose-limiting toxicities, adverse events and safety laboratory parameters, including hematology, biochemistry, coagulation and endocrinology.</w:t>
      </w:r>
    </w:p>
    <w:p>
      <w:pPr>
        <w:spacing w:after="0" w:line="203" w:lineRule="exact"/>
        <w:rPr>
          <w:sz w:val="20"/>
          <w:szCs w:val="20"/>
          <w:color w:val="auto"/>
        </w:rPr>
      </w:pPr>
    </w:p>
    <w:p>
      <w:pPr>
        <w:ind w:left="1620"/>
        <w:spacing w:after="0"/>
        <w:rPr>
          <w:sz w:val="20"/>
          <w:szCs w:val="20"/>
          <w:color w:val="auto"/>
        </w:rPr>
      </w:pPr>
      <w:r>
        <w:rPr>
          <w:rFonts w:ascii="Arial" w:cs="Arial" w:eastAsia="Arial" w:hAnsi="Arial"/>
          <w:sz w:val="13"/>
          <w:szCs w:val="13"/>
          <w:i w:val="1"/>
          <w:iCs w:val="1"/>
          <w:color w:val="auto"/>
        </w:rPr>
        <w:t>Preclinical Studies</w:t>
      </w:r>
    </w:p>
    <w:p>
      <w:pPr>
        <w:spacing w:after="0" w:line="90" w:lineRule="exact"/>
        <w:rPr>
          <w:sz w:val="20"/>
          <w:szCs w:val="20"/>
          <w:color w:val="auto"/>
        </w:rPr>
      </w:pPr>
    </w:p>
    <w:p>
      <w:pPr>
        <w:ind w:left="1120" w:right="40" w:firstLine="499"/>
        <w:spacing w:after="0" w:line="287" w:lineRule="auto"/>
        <w:rPr>
          <w:sz w:val="20"/>
          <w:szCs w:val="20"/>
          <w:color w:val="auto"/>
        </w:rPr>
      </w:pPr>
      <w:r>
        <w:rPr>
          <w:rFonts w:ascii="Arial" w:cs="Arial" w:eastAsia="Arial" w:hAnsi="Arial"/>
          <w:sz w:val="13"/>
          <w:szCs w:val="13"/>
          <w:color w:val="auto"/>
        </w:rPr>
        <w:t>In preclinical settings, GEN1046 (BNT311) induces conditional activation of T cells through 4-1BB stimulation which is dependent on simultaneous binding to PD-L1. In addition, the PD-L1-specific arm of DuoBody-PD-L1x4-1BB functions as a classical immune checkpoint inhibitor by blocking the PD-1/PD-L1 axis.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We expect to report a data update for our ongoing Phase 1/2 trial in the second half of 2020.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49" w:name="page150"/>
    <w:bookmarkEnd w:id="149"/>
    <w:p>
      <w:pPr>
        <w:ind w:left="1090" w:hanging="537"/>
        <w:spacing w:after="0"/>
        <w:tabs>
          <w:tab w:leader="none" w:pos="1090" w:val="left"/>
        </w:tabs>
        <w:numPr>
          <w:ilvl w:val="0"/>
          <w:numId w:val="19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GEN1042 (BNT312): Our Jointly Owned DuoBody</w:t>
      </w:r>
      <w:r>
        <w:rPr>
          <w:rFonts w:ascii="Arial" w:cs="Arial" w:eastAsia="Arial" w:hAnsi="Arial"/>
          <w:sz w:val="19"/>
          <w:szCs w:val="19"/>
          <w:b w:val="1"/>
          <w:bCs w:val="1"/>
          <w:i w:val="1"/>
          <w:iCs w:val="1"/>
          <w:color w:val="auto"/>
          <w:vertAlign w:val="superscript"/>
        </w:rPr>
        <w:t>®</w:t>
      </w:r>
      <w:r>
        <w:rPr>
          <w:rFonts w:ascii="Arial" w:cs="Arial" w:eastAsia="Arial" w:hAnsi="Arial"/>
          <w:sz w:val="13"/>
          <w:szCs w:val="13"/>
          <w:b w:val="1"/>
          <w:bCs w:val="1"/>
          <w:i w:val="1"/>
          <w:iCs w:val="1"/>
          <w:color w:val="auto"/>
        </w:rPr>
        <w:t xml:space="preserve"> CD40x4-1BB Bispecific Antibody for the Treatment of Solid Tumors</w:t>
      </w:r>
    </w:p>
    <w:p>
      <w:pPr>
        <w:spacing w:after="0" w:line="31" w:lineRule="exact"/>
        <w:rPr>
          <w:sz w:val="20"/>
          <w:szCs w:val="20"/>
          <w:color w:val="auto"/>
        </w:rPr>
      </w:pPr>
    </w:p>
    <w:p>
      <w:pPr>
        <w:jc w:val="both"/>
        <w:ind w:left="10" w:firstLine="499"/>
        <w:spacing w:after="0" w:line="264" w:lineRule="auto"/>
        <w:rPr>
          <w:sz w:val="20"/>
          <w:szCs w:val="20"/>
          <w:color w:val="auto"/>
        </w:rPr>
      </w:pPr>
      <w:r>
        <w:rPr>
          <w:rFonts w:ascii="Arial" w:cs="Arial" w:eastAsia="Arial" w:hAnsi="Arial"/>
          <w:sz w:val="13"/>
          <w:szCs w:val="13"/>
          <w:color w:val="auto"/>
        </w:rPr>
        <w:t>GEN1042 (BNT312), our jointly owned CD40x4-1BB antibody product candidate, is a potential first-in-class bispecific antibody designed to induce conditional immune activation by crosslinking CD40 and 4-1BB positive cells. We and Genmab began recruitment and screening for a Phase 1/2a trial of GEN1042 (BNT312) for the treatment of malignant solid tumors in August 2019.</w:t>
      </w:r>
    </w:p>
    <w:p>
      <w:pPr>
        <w:spacing w:after="0" w:line="217" w:lineRule="exact"/>
        <w:rPr>
          <w:sz w:val="20"/>
          <w:szCs w:val="20"/>
          <w:color w:val="auto"/>
        </w:rPr>
      </w:pPr>
    </w:p>
    <w:p>
      <w:pPr>
        <w:ind w:left="510"/>
        <w:spacing w:after="0"/>
        <w:rPr>
          <w:sz w:val="20"/>
          <w:szCs w:val="20"/>
          <w:color w:val="auto"/>
        </w:rPr>
      </w:pPr>
      <w:r>
        <w:rPr>
          <w:rFonts w:ascii="Arial" w:cs="Arial" w:eastAsia="Arial" w:hAnsi="Arial"/>
          <w:sz w:val="13"/>
          <w:szCs w:val="13"/>
          <w:b w:val="1"/>
          <w:bCs w:val="1"/>
          <w:i w:val="1"/>
          <w:iCs w:val="1"/>
          <w:color w:val="auto"/>
        </w:rPr>
        <w:t>GEN1042 (BNT312) Targets</w:t>
      </w:r>
    </w:p>
    <w:p>
      <w:pPr>
        <w:spacing w:after="0" w:line="90" w:lineRule="exact"/>
        <w:rPr>
          <w:sz w:val="20"/>
          <w:szCs w:val="20"/>
          <w:color w:val="auto"/>
        </w:rPr>
      </w:pPr>
    </w:p>
    <w:p>
      <w:pPr>
        <w:ind w:left="10" w:right="20" w:firstLine="499"/>
        <w:spacing w:after="0" w:line="233" w:lineRule="auto"/>
        <w:rPr>
          <w:sz w:val="20"/>
          <w:szCs w:val="20"/>
          <w:color w:val="auto"/>
        </w:rPr>
      </w:pPr>
      <w:r>
        <w:rPr>
          <w:rFonts w:ascii="Arial" w:cs="Arial" w:eastAsia="Arial" w:hAnsi="Arial"/>
          <w:sz w:val="13"/>
          <w:szCs w:val="13"/>
          <w:color w:val="auto"/>
        </w:rPr>
        <w:t>GEN1042 (BNT312) is a bispecific antibody designed to enhance an anti-tumor immune response through conditional CD40-mediated stimulation of antigen presenting cells cross-linked with conditional stimulation of 4-1BB</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It has demonstrated increased tumor infiltrating lymphocyte expansion in human tumor tissue cultures </w:t>
      </w:r>
      <w:r>
        <w:rPr>
          <w:rFonts w:ascii="Arial" w:cs="Arial" w:eastAsia="Arial" w:hAnsi="Arial"/>
          <w:sz w:val="13"/>
          <w:szCs w:val="13"/>
          <w:i w:val="1"/>
          <w:iCs w:val="1"/>
          <w:color w:val="auto"/>
        </w:rPr>
        <w:t>ex vivo</w:t>
      </w:r>
      <w:r>
        <w:rPr>
          <w:rFonts w:ascii="Arial" w:cs="Arial" w:eastAsia="Arial" w:hAnsi="Arial"/>
          <w:sz w:val="13"/>
          <w:szCs w:val="13"/>
          <w:color w:val="auto"/>
        </w:rPr>
        <w:t xml:space="preserve"> and has induced tumor regression of murine tumors superior to pure PD-L1 blockage associated with an increase in tumor-specific CD8 T-cells. The cell surface molecule CD40 is a member of the tumor necrosis factor receptor superfamily.</w:t>
      </w:r>
    </w:p>
    <w:p>
      <w:pPr>
        <w:spacing w:after="0" w:line="232" w:lineRule="exact"/>
        <w:rPr>
          <w:sz w:val="20"/>
          <w:szCs w:val="20"/>
          <w:color w:val="auto"/>
        </w:rPr>
      </w:pPr>
    </w:p>
    <w:p>
      <w:pPr>
        <w:ind w:left="510"/>
        <w:spacing w:after="0"/>
        <w:rPr>
          <w:sz w:val="20"/>
          <w:szCs w:val="20"/>
          <w:color w:val="auto"/>
        </w:rPr>
      </w:pPr>
      <w:r>
        <w:rPr>
          <w:rFonts w:ascii="Arial" w:cs="Arial" w:eastAsia="Arial" w:hAnsi="Arial"/>
          <w:sz w:val="13"/>
          <w:szCs w:val="13"/>
          <w:b w:val="1"/>
          <w:bCs w:val="1"/>
          <w:i w:val="1"/>
          <w:iCs w:val="1"/>
          <w:color w:val="auto"/>
        </w:rPr>
        <w:t>GEN1042 (BNT312) Preclinical Studies</w:t>
      </w:r>
    </w:p>
    <w:p>
      <w:pPr>
        <w:spacing w:after="0" w:line="90" w:lineRule="exact"/>
        <w:rPr>
          <w:sz w:val="20"/>
          <w:szCs w:val="20"/>
          <w:color w:val="auto"/>
        </w:rPr>
      </w:pPr>
    </w:p>
    <w:p>
      <w:pPr>
        <w:ind w:left="10" w:right="60" w:firstLine="499"/>
        <w:spacing w:after="0" w:line="226" w:lineRule="auto"/>
        <w:rPr>
          <w:sz w:val="20"/>
          <w:szCs w:val="20"/>
          <w:color w:val="auto"/>
        </w:rPr>
      </w:pPr>
      <w:r>
        <w:rPr>
          <w:rFonts w:ascii="Arial" w:cs="Arial" w:eastAsia="Arial" w:hAnsi="Arial"/>
          <w:sz w:val="13"/>
          <w:szCs w:val="13"/>
          <w:color w:val="auto"/>
        </w:rPr>
        <w:t>GEN1042 (BNT312) is designed to target CD40 and 4-1BB to enhance both dendritic cell and antigen-dependent T cell activation. In preclinical settings, GEN1042 (BNT312) activated antigen presenting cells and enhanced T cell activation. Preclinical studies also indicated the conditional activation and (clonal) expansion of previously activated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and cytokine production resulting from GEN1042 (BNT312).</w:t>
      </w:r>
    </w:p>
    <w:p>
      <w:pPr>
        <w:spacing w:after="0" w:line="233" w:lineRule="exact"/>
        <w:rPr>
          <w:sz w:val="20"/>
          <w:szCs w:val="20"/>
          <w:color w:val="auto"/>
        </w:rPr>
      </w:pPr>
    </w:p>
    <w:p>
      <w:pPr>
        <w:ind w:left="550" w:hanging="550"/>
        <w:spacing w:after="0"/>
        <w:tabs>
          <w:tab w:leader="none" w:pos="550" w:val="left"/>
        </w:tabs>
        <w:numPr>
          <w:ilvl w:val="0"/>
          <w:numId w:val="19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Targeted Cancer Antibodies</w:t>
      </w:r>
    </w:p>
    <w:p>
      <w:pPr>
        <w:spacing w:after="0" w:line="90" w:lineRule="exact"/>
        <w:rPr>
          <w:sz w:val="20"/>
          <w:szCs w:val="20"/>
          <w:color w:val="auto"/>
        </w:rPr>
      </w:pPr>
    </w:p>
    <w:p>
      <w:pPr>
        <w:ind w:left="1090" w:hanging="540"/>
        <w:spacing w:after="0"/>
        <w:tabs>
          <w:tab w:leader="none" w:pos="1090" w:val="left"/>
        </w:tabs>
        <w:numPr>
          <w:ilvl w:val="0"/>
          <w:numId w:val="19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MVT-5873 (BNT321): Our Targeted Cancer Antibody for the Treatment of Pancreatic Cancer</w:t>
      </w:r>
    </w:p>
    <w:p>
      <w:pPr>
        <w:spacing w:after="0" w:line="90" w:lineRule="exact"/>
        <w:rPr>
          <w:sz w:val="20"/>
          <w:szCs w:val="20"/>
          <w:color w:val="auto"/>
        </w:rPr>
      </w:pPr>
    </w:p>
    <w:p>
      <w:pPr>
        <w:ind w:left="510"/>
        <w:spacing w:after="0"/>
        <w:rPr>
          <w:sz w:val="20"/>
          <w:szCs w:val="20"/>
          <w:color w:val="auto"/>
        </w:rPr>
      </w:pPr>
      <w:r>
        <w:rPr>
          <w:rFonts w:ascii="Arial" w:cs="Arial" w:eastAsia="Arial" w:hAnsi="Arial"/>
          <w:sz w:val="13"/>
          <w:szCs w:val="13"/>
          <w:color w:val="auto"/>
        </w:rPr>
        <w:t>In May 2019, we acquired certain antibody assets from MabVax Therapeutics Holding, Inc., including MVT-5873 (BNT321), a clinical-stage targeted cancer antibody.</w:t>
      </w:r>
    </w:p>
    <w:p>
      <w:pPr>
        <w:spacing w:after="0" w:line="250" w:lineRule="exact"/>
        <w:rPr>
          <w:sz w:val="20"/>
          <w:szCs w:val="20"/>
          <w:color w:val="auto"/>
        </w:rPr>
      </w:pPr>
    </w:p>
    <w:p>
      <w:pPr>
        <w:ind w:left="510"/>
        <w:spacing w:after="0"/>
        <w:rPr>
          <w:sz w:val="20"/>
          <w:szCs w:val="20"/>
          <w:color w:val="auto"/>
        </w:rPr>
      </w:pPr>
      <w:r>
        <w:rPr>
          <w:rFonts w:ascii="Arial" w:cs="Arial" w:eastAsia="Arial" w:hAnsi="Arial"/>
          <w:sz w:val="13"/>
          <w:szCs w:val="13"/>
          <w:b w:val="1"/>
          <w:bCs w:val="1"/>
          <w:i w:val="1"/>
          <w:iCs w:val="1"/>
          <w:color w:val="auto"/>
        </w:rPr>
        <w:t>Pancreatic Cancer</w:t>
      </w:r>
    </w:p>
    <w:p>
      <w:pPr>
        <w:spacing w:after="0" w:line="90" w:lineRule="exact"/>
        <w:rPr>
          <w:sz w:val="20"/>
          <w:szCs w:val="20"/>
          <w:color w:val="auto"/>
        </w:rPr>
      </w:pPr>
    </w:p>
    <w:p>
      <w:pPr>
        <w:ind w:left="10" w:right="180" w:firstLine="499"/>
        <w:spacing w:after="0" w:line="287" w:lineRule="auto"/>
        <w:rPr>
          <w:sz w:val="20"/>
          <w:szCs w:val="20"/>
          <w:color w:val="auto"/>
        </w:rPr>
      </w:pPr>
      <w:r>
        <w:rPr>
          <w:rFonts w:ascii="Arial" w:cs="Arial" w:eastAsia="Arial" w:hAnsi="Arial"/>
          <w:sz w:val="13"/>
          <w:szCs w:val="13"/>
          <w:color w:val="auto"/>
        </w:rPr>
        <w:t>In 2019, the American Cancer Society estimated that approximately 56,770 people will be diagnosed with pancreatic cancer in the United States annually. Pancreatic cancer is an aggressive cancer, with a five-year survival rate from diagnosis, across all stages combined, of 9%.</w:t>
      </w:r>
    </w:p>
    <w:p>
      <w:pPr>
        <w:spacing w:after="0" w:line="202" w:lineRule="exact"/>
        <w:rPr>
          <w:sz w:val="20"/>
          <w:szCs w:val="20"/>
          <w:color w:val="auto"/>
        </w:rPr>
      </w:pPr>
    </w:p>
    <w:p>
      <w:pPr>
        <w:ind w:left="510"/>
        <w:spacing w:after="0"/>
        <w:rPr>
          <w:sz w:val="20"/>
          <w:szCs w:val="20"/>
          <w:color w:val="auto"/>
        </w:rPr>
      </w:pPr>
      <w:r>
        <w:rPr>
          <w:rFonts w:ascii="Arial" w:cs="Arial" w:eastAsia="Arial" w:hAnsi="Arial"/>
          <w:sz w:val="13"/>
          <w:szCs w:val="13"/>
          <w:b w:val="1"/>
          <w:bCs w:val="1"/>
          <w:i w:val="1"/>
          <w:iCs w:val="1"/>
          <w:color w:val="auto"/>
        </w:rPr>
        <w:t>Our MVT-5873 (BNT321) Target</w:t>
      </w:r>
    </w:p>
    <w:p>
      <w:pPr>
        <w:spacing w:after="0" w:line="90" w:lineRule="exact"/>
        <w:rPr>
          <w:sz w:val="20"/>
          <w:szCs w:val="20"/>
          <w:color w:val="auto"/>
        </w:rPr>
      </w:pPr>
    </w:p>
    <w:p>
      <w:pPr>
        <w:ind w:left="10" w:right="160" w:firstLine="499"/>
        <w:spacing w:after="0" w:line="214" w:lineRule="auto"/>
        <w:rPr>
          <w:sz w:val="20"/>
          <w:szCs w:val="20"/>
          <w:color w:val="auto"/>
        </w:rPr>
      </w:pPr>
      <w:r>
        <w:rPr>
          <w:rFonts w:ascii="Arial" w:cs="Arial" w:eastAsia="Arial" w:hAnsi="Arial"/>
          <w:sz w:val="13"/>
          <w:szCs w:val="13"/>
          <w:color w:val="auto"/>
        </w:rPr>
        <w:t>MVT-5873 (BNT321) is a fully human IgG1 monoclonal antibody targeting sialyl Lewis A (sLe</w:t>
      </w:r>
      <w:r>
        <w:rPr>
          <w:rFonts w:ascii="Arial" w:cs="Arial" w:eastAsia="Arial" w:hAnsi="Arial"/>
          <w:sz w:val="19"/>
          <w:szCs w:val="19"/>
          <w:color w:val="auto"/>
          <w:vertAlign w:val="superscript"/>
        </w:rPr>
        <w:t>a</w:t>
      </w:r>
      <w:r>
        <w:rPr>
          <w:rFonts w:ascii="Arial" w:cs="Arial" w:eastAsia="Arial" w:hAnsi="Arial"/>
          <w:sz w:val="13"/>
          <w:szCs w:val="13"/>
          <w:color w:val="auto"/>
        </w:rPr>
        <w:t>), an epitope on CA19-9 that is expressed in pancreatic and other gastrointestinal cancers that plays a role in tumor adhesion and metastasis formation, and is a marker of an aggressive cancer phenotype.</w:t>
      </w:r>
    </w:p>
    <w:p>
      <w:pPr>
        <w:spacing w:after="0" w:line="232" w:lineRule="exact"/>
        <w:rPr>
          <w:sz w:val="20"/>
          <w:szCs w:val="20"/>
          <w:color w:val="auto"/>
        </w:rPr>
      </w:pPr>
    </w:p>
    <w:p>
      <w:pPr>
        <w:ind w:left="510"/>
        <w:spacing w:after="0"/>
        <w:rPr>
          <w:sz w:val="20"/>
          <w:szCs w:val="20"/>
          <w:color w:val="auto"/>
        </w:rPr>
      </w:pPr>
      <w:r>
        <w:rPr>
          <w:rFonts w:ascii="Arial" w:cs="Arial" w:eastAsia="Arial" w:hAnsi="Arial"/>
          <w:sz w:val="13"/>
          <w:szCs w:val="13"/>
          <w:b w:val="1"/>
          <w:bCs w:val="1"/>
          <w:i w:val="1"/>
          <w:iCs w:val="1"/>
          <w:color w:val="auto"/>
        </w:rPr>
        <w:t>Our MVT-5873 (BNT321) Trials</w:t>
      </w:r>
    </w:p>
    <w:p>
      <w:pPr>
        <w:spacing w:after="0" w:line="90" w:lineRule="exact"/>
        <w:rPr>
          <w:sz w:val="20"/>
          <w:szCs w:val="20"/>
          <w:color w:val="auto"/>
        </w:rPr>
      </w:pPr>
    </w:p>
    <w:p>
      <w:pPr>
        <w:ind w:left="10" w:right="60" w:firstLine="499"/>
        <w:spacing w:after="0" w:line="267" w:lineRule="auto"/>
        <w:rPr>
          <w:sz w:val="20"/>
          <w:szCs w:val="20"/>
          <w:color w:val="auto"/>
        </w:rPr>
      </w:pPr>
      <w:r>
        <w:rPr>
          <w:rFonts w:ascii="Arial" w:cs="Arial" w:eastAsia="Arial" w:hAnsi="Arial"/>
          <w:sz w:val="13"/>
          <w:szCs w:val="13"/>
          <w:color w:val="auto"/>
        </w:rPr>
        <w:t>MVT-5873 (BNT321) is being investigated in an open-label, multi-center, non-randomized dose escalation Phase 1/2 study evaluating the safety and recommended Phase 2 dose of MVT-5873 (BNT321) both as a monotherapy and in combination with a standard of care chemotherapy in approximately 68 subjects with pancreatic and other CA19-9+ malignancies. Secondary objectives include evaluating tumor response rate by RECIST 1.1, duration of response, and determining pharmacokinetics. This study utilizes a conventional 3+3 design to identify the recommended Phase 2 dose.</w:t>
      </w:r>
    </w:p>
    <w:p>
      <w:pPr>
        <w:spacing w:after="0" w:line="135" w:lineRule="exact"/>
        <w:rPr>
          <w:sz w:val="20"/>
          <w:szCs w:val="20"/>
          <w:color w:val="auto"/>
        </w:rPr>
      </w:pPr>
    </w:p>
    <w:p>
      <w:pPr>
        <w:ind w:left="10" w:right="20" w:firstLine="503"/>
        <w:spacing w:after="0" w:line="304" w:lineRule="auto"/>
        <w:rPr>
          <w:sz w:val="20"/>
          <w:szCs w:val="20"/>
          <w:color w:val="auto"/>
        </w:rPr>
      </w:pPr>
      <w:r>
        <w:rPr>
          <w:rFonts w:ascii="Arial" w:cs="Arial" w:eastAsia="Arial" w:hAnsi="Arial"/>
          <w:sz w:val="12"/>
          <w:szCs w:val="12"/>
          <w:color w:val="auto"/>
        </w:rPr>
        <w:t>Interim data for the combination cohort was reported in February 2018. In this cohort, MVT-5873 (BNT321) was given in combination with nab-paclitaxel and gemcitabine to patients newly diagnosed with CA19-9+ pancreatic cancer. MVT-5873 (BNT321) at a dose of 0.125mg/kg when added to first-line chemotherapy was generally well tolerated by all subjects. All six patients evaluated had measurable tumor reductions by RECIST, with four patients meeting the criteria for partial response and two patients meeting the criteria for stable disease.</w:t>
      </w:r>
    </w:p>
    <w:p>
      <w:pPr>
        <w:spacing w:after="0" w:line="116" w:lineRule="exact"/>
        <w:rPr>
          <w:sz w:val="20"/>
          <w:szCs w:val="20"/>
          <w:color w:val="auto"/>
        </w:rPr>
      </w:pPr>
    </w:p>
    <w:p>
      <w:pPr>
        <w:ind w:left="4430"/>
        <w:spacing w:after="0"/>
        <w:rPr>
          <w:sz w:val="20"/>
          <w:szCs w:val="20"/>
          <w:color w:val="auto"/>
        </w:rPr>
      </w:pPr>
      <w:r>
        <w:rPr>
          <w:rFonts w:ascii="Arial" w:cs="Arial" w:eastAsia="Arial" w:hAnsi="Arial"/>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62865</wp:posOffset>
            </wp:positionV>
            <wp:extent cx="7180580"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50"/>
          </w:cols>
          <w:pgMar w:left="1410" w:top="131" w:right="339" w:bottom="1440" w:gutter="0" w:footer="0" w:header="0"/>
        </w:sectPr>
      </w:pPr>
    </w:p>
    <w:bookmarkStart w:id="150" w:name="page151"/>
    <w:bookmarkEnd w:id="150"/>
    <w:p>
      <w:pPr>
        <w:ind w:left="1080"/>
        <w:spacing w:after="0"/>
        <w:rPr>
          <w:sz w:val="20"/>
          <w:szCs w:val="20"/>
          <w:color w:val="auto"/>
        </w:rPr>
      </w:pPr>
      <w:r>
        <w:rPr>
          <w:rFonts w:ascii="Arial" w:cs="Arial" w:eastAsia="Arial" w:hAnsi="Arial"/>
          <w:sz w:val="13"/>
          <w:szCs w:val="13"/>
          <w:color w:val="auto"/>
        </w:rPr>
        <w:t>We have resumed this trial and dosing has begun.</w:t>
      </w:r>
    </w:p>
    <w:p>
      <w:pPr>
        <w:spacing w:after="0" w:line="246" w:lineRule="exact"/>
        <w:rPr>
          <w:sz w:val="20"/>
          <w:szCs w:val="20"/>
          <w:color w:val="auto"/>
        </w:rPr>
      </w:pPr>
    </w:p>
    <w:p>
      <w:pPr>
        <w:ind w:left="560" w:hanging="550"/>
        <w:spacing w:after="0"/>
        <w:tabs>
          <w:tab w:leader="none" w:pos="560" w:val="left"/>
        </w:tabs>
        <w:numPr>
          <w:ilvl w:val="0"/>
          <w:numId w:val="197"/>
        </w:numPr>
        <w:rPr>
          <w:rFonts w:ascii="Arial" w:cs="Arial" w:eastAsia="Arial" w:hAnsi="Arial"/>
          <w:sz w:val="13"/>
          <w:szCs w:val="13"/>
          <w:b w:val="1"/>
          <w:bCs w:val="1"/>
          <w:color w:val="auto"/>
        </w:rPr>
      </w:pPr>
      <w:r>
        <w:rPr>
          <w:rFonts w:ascii="Arial" w:cs="Arial" w:eastAsia="Arial" w:hAnsi="Arial"/>
          <w:sz w:val="13"/>
          <w:szCs w:val="13"/>
          <w:b w:val="1"/>
          <w:bCs w:val="1"/>
          <w:color w:val="auto"/>
        </w:rPr>
        <w:t>Our Oncology Small Molecule Immunomodulator Product Candidates</w:t>
      </w:r>
    </w:p>
    <w:p>
      <w:pPr>
        <w:spacing w:after="0" w:line="94" w:lineRule="exact"/>
        <w:rPr>
          <w:rFonts w:ascii="Arial" w:cs="Arial" w:eastAsia="Arial" w:hAnsi="Arial"/>
          <w:sz w:val="13"/>
          <w:szCs w:val="13"/>
          <w:b w:val="1"/>
          <w:bCs w:val="1"/>
          <w:color w:val="auto"/>
        </w:rPr>
      </w:pPr>
    </w:p>
    <w:p>
      <w:pPr>
        <w:ind w:left="1120" w:hanging="550"/>
        <w:spacing w:after="0"/>
        <w:tabs>
          <w:tab w:leader="none" w:pos="1120" w:val="left"/>
        </w:tabs>
        <w:numPr>
          <w:ilvl w:val="1"/>
          <w:numId w:val="19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BNT411: Our Small Molecule TLR7 Agonist for the Treatment of Colorectal and Bladder Cancer</w:t>
      </w:r>
    </w:p>
    <w:p>
      <w:pPr>
        <w:spacing w:after="0" w:line="90" w:lineRule="exact"/>
        <w:rPr>
          <w:sz w:val="20"/>
          <w:szCs w:val="20"/>
          <w:color w:val="auto"/>
        </w:rPr>
      </w:pPr>
    </w:p>
    <w:p>
      <w:pPr>
        <w:ind w:left="20" w:right="340" w:firstLine="527"/>
        <w:spacing w:after="0" w:line="287" w:lineRule="auto"/>
        <w:rPr>
          <w:sz w:val="20"/>
          <w:szCs w:val="20"/>
          <w:color w:val="auto"/>
        </w:rPr>
      </w:pPr>
      <w:r>
        <w:rPr>
          <w:rFonts w:ascii="Arial" w:cs="Arial" w:eastAsia="Arial" w:hAnsi="Arial"/>
          <w:sz w:val="13"/>
          <w:szCs w:val="13"/>
          <w:color w:val="auto"/>
        </w:rPr>
        <w:t>BNT411 is our novel small molecule TLR7 agonist product candidate. BNT411 is designed to activate both the adaptive and innate immune system through the TLR7 pathway. We are designing BNT411 to be used in combination with chemotherapy and checkpoint inhibitors. We filed an IND for BNT411 in November 2019.</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Our BNT411 Target</w:t>
      </w:r>
    </w:p>
    <w:p>
      <w:pPr>
        <w:spacing w:after="0" w:line="90" w:lineRule="exact"/>
        <w:rPr>
          <w:sz w:val="20"/>
          <w:szCs w:val="20"/>
          <w:color w:val="auto"/>
        </w:rPr>
      </w:pPr>
    </w:p>
    <w:p>
      <w:pPr>
        <w:ind w:left="20" w:firstLine="527"/>
        <w:spacing w:after="0" w:line="292" w:lineRule="auto"/>
        <w:rPr>
          <w:sz w:val="20"/>
          <w:szCs w:val="20"/>
          <w:color w:val="auto"/>
        </w:rPr>
      </w:pPr>
      <w:r>
        <w:rPr>
          <w:rFonts w:ascii="Arial" w:cs="Arial" w:eastAsia="Arial" w:hAnsi="Arial"/>
          <w:sz w:val="13"/>
          <w:szCs w:val="13"/>
          <w:color w:val="auto"/>
        </w:rPr>
        <w:t>BNT411 is a TLR7 agonist that is designed to activate both the adaptive and innate immune system through the TLR7 pathway. This activity and the release of cytokines and chemokines are designed to result in the potent stimulation of antigen-specific CD8</w:t>
      </w:r>
      <w:r>
        <w:rPr>
          <w:rFonts w:ascii="Arial" w:cs="Arial" w:eastAsia="Arial" w:hAnsi="Arial"/>
          <w:sz w:val="19"/>
          <w:szCs w:val="19"/>
          <w:color w:val="auto"/>
          <w:vertAlign w:val="superscript"/>
        </w:rPr>
        <w:t>+</w:t>
      </w:r>
      <w:r>
        <w:rPr>
          <w:rFonts w:ascii="Arial" w:cs="Arial" w:eastAsia="Arial" w:hAnsi="Arial"/>
          <w:sz w:val="13"/>
          <w:szCs w:val="13"/>
          <w:color w:val="auto"/>
        </w:rPr>
        <w:t xml:space="preserve"> T cells, B cells and innate immune cells such as NK cells and macrophages.</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Our BNT411 Preclinical Studies</w:t>
      </w:r>
    </w:p>
    <w:p>
      <w:pPr>
        <w:spacing w:after="0" w:line="90" w:lineRule="exact"/>
        <w:rPr>
          <w:sz w:val="20"/>
          <w:szCs w:val="20"/>
          <w:color w:val="auto"/>
        </w:rPr>
      </w:pPr>
    </w:p>
    <w:p>
      <w:pPr>
        <w:jc w:val="both"/>
        <w:ind w:left="20" w:right="280" w:firstLine="527"/>
        <w:spacing w:after="0" w:line="272" w:lineRule="auto"/>
        <w:rPr>
          <w:sz w:val="20"/>
          <w:szCs w:val="20"/>
          <w:color w:val="auto"/>
        </w:rPr>
      </w:pPr>
      <w:r>
        <w:rPr>
          <w:rFonts w:ascii="Arial" w:cs="Arial" w:eastAsia="Arial" w:hAnsi="Arial"/>
          <w:sz w:val="13"/>
          <w:szCs w:val="13"/>
          <w:color w:val="auto"/>
        </w:rPr>
        <w:t xml:space="preserve">In preclinical studies, BNT411 (SC1.2/Ago1.2) was shown to be more potent in the induction of IFN-α compared to the clinical competitor compound resiquimod (R848), even at lower concentrations (minimal effective concentration of BNT411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is 4nM). In contrast to the tested competitor compound, BNT411 was shown to induce at low concentrations especially IFN-α whereas other (pro-)inflammatory and CRS-related cytokines (IL-6, IL-10, TNF-a, IL-8) are only observed at higher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101600</wp:posOffset>
            </wp:positionV>
            <wp:extent cx="3910965" cy="1409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1096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expect to initiate a Phase 1 clinical trial of BNT411 as a combination therapy in solid tumors in the second half of 2020.</w:t>
      </w:r>
    </w:p>
    <w:p>
      <w:pPr>
        <w:spacing w:after="0" w:line="246" w:lineRule="exact"/>
        <w:rPr>
          <w:sz w:val="20"/>
          <w:szCs w:val="20"/>
          <w:color w:val="auto"/>
        </w:rPr>
      </w:pPr>
    </w:p>
    <w:p>
      <w:pPr>
        <w:ind w:left="560" w:hanging="547"/>
        <w:spacing w:after="0"/>
        <w:tabs>
          <w:tab w:leader="none" w:pos="560" w:val="left"/>
        </w:tabs>
        <w:numPr>
          <w:ilvl w:val="0"/>
          <w:numId w:val="198"/>
        </w:numPr>
        <w:rPr>
          <w:rFonts w:ascii="Arial" w:cs="Arial" w:eastAsia="Arial" w:hAnsi="Arial"/>
          <w:sz w:val="13"/>
          <w:szCs w:val="13"/>
          <w:b w:val="1"/>
          <w:bCs w:val="1"/>
          <w:color w:val="auto"/>
        </w:rPr>
      </w:pPr>
      <w:r>
        <w:rPr>
          <w:rFonts w:ascii="Arial" w:cs="Arial" w:eastAsia="Arial" w:hAnsi="Arial"/>
          <w:sz w:val="13"/>
          <w:szCs w:val="13"/>
          <w:b w:val="1"/>
          <w:bCs w:val="1"/>
          <w:color w:val="auto"/>
        </w:rPr>
        <w:t>Our Infectious Disease mRNA Product Candidates</w:t>
      </w:r>
    </w:p>
    <w:p>
      <w:pPr>
        <w:spacing w:after="0" w:line="94" w:lineRule="exact"/>
        <w:rPr>
          <w:sz w:val="20"/>
          <w:szCs w:val="20"/>
          <w:color w:val="auto"/>
        </w:rPr>
      </w:pPr>
    </w:p>
    <w:p>
      <w:pPr>
        <w:ind w:left="1120" w:hanging="550"/>
        <w:spacing w:after="0"/>
        <w:tabs>
          <w:tab w:leader="none" w:pos="1120" w:val="left"/>
        </w:tabs>
        <w:numPr>
          <w:ilvl w:val="0"/>
          <w:numId w:val="19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Prophylactic Vaccine for the Prevention of Influenza</w:t>
      </w:r>
    </w:p>
    <w:p>
      <w:pPr>
        <w:spacing w:after="0" w:line="90" w:lineRule="exact"/>
        <w:rPr>
          <w:sz w:val="20"/>
          <w:szCs w:val="20"/>
          <w:color w:val="auto"/>
        </w:rPr>
      </w:pPr>
    </w:p>
    <w:p>
      <w:pPr>
        <w:ind w:left="20" w:right="240" w:firstLine="527"/>
        <w:spacing w:after="0" w:line="287" w:lineRule="auto"/>
        <w:rPr>
          <w:sz w:val="20"/>
          <w:szCs w:val="20"/>
          <w:color w:val="auto"/>
        </w:rPr>
      </w:pPr>
      <w:r>
        <w:rPr>
          <w:rFonts w:ascii="Arial" w:cs="Arial" w:eastAsia="Arial" w:hAnsi="Arial"/>
          <w:sz w:val="13"/>
          <w:szCs w:val="13"/>
          <w:color w:val="auto"/>
        </w:rPr>
        <w:t>We are collaborating with Pfizer to develop an influenza vaccine based on our mRNA drug classes. The product candidate, BNT161, will encode influenza virus antigens selected by the WHO in advance of the flu season.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anticipate beginning a first clinical trial for BNT161 in the first half of 2021.</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62865</wp:posOffset>
            </wp:positionV>
            <wp:extent cx="7180580"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660"/>
          </w:cols>
          <w:pgMar w:left="840" w:top="291" w:right="399" w:bottom="1440" w:gutter="0" w:footer="0" w:header="0"/>
        </w:sectPr>
      </w:pPr>
    </w:p>
    <w:bookmarkStart w:id="151" w:name="page152"/>
    <w:bookmarkEnd w:id="151"/>
    <w:p>
      <w:pPr>
        <w:ind w:left="1660" w:hanging="550"/>
        <w:spacing w:after="0"/>
        <w:tabs>
          <w:tab w:leader="none" w:pos="1660" w:val="left"/>
        </w:tabs>
        <w:numPr>
          <w:ilvl w:val="0"/>
          <w:numId w:val="20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Other Infectious Diseases</w:t>
      </w:r>
    </w:p>
    <w:p>
      <w:pPr>
        <w:spacing w:after="0" w:line="90" w:lineRule="exact"/>
        <w:rPr>
          <w:sz w:val="20"/>
          <w:szCs w:val="20"/>
          <w:color w:val="auto"/>
        </w:rPr>
      </w:pPr>
    </w:p>
    <w:p>
      <w:pPr>
        <w:ind w:left="560" w:right="200" w:firstLine="527"/>
        <w:spacing w:after="0" w:line="272" w:lineRule="auto"/>
        <w:rPr>
          <w:sz w:val="20"/>
          <w:szCs w:val="20"/>
          <w:color w:val="auto"/>
        </w:rPr>
      </w:pPr>
      <w:r>
        <w:rPr>
          <w:rFonts w:ascii="Arial" w:cs="Arial" w:eastAsia="Arial" w:hAnsi="Arial"/>
          <w:sz w:val="13"/>
          <w:szCs w:val="13"/>
          <w:color w:val="auto"/>
        </w:rPr>
        <w:t>We have a research collaboration with Penn, under which we have the exclusive option to develop and commercialize prophylactic mRNA immunotherapies for the treatment of up to 10 infectious disease indications. On September 20, 2019, Penn announced positive preclinical results of a vaccine product candidate using its mRNA technology. The preclinical study vaccinated mice and guinea pigs against Herpes simplex virus type 2. Penn reported that the immunization led to “mostly sterilizing immunity” from the virus.</w:t>
      </w:r>
    </w:p>
    <w:p>
      <w:pPr>
        <w:spacing w:after="0" w:line="52" w:lineRule="exact"/>
        <w:rPr>
          <w:sz w:val="20"/>
          <w:szCs w:val="20"/>
          <w:color w:val="auto"/>
        </w:rPr>
      </w:pPr>
    </w:p>
    <w:p>
      <w:pPr>
        <w:jc w:val="both"/>
        <w:ind w:left="560" w:right="60" w:firstLine="527"/>
        <w:spacing w:after="0" w:line="331" w:lineRule="auto"/>
        <w:rPr>
          <w:sz w:val="20"/>
          <w:szCs w:val="20"/>
          <w:color w:val="auto"/>
        </w:rPr>
      </w:pPr>
      <w:r>
        <w:rPr>
          <w:rFonts w:ascii="Arial" w:cs="Arial" w:eastAsia="Arial" w:hAnsi="Arial"/>
          <w:sz w:val="12"/>
          <w:szCs w:val="12"/>
          <w:color w:val="auto"/>
        </w:rPr>
        <w:t>We also have two collaborations to develop a potential vaccine based on our mRNA technology to induce immunity and prevent COVID-19 infection. We intend to initiate clinical testing for the product candidate, BNT162, in late April 2020, subject to regulatory approval, as part of a global clinical development program in Europe (commencing in Germany), the United States and China.</w:t>
      </w:r>
    </w:p>
    <w:p>
      <w:pPr>
        <w:spacing w:after="0" w:line="19" w:lineRule="exact"/>
        <w:rPr>
          <w:sz w:val="20"/>
          <w:szCs w:val="20"/>
          <w:color w:val="auto"/>
        </w:rPr>
      </w:pPr>
    </w:p>
    <w:p>
      <w:pPr>
        <w:ind w:left="560" w:right="220" w:firstLine="527"/>
        <w:spacing w:after="0" w:line="287" w:lineRule="auto"/>
        <w:rPr>
          <w:sz w:val="20"/>
          <w:szCs w:val="20"/>
          <w:color w:val="auto"/>
        </w:rPr>
      </w:pPr>
      <w:r>
        <w:rPr>
          <w:rFonts w:ascii="Arial" w:cs="Arial" w:eastAsia="Arial" w:hAnsi="Arial"/>
          <w:sz w:val="13"/>
          <w:szCs w:val="13"/>
          <w:color w:val="auto"/>
        </w:rPr>
        <w:t>In March 2020, we entered a strategic alliance with Fosun Pharma to advance BNT162 and jointly develop the COVID-19 vaccine in China. Upon regulatory approval, Fosun Pharma will commercialize the vaccine in China, while we retain the full rights to develop and commercialize the vaccine in the rest of the world.</w:t>
      </w:r>
    </w:p>
    <w:p>
      <w:pPr>
        <w:spacing w:after="0" w:line="42" w:lineRule="exact"/>
        <w:rPr>
          <w:sz w:val="20"/>
          <w:szCs w:val="20"/>
          <w:color w:val="auto"/>
        </w:rPr>
      </w:pPr>
    </w:p>
    <w:p>
      <w:pPr>
        <w:ind w:left="560" w:right="60" w:firstLine="527"/>
        <w:spacing w:after="0" w:line="287" w:lineRule="auto"/>
        <w:rPr>
          <w:sz w:val="20"/>
          <w:szCs w:val="20"/>
          <w:color w:val="auto"/>
        </w:rPr>
      </w:pPr>
      <w:r>
        <w:rPr>
          <w:rFonts w:ascii="Arial" w:cs="Arial" w:eastAsia="Arial" w:hAnsi="Arial"/>
          <w:sz w:val="13"/>
          <w:szCs w:val="13"/>
          <w:color w:val="auto"/>
        </w:rPr>
        <w:t>Additionally, in March 2020 BioNTech signed a letter of intent with Pfizer to co-develop and distribute a COVID-19 vaccine outside of China. We have also executed a Material Transfer and Collaboration Agreement to enable immediate collaboration.</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Next Steps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to initiate our first Phase 1 clinical trial under Penn collaboration in the first half of 2021, and clinical trials for BNT162 in late April 2020.</w:t>
      </w:r>
    </w:p>
    <w:p>
      <w:pPr>
        <w:spacing w:after="0" w:line="246" w:lineRule="exact"/>
        <w:rPr>
          <w:sz w:val="20"/>
          <w:szCs w:val="20"/>
          <w:color w:val="auto"/>
        </w:rPr>
      </w:pPr>
    </w:p>
    <w:p>
      <w:pPr>
        <w:ind w:left="1100" w:hanging="550"/>
        <w:spacing w:after="0"/>
        <w:tabs>
          <w:tab w:leader="none" w:pos="1100" w:val="left"/>
        </w:tabs>
        <w:numPr>
          <w:ilvl w:val="0"/>
          <w:numId w:val="201"/>
        </w:numPr>
        <w:rPr>
          <w:rFonts w:ascii="Arial" w:cs="Arial" w:eastAsia="Arial" w:hAnsi="Arial"/>
          <w:sz w:val="13"/>
          <w:szCs w:val="13"/>
          <w:b w:val="1"/>
          <w:bCs w:val="1"/>
          <w:color w:val="auto"/>
        </w:rPr>
      </w:pPr>
      <w:r>
        <w:rPr>
          <w:rFonts w:ascii="Arial" w:cs="Arial" w:eastAsia="Arial" w:hAnsi="Arial"/>
          <w:sz w:val="13"/>
          <w:szCs w:val="13"/>
          <w:b w:val="1"/>
          <w:bCs w:val="1"/>
          <w:color w:val="auto"/>
        </w:rPr>
        <w:t>Our Rare Disease Protein Replacement mRNA Product Candidates</w:t>
      </w:r>
    </w:p>
    <w:p>
      <w:pPr>
        <w:spacing w:after="0" w:line="94"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We are collaborating with Genevant, in order to combine our mRNA technology with Genevant’s LNP delivery technology, to create up to five mRNA protein replacement therapies for the treatment of rare diseases with high unmet medical needs. We expect our first compound from this collaboration to enter the clinic by the first half of 2021. The first product candidate under the Genevant collaboration, BNT171, is currently being developed for an undisclosed indication. Our mRNA replacement product candidate is associated with a favorable tolerability profile and good protein expression (in mice) and demonstrated phenotype rescue in a mouse disease model.</w:t>
      </w:r>
    </w:p>
    <w:p>
      <w:pPr>
        <w:spacing w:after="0" w:line="211" w:lineRule="exact"/>
        <w:rPr>
          <w:sz w:val="20"/>
          <w:szCs w:val="20"/>
          <w:color w:val="auto"/>
        </w:rPr>
      </w:pPr>
    </w:p>
    <w:p>
      <w:pPr>
        <w:ind w:left="1100" w:hanging="550"/>
        <w:spacing w:after="0"/>
        <w:tabs>
          <w:tab w:leader="none" w:pos="1100" w:val="left"/>
        </w:tabs>
        <w:numPr>
          <w:ilvl w:val="0"/>
          <w:numId w:val="202"/>
        </w:numPr>
        <w:rPr>
          <w:rFonts w:ascii="Arial" w:cs="Arial" w:eastAsia="Arial" w:hAnsi="Arial"/>
          <w:sz w:val="13"/>
          <w:szCs w:val="13"/>
          <w:b w:val="1"/>
          <w:bCs w:val="1"/>
          <w:color w:val="auto"/>
        </w:rPr>
      </w:pPr>
      <w:r>
        <w:rPr>
          <w:rFonts w:ascii="Arial" w:cs="Arial" w:eastAsia="Arial" w:hAnsi="Arial"/>
          <w:sz w:val="13"/>
          <w:szCs w:val="13"/>
          <w:b w:val="1"/>
          <w:bCs w:val="1"/>
          <w:color w:val="auto"/>
        </w:rPr>
        <w:t>Other</w:t>
      </w:r>
    </w:p>
    <w:p>
      <w:pPr>
        <w:spacing w:after="0" w:line="94" w:lineRule="exact"/>
        <w:rPr>
          <w:sz w:val="20"/>
          <w:szCs w:val="20"/>
          <w:color w:val="auto"/>
        </w:rPr>
      </w:pPr>
    </w:p>
    <w:p>
      <w:pPr>
        <w:ind w:right="140" w:firstLine="556"/>
        <w:spacing w:after="0" w:line="331" w:lineRule="auto"/>
        <w:rPr>
          <w:sz w:val="20"/>
          <w:szCs w:val="20"/>
          <w:color w:val="auto"/>
        </w:rPr>
      </w:pPr>
      <w:r>
        <w:rPr>
          <w:rFonts w:ascii="Arial" w:cs="Arial" w:eastAsia="Arial" w:hAnsi="Arial"/>
          <w:sz w:val="12"/>
          <w:szCs w:val="12"/>
          <w:color w:val="auto"/>
        </w:rPr>
        <w:t xml:space="preserve">Our legacy commercial stage product, MammaTyper, is a molecular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diagnostic test for the quantitative detection of the mRNA expression of ERBB2, ESR1, PGR and MKI67 in breast cancer tissue. MammaTyper has been shown in a variety of scientific publications to offer superior diagnostics insights compared to conventional immunohistochemical detection methods.</w:t>
      </w:r>
    </w:p>
    <w:p>
      <w:pPr>
        <w:spacing w:after="0" w:line="175"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XIII.</w:t>
      </w:r>
      <w:r>
        <w:rPr>
          <w:sz w:val="20"/>
          <w:szCs w:val="20"/>
          <w:color w:val="auto"/>
        </w:rPr>
        <w:tab/>
      </w:r>
      <w:r>
        <w:rPr>
          <w:rFonts w:ascii="Arial" w:cs="Arial" w:eastAsia="Arial" w:hAnsi="Arial"/>
          <w:sz w:val="13"/>
          <w:szCs w:val="13"/>
          <w:b w:val="1"/>
          <w:bCs w:val="1"/>
          <w:color w:val="auto"/>
        </w:rPr>
        <w:t>Manufacturing</w:t>
      </w:r>
    </w:p>
    <w:p>
      <w:pPr>
        <w:spacing w:after="0" w:line="94"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We are building a fully integrated biotechnology company, with operations spanning from research through clinical development, and manufacturing through sales and marketing. We operate three GMP-certified manufacturing facilities in Germany, where we manufacture mRNA therapeutics and engineered cell therapies for our own pipeline and for external customers. We operate a fourth facility in Germany where we manufacture custom peptides to support our extensive immunomonitoring activities within our development programs. Our subsidiary BioNTech Innovative Manufacturing Services GmbH, or BioNTech IMFS, has been manufacturing GMP-certified cellular products since 1999. It was granted its first GMP license for manufacturing mRNA in 2011 and has been manufacturing individualized mRNA products since 2014.</w:t>
      </w:r>
    </w:p>
    <w:p>
      <w:pPr>
        <w:spacing w:after="0" w:line="138"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We have expanded our capability to produce and supply drug products to support clinical development of our, and our collaborators’, product candidates. To date, we have manufactured over 500 drug substance batches in our manufacturing facilities.</w:t>
      </w:r>
    </w:p>
    <w:p>
      <w:pPr>
        <w:spacing w:after="0" w:line="122" w:lineRule="exact"/>
        <w:rPr>
          <w:sz w:val="20"/>
          <w:szCs w:val="20"/>
          <w:color w:val="auto"/>
        </w:rPr>
      </w:pPr>
    </w:p>
    <w:p>
      <w:pPr>
        <w:ind w:right="380" w:firstLine="556"/>
        <w:spacing w:after="0" w:line="287" w:lineRule="auto"/>
        <w:rPr>
          <w:sz w:val="20"/>
          <w:szCs w:val="20"/>
          <w:color w:val="auto"/>
        </w:rPr>
      </w:pPr>
      <w:r>
        <w:rPr>
          <w:rFonts w:ascii="Arial" w:cs="Arial" w:eastAsia="Arial" w:hAnsi="Arial"/>
          <w:sz w:val="13"/>
          <w:szCs w:val="13"/>
          <w:color w:val="auto"/>
        </w:rPr>
        <w:t>Our approach has been to proactively build capacity in anticipation of demand from internal research and development, as well as from our collaborators. We have done so by continuing to make significant investments in manufacturing infrastructure and increasingly expanding our capacity to manufacture mRNA, viral vectors, cellular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52" w:name="page153"/>
    <w:bookmarkEnd w:id="152"/>
    <w:p>
      <w:pPr>
        <w:ind w:right="80"/>
        <w:spacing w:after="0" w:line="287" w:lineRule="auto"/>
        <w:rPr>
          <w:sz w:val="20"/>
          <w:szCs w:val="20"/>
          <w:color w:val="auto"/>
        </w:rPr>
      </w:pPr>
      <w:r>
        <w:rPr>
          <w:rFonts w:ascii="Arial" w:cs="Arial" w:eastAsia="Arial" w:hAnsi="Arial"/>
          <w:sz w:val="13"/>
          <w:szCs w:val="13"/>
          <w:color w:val="auto"/>
        </w:rPr>
        <w:t>products and peptides. We believe the development and optimization of our manufacturing processes in parallel to drug development is crucial to our success. We have also collaborated with Siemens to develop a process for a fully-automated, on-demand production of mRNA therapies.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Manufacturing Operations</w:t>
      </w:r>
    </w:p>
    <w:p>
      <w:pPr>
        <w:spacing w:after="0" w:line="90" w:lineRule="exact"/>
        <w:rPr>
          <w:sz w:val="20"/>
          <w:szCs w:val="20"/>
          <w:color w:val="auto"/>
        </w:rPr>
      </w:pPr>
    </w:p>
    <w:p>
      <w:pPr>
        <w:ind w:right="40" w:firstLine="556"/>
        <w:spacing w:after="0" w:line="263" w:lineRule="auto"/>
        <w:rPr>
          <w:sz w:val="20"/>
          <w:szCs w:val="20"/>
          <w:color w:val="auto"/>
        </w:rPr>
      </w:pPr>
      <w:r>
        <w:rPr>
          <w:rFonts w:ascii="Arial" w:cs="Arial" w:eastAsia="Arial" w:hAnsi="Arial"/>
          <w:sz w:val="13"/>
          <w:szCs w:val="13"/>
          <w:i w:val="1"/>
          <w:iCs w:val="1"/>
          <w:color w:val="auto"/>
        </w:rPr>
        <w:t xml:space="preserve">mRNA. </w:t>
      </w:r>
      <w:r>
        <w:rPr>
          <w:rFonts w:ascii="Arial" w:cs="Arial" w:eastAsia="Arial" w:hAnsi="Arial"/>
          <w:sz w:val="13"/>
          <w:szCs w:val="13"/>
          <w:color w:val="auto"/>
        </w:rPr>
        <w:t>We believe scaling up manufacturing for mRNA can best be executed as part of a proprietary manufacturing approach, not as part of an outsourcing strategy. We believe this approach allows us</w:t>
      </w:r>
      <w:r>
        <w:rPr>
          <w:rFonts w:ascii="Arial" w:cs="Arial" w:eastAsia="Arial" w:hAnsi="Arial"/>
          <w:sz w:val="13"/>
          <w:szCs w:val="13"/>
          <w:i w:val="1"/>
          <w:iCs w:val="1"/>
          <w:color w:val="auto"/>
        </w:rPr>
        <w:t xml:space="preserve"> </w:t>
      </w:r>
      <w:r>
        <w:rPr>
          <w:rFonts w:ascii="Arial" w:cs="Arial" w:eastAsia="Arial" w:hAnsi="Arial"/>
          <w:sz w:val="13"/>
          <w:szCs w:val="13"/>
          <w:color w:val="auto"/>
        </w:rPr>
        <w:t>to maintain control of our proprietary processes and gives us the flexibility we need for scheduling batch production for our drug substances to match our development plans as they evolve. Our mRNA manufacturing is currently conducted at our in-house BioNTech IMFS facility and our BioNTech East Wing facility, the latter being dedicated to iNeST manufacturing. Our mRNA manufacturing process involves standardized production of all mRNA constructs and minimal restrictions in construct length. We have the capacity to undertake sterile filtration and final filling in up to 1,200 vials of various sizes. Batch sizes range from a few milligrams for individualized applications (</w:t>
      </w:r>
      <w:r>
        <w:rPr>
          <w:rFonts w:ascii="Arial" w:cs="Arial" w:eastAsia="Arial" w:hAnsi="Arial"/>
          <w:sz w:val="13"/>
          <w:szCs w:val="13"/>
          <w:i w:val="1"/>
          <w:iCs w:val="1"/>
          <w:color w:val="auto"/>
        </w:rPr>
        <w:t>i.e.</w:t>
      </w:r>
      <w:r>
        <w:rPr>
          <w:rFonts w:ascii="Arial" w:cs="Arial" w:eastAsia="Arial" w:hAnsi="Arial"/>
          <w:sz w:val="13"/>
          <w:szCs w:val="13"/>
          <w:color w:val="auto"/>
        </w:rPr>
        <w:t>, iNeST) to 3g for standard mRNA applications (</w:t>
      </w:r>
      <w:r>
        <w:rPr>
          <w:rFonts w:ascii="Arial" w:cs="Arial" w:eastAsia="Arial" w:hAnsi="Arial"/>
          <w:sz w:val="13"/>
          <w:szCs w:val="13"/>
          <w:i w:val="1"/>
          <w:iCs w:val="1"/>
          <w:color w:val="auto"/>
        </w:rPr>
        <w:t>i.e.</w:t>
      </w:r>
      <w:r>
        <w:rPr>
          <w:rFonts w:ascii="Arial" w:cs="Arial" w:eastAsia="Arial" w:hAnsi="Arial"/>
          <w:sz w:val="13"/>
          <w:szCs w:val="13"/>
          <w:color w:val="auto"/>
        </w:rPr>
        <w:t>, FixVac and intratumoral immunotherapies), with batch sizes of up to 10g currently possible.</w:t>
      </w:r>
    </w:p>
    <w:p>
      <w:pPr>
        <w:spacing w:after="0" w:line="137"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To date, we have produced more than 500 batches of mRNA drug substance to support our studies. We currently have infrastructure capable of producing more than 100 batches of mRNA drug substance and formulated drug product per month with a turnaround time of about 30 to 40 days from sequence identification to released product. We believe we currently have the capacity to supply needs of our product candidates in clinical trials up to registration.</w:t>
      </w:r>
    </w:p>
    <w:p>
      <w:pPr>
        <w:spacing w:after="0" w:line="132" w:lineRule="exact"/>
        <w:rPr>
          <w:sz w:val="20"/>
          <w:szCs w:val="20"/>
          <w:color w:val="auto"/>
        </w:rPr>
      </w:pPr>
    </w:p>
    <w:p>
      <w:pPr>
        <w:ind w:right="140" w:firstLine="556"/>
        <w:spacing w:after="0" w:line="296" w:lineRule="auto"/>
        <w:rPr>
          <w:sz w:val="20"/>
          <w:szCs w:val="20"/>
          <w:color w:val="auto"/>
        </w:rPr>
      </w:pPr>
      <w:r>
        <w:rPr>
          <w:rFonts w:ascii="Arial" w:cs="Arial" w:eastAsia="Arial" w:hAnsi="Arial"/>
          <w:sz w:val="12"/>
          <w:szCs w:val="12"/>
          <w:color w:val="auto"/>
        </w:rPr>
        <w:t>In recent years, we have successfully decreased the time required to deliver individualized immunotherapy to patients. In 2014, it took us over three months to manually manufacture and deliver individualized immunotherapies to patients. Since December 2017, with the implementation of semiautomatic GMP manufacturing in collaboration with Siemens, we have been consistently manufacturing and delivering individualized immunotherapies in under six weeks. This advancement represents significant progress toward our target commercial manufacturing turnaround time of less than 28 days. We believe this is achievable, and we plan to continue to develop additional process improvements, which we expect will further reduce our turnaround times as we progress through clinical development.</w:t>
      </w:r>
    </w:p>
    <w:p>
      <w:pPr>
        <w:spacing w:after="0" w:line="119" w:lineRule="exact"/>
        <w:rPr>
          <w:sz w:val="20"/>
          <w:szCs w:val="20"/>
          <w:color w:val="auto"/>
        </w:rPr>
      </w:pPr>
    </w:p>
    <w:p>
      <w:pPr>
        <w:jc w:val="both"/>
        <w:ind w:firstLine="556"/>
        <w:spacing w:after="0" w:line="226" w:lineRule="auto"/>
        <w:rPr>
          <w:sz w:val="20"/>
          <w:szCs w:val="20"/>
          <w:color w:val="auto"/>
        </w:rPr>
      </w:pPr>
      <w:r>
        <w:rPr>
          <w:rFonts w:ascii="Arial" w:cs="Arial" w:eastAsia="Arial" w:hAnsi="Arial"/>
          <w:sz w:val="13"/>
          <w:szCs w:val="13"/>
          <w:i w:val="1"/>
          <w:iCs w:val="1"/>
          <w:color w:val="auto"/>
        </w:rPr>
        <w:t xml:space="preserve">Cell Therapy Products. </w:t>
      </w:r>
      <w:r>
        <w:rPr>
          <w:rFonts w:ascii="Arial" w:cs="Arial" w:eastAsia="Arial" w:hAnsi="Arial"/>
          <w:sz w:val="13"/>
          <w:szCs w:val="13"/>
          <w:color w:val="auto"/>
        </w:rPr>
        <w:t>We have end-to-end capabilities and over 20 years of experience in cell therapy manufacturing. Our manufacturing process for cellular products involves the isolation of primary</w:t>
      </w:r>
      <w:r>
        <w:rPr>
          <w:rFonts w:ascii="Arial" w:cs="Arial" w:eastAsia="Arial" w:hAnsi="Arial"/>
          <w:sz w:val="13"/>
          <w:szCs w:val="13"/>
          <w:i w:val="1"/>
          <w:iCs w:val="1"/>
          <w:color w:val="auto"/>
        </w:rPr>
        <w:t xml:space="preserve"> </w:t>
      </w:r>
      <w:r>
        <w:rPr>
          <w:rFonts w:ascii="Arial" w:cs="Arial" w:eastAsia="Arial" w:hAnsi="Arial"/>
          <w:sz w:val="13"/>
          <w:szCs w:val="13"/>
          <w:color w:val="auto"/>
        </w:rPr>
        <w:t>human cells and subpopulations, including CD34</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CD3</w:t>
      </w:r>
      <w:r>
        <w:rPr>
          <w:rFonts w:ascii="Arial" w:cs="Arial" w:eastAsia="Arial" w:hAnsi="Arial"/>
          <w:sz w:val="19"/>
          <w:szCs w:val="19"/>
          <w:color w:val="auto"/>
          <w:vertAlign w:val="superscript"/>
        </w:rPr>
        <w:t>+</w:t>
      </w:r>
      <w:r>
        <w:rPr>
          <w:rFonts w:ascii="Arial" w:cs="Arial" w:eastAsia="Arial" w:hAnsi="Arial"/>
          <w:sz w:val="13"/>
          <w:szCs w:val="13"/>
          <w:color w:val="auto"/>
        </w:rPr>
        <w:t xml:space="preserve"> cells. We engage in the culturing, expansion and genetic modification of primary human cells as well as mammalian cell lines. Our processes include vector production for transfection of cells with CARs, cell banking and cryopreservation.</w:t>
      </w:r>
    </w:p>
    <w:p>
      <w:pPr>
        <w:spacing w:after="0" w:line="153" w:lineRule="exact"/>
        <w:rPr>
          <w:sz w:val="20"/>
          <w:szCs w:val="20"/>
          <w:color w:val="auto"/>
        </w:rPr>
      </w:pPr>
    </w:p>
    <w:p>
      <w:pPr>
        <w:ind w:right="280" w:firstLine="556"/>
        <w:spacing w:after="0" w:line="287" w:lineRule="auto"/>
        <w:rPr>
          <w:sz w:val="20"/>
          <w:szCs w:val="20"/>
          <w:color w:val="auto"/>
        </w:rPr>
      </w:pPr>
      <w:r>
        <w:rPr>
          <w:rFonts w:ascii="Arial" w:cs="Arial" w:eastAsia="Arial" w:hAnsi="Arial"/>
          <w:sz w:val="13"/>
          <w:szCs w:val="13"/>
          <w:color w:val="auto"/>
        </w:rPr>
        <w:t>We have set up a broad range of quality control assays for the characterization of cell therapy products that allow us to certify the manufactured drug products in a short time. We are a leader in the production of gamma retroviral vectors. To date, we have produced more than 50 different cell therapy products.</w:t>
      </w:r>
    </w:p>
    <w:p>
      <w:pPr>
        <w:spacing w:after="0" w:line="122"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i w:val="1"/>
          <w:iCs w:val="1"/>
          <w:color w:val="auto"/>
        </w:rPr>
        <w:t xml:space="preserve">Peptides. </w:t>
      </w:r>
      <w:r>
        <w:rPr>
          <w:rFonts w:ascii="Arial" w:cs="Arial" w:eastAsia="Arial" w:hAnsi="Arial"/>
          <w:sz w:val="13"/>
          <w:szCs w:val="13"/>
          <w:color w:val="auto"/>
        </w:rPr>
        <w:t>Our custom peptide synthesis business has developed unique technologies to produce several million peptides during the past three years to support our growing clinical pipeline. These</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fast small-scale manufacturing of peptides for target and epitope discovery as well as for neoepitope characterization and production of high content arrays. It is important to synthesize highly purified peptides in order to avoid false positives in immunomonitoring in our mRNA immunotherapy trials. We also use these peptides as starting material in our engineered cell therapies. We have developed know-how to produce highly complex and purified peptide pools that consist of overlapping peptides spanning entire antigens or neoepitopes. We plan to establish a new production facility, which will roughly double our current capacity.</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Manufacturing Facilities</w:t>
      </w:r>
    </w:p>
    <w:p>
      <w:pPr>
        <w:spacing w:after="0" w:line="90" w:lineRule="exact"/>
        <w:rPr>
          <w:sz w:val="20"/>
          <w:szCs w:val="20"/>
          <w:color w:val="auto"/>
        </w:rPr>
      </w:pPr>
    </w:p>
    <w:p>
      <w:pPr>
        <w:ind w:right="140" w:firstLine="556"/>
        <w:spacing w:after="0" w:line="272" w:lineRule="auto"/>
        <w:rPr>
          <w:sz w:val="20"/>
          <w:szCs w:val="20"/>
          <w:color w:val="auto"/>
        </w:rPr>
      </w:pPr>
      <w:r>
        <w:rPr>
          <w:rFonts w:ascii="Arial" w:cs="Arial" w:eastAsia="Arial" w:hAnsi="Arial"/>
          <w:sz w:val="13"/>
          <w:szCs w:val="13"/>
          <w:color w:val="auto"/>
        </w:rPr>
        <w:t>We operate four manufacturing and packaging facilities in Germany. In these facilities, we manufacture and package individualized mRNA, bulk mRNA, retroviral vectors, cellular products and peptides. In Mainz, we are currently constructing another facility for iNeST manufacturing at a commercial scale, which is planned to start manufacturing in 2022 and will supply markets mainly in Europe and the United States.</w:t>
      </w:r>
    </w:p>
    <w:p>
      <w:pPr>
        <w:spacing w:after="0" w:line="132"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i w:val="1"/>
          <w:iCs w:val="1"/>
          <w:color w:val="auto"/>
        </w:rPr>
        <w:t>BioNTech IMFS</w:t>
      </w:r>
      <w:r>
        <w:rPr>
          <w:rFonts w:ascii="Arial" w:cs="Arial" w:eastAsia="Arial" w:hAnsi="Arial"/>
          <w:sz w:val="13"/>
          <w:szCs w:val="13"/>
          <w:color w:val="auto"/>
        </w:rPr>
        <w:t>. Our manufacturing operations for retroviral vectors, cell therapy products and mRNA are housed in our wholly owned subsidiary, BioNTech IMFS. Founded in 1997, BioNTech IMFS</w:t>
      </w:r>
      <w:r>
        <w:rPr>
          <w:rFonts w:ascii="Arial" w:cs="Arial" w:eastAsia="Arial" w:hAnsi="Arial"/>
          <w:sz w:val="13"/>
          <w:szCs w:val="13"/>
          <w:i w:val="1"/>
          <w:iCs w:val="1"/>
          <w:color w:val="auto"/>
        </w:rPr>
        <w:t xml:space="preserve"> </w:t>
      </w:r>
      <w:r>
        <w:rPr>
          <w:rFonts w:ascii="Arial" w:cs="Arial" w:eastAsia="Arial" w:hAnsi="Arial"/>
          <w:sz w:val="13"/>
          <w:szCs w:val="13"/>
          <w:color w:val="auto"/>
        </w:rPr>
        <w:t>specializes in services for innovative therapeutic approaches. In 2009, BioNTech IMFS became our wholly owned subsidiary, giving us access to synergistic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53" w:name="page154"/>
    <w:bookmarkEnd w:id="153"/>
    <w:p>
      <w:pPr>
        <w:ind w:right="40"/>
        <w:spacing w:after="0" w:line="267" w:lineRule="auto"/>
        <w:rPr>
          <w:sz w:val="20"/>
          <w:szCs w:val="20"/>
          <w:color w:val="auto"/>
        </w:rPr>
      </w:pPr>
      <w:r>
        <w:rPr>
          <w:rFonts w:ascii="Arial" w:cs="Arial" w:eastAsia="Arial" w:hAnsi="Arial"/>
          <w:sz w:val="13"/>
          <w:szCs w:val="13"/>
          <w:color w:val="auto"/>
        </w:rPr>
        <w:t>platforms and complementary expertise for development, testing and manufacturing services. BioNTech IMFS and its predecessors have had GMP-certified cell and gene therapy manufacturing capabilities since 1999, and obtained GMP manufacturing authorization for mRNA production in 2011. In 2017, BioNTech IMFS began automated manufacturing of the iNeST product candidate and entered into its first commercial supply contract for retroviral vectors. Located near Mainz, the BioNTech IMFS facility occupies over 30,000 square feet. Two hundred and twenty staff members are employed at this facility, with collective expertise in molecular biology, cell biology and virology.</w:t>
      </w:r>
    </w:p>
    <w:p>
      <w:pPr>
        <w:spacing w:after="0" w:line="135" w:lineRule="exact"/>
        <w:rPr>
          <w:sz w:val="20"/>
          <w:szCs w:val="20"/>
          <w:color w:val="auto"/>
        </w:rPr>
      </w:pPr>
    </w:p>
    <w:p>
      <w:pPr>
        <w:jc w:val="both"/>
        <w:ind w:right="140" w:firstLine="556"/>
        <w:spacing w:after="0" w:line="304" w:lineRule="auto"/>
        <w:rPr>
          <w:sz w:val="20"/>
          <w:szCs w:val="20"/>
          <w:color w:val="auto"/>
        </w:rPr>
      </w:pPr>
      <w:r>
        <w:rPr>
          <w:rFonts w:ascii="Arial" w:cs="Arial" w:eastAsia="Arial" w:hAnsi="Arial"/>
          <w:sz w:val="12"/>
          <w:szCs w:val="12"/>
          <w:i w:val="1"/>
          <w:iCs w:val="1"/>
          <w:color w:val="auto"/>
        </w:rPr>
        <w:t>BioNTech iNeST Clinical Manufacturing (East Wing)</w:t>
      </w:r>
      <w:r>
        <w:rPr>
          <w:rFonts w:ascii="Arial" w:cs="Arial" w:eastAsia="Arial" w:hAnsi="Arial"/>
          <w:sz w:val="12"/>
          <w:szCs w:val="12"/>
          <w:color w:val="auto"/>
        </w:rPr>
        <w:t>. We dedicate our GMP-certified manufacturing facility at our headquarters in Mainz, Germany to the production of iNeST immunotherapies. In</w:t>
      </w:r>
      <w:r>
        <w:rPr>
          <w:rFonts w:ascii="Arial" w:cs="Arial" w:eastAsia="Arial" w:hAnsi="Arial"/>
          <w:sz w:val="12"/>
          <w:szCs w:val="12"/>
          <w:i w:val="1"/>
          <w:iCs w:val="1"/>
          <w:color w:val="auto"/>
        </w:rPr>
        <w:t xml:space="preserve"> </w:t>
      </w:r>
      <w:r>
        <w:rPr>
          <w:rFonts w:ascii="Arial" w:cs="Arial" w:eastAsia="Arial" w:hAnsi="Arial"/>
          <w:sz w:val="12"/>
          <w:szCs w:val="12"/>
          <w:color w:val="auto"/>
        </w:rPr>
        <w:t>2015, our wholly owned subsidiary, BioNTech RNA Pharmaceuticals GmbH, or BioNTech RNA, and Siemens announced a collaboration for developing an automated, paperless and digitalized production site for individualized mRNA. We obtained our GMP manufacturing authorization for iNeST production at our East Wing facility in June 2018 and released our first drug product there the following month.</w:t>
      </w:r>
    </w:p>
    <w:p>
      <w:pPr>
        <w:spacing w:after="0" w:line="116"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This facility contains approximately 17,000 square feet of laboratory and office space, including 4,300 square feet of GMP facilities. About 200 staff members are employed at this facility and operate it seven days per week. In its first year of operation the facility manufactured and released more than 250 batches of mRNA.</w:t>
      </w:r>
    </w:p>
    <w:p>
      <w:pPr>
        <w:spacing w:after="0" w:line="122" w:lineRule="exact"/>
        <w:rPr>
          <w:sz w:val="20"/>
          <w:szCs w:val="20"/>
          <w:color w:val="auto"/>
        </w:rPr>
      </w:pPr>
    </w:p>
    <w:p>
      <w:pPr>
        <w:ind w:right="60" w:firstLine="556"/>
        <w:spacing w:after="0" w:line="331" w:lineRule="auto"/>
        <w:rPr>
          <w:sz w:val="20"/>
          <w:szCs w:val="20"/>
          <w:color w:val="auto"/>
        </w:rPr>
      </w:pPr>
      <w:r>
        <w:rPr>
          <w:rFonts w:ascii="Arial" w:cs="Arial" w:eastAsia="Arial" w:hAnsi="Arial"/>
          <w:sz w:val="12"/>
          <w:szCs w:val="12"/>
          <w:i w:val="1"/>
          <w:iCs w:val="1"/>
          <w:color w:val="auto"/>
        </w:rPr>
        <w:t>BioNTech Clinical Manufacturing</w:t>
      </w:r>
      <w:r>
        <w:rPr>
          <w:rFonts w:ascii="Arial" w:cs="Arial" w:eastAsia="Arial" w:hAnsi="Arial"/>
          <w:sz w:val="12"/>
          <w:szCs w:val="12"/>
          <w:color w:val="auto"/>
        </w:rPr>
        <w:t>. Our GMP-certified manufacturing facility in Kupferbergterrasse, Mainz, Germany is authorized to conduct secondary packing, labeling, storage and batch release of</w:t>
      </w:r>
      <w:r>
        <w:rPr>
          <w:rFonts w:ascii="Arial" w:cs="Arial" w:eastAsia="Arial" w:hAnsi="Arial"/>
          <w:sz w:val="12"/>
          <w:szCs w:val="12"/>
          <w:i w:val="1"/>
          <w:iCs w:val="1"/>
          <w:color w:val="auto"/>
        </w:rPr>
        <w:t xml:space="preserve"> </w:t>
      </w:r>
      <w:r>
        <w:rPr>
          <w:rFonts w:ascii="Arial" w:cs="Arial" w:eastAsia="Arial" w:hAnsi="Arial"/>
          <w:sz w:val="12"/>
          <w:szCs w:val="12"/>
          <w:color w:val="auto"/>
        </w:rPr>
        <w:t>primary packed investigational medicinal products. This facility contains approximately 11,500 square feet of laboratory and office space, including 1,250 square feet of GMP facilities.</w:t>
      </w:r>
    </w:p>
    <w:p>
      <w:pPr>
        <w:spacing w:after="0" w:line="99"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i w:val="1"/>
          <w:iCs w:val="1"/>
          <w:color w:val="auto"/>
        </w:rPr>
        <w:t>JPT</w:t>
      </w:r>
      <w:r>
        <w:rPr>
          <w:rFonts w:ascii="Arial" w:cs="Arial" w:eastAsia="Arial" w:hAnsi="Arial"/>
          <w:sz w:val="13"/>
          <w:szCs w:val="13"/>
          <w:color w:val="auto"/>
        </w:rPr>
        <w:t>. JPT, our peptide manufacturing facility, was established in 2004 and became a wholly owned subsidiary of BioNTech in 2008. JPT is located in Berlin, Germany and occupies over 16,000 square</w:t>
      </w:r>
      <w:r>
        <w:rPr>
          <w:rFonts w:ascii="Arial" w:cs="Arial" w:eastAsia="Arial" w:hAnsi="Arial"/>
          <w:sz w:val="13"/>
          <w:szCs w:val="13"/>
          <w:i w:val="1"/>
          <w:iCs w:val="1"/>
          <w:color w:val="auto"/>
        </w:rPr>
        <w:t xml:space="preserve"> </w:t>
      </w:r>
      <w:r>
        <w:rPr>
          <w:rFonts w:ascii="Arial" w:cs="Arial" w:eastAsia="Arial" w:hAnsi="Arial"/>
          <w:sz w:val="13"/>
          <w:szCs w:val="13"/>
          <w:color w:val="auto"/>
        </w:rPr>
        <w:t>feet of clean rooms, laboratory and office space.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Other Certifications</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BioNTech Diagnostics has a quality management system that is certified according to ISO 13485:2016 and JPT maintains a ISO 9001:2015 certified Quality Management System to allow production of European CE marked companion diagnostics.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Quality Assurance</w:t>
      </w:r>
    </w:p>
    <w:p>
      <w:pPr>
        <w:spacing w:after="0" w:line="90" w:lineRule="exact"/>
        <w:rPr>
          <w:sz w:val="20"/>
          <w:szCs w:val="20"/>
          <w:color w:val="auto"/>
        </w:rPr>
      </w:pPr>
    </w:p>
    <w:p>
      <w:pPr>
        <w:jc w:val="both"/>
        <w:ind w:right="220" w:firstLine="556"/>
        <w:spacing w:after="0" w:line="272" w:lineRule="auto"/>
        <w:rPr>
          <w:sz w:val="20"/>
          <w:szCs w:val="20"/>
          <w:color w:val="auto"/>
        </w:rPr>
      </w:pPr>
      <w:r>
        <w:rPr>
          <w:rFonts w:ascii="Arial" w:cs="Arial" w:eastAsia="Arial" w:hAnsi="Arial"/>
          <w:sz w:val="13"/>
          <w:szCs w:val="13"/>
          <w:color w:val="auto"/>
        </w:rPr>
        <w:t>We have implemented and maintain several Quality Assurance systems. BioNTech IMFS, BioNTech Clinical Manufacturing and BioNTech iNeST Clinical Manufacturing have implemented GMP-certified quality assurance systems. BioNTech Diagnostics has a quality management system that is certified according to ISO 13485:2016 and JPT maintains a ISO 9001:2015 certified Quality Management System.</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XIV.</w:t>
      </w:r>
      <w:r>
        <w:rPr>
          <w:sz w:val="20"/>
          <w:szCs w:val="20"/>
          <w:color w:val="auto"/>
        </w:rPr>
        <w:tab/>
      </w:r>
      <w:r>
        <w:rPr>
          <w:rFonts w:ascii="Arial" w:cs="Arial" w:eastAsia="Arial" w:hAnsi="Arial"/>
          <w:sz w:val="13"/>
          <w:szCs w:val="13"/>
          <w:b w:val="1"/>
          <w:bCs w:val="1"/>
          <w:color w:val="auto"/>
        </w:rPr>
        <w:t>Third-Party Collaborations</w:t>
      </w:r>
    </w:p>
    <w:p>
      <w:pPr>
        <w:spacing w:after="0" w:line="174"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We have forged productive collaborations with pharmaceutical companies and academic research institutions with area expertise and resources in an effort to advance and accelerate our discovery and development programs in oncology, and also to leverage our drug classes into additional disease indications while minimizing our incremental costs.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collaborations include:</w:t>
      </w:r>
    </w:p>
    <w:p>
      <w:pPr>
        <w:spacing w:after="0" w:line="90" w:lineRule="exact"/>
        <w:rPr>
          <w:sz w:val="20"/>
          <w:szCs w:val="20"/>
          <w:color w:val="auto"/>
        </w:rPr>
      </w:pPr>
    </w:p>
    <w:p>
      <w:pPr>
        <w:ind w:left="1020" w:hanging="340"/>
        <w:spacing w:after="0"/>
        <w:tabs>
          <w:tab w:leader="none" w:pos="10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Genentech for our iNeST platform in our mRNA drug class;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Sanofi for our intratumoral therapy platform in our mRNA drug class;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Genmab for our next-generation checkpoint immunomodulator platform in our antibodies drug class;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Pfizer for our influenza vaccine program, which leverages technology from our infectious disease mRNA-based platform;</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Penn for up to 10 prophylactic indications in our infectious disease mRNA-based platform;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Genevant for our rare disease protein replacement therapy platform in our mRNA drug class.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54" w:name="page155"/>
    <w:bookmarkEnd w:id="154"/>
    <w:p>
      <w:pPr>
        <w:ind w:right="60" w:firstLine="556"/>
        <w:spacing w:after="0" w:line="272" w:lineRule="auto"/>
        <w:rPr>
          <w:sz w:val="20"/>
          <w:szCs w:val="20"/>
          <w:color w:val="auto"/>
        </w:rPr>
      </w:pPr>
      <w:r>
        <w:rPr>
          <w:rFonts w:ascii="Arial" w:cs="Arial" w:eastAsia="Arial" w:hAnsi="Arial"/>
          <w:sz w:val="13"/>
          <w:szCs w:val="13"/>
          <w:color w:val="auto"/>
        </w:rPr>
        <w:t>We either wholly own or retain significant rights to all of our clinical stage programs, either in the form of a global share of profit and co-commercialization rights with our collaborators in certain markets or significant royalties and milestones. We plan to continue to identify potential collaborators who can contribute meaningful resources and insights to our programs and allow us to more rapidly expand our impact to broader patient populations.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Genentech—iNeST Collaboration</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Collaboration Agreement</w:t>
      </w:r>
    </w:p>
    <w:p>
      <w:pPr>
        <w:spacing w:after="0" w:line="9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auto"/>
        </w:rPr>
        <w:t>On September 20, 2016, we and BioNTech RNA entered into a Collaboration Agreement with Genentech and F. Hoffman-La Roche Ltd, which, as amended on June 1, 2018 and December 6, 2019, we refer to as the Genentech Collaboration Agreement, to jointly research, develop, manufacture and commercialize certain pharmaceutical products that comprise neoepitope RNAs, or the Genentech Collaboration Products, which include our iNeST development candidates, for any use worldwide. Under the Genentech Collaboration Agreement, we and Genentech agreed to perform joint research under a research plan to further improve our technology platform for the manufacturing of Genentech Collaboration Products. Under the terms of the Genentech Collaboration Agreement, Genentech paid us $310 million in upfront and near-term milestone payments.</w:t>
      </w:r>
    </w:p>
    <w:p>
      <w:pPr>
        <w:spacing w:after="0" w:line="138"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auto"/>
        </w:rPr>
        <w:t>We and Genentech must use commercially reasonable efforts to jointly develop one or more Genentech Collaboration Products in accordance with an agreed global development plan, with the costs of such development to be shared equally. We will continue certain clinical studies that were initiated prior to the execution of the Collaboration Agreement at our sole expense, and any future material changes in the operation of such clinical studies require Genentech’s approval. Genentech may access and use any data generated in these ongoing clinical studies.</w:t>
      </w:r>
    </w:p>
    <w:p>
      <w:pPr>
        <w:spacing w:after="0" w:line="132" w:lineRule="exact"/>
        <w:rPr>
          <w:sz w:val="20"/>
          <w:szCs w:val="20"/>
          <w:color w:val="auto"/>
        </w:rPr>
      </w:pPr>
    </w:p>
    <w:p>
      <w:pPr>
        <w:ind w:right="20" w:firstLine="556"/>
        <w:spacing w:after="0" w:line="263" w:lineRule="auto"/>
        <w:rPr>
          <w:sz w:val="20"/>
          <w:szCs w:val="20"/>
          <w:color w:val="auto"/>
        </w:rPr>
      </w:pPr>
      <w:r>
        <w:rPr>
          <w:rFonts w:ascii="Arial" w:cs="Arial" w:eastAsia="Arial" w:hAnsi="Arial"/>
          <w:sz w:val="13"/>
          <w:szCs w:val="13"/>
          <w:color w:val="auto"/>
        </w:rPr>
        <w:t>In addition to the clinical studies included in the global development plan, we may propose certain additional clinical studies for indications not included in the global development plan, and if the joint development committee formed by the parties does not elect to include the proposed studies in the global development plan, then we may conduct the study at our sole expense under certain conditions, and subject to certain restrictions. Genentech has the option to select any candidate in such studies for potential further joint development and/or commercialization by Genentech as a Genentech Collaboration Product. In the case that Genentech wishes to pursue the clinical development of a Genentech Collaboration Product in an indication that we are not interested in pursuing, then under certain conditions, we may opt out of the co-funding of such development and Genentech may continue do so at its own costs, except that we are obligated to repay Genentech’s development costs in the event that such product subsequently receives regulatory approval.</w:t>
      </w:r>
    </w:p>
    <w:p>
      <w:pPr>
        <w:spacing w:after="0" w:line="137" w:lineRule="exact"/>
        <w:rPr>
          <w:sz w:val="20"/>
          <w:szCs w:val="20"/>
          <w:color w:val="auto"/>
        </w:rPr>
      </w:pPr>
    </w:p>
    <w:p>
      <w:pPr>
        <w:ind w:firstLine="556"/>
        <w:spacing w:after="0" w:line="284" w:lineRule="auto"/>
        <w:rPr>
          <w:sz w:val="20"/>
          <w:szCs w:val="20"/>
          <w:color w:val="auto"/>
        </w:rPr>
      </w:pPr>
      <w:r>
        <w:rPr>
          <w:rFonts w:ascii="Arial" w:cs="Arial" w:eastAsia="Arial" w:hAnsi="Arial"/>
          <w:sz w:val="12"/>
          <w:szCs w:val="12"/>
          <w:color w:val="auto"/>
        </w:rPr>
        <w:t>Genentech has the sole right to commercialize the Genentech Collaboration Products on a worldwide basis, with all profits and losses from such commercialization to be split equally with us. If we exercise our right to opt out of sharing equally in future development costs for any Genentech Collaboration Products, then we will no longer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 collaboration. Furthermore, for certain Genentech Collaboration Products for which we share co-promotion rights with Genentech, we have the option to assume a percentage to be determined of the total sales force in the United States and certain other countries, including Germany and other major European markets. In addition, under certain regulatory and other circumstances, we have the right to independently commercialize Genentech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commercialization committee established by the parties as not confusingly similar to the Genentech Collaboration Products being commercialized by Genentech. Our ability to research, develop, co-promote and/or independently commercialize Genentech Collaboration Products may be terminated or limited in the event we undergo a change of control.</w:t>
      </w:r>
    </w:p>
    <w:p>
      <w:pPr>
        <w:spacing w:after="0" w:line="130"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We granted to Genentech an exclusive license under certain of our intellectual property, and our interest in any jointly-owned intellectual property developed under this agreement, to research, develop, make, sell and import any pharmaceutical products that comprise neoepitope RNA. Genentech granted to us an exclusive, non-transferable, sublicensable licenses under certain Genentech intellectual property, our intellectual property exclusively licensed to Genentech, and their interest in any jointly-owned intellectual property developed under this agreement for the performance of our ongoing clinical studies and the exercise of our rights and obligations under the Genentech Collaboration Agreement.</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55" w:name="page156"/>
    <w:bookmarkEnd w:id="155"/>
    <w:p>
      <w:pPr>
        <w:ind w:right="440" w:firstLine="556"/>
        <w:spacing w:after="0" w:line="331" w:lineRule="auto"/>
        <w:rPr>
          <w:sz w:val="20"/>
          <w:szCs w:val="20"/>
          <w:color w:val="auto"/>
        </w:rPr>
      </w:pPr>
      <w:r>
        <w:rPr>
          <w:rFonts w:ascii="Arial" w:cs="Arial" w:eastAsia="Arial" w:hAnsi="Arial"/>
          <w:sz w:val="12"/>
          <w:szCs w:val="12"/>
          <w:color w:val="auto"/>
        </w:rPr>
        <w:t>Until the first marketing approval for a Genentech Collaboration Product, we have granted Genentech the first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99" w:lineRule="exact"/>
        <w:rPr>
          <w:sz w:val="20"/>
          <w:szCs w:val="20"/>
          <w:color w:val="auto"/>
        </w:rPr>
      </w:pPr>
    </w:p>
    <w:p>
      <w:pPr>
        <w:ind w:right="60" w:firstLine="556"/>
        <w:spacing w:after="0" w:line="263" w:lineRule="auto"/>
        <w:rPr>
          <w:sz w:val="20"/>
          <w:szCs w:val="20"/>
          <w:color w:val="auto"/>
        </w:rPr>
      </w:pPr>
      <w:r>
        <w:rPr>
          <w:rFonts w:ascii="Arial" w:cs="Arial" w:eastAsia="Arial" w:hAnsi="Arial"/>
          <w:sz w:val="13"/>
          <w:szCs w:val="13"/>
          <w:color w:val="auto"/>
        </w:rPr>
        <w:t>The Genentech Collaboration Agreement will remain in effect so as long as Genentech Collaboration Products are in development or commercialization, or until the date of the expiration of the last royalty term if BioNTech has exercised its option to opt-out of joint development of Genentech Collaboration Products. If the agreement expires, the licenses granted to Genentech become fully-paid up, royalty-free and irrevocable. Genentech may terminate the Collaboration Agreement if we fail to achieve certain milestone targets or at any time for convenience with or without reason upon 60 days’ prior written notice. In the event of any such termination, all rights to the development and commercialization of Genentech Collaboration Products developed under the collaboration would revert to us and Genentech would grant us licenses under its intellectual property to further develop and commercialize Genentech Collaboration Products. We would be required to pay certain royalties to Genentech for such license(s). In addition, either party may terminate the agreement upon the other party’s uncured material breach or insolvency.</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Manufacturing Development and Supply Agreement</w:t>
      </w:r>
    </w:p>
    <w:p>
      <w:pPr>
        <w:spacing w:after="0" w:line="90" w:lineRule="exact"/>
        <w:rPr>
          <w:sz w:val="20"/>
          <w:szCs w:val="20"/>
          <w:color w:val="auto"/>
        </w:rPr>
      </w:pPr>
    </w:p>
    <w:p>
      <w:pPr>
        <w:ind w:right="20" w:firstLine="556"/>
        <w:spacing w:after="0" w:line="296" w:lineRule="auto"/>
        <w:rPr>
          <w:sz w:val="20"/>
          <w:szCs w:val="20"/>
          <w:color w:val="auto"/>
        </w:rPr>
      </w:pPr>
      <w:r>
        <w:rPr>
          <w:rFonts w:ascii="Arial" w:cs="Arial" w:eastAsia="Arial" w:hAnsi="Arial"/>
          <w:sz w:val="12"/>
          <w:szCs w:val="12"/>
          <w:color w:val="auto"/>
        </w:rPr>
        <w:t>Concurrent with the Genentech Collaboration Agreement, we and BioNTech RNA entered into a Manufacturing Development and Supply Agreement with Genentech and F. Hoffman-La Roche Ltd, or the Genentech Manufacturing Agreement, which governs the manufacturing, related manufacturing development activities and supply of Genentech Collaboration Products. Pursuant to the Genentech Manufacturing Agreement, we are responsible for clinical manufacturing and supply, for developing and implementing manufacturing processes (including pursuant to specified target turnaround times), and for constructing, commissioning, qualifying and obtaining permits for the clinical facilities. We are permitted to subcontract certain steps in the clinical manufacturing process to our affiliate, BioNTech IMFS.</w:t>
      </w:r>
    </w:p>
    <w:p>
      <w:pPr>
        <w:spacing w:after="0" w:line="119" w:lineRule="exact"/>
        <w:rPr>
          <w:sz w:val="20"/>
          <w:szCs w:val="20"/>
          <w:color w:val="auto"/>
        </w:rPr>
      </w:pPr>
    </w:p>
    <w:p>
      <w:pPr>
        <w:ind w:right="40" w:firstLine="556"/>
        <w:spacing w:after="0" w:line="331" w:lineRule="auto"/>
        <w:rPr>
          <w:sz w:val="20"/>
          <w:szCs w:val="20"/>
          <w:color w:val="auto"/>
        </w:rPr>
      </w:pPr>
      <w:r>
        <w:rPr>
          <w:rFonts w:ascii="Arial" w:cs="Arial" w:eastAsia="Arial" w:hAnsi="Arial"/>
          <w:sz w:val="12"/>
          <w:szCs w:val="12"/>
          <w:color w:val="auto"/>
        </w:rPr>
        <w:t>In addition, we are responsible for developing the commercial manufacturing process, which requires more stringent turnaround times than the clinical manufacturing process. Genentech will generally be responsible for commercial manufacturing. We are obligated to use commercially reasonable efforts to achieve certain predetermined clinical manufacturing capacity commitments.</w:t>
      </w:r>
    </w:p>
    <w:p>
      <w:pPr>
        <w:spacing w:after="0" w:line="99"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Under the Genentech Manufacturing Agreement, we and Genentech will jointly develop a manufacturing network plan detailing the location, capacity, scale-out, associated timing and other appropriate details of the commercial manufacturing facilities. We may participate in commercial manufacturing through our right to include as part of the commercial manufacturing network one of our own facilities in the European Union or the United States and one of our own facilities in another region to be agreed upon with Genentech (provided that in each region our facility is not the first facility to be included in the commercial manufacturing network).</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Sanofi—Intratumoral Therapy Collaboration</w:t>
      </w:r>
    </w:p>
    <w:p>
      <w:pPr>
        <w:spacing w:after="0" w:line="90"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On November 2, 2015, BioNTech RNA entered into a Collaboration and License Agreement with Sanofi, which we refer to as the Sanofi Agreement. Pursuant to the Sanofi Agreement, we and Sanofi will collaborate on intratumorally administered mRNA-based therapeutics for the treatment of solid tumors in humans.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Sanofi Agreement contemplates: (i) research, (ii) development and commercialization and (iii) possible co-development and co-commercialization activities with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During the research phase, the parties seek to identify, characterize and validate up to five “mixtures” of two or more mRNAs encoding different proteins administered together in the same solution.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Sanofi at its sole discretion may select up to five mixtures created under the research plan for further development and commercialization, which we refer to as Sanofi Collaboration Products.</w:t>
      </w:r>
    </w:p>
    <w:p>
      <w:pPr>
        <w:spacing w:after="0" w:line="162" w:lineRule="exact"/>
        <w:rPr>
          <w:sz w:val="20"/>
          <w:szCs w:val="20"/>
          <w:color w:val="auto"/>
        </w:rPr>
      </w:pPr>
    </w:p>
    <w:p>
      <w:pPr>
        <w:ind w:right="100" w:firstLine="556"/>
        <w:spacing w:after="0" w:line="304" w:lineRule="auto"/>
        <w:rPr>
          <w:sz w:val="20"/>
          <w:szCs w:val="20"/>
          <w:color w:val="auto"/>
        </w:rPr>
      </w:pPr>
      <w:r>
        <w:rPr>
          <w:rFonts w:ascii="Arial" w:cs="Arial" w:eastAsia="Arial" w:hAnsi="Arial"/>
          <w:sz w:val="12"/>
          <w:szCs w:val="12"/>
          <w:color w:val="auto"/>
        </w:rPr>
        <w:t>After selection of a Sanofi Collaboration Product, Sanofi would be responsible for all development and commercialization activities involving that product. We have the option, by payment of an exercise fee, to co-develop and co-commercialize up to two Sanofi Collaboration Products primarily in the United States and in some European countries, including the United Kingdom, France, Germany, Italy and Spain. If we exercise such an option, the costs for co-development and co-commercialization of the chosen Sanofi Collaboration Products would be allocated between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56" w:name="page157"/>
    <w:bookmarkEnd w:id="156"/>
    <w:p>
      <w:pPr>
        <w:spacing w:after="0"/>
        <w:rPr>
          <w:sz w:val="20"/>
          <w:szCs w:val="20"/>
          <w:color w:val="auto"/>
        </w:rPr>
      </w:pPr>
      <w:r>
        <w:rPr>
          <w:rFonts w:ascii="Arial" w:cs="Arial" w:eastAsia="Arial" w:hAnsi="Arial"/>
          <w:sz w:val="12"/>
          <w:szCs w:val="12"/>
          <w:color w:val="auto"/>
        </w:rPr>
        <w:t>parties. In turn, Sanofi has an option to co-develop and co-commercialize certain mixtures developed by us or with third parties that contain a certain amount of the mRNAs of a Sanofi Collaboration Product.</w:t>
      </w:r>
    </w:p>
    <w:p>
      <w:pPr>
        <w:spacing w:after="0" w:line="182" w:lineRule="exact"/>
        <w:rPr>
          <w:sz w:val="20"/>
          <w:szCs w:val="20"/>
          <w:color w:val="auto"/>
        </w:rPr>
      </w:pPr>
    </w:p>
    <w:p>
      <w:pPr>
        <w:ind w:right="80" w:firstLine="556"/>
        <w:spacing w:after="0" w:line="331" w:lineRule="auto"/>
        <w:rPr>
          <w:sz w:val="20"/>
          <w:szCs w:val="20"/>
          <w:color w:val="auto"/>
        </w:rPr>
      </w:pPr>
      <w:r>
        <w:rPr>
          <w:rFonts w:ascii="Arial" w:cs="Arial" w:eastAsia="Arial" w:hAnsi="Arial"/>
          <w:sz w:val="12"/>
          <w:szCs w:val="12"/>
          <w:color w:val="auto"/>
        </w:rPr>
        <w:t>In March 2018, Sanofi selected the first Sanofi Collaboration Product for further development and commercialization and we exercised our option for co-development and co-commercialization of the Sanofi Collaboration Product. Effective as of March 2018, the parties entered into a separate development agreement for the co-development of this Sanofi Collaboration Product.</w:t>
      </w:r>
    </w:p>
    <w:p>
      <w:pPr>
        <w:spacing w:after="0" w:line="99" w:lineRule="exact"/>
        <w:rPr>
          <w:sz w:val="20"/>
          <w:szCs w:val="20"/>
          <w:color w:val="auto"/>
        </w:rPr>
      </w:pPr>
    </w:p>
    <w:p>
      <w:pPr>
        <w:ind w:right="60" w:firstLine="556"/>
        <w:spacing w:after="0" w:line="264" w:lineRule="auto"/>
        <w:rPr>
          <w:sz w:val="20"/>
          <w:szCs w:val="20"/>
          <w:color w:val="auto"/>
        </w:rPr>
      </w:pPr>
      <w:r>
        <w:rPr>
          <w:rFonts w:ascii="Arial" w:cs="Arial" w:eastAsia="Arial" w:hAnsi="Arial"/>
          <w:sz w:val="13"/>
          <w:szCs w:val="13"/>
          <w:color w:val="auto"/>
        </w:rPr>
        <w:t>Under the Sanofi Agreement, Sanofi has paid upfront and near-term milestone payments of approximately €60 million. We are entitled to receive up to approximately €260 million per product upon achievement of certain development, regulatory and commercial milestones. If commercialized successfully, we would also be eligible for mid-single digit to very low double-digit tiered royalties on net sales on a country-by-country and product-by-product basis until the later of (i) expiration of the last relevant patent covering such product in such country, (ii) 10 years following first commercial sale of such product in such country, (iii) expiration of regulatory data exclusivity for such product in such country and (iv) the market entry of a generic biological product with a certain market share in relation to such product in such country.</w:t>
      </w:r>
    </w:p>
    <w:p>
      <w:pPr>
        <w:spacing w:after="0" w:line="138" w:lineRule="exact"/>
        <w:rPr>
          <w:sz w:val="20"/>
          <w:szCs w:val="20"/>
          <w:color w:val="auto"/>
        </w:rPr>
      </w:pPr>
    </w:p>
    <w:p>
      <w:pPr>
        <w:ind w:right="40" w:firstLine="556"/>
        <w:spacing w:after="0" w:line="287" w:lineRule="auto"/>
        <w:rPr>
          <w:sz w:val="20"/>
          <w:szCs w:val="20"/>
          <w:color w:val="auto"/>
        </w:rPr>
      </w:pPr>
      <w:r>
        <w:rPr>
          <w:rFonts w:ascii="Arial" w:cs="Arial" w:eastAsia="Arial" w:hAnsi="Arial"/>
          <w:sz w:val="13"/>
          <w:szCs w:val="13"/>
          <w:color w:val="auto"/>
        </w:rPr>
        <w:t>The Sanofi Agreement will remain effective until the last-to-expire royalty term (or, when a co-development option has been exercised, the completion of all co-development and co-commercialization activities). The parties may terminate the Sanofi Agreement in its entirety or terminate certain co-development activities for convenience, with or without cause.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Sanofi Agreement provides that we may not engage in certain research and development activities relating to the intratumoral injection of mRNAs.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Genmab—Next-generation Immunomodulator Collaboration</w:t>
      </w:r>
    </w:p>
    <w:p>
      <w:pPr>
        <w:spacing w:after="0" w:line="90"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auto"/>
        </w:rPr>
        <w:t>On May 19, 2015, we entered into a License and Collaboration Agreement with Genmab (together with all amendments and side letters thereto, collectively referred to as the Genmab Agreement) to jointly research, develop and commercialize polypeptide-based bispecific antibodies against certain target combinations for the treatment of cancer in humans worldwide, or the Genmab Agreement Field, using certain Genmab technology. In connection with our entry into the Genmab Agreement, Genmab paid us an upfront fee of $10 million.</w:t>
      </w:r>
    </w:p>
    <w:p>
      <w:pPr>
        <w:spacing w:after="0" w:line="132"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auto"/>
        </w:rPr>
        <w:t>Under the Genmab Agreement, we and Genmab must use commercially reasonable efforts to research and develop clinical candidates, including our next-generation checkpoint immunomodulators, with costs split equally during the research and evaluation phase. Our joint activities in this phase are governed by a research plan, which is subject to annual review and updates, and which specifies the clinical candidates to be developed. This research and evaluation phase is currently set to expire on May 31, 2021, but has in the past been extended.</w:t>
      </w:r>
    </w:p>
    <w:p>
      <w:pPr>
        <w:spacing w:after="0" w:line="132" w:lineRule="exact"/>
        <w:rPr>
          <w:sz w:val="20"/>
          <w:szCs w:val="20"/>
          <w:color w:val="auto"/>
        </w:rPr>
      </w:pPr>
    </w:p>
    <w:p>
      <w:pPr>
        <w:ind w:firstLine="556"/>
        <w:spacing w:after="0" w:line="291" w:lineRule="auto"/>
        <w:rPr>
          <w:sz w:val="20"/>
          <w:szCs w:val="20"/>
          <w:color w:val="auto"/>
        </w:rPr>
      </w:pPr>
      <w:r>
        <w:rPr>
          <w:rFonts w:ascii="Arial" w:cs="Arial" w:eastAsia="Arial" w:hAnsi="Arial"/>
          <w:sz w:val="12"/>
          <w:szCs w:val="12"/>
          <w:color w:val="auto"/>
        </w:rPr>
        <w:t>During the research and evaluation phase, we and Genmab may propose clinical candidates for consideration by a joint research committee for further preclinical and clinical development. If a party, through the joint research committee, indicates that it is not interested in further development and commercialization of any clinical candidate, the other party may continue development and commercialization of such products on a unilateral basis, at its sole expense. The party that continues such development and commercialization is obligated to pay the other party certain development, regulatory and sales milestone payments and royalties on net sales of the applicable Unilateral Products. During either party’s development and commercialization of a Unilateral Product, the other party must not develop or commercialize any bispecific antibody targeting the same target combination of such Genmab Unilateral Product if such bispecific antibody was generated as part of the collaboration under this agreement.</w:t>
      </w:r>
    </w:p>
    <w:p>
      <w:pPr>
        <w:spacing w:after="0" w:line="123" w:lineRule="exact"/>
        <w:rPr>
          <w:sz w:val="20"/>
          <w:szCs w:val="20"/>
          <w:color w:val="auto"/>
        </w:rPr>
      </w:pPr>
    </w:p>
    <w:p>
      <w:pPr>
        <w:ind w:right="40" w:firstLine="556"/>
        <w:spacing w:after="0" w:line="264" w:lineRule="auto"/>
        <w:rPr>
          <w:sz w:val="20"/>
          <w:szCs w:val="20"/>
          <w:color w:val="auto"/>
        </w:rPr>
      </w:pPr>
      <w:r>
        <w:rPr>
          <w:rFonts w:ascii="Arial" w:cs="Arial" w:eastAsia="Arial" w:hAnsi="Arial"/>
          <w:sz w:val="13"/>
          <w:szCs w:val="13"/>
          <w:color w:val="auto"/>
        </w:rPr>
        <w:t>We and Genmab must use commercially reasonable efforts to develop candidates selected by the joint research committee, or the Genmab Collaboration Products, through preclinical and clinical development. In addition, the joint research committee may select an additional candidate, or the Genmab Back-up Candidate, as a back-up for each Genmab Collaboration Product and may decide at any time to replace the Genmab Collaboration Product with its Genmab Back-up Candidate. The preclinical and clinical development of the Genmab Collaboration Products would be performed pursuant to a development plan to be agreed upon by us and Genmab, with costs to be split equally. The joint steering committee may designate a third party as a manufacturer of a Genmab Collaboration Product or of any of its components.</w:t>
      </w:r>
    </w:p>
    <w:p>
      <w:pPr>
        <w:spacing w:after="0" w:line="108"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color w:val="auto"/>
        </w:rPr>
        <w:t>We and Genmab must use commercially reasonable efforts to jointly commercialize all Genmab Collaboration Products and share equally all expenses and profits arising from such commercialization. We and Genmab, on a product-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57" w:name="page158"/>
    <w:bookmarkEnd w:id="157"/>
    <w:p>
      <w:pPr>
        <w:ind w:right="140"/>
        <w:spacing w:after="0" w:line="272" w:lineRule="auto"/>
        <w:rPr>
          <w:sz w:val="20"/>
          <w:szCs w:val="20"/>
          <w:color w:val="auto"/>
        </w:rPr>
      </w:pPr>
      <w:r>
        <w:rPr>
          <w:rFonts w:ascii="Arial" w:cs="Arial" w:eastAsia="Arial" w:hAnsi="Arial"/>
          <w:sz w:val="13"/>
          <w:szCs w:val="13"/>
          <w:color w:val="auto"/>
        </w:rPr>
        <w:t>by-product basis and at least 12 months prior to the anticipated start of a pivotal clinical trial for a Genmab Collaboration Product, will jointly designate between the two of us a lead party responsible for establishing the distribution and marketing operations in each geographical region. Each party would be entitled to equally co-promote the products pursuant to a separately negotiated global commercialization agreement that the parties agree to negotiate.</w:t>
      </w:r>
    </w:p>
    <w:p>
      <w:pPr>
        <w:spacing w:after="0" w:line="132" w:lineRule="exact"/>
        <w:rPr>
          <w:sz w:val="20"/>
          <w:szCs w:val="20"/>
          <w:color w:val="auto"/>
        </w:rPr>
      </w:pPr>
    </w:p>
    <w:p>
      <w:pPr>
        <w:ind w:right="400" w:firstLine="556"/>
        <w:spacing w:after="0" w:line="287" w:lineRule="auto"/>
        <w:rPr>
          <w:sz w:val="20"/>
          <w:szCs w:val="20"/>
          <w:color w:val="auto"/>
        </w:rPr>
      </w:pPr>
      <w:r>
        <w:rPr>
          <w:rFonts w:ascii="Arial" w:cs="Arial" w:eastAsia="Arial" w:hAnsi="Arial"/>
          <w:sz w:val="13"/>
          <w:szCs w:val="13"/>
          <w:color w:val="auto"/>
        </w:rPr>
        <w:t>Unless otherwise agreed by the joint steering committee established under the agreement, Genmab is responsible for all regulatory actions and shall own all regulatory approvals obtained for the Genmab Collaboration Products. Genmab is obligated to provides regular updates to us on regulatory activities.</w:t>
      </w:r>
    </w:p>
    <w:p>
      <w:pPr>
        <w:spacing w:after="0" w:line="122" w:lineRule="exact"/>
        <w:rPr>
          <w:sz w:val="20"/>
          <w:szCs w:val="20"/>
          <w:color w:val="auto"/>
        </w:rPr>
      </w:pPr>
    </w:p>
    <w:p>
      <w:pPr>
        <w:ind w:right="100" w:firstLine="556"/>
        <w:spacing w:after="0" w:line="304" w:lineRule="auto"/>
        <w:rPr>
          <w:sz w:val="20"/>
          <w:szCs w:val="20"/>
          <w:color w:val="auto"/>
        </w:rPr>
      </w:pPr>
      <w:r>
        <w:rPr>
          <w:rFonts w:ascii="Arial" w:cs="Arial" w:eastAsia="Arial" w:hAnsi="Arial"/>
          <w:sz w:val="12"/>
          <w:szCs w:val="12"/>
          <w:color w:val="auto"/>
        </w:rPr>
        <w:t>Each party grants to the other party a worldwide, co-exclusive, sublicensable, royalty-free license under certain of such first party’s intellectual property, including certain patents and know-how, to perform the research under this agreement and to research, develop, make, import, use and sell Genmab Collaboration Products in the Genmab Agreement Field pursuant to the terms of the Genmab Agreement. These licenses shall continue on a country-by-country and product-by-product basis for as long as development or commercialization activities are contemplated under the Genmab Agreement.</w:t>
      </w:r>
    </w:p>
    <w:p>
      <w:pPr>
        <w:spacing w:after="0" w:line="116" w:lineRule="exact"/>
        <w:rPr>
          <w:sz w:val="20"/>
          <w:szCs w:val="20"/>
          <w:color w:val="auto"/>
        </w:rPr>
      </w:pPr>
    </w:p>
    <w:p>
      <w:pPr>
        <w:ind w:right="80" w:firstLine="556"/>
        <w:spacing w:after="0" w:line="264" w:lineRule="auto"/>
        <w:rPr>
          <w:sz w:val="20"/>
          <w:szCs w:val="20"/>
          <w:color w:val="auto"/>
        </w:rPr>
      </w:pPr>
      <w:r>
        <w:rPr>
          <w:rFonts w:ascii="Arial" w:cs="Arial" w:eastAsia="Arial" w:hAnsi="Arial"/>
          <w:sz w:val="13"/>
          <w:szCs w:val="13"/>
          <w:color w:val="auto"/>
        </w:rPr>
        <w:t>During the research and evaluation phase prior to the selection of a Genmab Collaboration Product, neither we nor Genmab may engage in any research and development activity in the Genmab Agreement Field relating to the development of any bispecific antibody which targets any combination that is the subject of our joint research plan. During the preclinical and clinical development phase for any Genmab Collaboration Product, engagement in research and development activities in the Genmab Agreement Field unilaterally by a party relating to a Genmab Collaboration Product or its Genmab Back-up Candidate or any bispecific antibody which targets the same target combination for which such Genmab Collaboration Product or Genmab Back-up Candidate has been developed would require the other party’s prior written consent.</w:t>
      </w:r>
    </w:p>
    <w:p>
      <w:pPr>
        <w:spacing w:after="0" w:line="138" w:lineRule="exact"/>
        <w:rPr>
          <w:sz w:val="20"/>
          <w:szCs w:val="20"/>
          <w:color w:val="auto"/>
        </w:rPr>
      </w:pPr>
    </w:p>
    <w:p>
      <w:pPr>
        <w:ind w:right="40" w:firstLine="556"/>
        <w:spacing w:after="0" w:line="284" w:lineRule="auto"/>
        <w:rPr>
          <w:sz w:val="20"/>
          <w:szCs w:val="20"/>
          <w:color w:val="auto"/>
        </w:rPr>
      </w:pPr>
      <w:r>
        <w:rPr>
          <w:rFonts w:ascii="Arial" w:cs="Arial" w:eastAsia="Arial" w:hAnsi="Arial"/>
          <w:sz w:val="12"/>
          <w:szCs w:val="12"/>
          <w:color w:val="auto"/>
        </w:rPr>
        <w:t>Each party has the right to discontinue its participation in the further development and commercialization of a Genmab Collaboration Product at two points: (i) when an IND submission package has been agreed upon by the parties and (ii) when the draft clinical trial report from the first Phase 1/2 clinical trial becomes available. The party that wishes to opt out of such further development and commercialization may choose to permit the other party to continue the development and commercialization of the Genmab Collaboration Product or divest its interest in such Genmab Collaboration Product. If the opt-out party permits continued development and commercialization, the other party may elect to pursue development and commercialization of such Genmab Collaboration Product alone as a Unilateral Product, at its sole cost and subject to pre-defined milestone and royalty payments and certain additional pre-defined terms. If the other party wishes to not pursue such continued development and commercialization on such pre-defined payment and additional terms, then the parties will jointly divest their interest in such Genmab Collaboration Product to a third party, and if such divestiture fails, the parties will cease all development and commercialization of such Genmab Collaboration Product. Alternatively, if the opt-out party seeks to unilaterally divest its interest in the applicable Genmab Collaboration Product, the other party has the right of first exclusive negotiation to obtain exclusive, worldwide rights to develop and commercialize such Genmab Collaboration Product. If such unilateral divestiture fails after the other party’s exercise of its right of first exclusive negotiation, the opt-out party may either continue development and commercialization of such Genmab Collaboration Product or offer the other party to continue such development and commercialization on such pre-defined payment and additional terms as set forth above.</w:t>
      </w:r>
    </w:p>
    <w:p>
      <w:pPr>
        <w:spacing w:after="0" w:line="127" w:lineRule="exact"/>
        <w:rPr>
          <w:sz w:val="20"/>
          <w:szCs w:val="20"/>
          <w:color w:val="auto"/>
        </w:rPr>
      </w:pPr>
    </w:p>
    <w:p>
      <w:pPr>
        <w:ind w:right="140" w:firstLine="556"/>
        <w:spacing w:after="0" w:line="272" w:lineRule="auto"/>
        <w:rPr>
          <w:sz w:val="20"/>
          <w:szCs w:val="20"/>
          <w:color w:val="auto"/>
        </w:rPr>
      </w:pPr>
      <w:r>
        <w:rPr>
          <w:rFonts w:ascii="Arial" w:cs="Arial" w:eastAsia="Arial" w:hAnsi="Arial"/>
          <w:sz w:val="13"/>
          <w:szCs w:val="13"/>
          <w:color w:val="auto"/>
        </w:rPr>
        <w:t>The Genmab Agreement will remain in effect until the later of (i) the expiration of the last-to-expire royalty term for any Unilateral Product and (ii) the time when no Genmab Collaboration Products are being developed or commercialized under this agreement. Either party may terminate the agreement in its entirety or on a product-by-product basis with immediate effect upon the other party’s uncured material breach or insolvency.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Eli Lilly TCR Therapy Collaboration</w:t>
      </w:r>
    </w:p>
    <w:p>
      <w:pPr>
        <w:spacing w:after="0" w:line="90"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color w:val="auto"/>
        </w:rPr>
        <w:t>In May 2015, BioNTech C&amp;GT entered into a drug discovery research, development and commercialization agreement with Eli Lilly regarding TCR-based therapeutics for the treatment of cancer. We refer to this agreement as the Lilly Agreement.</w:t>
      </w:r>
    </w:p>
    <w:p>
      <w:pPr>
        <w:spacing w:after="0" w:line="12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Under the Lilly Agreement, BioNTech C&amp;GT is obligated to use commercially reasonable efforts to perform specified research and development activities relating to potential TCR targets. Additionally, BioNTech C&amp;GT is obligated to work exclusively with Eli Lilly in the field of non-small cell lung cancer outside of certain permitted personalized TCR and RNA therapy activities. In consideration of these activities, Eli Lilly is obligated to pay to BioNTech C&amp;GT an annual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58" w:name="page159"/>
    <w:bookmarkEnd w:id="158"/>
    <w:p>
      <w:pPr>
        <w:ind w:right="160"/>
        <w:spacing w:after="0" w:line="291" w:lineRule="auto"/>
        <w:rPr>
          <w:sz w:val="20"/>
          <w:szCs w:val="20"/>
          <w:color w:val="auto"/>
        </w:rPr>
      </w:pPr>
      <w:r>
        <w:rPr>
          <w:rFonts w:ascii="Arial" w:cs="Arial" w:eastAsia="Arial" w:hAnsi="Arial"/>
          <w:sz w:val="12"/>
          <w:szCs w:val="12"/>
          <w:color w:val="auto"/>
        </w:rPr>
        <w:t>research and development fee. Additionally, Eli Lilly made an upfront payment of $30 million to BioNTech C&amp;GT in connection with entry into the Lilly Agreement and an additional $30 million equity investment in BioNTech C&amp;GT. In March 2019, we agreed to exchange Eli Lilly’s shares in BioNTech C&amp;GT for our (BioNTech SE’s) shares. Eli Lilly is obligated to pay up to an aggregate of approximately $300 million to BioNTech C&amp;GT upon the occurrence of certain development, regulatory and commercial milestones. Finally, upon commercialization of a product, Eli Lilly would be obligated to pay tiered royalties on net sales of the product ranging from the low single-digit to very low double-digit percentages. BioNTech C&amp;GT would be obligated to pay to Eli Lilly tiered royalties in the mid-single-digit percentages on net sales of certain products targeted at any new MHC peptide complexes, as well as up to an aggregate of $70 million upon the occurrence of commercial milestones.</w:t>
      </w:r>
    </w:p>
    <w:p>
      <w:pPr>
        <w:spacing w:after="0" w:line="123" w:lineRule="exact"/>
        <w:rPr>
          <w:sz w:val="20"/>
          <w:szCs w:val="20"/>
          <w:color w:val="auto"/>
        </w:rPr>
      </w:pPr>
    </w:p>
    <w:p>
      <w:pPr>
        <w:ind w:right="280" w:firstLine="556"/>
        <w:spacing w:after="0" w:line="267" w:lineRule="auto"/>
        <w:rPr>
          <w:sz w:val="20"/>
          <w:szCs w:val="20"/>
          <w:color w:val="auto"/>
        </w:rPr>
      </w:pPr>
      <w:r>
        <w:rPr>
          <w:rFonts w:ascii="Arial" w:cs="Arial" w:eastAsia="Arial" w:hAnsi="Arial"/>
          <w:sz w:val="13"/>
          <w:szCs w:val="13"/>
          <w:color w:val="auto"/>
        </w:rPr>
        <w:t>BioNTech C&amp;GT agreed to grant to Eli Lilly a worldwide, exclusive license to certain of its intellectual property necessary to exploit any selected targets and worldwide, non-exclusive licenses to BioNTech C&amp;GT’s background intellectual property and interest in collaboration intellectual property to exploit any selected targets, non-platform products, and small molecule and antibody products. Furthermore, BioNTech C&amp;GT granted to Eli Lilly a worldwide, non-exclusive, sublicensable, royalty-free license to its background intellectual property and interest in collaboration intellectual property to exploit companion diagnostics for platform products and diagnostics generally.</w:t>
      </w:r>
    </w:p>
    <w:p>
      <w:pPr>
        <w:spacing w:after="0" w:line="135" w:lineRule="exact"/>
        <w:rPr>
          <w:sz w:val="20"/>
          <w:szCs w:val="20"/>
          <w:color w:val="auto"/>
        </w:rPr>
      </w:pPr>
    </w:p>
    <w:p>
      <w:pPr>
        <w:ind w:right="360" w:firstLine="556"/>
        <w:spacing w:after="0" w:line="287" w:lineRule="auto"/>
        <w:rPr>
          <w:sz w:val="20"/>
          <w:szCs w:val="20"/>
          <w:color w:val="auto"/>
        </w:rPr>
      </w:pPr>
      <w:r>
        <w:rPr>
          <w:rFonts w:ascii="Arial" w:cs="Arial" w:eastAsia="Arial" w:hAnsi="Arial"/>
          <w:sz w:val="13"/>
          <w:szCs w:val="13"/>
          <w:color w:val="auto"/>
        </w:rPr>
        <w:t>In turn, Eli Lilly granted to BioNTech C&amp;GT a worldwide exclusive, sublicensable license under its interest in collaboration intellectual property to exploit personalized RNA therapies and TCR therapies and a worldwide, non-exclusive, sublicensable license under its interest in collaboration intellectual property to exploit diagnostics and companion diagnostics.</w:t>
      </w:r>
    </w:p>
    <w:p>
      <w:pPr>
        <w:spacing w:after="0" w:line="12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Eli Lilly has the sole right to select targets investigated during the research term for development and commercialization. Upon selection of a target Eli Lilly is obligated to use commercially reasonable efforts to develop and commercialize at least one product in the United States and in one other country from a specified list of major countries. On September 5, 2019, Eli Lilly selected its first target under the Agreement, resulting in a $2 million milestone payment to us.</w:t>
      </w:r>
    </w:p>
    <w:p>
      <w:pPr>
        <w:spacing w:after="0" w:line="132"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auto"/>
        </w:rPr>
        <w:t>The Lilly Agreement may be terminated in its entirety or in part by either party upon an uncured material breach or insolvency of the other party. Eli Lilly may terminate the Lilly Agreement with or without reason by giving 30 days’ advance written notice to BioNTech C&amp;GT.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Pfizer—Influenza Collaboration</w:t>
      </w:r>
    </w:p>
    <w:p>
      <w:pPr>
        <w:spacing w:after="0" w:line="90" w:lineRule="exact"/>
        <w:rPr>
          <w:sz w:val="20"/>
          <w:szCs w:val="20"/>
          <w:color w:val="auto"/>
        </w:rPr>
      </w:pPr>
    </w:p>
    <w:p>
      <w:pPr>
        <w:ind w:right="640" w:firstLine="556"/>
        <w:spacing w:after="0" w:line="331" w:lineRule="auto"/>
        <w:rPr>
          <w:sz w:val="20"/>
          <w:szCs w:val="20"/>
          <w:color w:val="auto"/>
        </w:rPr>
      </w:pPr>
      <w:r>
        <w:rPr>
          <w:rFonts w:ascii="Arial" w:cs="Arial" w:eastAsia="Arial" w:hAnsi="Arial"/>
          <w:sz w:val="12"/>
          <w:szCs w:val="12"/>
          <w:color w:val="auto"/>
        </w:rPr>
        <w:t>On July 20, 2018, we and BioNTech RNA entered into a Research Collaboration and License Agreement with Pfizer, or the Pfizer Agreement, for the research, development and Pfizer’s commercialization of immunogenic compositions comprising modified RNA and/or replicon technology for prophylaxis against influenza in humans, which we refer to as the Pfizer Agreement Field.</w:t>
      </w:r>
    </w:p>
    <w:p>
      <w:pPr>
        <w:spacing w:after="0" w:line="99" w:lineRule="exact"/>
        <w:rPr>
          <w:sz w:val="20"/>
          <w:szCs w:val="20"/>
          <w:color w:val="auto"/>
        </w:rPr>
      </w:pPr>
    </w:p>
    <w:p>
      <w:pPr>
        <w:ind w:right="60" w:firstLine="556"/>
        <w:spacing w:after="0" w:line="267" w:lineRule="auto"/>
        <w:rPr>
          <w:sz w:val="20"/>
          <w:szCs w:val="20"/>
          <w:color w:val="auto"/>
        </w:rPr>
      </w:pPr>
      <w:r>
        <w:rPr>
          <w:rFonts w:ascii="Arial" w:cs="Arial" w:eastAsia="Arial" w:hAnsi="Arial"/>
          <w:sz w:val="13"/>
          <w:szCs w:val="13"/>
          <w:color w:val="auto"/>
        </w:rPr>
        <w:t>We and Pfizer agreed to collaborate on the research in the Pfizer Agreement Field for an initial period of three years. The details of such research were set forth in a research plan that is governed by a joint steering committee, with Pfizer holding the final decision-making right. Each party will bear its own costs under the research plan. The research term will be extended automatically by a reasonable amount of time if the activities or deliverables under the research plan are delayed due to our material breach of our research obligations under the research plan. In addition, Pfizer may unilaterally extend the research term by up to a year by making an additional payment to us.</w:t>
      </w:r>
    </w:p>
    <w:p>
      <w:pPr>
        <w:spacing w:after="0" w:line="135" w:lineRule="exact"/>
        <w:rPr>
          <w:sz w:val="20"/>
          <w:szCs w:val="20"/>
          <w:color w:val="auto"/>
        </w:rPr>
      </w:pPr>
    </w:p>
    <w:p>
      <w:pPr>
        <w:ind w:right="160" w:firstLine="556"/>
        <w:spacing w:after="0" w:line="272" w:lineRule="auto"/>
        <w:rPr>
          <w:sz w:val="20"/>
          <w:szCs w:val="20"/>
          <w:color w:val="auto"/>
        </w:rPr>
      </w:pPr>
      <w:r>
        <w:rPr>
          <w:rFonts w:ascii="Arial" w:cs="Arial" w:eastAsia="Arial" w:hAnsi="Arial"/>
          <w:sz w:val="13"/>
          <w:szCs w:val="13"/>
          <w:color w:val="auto"/>
        </w:rPr>
        <w:t>After the research term expires, Pfizer has the sole responsibility, authority and control of the development, manufacturing and commercialization of all candidates and products. Pfizer undertakes to use commercially reasonable efforts to seek regulatory approval for one product in the United States and in two countries out of France, Germany, Italy, Spain, the United Kingdom and Japan, and to commercialize such product in such countries where such product has received regulatory approval.</w:t>
      </w:r>
    </w:p>
    <w:p>
      <w:pPr>
        <w:spacing w:after="0" w:line="132" w:lineRule="exact"/>
        <w:rPr>
          <w:sz w:val="20"/>
          <w:szCs w:val="20"/>
          <w:color w:val="auto"/>
        </w:rPr>
      </w:pPr>
    </w:p>
    <w:p>
      <w:pPr>
        <w:ind w:right="100" w:firstLine="556"/>
        <w:spacing w:after="0" w:line="264" w:lineRule="auto"/>
        <w:rPr>
          <w:sz w:val="20"/>
          <w:szCs w:val="20"/>
          <w:color w:val="auto"/>
        </w:rPr>
      </w:pPr>
      <w:r>
        <w:rPr>
          <w:rFonts w:ascii="Arial" w:cs="Arial" w:eastAsia="Arial" w:hAnsi="Arial"/>
          <w:sz w:val="13"/>
          <w:szCs w:val="13"/>
          <w:color w:val="auto"/>
        </w:rPr>
        <w:t>Under the Pfizer Agreement, we grant to Pfizer an exclusive, worldwide, sublicensable license under certain of our intellectual property, including our patents and know-how, relating to replicons and modified RNA in the Pfizer Agreement Field as well as certain intellectual property in-licensed by us from third parties, to use, research, develop, manufacture, commercialize and otherwise exploit candidates and products selected under the Pfizer Agreement. We also grant to Pfizer a non-exclusive, royalty-free, sublicensable license under all intellectual property controlled by us or our affiliates to use, develop, manufacture, commercialize and otherwise exploit candidates and products selected under the Pfizer Agreement in the Pfizer Agreement Field. We undertake to maintain in full effect all intellectual property licenses held by us at the time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59" w:name="page160"/>
    <w:bookmarkEnd w:id="159"/>
    <w:p>
      <w:pPr>
        <w:ind w:right="300"/>
        <w:spacing w:after="0" w:line="287" w:lineRule="auto"/>
        <w:rPr>
          <w:sz w:val="20"/>
          <w:szCs w:val="20"/>
          <w:color w:val="auto"/>
        </w:rPr>
      </w:pPr>
      <w:r>
        <w:rPr>
          <w:rFonts w:ascii="Arial" w:cs="Arial" w:eastAsia="Arial" w:hAnsi="Arial"/>
          <w:sz w:val="13"/>
          <w:szCs w:val="13"/>
          <w:color w:val="auto"/>
        </w:rPr>
        <w:t>we entered into the agreement and to not modify or amend any such license in a manner that would adversely affect any of the rights granted to Pfizer under the Pfizer Agreement. We are obligated to notify Pfizer of any breach of our current licenses and may be obligated to take steps to maintain Pfizer’s access to any intellectual property licensed under such licenses.</w:t>
      </w:r>
    </w:p>
    <w:p>
      <w:pPr>
        <w:spacing w:after="0" w:line="122" w:lineRule="exact"/>
        <w:rPr>
          <w:sz w:val="20"/>
          <w:szCs w:val="20"/>
          <w:color w:val="auto"/>
        </w:rPr>
      </w:pPr>
    </w:p>
    <w:p>
      <w:pPr>
        <w:ind w:right="180" w:firstLine="556"/>
        <w:spacing w:after="0" w:line="331" w:lineRule="auto"/>
        <w:rPr>
          <w:sz w:val="20"/>
          <w:szCs w:val="20"/>
          <w:color w:val="auto"/>
        </w:rPr>
      </w:pPr>
      <w:r>
        <w:rPr>
          <w:rFonts w:ascii="Arial" w:cs="Arial" w:eastAsia="Arial" w:hAnsi="Arial"/>
          <w:sz w:val="12"/>
          <w:szCs w:val="12"/>
          <w:color w:val="auto"/>
        </w:rPr>
        <w:t>We also granted Pfizer a right of first negotiation to acquire an exclusive worldwide license under certain intellectual property controlled by us for Pfizer to develop, manufacture and commercialize immunogenic products comprising RNA for prophylaxis against respiratory syncytial virus or human cytomegalovirus. The right of first negotiation may be exercised until the end of the research term.</w:t>
      </w:r>
    </w:p>
    <w:p>
      <w:pPr>
        <w:spacing w:after="0" w:line="99"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auto"/>
        </w:rPr>
        <w:t>In consideration of the rights granted to Pfizer under the agreement, Pfizer subscribed to shares in BioNTech AG under a separate investment agreement. In addition, under the Pfizer Agreement, Pfizer made an upfront payment of $50 million and agreed to potential payments of up to $325 million upon the achievement of specified development, regulatory and commercial milestones. Pfizer further agreed to a mid-single digit to very low double-digit tiered royalty on net sales if a product is commercialized. Royalties are subject to stacking provisions. The obligation of Pfizer to pay royalties ends, on a country-by-country and a product-by-product, basis upon the later of (i) the expiration of the last valid licensed patent right covering such product category in such country, (ii) 10 years after the first commercial sale of a product of such product category in such country and (iii) the lapse of regulatory data exclusivity for the first product in such product category in such country. There are only two product categories: one for modified RNA and a second for replicon products.</w:t>
      </w:r>
    </w:p>
    <w:p>
      <w:pPr>
        <w:spacing w:after="0" w:line="137"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auto"/>
        </w:rPr>
        <w:t>During the term of the Pfizer Agreement, we have committed not to research, develop, manufacture, commercialize or otherwise exploit immunogenic compositions compromising RNA in the Pfizer Agreement Field other than pursuant to the Pfizer Agreement.</w:t>
      </w:r>
    </w:p>
    <w:p>
      <w:pPr>
        <w:spacing w:after="0" w:line="122" w:lineRule="exact"/>
        <w:rPr>
          <w:sz w:val="20"/>
          <w:szCs w:val="20"/>
          <w:color w:val="auto"/>
        </w:rPr>
      </w:pPr>
    </w:p>
    <w:p>
      <w:pPr>
        <w:jc w:val="both"/>
        <w:ind w:right="20" w:firstLine="556"/>
        <w:spacing w:after="0" w:line="267" w:lineRule="auto"/>
        <w:rPr>
          <w:sz w:val="20"/>
          <w:szCs w:val="20"/>
          <w:color w:val="auto"/>
        </w:rPr>
      </w:pPr>
      <w:r>
        <w:rPr>
          <w:rFonts w:ascii="Arial" w:cs="Arial" w:eastAsia="Arial" w:hAnsi="Arial"/>
          <w:sz w:val="13"/>
          <w:szCs w:val="13"/>
          <w:color w:val="auto"/>
        </w:rPr>
        <w:t>The Pfizer Agreement ends on a country-by-country basis upon expiration of the last royalty term for any product in that country. Thereafter, the licenses granted to Pfizer with respect to such product in such country will convert into a perpetual, exclusive, fully paid-up and royalty-free license. In addition to termination rights granted to each party in the case of the other party’s uncured material breach, Pfizer may terminate the agreement, in whole or in part, for convenience and with or without reason at any time upon 60 days’ prior written notice. In addition, Pfizer is entitled to terminate the agreement and initiate a technology transfer of certain intellectual property if one of its key competitors acquires control over us.</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Bill &amp; Melinda Gates Foundation—HIV and Tuberculosis Collaboration</w:t>
      </w:r>
    </w:p>
    <w:p>
      <w:pPr>
        <w:spacing w:after="0" w:line="90" w:lineRule="exact"/>
        <w:rPr>
          <w:sz w:val="20"/>
          <w:szCs w:val="20"/>
          <w:color w:val="auto"/>
        </w:rPr>
      </w:pPr>
    </w:p>
    <w:p>
      <w:pPr>
        <w:ind w:right="440" w:firstLine="556"/>
        <w:spacing w:after="0" w:line="267" w:lineRule="auto"/>
        <w:rPr>
          <w:sz w:val="20"/>
          <w:szCs w:val="20"/>
          <w:color w:val="auto"/>
        </w:rPr>
      </w:pPr>
      <w:r>
        <w:rPr>
          <w:rFonts w:ascii="Arial" w:cs="Arial" w:eastAsia="Arial" w:hAnsi="Arial"/>
          <w:sz w:val="13"/>
          <w:szCs w:val="13"/>
          <w:color w:val="auto"/>
        </w:rPr>
        <w:t>On August 30, 2019, we entered into a letter agreement and an investment agreement with the Bill &amp; Melinda Gates Foundation, or BMGF, pursuant to which BMGF acquired 3,038,674 of our ordinary shares for $55 million at the price of our Series B financing. The primary purpose of BMGF’s investment is to further its charitable purposes, and the investment will be utilized to advance the development of products for the prevention and/or treatment of HIV and tuberculosis, or TB. About one-third of the investment will be used to help fund our infrastructure build-out; this expansion of the company’s infectious disease capabilities is necessary to enable us to conduct BMGF projects.</w:t>
      </w:r>
    </w:p>
    <w:p>
      <w:pPr>
        <w:spacing w:after="0" w:line="135"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In addition to the HIV and TB projects, BMGF has the right to initiate up to three additional projects focused on infectious diseases (from a list of mutually agreed upon diseases) within the first five years of the partnership. BMGF may also continue to fund certain projects beyond initial funding agreements. These additional activities may be funded through grants from BMGF of up to $45 million. We must accept funding for the HIV and TB projects until the occurrence of defined event stamps and for the additional projects until the eighth anniversary of the closing of the investment. The event stamps involve the completion of Phase 1 safety and immunogenicity studies in healthy and/or infected individuals showing specific results.</w:t>
      </w:r>
    </w:p>
    <w:p>
      <w:pPr>
        <w:spacing w:after="0" w:line="135" w:lineRule="exact"/>
        <w:rPr>
          <w:sz w:val="20"/>
          <w:szCs w:val="20"/>
          <w:color w:val="auto"/>
        </w:rPr>
      </w:pPr>
    </w:p>
    <w:p>
      <w:pPr>
        <w:ind w:right="340" w:firstLine="556"/>
        <w:spacing w:after="0" w:line="304" w:lineRule="auto"/>
        <w:rPr>
          <w:sz w:val="20"/>
          <w:szCs w:val="20"/>
          <w:color w:val="auto"/>
        </w:rPr>
      </w:pPr>
      <w:r>
        <w:rPr>
          <w:rFonts w:ascii="Arial" w:cs="Arial" w:eastAsia="Arial" w:hAnsi="Arial"/>
          <w:sz w:val="12"/>
          <w:szCs w:val="12"/>
          <w:color w:val="auto"/>
        </w:rPr>
        <w:t>If we elect not to proceed with any project following achievement of the event stamps, a new partner may further develop the project and manufacture any resulting products. Such partner will be identified through a series of defined steps and a technology transfer would take place. If a suitable manufacturing partner is not identified, we must manufacture the clinical and commercial supply of any product until a partner is identified. Such manufacturing may require us to increase our manufacturing capacities, which may be funded by BMGF. We retain the right to manufacture at any time.</w:t>
      </w:r>
    </w:p>
    <w:p>
      <w:pPr>
        <w:spacing w:after="0" w:line="116"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auto"/>
        </w:rPr>
        <w:t>The primary objective of BMGF is to provide funding to accelerate the development of lifesaving, low-cost drugs to reduce the burden of diseases in developing countries. This objective is known as global access commitments, or GAC.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60" w:name="page161"/>
    <w:bookmarkEnd w:id="160"/>
    <w:p>
      <w:pPr>
        <w:ind w:right="60"/>
        <w:spacing w:after="0" w:line="272" w:lineRule="auto"/>
        <w:rPr>
          <w:sz w:val="20"/>
          <w:szCs w:val="20"/>
          <w:color w:val="auto"/>
        </w:rPr>
      </w:pPr>
      <w:r>
        <w:rPr>
          <w:rFonts w:ascii="Arial" w:cs="Arial" w:eastAsia="Arial" w:hAnsi="Arial"/>
          <w:sz w:val="13"/>
          <w:szCs w:val="13"/>
          <w:color w:val="auto"/>
        </w:rPr>
        <w:t>projects in this partnership are separate and distinct from our current proprietary and partnered product candidates; all BMGF programs, however, will utilize our proprietary technology platforms. We retain rights for commercialization of products in the developed world. We can also independently develop any of the project results under new proprietary projects. The results which are funded under this partnership are always accessible by BMGF and are subject to GAC.</w:t>
      </w:r>
    </w:p>
    <w:p>
      <w:pPr>
        <w:spacing w:after="0" w:line="132" w:lineRule="exact"/>
        <w:rPr>
          <w:sz w:val="20"/>
          <w:szCs w:val="20"/>
          <w:color w:val="auto"/>
        </w:rPr>
      </w:pPr>
    </w:p>
    <w:p>
      <w:pPr>
        <w:ind w:right="300" w:firstLine="556"/>
        <w:spacing w:after="0" w:line="267" w:lineRule="auto"/>
        <w:rPr>
          <w:sz w:val="20"/>
          <w:szCs w:val="20"/>
          <w:color w:val="auto"/>
        </w:rPr>
      </w:pPr>
      <w:r>
        <w:rPr>
          <w:rFonts w:ascii="Arial" w:cs="Arial" w:eastAsia="Arial" w:hAnsi="Arial"/>
          <w:sz w:val="13"/>
          <w:szCs w:val="13"/>
          <w:color w:val="auto"/>
        </w:rPr>
        <w:t>We have granted a non-exclusive, perpetual, royalty-free license (with limited rights to sub-license) to our platform technology that is specifically used in the defined projects for the purpose of benefiting people in developing countries. This license is known as the global health license and only becomes exercisable upon the occurrence of a charitability default (as detailed below) or if we become insolvent. BMGF has granted us a de-blocking license to ensure freedom to operate of our platform technology. We will negotiate in good faith to expand the geographic scope of the global health license to include developed countries if requested by the new partner.</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objective is to generate products that are affordable and accessible for the developing world. The final price, however, will not fall below our full costs of manufacturing the product.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are required to publish, in accordance with certain “open access” terms and conditions, results and information developed under the projects.</w:t>
      </w:r>
    </w:p>
    <w:p>
      <w:pPr>
        <w:spacing w:after="0" w:line="170" w:lineRule="exact"/>
        <w:rPr>
          <w:sz w:val="20"/>
          <w:szCs w:val="20"/>
          <w:color w:val="auto"/>
        </w:rPr>
      </w:pPr>
    </w:p>
    <w:p>
      <w:pPr>
        <w:ind w:firstLine="556"/>
        <w:spacing w:after="0" w:line="284" w:lineRule="auto"/>
        <w:rPr>
          <w:sz w:val="20"/>
          <w:szCs w:val="20"/>
          <w:color w:val="auto"/>
        </w:rPr>
      </w:pPr>
      <w:r>
        <w:rPr>
          <w:rFonts w:ascii="Arial" w:cs="Arial" w:eastAsia="Arial" w:hAnsi="Arial"/>
          <w:sz w:val="12"/>
          <w:szCs w:val="12"/>
          <w:color w:val="auto"/>
        </w:rPr>
        <w:t>BMGF has a right to withdraw from its investment in certain specified circumstances, including if we become insolvent or in the event of a charitability default, namely material breach of the GAC or breach of other specified requirements in the agreement. If we do not cure the charitability default within a specified period of time (if curable), we must repurchase all of the shares held by BMGF, to the extent consistent with applicable law, if we have sufficient free reserves and available liquidity, or we must locate a third-party purchaser of those shares. If we are not able to repurchase the shares or find a third-party purchaser, we must use our best efforts to effect BMGF’s withdrawal right as soon as practicable, which may mean acquiring the shares in tranches over time. To the extent permitted by law, we must compensate BMGF for any shortfall if the price achieved on a sale to a third party is lower than its initial investment. During the period before a charitability default occurs, we can pay dividends on our shares, provided that our cash reserves exceed the price per share paid by BMGF times the number of shares BMGF holds (which is initially $55 million), and to the extent permitted by law, we must contribute annual profits of that amount to the cash reserves. After a charitability default has occurred and until the withdrawal right has been satisfied in full, we may only pay dividends in excess of the aggregate minimum purchase price if BMGF has not exercised any option to require us to repurchase any remaining shares held by them. For any purchase resulting from a charitability default, the aggregate minimum purchase price of BMGF’s shares will be valued at the greater of the original purchase price of the shares or the fair market value of such shares.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term of the letter agreement continues in perpetuity.</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Genevant—Rare Disease Protein Replacement Therapy Strategic Collaboration</w:t>
      </w:r>
    </w:p>
    <w:p>
      <w:pPr>
        <w:spacing w:after="0" w:line="90"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auto"/>
        </w:rPr>
        <w:t>In July 2018, our wholly owned subsidiary BioNTech RNA Pharmaceuticals GmbH, or BioNTech RNA, entered into a license and co-development agreement with Genevant Sciences GmbH, or Genevant for the joint development of certain pharmaceutical products and the licensing of specified rights to Genevant’s lipid nanoparticle delivery technology to BioNTech RNA. We refer to this agreement as the Genevant Agreement.</w:t>
      </w:r>
    </w:p>
    <w:p>
      <w:pPr>
        <w:spacing w:after="0" w:line="132" w:lineRule="exact"/>
        <w:rPr>
          <w:sz w:val="20"/>
          <w:szCs w:val="20"/>
          <w:color w:val="auto"/>
        </w:rPr>
      </w:pPr>
    </w:p>
    <w:p>
      <w:pPr>
        <w:ind w:right="40" w:firstLine="556"/>
        <w:spacing w:after="0" w:line="291" w:lineRule="auto"/>
        <w:rPr>
          <w:sz w:val="20"/>
          <w:szCs w:val="20"/>
          <w:color w:val="auto"/>
        </w:rPr>
      </w:pPr>
      <w:r>
        <w:rPr>
          <w:rFonts w:ascii="Arial" w:cs="Arial" w:eastAsia="Arial" w:hAnsi="Arial"/>
          <w:sz w:val="12"/>
          <w:szCs w:val="12"/>
          <w:color w:val="auto"/>
        </w:rPr>
        <w:t>Under the Genevant Agreement, BioNTech RNA and Genevant have agreed to collaborate to develop pharmaceutical products that contain any of five mRNA payloads created by BioNTech RNA encapsulated within a Genevant (or, if the parties agree, a third party) LNP, or the Co-Development Products, for the treatment, prevention and diagnosis of liver diseases, excluding any oncology diseases, or the Co-Development Field. Each party granted to the other party a worldwide, co-exclusive license or sublicense, with limited sublicensing rights, under certain of its patents and know-how to research, develop, make, have made, use, distribute, sell, offer for sale, have sold, import, export and otherwise commercialize the Co-Development Products in the Co-Development Field as provided in development and commercialization plans approved by a joint steering committee and subject to certain restrictions under the Genevant Agreement.</w:t>
      </w:r>
    </w:p>
    <w:p>
      <w:pPr>
        <w:spacing w:after="0" w:line="123"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auto"/>
        </w:rPr>
        <w:t>In addition, BioNTech RNA obtained an exclusive, worldwide, royalty-bearing license or sublicense under Genevant’s LNP delivery technology to research, develop, make, have made, use, distribute, sell, offer for sale, have sold, import, export and otherwise commercialize pharmaceutical products containing BioNTech mRNA payloads encapsulated within an LNP, or the BioNTech Products, for the treatment, prevention and diagnosis of illnesses in the field of oncology, or the BioNTech Field.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61" w:name="page162"/>
    <w:bookmarkEnd w:id="161"/>
    <w:p>
      <w:pPr>
        <w:ind w:right="40" w:firstLine="556"/>
        <w:spacing w:after="0" w:line="264" w:lineRule="auto"/>
        <w:rPr>
          <w:sz w:val="20"/>
          <w:szCs w:val="20"/>
          <w:color w:val="auto"/>
        </w:rPr>
      </w:pPr>
      <w:r>
        <w:rPr>
          <w:rFonts w:ascii="Arial" w:cs="Arial" w:eastAsia="Arial" w:hAnsi="Arial"/>
          <w:sz w:val="13"/>
          <w:szCs w:val="13"/>
          <w:color w:val="auto"/>
        </w:rPr>
        <w:t>Each party retained certain rights to practice its intellectual property for all purposes outside of the Co-Development Field or in the Co-Development Field with any product that is not a Co-Development Product, subject to the next sentence as to BioNTech. During the term of the Genevant Agreement for each Co-Development Product or BioNTech Product, BioNTech RNA has agreed not to conduct or enable any clinical development, promotion or commercialization of any product involving the use of LNP with the BioNTech mRNA payload contained in the Co-Development Product or BioNTech Product other than in collaboration with Genevant pursuant to the Genevant Agreement. Genevant has also retained rights to practice its intellectual property for all purposes outside the BioNTech Field, or in the BioNTech Field with any product that is not a BioNTech Product.</w:t>
      </w:r>
    </w:p>
    <w:p>
      <w:pPr>
        <w:spacing w:after="0" w:line="138" w:lineRule="exact"/>
        <w:rPr>
          <w:sz w:val="20"/>
          <w:szCs w:val="20"/>
          <w:color w:val="auto"/>
        </w:rPr>
      </w:pPr>
    </w:p>
    <w:p>
      <w:pPr>
        <w:ind w:right="60" w:firstLine="556"/>
        <w:spacing w:after="0" w:line="264" w:lineRule="auto"/>
        <w:rPr>
          <w:sz w:val="20"/>
          <w:szCs w:val="20"/>
          <w:color w:val="auto"/>
        </w:rPr>
      </w:pPr>
      <w:r>
        <w:rPr>
          <w:rFonts w:ascii="Arial" w:cs="Arial" w:eastAsia="Arial" w:hAnsi="Arial"/>
          <w:sz w:val="13"/>
          <w:szCs w:val="13"/>
          <w:color w:val="auto"/>
        </w:rPr>
        <w:t>The parties are jointly responsible for the development of, and must use commercially reasonable efforts to develop, the Co-Development Products in accordance with a development plan approved by a joint steering committee. Genevant is responsible for the preclinical, clinical and commercial manufacture of the Co-Development Products, and BioNTech RNA is obligated to supply the mRNA payloads for use in manufactured Co-Development Products. The parties share equally all costs for the development of Co-Development Products as well as any profits and losses. For each Co-Development Product, one or the other party will take the lead responsibility for commercialization of the Co-Development Product in the Co-Development Field. Each party must use commercially reasonable efforts to perform the commercialization activities allocated to it in a commercialization plan approved by a joint steering committee.</w:t>
      </w:r>
    </w:p>
    <w:p>
      <w:pPr>
        <w:spacing w:after="0" w:line="138"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Each party may opt-out of the co-development of any Co-Development Product with 90 days’ prior notice at any time after the filing of an IND or equivalent for the Co-Development Product. In such event, the other party may continue the development of the Co-Development Product on its own, at its sole cost and expense apart from specified obligations to support manufacturing and any ongoing clinical studies, but has to pay to the party that opted out pre-defined regulatory and sales milestones for the Co-Development Product of up to a low nine figure U.S. dollar amount in the aggregate and tiered low to mid-single digit percentage royalties on aggregate net sales of the Co-Development Product. In the event that a party opts out of the co-development of any Co-Development Product, the license granted by the party opting out to the other party shall become exclusive licenses, even as to the opting out party.</w:t>
      </w:r>
    </w:p>
    <w:p>
      <w:pPr>
        <w:spacing w:after="0" w:line="138" w:lineRule="exact"/>
        <w:rPr>
          <w:sz w:val="20"/>
          <w:szCs w:val="20"/>
          <w:color w:val="auto"/>
        </w:rPr>
      </w:pPr>
    </w:p>
    <w:p>
      <w:pPr>
        <w:ind w:right="120" w:firstLine="556"/>
        <w:spacing w:after="0" w:line="264" w:lineRule="auto"/>
        <w:rPr>
          <w:sz w:val="20"/>
          <w:szCs w:val="20"/>
          <w:color w:val="auto"/>
        </w:rPr>
      </w:pPr>
      <w:r>
        <w:rPr>
          <w:rFonts w:ascii="Arial" w:cs="Arial" w:eastAsia="Arial" w:hAnsi="Arial"/>
          <w:sz w:val="13"/>
          <w:szCs w:val="13"/>
          <w:color w:val="auto"/>
        </w:rPr>
        <w:t>BioNTech RNA is solely responsible for the development and commercialization of the BioNTech Products, including the performance of preclinical and clinical trials, all regulatory activities, and marketing and sales, and bears all related costs. BioNTech RNA must use commercially reasonable efforts to develop and obtain regulatory approval for BioNTech Products in the BioNTech Field in the United States, Germany, United Kingdom, France, Spain and Italy. Genevant is responsible for the manufacturing of the BioNTech Products, and the details of such manufacturing are to be agreed in a separate manufacturing and supply agreement. BioNTech RNA is obligated to pay regulatory and sales milestone payments on each BioNTech Product, and royalties based on aggregate net sales of all BioNTech Products, to Genevant.</w:t>
      </w:r>
    </w:p>
    <w:p>
      <w:pPr>
        <w:spacing w:after="0" w:line="138" w:lineRule="exact"/>
        <w:rPr>
          <w:sz w:val="20"/>
          <w:szCs w:val="20"/>
          <w:color w:val="auto"/>
        </w:rPr>
      </w:pPr>
    </w:p>
    <w:p>
      <w:pPr>
        <w:ind w:right="20" w:firstLine="556"/>
        <w:spacing w:after="0" w:line="291" w:lineRule="auto"/>
        <w:rPr>
          <w:sz w:val="20"/>
          <w:szCs w:val="20"/>
          <w:color w:val="auto"/>
        </w:rPr>
      </w:pPr>
      <w:r>
        <w:rPr>
          <w:rFonts w:ascii="Arial" w:cs="Arial" w:eastAsia="Arial" w:hAnsi="Arial"/>
          <w:sz w:val="12"/>
          <w:szCs w:val="12"/>
          <w:color w:val="auto"/>
        </w:rPr>
        <w:t>The Genevant Agreement continues until later of (i) the expiration of the last-to-expire royalty term for any BioNTech Product worldwide and (ii) the date on which all Co-Development Products cease being developed or commercialized. BioNTech RNA may terminate the agreement for convenience with respect to one or more BioNTech Products at any time with 90 or 180 days’ prior notice, depending on whether regulatory approval has been granted. The Genevant Agreement grants each party termination rights: if the other party challenges the validity, enforceability or scope of any patents licensed to it under the Genevant Agreement; for uncured material breaches of the other party; for the other party’s insolvency; or if the other party undergoes a change of control through which it is controlled by a competitor, if specified by the parties at the time of the Genevant Agreement, before the earlier of July 4, 2021 or when the other party undergoes an initial public offering.</w:t>
      </w:r>
    </w:p>
    <w:p>
      <w:pPr>
        <w:spacing w:after="0" w:line="123"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auto"/>
        </w:rPr>
        <w:t>Under certain scenarios, if BioNTech RNA terminates the Genevant Agreement with respect to a particular BioNTech Product, before granting a license to a third party for the BioNTech mRNA payload included in the BioNTech Product, Genevant has the right of negotiation with BioNTech. Under certain scenarios, if Genevant terminates the Genevant Agreement, Genevant keeps all licenses and have certain rights, but not the obligation, to continue the development and commercialization of Co-Development Products, and BioNTech RNA has certain obligations to provide assistance, documentation, and certain know-how and inventions to enable Genevant’s continued development and commercialization of Co-Development Products.</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XV.</w:t>
      </w:r>
      <w:r>
        <w:rPr>
          <w:sz w:val="20"/>
          <w:szCs w:val="20"/>
          <w:color w:val="auto"/>
        </w:rPr>
        <w:tab/>
      </w:r>
      <w:r>
        <w:rPr>
          <w:rFonts w:ascii="Arial" w:cs="Arial" w:eastAsia="Arial" w:hAnsi="Arial"/>
          <w:sz w:val="13"/>
          <w:szCs w:val="13"/>
          <w:b w:val="1"/>
          <w:bCs w:val="1"/>
          <w:color w:val="auto"/>
        </w:rPr>
        <w:t>Government Regulation</w:t>
      </w:r>
    </w:p>
    <w:p>
      <w:pPr>
        <w:spacing w:after="0" w:line="94"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Government authorities in the United States, at the federal, state and local levels, and in the European Union and other countries and jurisdictions, extensively regulate, among other things, the research, development, testing, manufacture,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62" w:name="page163"/>
    <w:bookmarkEnd w:id="162"/>
    <w:p>
      <w:pPr>
        <w:ind w:right="60"/>
        <w:spacing w:after="0" w:line="304" w:lineRule="auto"/>
        <w:rPr>
          <w:sz w:val="20"/>
          <w:szCs w:val="20"/>
          <w:color w:val="auto"/>
        </w:rPr>
      </w:pPr>
      <w:r>
        <w:rPr>
          <w:rFonts w:ascii="Arial" w:cs="Arial" w:eastAsia="Arial" w:hAnsi="Arial"/>
          <w:sz w:val="12"/>
          <w:szCs w:val="12"/>
          <w:color w:val="auto"/>
        </w:rPr>
        <w:t>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37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Regulation and Procedures Governing Approval of Drug and Biological Products in the United States</w:t>
      </w:r>
    </w:p>
    <w:p>
      <w:pPr>
        <w:spacing w:after="0" w:line="90"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auto"/>
        </w:rPr>
        <w:t>In the United States, the FDA regulates drugs under the Federal Food, Drug, and Cosmetic Act, or the FDCA, and its implementing regulations and biologics under the FDCA, the Public Health Service Act, or the PHSA, and their implementing regulations. Both drugs and biologics also are subject to other federal, state and local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following approval may subject a sponsor to administrative or judicial sanctions. These sanctions could include, among other actions, the FDA’s refusal to approve pending applications, withdrawal of an approval, license revocation, clinical hold, untitled or warning letters, voluntary or mandatory product recalls,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sponsor seeking approval to market and distribute a new drug or biological product in the United States generally must satisfactorily complete each of the following steps:</w:t>
      </w:r>
    </w:p>
    <w:p>
      <w:pPr>
        <w:spacing w:after="0" w:line="90" w:lineRule="exact"/>
        <w:rPr>
          <w:sz w:val="20"/>
          <w:szCs w:val="20"/>
          <w:color w:val="auto"/>
        </w:rPr>
      </w:pPr>
    </w:p>
    <w:p>
      <w:pPr>
        <w:ind w:left="1020" w:hanging="340"/>
        <w:spacing w:after="0"/>
        <w:tabs>
          <w:tab w:leader="none" w:pos="102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preclinical laboratory tests, animal studies and formulation studies all performed in accordance with applicable regulations, including the FDA’s good laboratory practices, or GLP, regulations;</w:t>
      </w:r>
    </w:p>
    <w:p>
      <w:pPr>
        <w:spacing w:after="0" w:line="101" w:lineRule="exact"/>
        <w:rPr>
          <w:rFonts w:ascii="Arial" w:cs="Arial" w:eastAsia="Arial" w:hAnsi="Arial"/>
          <w:sz w:val="12"/>
          <w:szCs w:val="12"/>
          <w:color w:val="auto"/>
        </w:rPr>
      </w:pPr>
    </w:p>
    <w:p>
      <w:pPr>
        <w:ind w:left="1020" w:hanging="340"/>
        <w:spacing w:after="0"/>
        <w:tabs>
          <w:tab w:leader="none" w:pos="10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submission to the FDA of an IND application for human clinical testing, which must become effective before human clinical trials may begin;</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approval by the IRB representing each clinical site before each clinical trial may be initiated;</w:t>
      </w:r>
    </w:p>
    <w:p>
      <w:pPr>
        <w:spacing w:after="0" w:line="90" w:lineRule="exact"/>
        <w:rPr>
          <w:rFonts w:ascii="Arial" w:cs="Arial" w:eastAsia="Arial" w:hAnsi="Arial"/>
          <w:sz w:val="13"/>
          <w:szCs w:val="13"/>
          <w:color w:val="auto"/>
        </w:rPr>
      </w:pPr>
    </w:p>
    <w:p>
      <w:pPr>
        <w:ind w:left="1020" w:right="240" w:hanging="340"/>
        <w:spacing w:after="0" w:line="287" w:lineRule="auto"/>
        <w:tabs>
          <w:tab w:leader="none" w:pos="10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performance of adequate and well-controlled human clinical trials to establish the safety, potency and purity of the product candidate for each proposed indication, in accordance applicable regulations, including with GCP, regulations;</w:t>
      </w:r>
    </w:p>
    <w:p>
      <w:pPr>
        <w:spacing w:after="0" w:line="42" w:lineRule="exact"/>
        <w:rPr>
          <w:rFonts w:ascii="Arial" w:cs="Arial" w:eastAsia="Arial" w:hAnsi="Arial"/>
          <w:sz w:val="13"/>
          <w:szCs w:val="13"/>
          <w:color w:val="auto"/>
        </w:rPr>
      </w:pPr>
    </w:p>
    <w:p>
      <w:pPr>
        <w:ind w:left="1020" w:hanging="340"/>
        <w:spacing w:after="0" w:line="272" w:lineRule="auto"/>
        <w:tabs>
          <w:tab w:leader="none" w:pos="10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preparation and submission to the FDA of a NDA for a drug product, or a BLA for a biological product requesting marketing approval for one or more proposed indications, including submission of detailed information on the manufacture and composition of the product in clinical development, evidence of safety, purity and potency from preclinical testing and clinical trials, and proposed labeling;</w:t>
      </w:r>
    </w:p>
    <w:p>
      <w:pPr>
        <w:spacing w:after="0" w:line="51" w:lineRule="exact"/>
        <w:rPr>
          <w:rFonts w:ascii="Arial" w:cs="Arial" w:eastAsia="Arial" w:hAnsi="Arial"/>
          <w:sz w:val="13"/>
          <w:szCs w:val="13"/>
          <w:color w:val="auto"/>
        </w:rPr>
      </w:pPr>
    </w:p>
    <w:p>
      <w:pPr>
        <w:ind w:left="1020" w:hanging="340"/>
        <w:spacing w:after="0"/>
        <w:tabs>
          <w:tab w:leader="none" w:pos="10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review of the product by an FDA advisory committee, if applicable;</w:t>
      </w:r>
    </w:p>
    <w:p>
      <w:pPr>
        <w:spacing w:after="0" w:line="90" w:lineRule="exact"/>
        <w:rPr>
          <w:rFonts w:ascii="Arial" w:cs="Arial" w:eastAsia="Arial" w:hAnsi="Arial"/>
          <w:sz w:val="13"/>
          <w:szCs w:val="13"/>
          <w:color w:val="auto"/>
        </w:rPr>
      </w:pPr>
    </w:p>
    <w:p>
      <w:pPr>
        <w:ind w:left="1020" w:right="40" w:hanging="340"/>
        <w:spacing w:after="0" w:line="331" w:lineRule="auto"/>
        <w:tabs>
          <w:tab w:leader="none" w:pos="102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satisfactory completion of one or more FDA inspections of the manufacturing facility or facilities, including those of third parties, at which the product, or components thereof, are produced to assess compliance with current GMP requirements and to assure that the facilities, methods and controls are adequate to preserve the product’s identity, strength, quality and purity;</w:t>
      </w:r>
    </w:p>
    <w:p>
      <w:pPr>
        <w:spacing w:after="0" w:line="19" w:lineRule="exact"/>
        <w:rPr>
          <w:rFonts w:ascii="Arial" w:cs="Arial" w:eastAsia="Arial" w:hAnsi="Arial"/>
          <w:sz w:val="12"/>
          <w:szCs w:val="12"/>
          <w:color w:val="auto"/>
        </w:rPr>
      </w:pPr>
    </w:p>
    <w:p>
      <w:pPr>
        <w:ind w:left="1020" w:hanging="340"/>
        <w:spacing w:after="0"/>
        <w:tabs>
          <w:tab w:leader="none" w:pos="10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satisfactory completion of any FDA audits of the clinical study sites to assure compliance with GCPs, and the integrity of clinical data in support of the NDA or BLA;</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payment of user fees and securing FDA approval of the NDA or BLA;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compliance with any post-approval requirements, including the potential requirement to implement a REMS and to conduct any post-approval studies required by the FDA.</w:t>
      </w:r>
    </w:p>
    <w:p>
      <w:pPr>
        <w:spacing w:after="0" w:line="170"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auto"/>
        </w:rPr>
        <w:t>The preclinical and clinical testing and approval process requires substantial time, effort and financial resources, and we cannot be certain that any approvals for our investigational medicines and any future investigational medicines will be granted on a timely basis, or at all.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163" w:name="page164"/>
    <w:bookmarkEnd w:id="163"/>
    <w:p>
      <w:pPr>
        <w:ind w:left="560"/>
        <w:spacing w:after="0"/>
        <w:rPr>
          <w:sz w:val="20"/>
          <w:szCs w:val="20"/>
          <w:color w:val="auto"/>
        </w:rPr>
      </w:pPr>
      <w:r>
        <w:rPr>
          <w:rFonts w:ascii="Arial" w:cs="Arial" w:eastAsia="Arial" w:hAnsi="Arial"/>
          <w:sz w:val="13"/>
          <w:szCs w:val="13"/>
          <w:i w:val="1"/>
          <w:iCs w:val="1"/>
          <w:color w:val="auto"/>
        </w:rPr>
        <w:t>Preclinical Studies and Investigational New Drug Application</w:t>
      </w:r>
    </w:p>
    <w:p>
      <w:pPr>
        <w:spacing w:after="0" w:line="90"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auto"/>
        </w:rPr>
        <w:t>Before testing any drug or biological product candidate in humans, the product candidate must undergo preclinical testing. Preclinical tests include laboratory evaluations of product chemistry, formulation and stability, as well as animal studies to evaluate the potential for activity and toxicity. The conduct of the preclinical tests and formulation of the compounds for testing must comply with federal regulations and requirements. The results of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37"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auto"/>
        </w:rPr>
        <w:t>As a result, submission of the IND may result in the FDA not allowing the trial to commence or not be conducted on the terms originally specified by the sponsor in the IND. If the FDA raises concerns or questions either during this initial 30-day period, or at any time during the IND process, it may choose to impose a partial or complete clinical hold.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FDA may impose clinical holds on a biological product candidate at any time before or during clinical trials due to safety concerns or non-compliance.</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Human Clinical Trials in Support of an NDA or a BLA</w:t>
      </w:r>
    </w:p>
    <w:p>
      <w:pPr>
        <w:spacing w:after="0" w:line="90" w:lineRule="exact"/>
        <w:rPr>
          <w:sz w:val="20"/>
          <w:szCs w:val="20"/>
          <w:color w:val="auto"/>
        </w:rPr>
      </w:pPr>
    </w:p>
    <w:p>
      <w:pPr>
        <w:ind w:right="20" w:firstLine="556"/>
        <w:spacing w:after="0" w:line="296" w:lineRule="auto"/>
        <w:rPr>
          <w:sz w:val="20"/>
          <w:szCs w:val="20"/>
          <w:color w:val="auto"/>
        </w:rPr>
      </w:pPr>
      <w:r>
        <w:rPr>
          <w:rFonts w:ascii="Arial" w:cs="Arial" w:eastAsia="Arial" w:hAnsi="Arial"/>
          <w:sz w:val="12"/>
          <w:szCs w:val="12"/>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dosing procedures and the effectiveness criteria to be evaluated. A protocol for each clinical trial and any subsequent protocol amendments must be submitted to the FDA as part of the IND.</w:t>
      </w:r>
    </w:p>
    <w:p>
      <w:pPr>
        <w:spacing w:after="0" w:line="119" w:lineRule="exact"/>
        <w:rPr>
          <w:sz w:val="20"/>
          <w:szCs w:val="20"/>
          <w:color w:val="auto"/>
        </w:rPr>
      </w:pPr>
    </w:p>
    <w:p>
      <w:pPr>
        <w:ind w:right="140" w:firstLine="556"/>
        <w:spacing w:after="0" w:line="272" w:lineRule="auto"/>
        <w:rPr>
          <w:sz w:val="20"/>
          <w:szCs w:val="20"/>
          <w:color w:val="auto"/>
        </w:rPr>
      </w:pPr>
      <w:r>
        <w:rPr>
          <w:rFonts w:ascii="Arial" w:cs="Arial" w:eastAsia="Arial" w:hAnsi="Arial"/>
          <w:sz w:val="13"/>
          <w:szCs w:val="13"/>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NDA or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132" w:lineRule="exact"/>
        <w:rPr>
          <w:sz w:val="20"/>
          <w:szCs w:val="20"/>
          <w:color w:val="auto"/>
        </w:rPr>
      </w:pPr>
    </w:p>
    <w:p>
      <w:pPr>
        <w:ind w:right="80" w:firstLine="556"/>
        <w:spacing w:after="0" w:line="261" w:lineRule="auto"/>
        <w:rPr>
          <w:sz w:val="20"/>
          <w:szCs w:val="20"/>
          <w:color w:val="auto"/>
        </w:rPr>
      </w:pPr>
      <w:r>
        <w:rPr>
          <w:rFonts w:ascii="Arial" w:cs="Arial" w:eastAsia="Arial" w:hAnsi="Arial"/>
          <w:sz w:val="13"/>
          <w:szCs w:val="13"/>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subjects or patients are being exposed to an unacceptable health risk. Clinical testing also must satisfy extensive GCP rules and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or DSMB. This group may recommend continuation of the study as planned, changes in study conduct, or cessation of the study at designated check points based on access to certain data from the study.</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Clinical trials typically are conducted in three sequential phases, but the phases may overlap or be combined. Additional studies may be required after approval.</w:t>
      </w:r>
    </w:p>
    <w:p>
      <w:pPr>
        <w:spacing w:after="0" w:line="90" w:lineRule="exact"/>
        <w:rPr>
          <w:sz w:val="20"/>
          <w:szCs w:val="20"/>
          <w:color w:val="auto"/>
        </w:rPr>
      </w:pPr>
    </w:p>
    <w:p>
      <w:pPr>
        <w:ind w:left="1020" w:right="340" w:hanging="340"/>
        <w:spacing w:after="0" w:line="287" w:lineRule="auto"/>
        <w:tabs>
          <w:tab w:leader="none" w:pos="10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Phase 1 clinical trials (or Phase 1) are initially conducted in a limited population to test the product candidate for safety, including adverse effects, dose tolerance, absorption, metabolism, distribution, excretion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64" w:name="page165"/>
    <w:bookmarkEnd w:id="164"/>
    <w:p>
      <w:pPr>
        <w:ind w:left="1020" w:right="540"/>
        <w:spacing w:after="0" w:line="287" w:lineRule="auto"/>
        <w:rPr>
          <w:sz w:val="20"/>
          <w:szCs w:val="20"/>
          <w:color w:val="auto"/>
        </w:rPr>
      </w:pPr>
      <w:r>
        <w:rPr>
          <w:rFonts w:ascii="Arial" w:cs="Arial" w:eastAsia="Arial" w:hAnsi="Arial"/>
          <w:sz w:val="13"/>
          <w:szCs w:val="13"/>
          <w:color w:val="auto"/>
        </w:rPr>
        <w:t>pharmacodynamics in healthy humans or, on occasion, in patients, such as in the case of some products for severe or life-threatening diseases, especially when the product may be too inherently toxic to ethically administer to healthy volunteers.</w:t>
      </w:r>
    </w:p>
    <w:p>
      <w:pPr>
        <w:spacing w:after="0" w:line="42" w:lineRule="exact"/>
        <w:rPr>
          <w:sz w:val="20"/>
          <w:szCs w:val="20"/>
          <w:color w:val="auto"/>
        </w:rPr>
      </w:pPr>
    </w:p>
    <w:p>
      <w:pPr>
        <w:ind w:left="1020" w:hanging="340"/>
        <w:spacing w:after="0" w:line="296" w:lineRule="auto"/>
        <w:tabs>
          <w:tab w:leader="none" w:pos="10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Phase 2 clinical trials (or Phase 2)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 When a drug is intended to treat life-threatening or severely debilitating illnesses, the FDA may accept well-controlled Phase 2 clinical trials as adequate to provide sufficient data on the drug’s safety and effectiveness to support a decision on its approvability for marketing, in which case Phase 3 clinical trials would not be required.</w:t>
      </w:r>
    </w:p>
    <w:p>
      <w:pPr>
        <w:spacing w:after="0" w:line="39" w:lineRule="exact"/>
        <w:rPr>
          <w:rFonts w:ascii="Arial" w:cs="Arial" w:eastAsia="Arial" w:hAnsi="Arial"/>
          <w:sz w:val="12"/>
          <w:szCs w:val="12"/>
          <w:color w:val="auto"/>
        </w:rPr>
      </w:pPr>
    </w:p>
    <w:p>
      <w:pPr>
        <w:ind w:left="1020" w:hanging="340"/>
        <w:spacing w:after="0" w:line="272" w:lineRule="auto"/>
        <w:tabs>
          <w:tab w:leader="none" w:pos="102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Phase 3 clinical trials (or Phase 3)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product and to provide an adequate basis for product labeling.</w:t>
      </w:r>
    </w:p>
    <w:p>
      <w:pPr>
        <w:spacing w:after="0" w:line="132" w:lineRule="exact"/>
        <w:rPr>
          <w:sz w:val="20"/>
          <w:szCs w:val="20"/>
          <w:color w:val="auto"/>
        </w:rPr>
      </w:pPr>
    </w:p>
    <w:p>
      <w:pPr>
        <w:ind w:right="120" w:firstLine="556"/>
        <w:spacing w:after="0" w:line="291" w:lineRule="auto"/>
        <w:rPr>
          <w:sz w:val="20"/>
          <w:szCs w:val="20"/>
          <w:color w:val="auto"/>
        </w:rPr>
      </w:pPr>
      <w:r>
        <w:rPr>
          <w:rFonts w:ascii="Arial" w:cs="Arial" w:eastAsia="Arial" w:hAnsi="Arial"/>
          <w:sz w:val="12"/>
          <w:szCs w:val="12"/>
          <w:color w:val="auto"/>
        </w:rPr>
        <w:t>In some cases, the FDA may approve an NDA or a BLA for a product candidate but require the sponsor to conduct additional clinical trials to further assess the product candidate’s safety and effectiveness after approval. Such post-approval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required Phase 4 clinical trials could result in withdrawal of approval for products.</w:t>
      </w:r>
    </w:p>
    <w:p>
      <w:pPr>
        <w:spacing w:after="0" w:line="123"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DSMB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new drug candidate or biological product candidate has been associated with unexpected serious harm to patients.</w:t>
      </w:r>
    </w:p>
    <w:p>
      <w:pPr>
        <w:spacing w:after="0" w:line="139" w:lineRule="exact"/>
        <w:rPr>
          <w:sz w:val="20"/>
          <w:szCs w:val="20"/>
          <w:color w:val="auto"/>
        </w:rPr>
      </w:pPr>
    </w:p>
    <w:p>
      <w:pPr>
        <w:ind w:right="60" w:firstLine="556"/>
        <w:spacing w:after="0" w:line="267"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Compliance with GMP Requirements</w:t>
      </w:r>
    </w:p>
    <w:p>
      <w:pPr>
        <w:spacing w:after="0" w:line="90"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GMP requirements and adequate to assure consistent production of the product within required specifications.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does not undergo unacceptable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color w:val="auto"/>
        </w:rPr>
        <w:t>deterioration over its shelf life. In particular, the PHSA emphasizes the importance of manufacturing control for products like biologics whose attributes cannot be precisely defined.</w:t>
      </w:r>
    </w:p>
    <w:p>
      <w:pPr>
        <w:spacing w:after="0" w:line="170"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auto"/>
        </w:rPr>
        <w:t>Manufacturers and others involved in the manufacture and distribution of drugs and biological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122" w:lineRule="exact"/>
        <w:rPr>
          <w:sz w:val="20"/>
          <w:szCs w:val="20"/>
          <w:color w:val="auto"/>
        </w:rPr>
      </w:pPr>
    </w:p>
    <w:p>
      <w:pPr>
        <w:ind w:right="180" w:firstLine="556"/>
        <w:spacing w:after="0" w:line="331" w:lineRule="auto"/>
        <w:rPr>
          <w:sz w:val="20"/>
          <w:szCs w:val="20"/>
          <w:color w:val="auto"/>
        </w:rPr>
      </w:pPr>
      <w:r>
        <w:rPr>
          <w:rFonts w:ascii="Arial" w:cs="Arial" w:eastAsia="Arial" w:hAnsi="Arial"/>
          <w:sz w:val="12"/>
          <w:szCs w:val="12"/>
          <w:color w:val="auto"/>
        </w:rPr>
        <w:t>The manufacturing facilities may be subject to periodic unannounced inspections by government authorities to ensure compliance with GMPs and other laws. Manufacturers may have to provide, on request, electronic or physical records regarding their establishments. Delaying, denying, limiting or refusing inspection by the FDA may lead to a product being deemed to be adulterated.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Review and Approval of an NDA or a BLA</w:t>
      </w:r>
    </w:p>
    <w:p>
      <w:pPr>
        <w:spacing w:after="0" w:line="90" w:lineRule="exact"/>
        <w:rPr>
          <w:sz w:val="20"/>
          <w:szCs w:val="20"/>
          <w:color w:val="auto"/>
        </w:rPr>
      </w:pPr>
    </w:p>
    <w:p>
      <w:pPr>
        <w:ind w:right="60" w:firstLine="556"/>
        <w:spacing w:after="0" w:line="296" w:lineRule="auto"/>
        <w:rPr>
          <w:sz w:val="20"/>
          <w:szCs w:val="20"/>
          <w:color w:val="auto"/>
        </w:rPr>
      </w:pPr>
      <w:r>
        <w:rPr>
          <w:rFonts w:ascii="Arial" w:cs="Arial" w:eastAsia="Arial" w:hAnsi="Arial"/>
          <w:sz w:val="12"/>
          <w:szCs w:val="12"/>
          <w:color w:val="auto"/>
        </w:rPr>
        <w:t>The results of product candidate development, preclinical testing and clinical trials, including negative or ambiguous results as well as positive findings, are submitted to the FDA as part of an NDA or a BLA requesting a license to market the product. These applications must contain extensive manufacturing information and detailed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19" w:lineRule="exact"/>
        <w:rPr>
          <w:sz w:val="20"/>
          <w:szCs w:val="20"/>
          <w:color w:val="auto"/>
        </w:rPr>
      </w:pPr>
    </w:p>
    <w:p>
      <w:pPr>
        <w:ind w:right="20" w:firstLine="556"/>
        <w:spacing w:after="0" w:line="288" w:lineRule="auto"/>
        <w:rPr>
          <w:sz w:val="20"/>
          <w:szCs w:val="20"/>
          <w:color w:val="auto"/>
        </w:rPr>
      </w:pPr>
      <w:r>
        <w:rPr>
          <w:rFonts w:ascii="Arial" w:cs="Arial" w:eastAsia="Arial" w:hAnsi="Arial"/>
          <w:sz w:val="12"/>
          <w:szCs w:val="12"/>
          <w:color w:val="auto"/>
        </w:rPr>
        <w:t>The FDA has 60 days after submission of the application to conduct an initial review to determine whether the NDA or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sponsor within ten months of the 60-day filing date, and for a priority review application within six months. The FDA does not always meet its PDUFA goal dates for standard and priority NDA or BLA applications,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sponsor otherwise provides additional information or clarification regarding information already provided in the submission within the last three months before the PDUFA goal date.</w:t>
      </w:r>
    </w:p>
    <w:p>
      <w:pPr>
        <w:spacing w:after="0" w:line="126" w:lineRule="exact"/>
        <w:rPr>
          <w:sz w:val="20"/>
          <w:szCs w:val="20"/>
          <w:color w:val="auto"/>
        </w:rPr>
      </w:pPr>
    </w:p>
    <w:p>
      <w:pPr>
        <w:ind w:firstLine="556"/>
        <w:spacing w:after="0" w:line="284" w:lineRule="auto"/>
        <w:rPr>
          <w:sz w:val="20"/>
          <w:szCs w:val="20"/>
          <w:color w:val="auto"/>
        </w:rPr>
      </w:pPr>
      <w:r>
        <w:rPr>
          <w:rFonts w:ascii="Arial" w:cs="Arial" w:eastAsia="Arial" w:hAnsi="Arial"/>
          <w:sz w:val="12"/>
          <w:szCs w:val="12"/>
          <w:color w:val="auto"/>
        </w:rPr>
        <w:t>The FDA reviews NDA and BLA applications to determine, among other things, whether the proposed product is safe and potent, 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and accompanying information, including the results of the inspection of the manufacturing facilities and any FDA audits of clinical trial sites to assure compliance with GCPs, the FDA may issue an approval letter, denial letter or complete response letter. An approval letter authorizes commercial marketing of the product with specific prescribing information for specific indications. Under the FDCA, the FDA may approve an NDA if it determines that the product is safe and effective for its intended use, the benefits of the drug outweigh any risks, and the methods used in manufacturing the drug and the controls used to maintain the drug’s quality are adequate to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 issue a complete response letter, which will contain the conditions that must be met in order to secure final approval of the application, and when possible will outline recommended actions the sponsor might take to obtain approval of the application. If a complete response letter is issued, the sponsor may either resubmit the NDA or BLA, addressing all of the deficiencies identified in the letter, or withdraw the application.</w:t>
      </w:r>
    </w:p>
    <w:p>
      <w:pPr>
        <w:spacing w:after="0" w:line="130" w:lineRule="exact"/>
        <w:rPr>
          <w:sz w:val="20"/>
          <w:szCs w:val="20"/>
          <w:color w:val="auto"/>
        </w:rPr>
      </w:pPr>
    </w:p>
    <w:p>
      <w:pPr>
        <w:jc w:val="both"/>
        <w:ind w:right="40" w:firstLine="556"/>
        <w:spacing w:after="0" w:line="304" w:lineRule="auto"/>
        <w:rPr>
          <w:sz w:val="20"/>
          <w:szCs w:val="20"/>
          <w:color w:val="auto"/>
        </w:rPr>
      </w:pPr>
      <w:r>
        <w:rPr>
          <w:rFonts w:ascii="Arial" w:cs="Arial" w:eastAsia="Arial" w:hAnsi="Arial"/>
          <w:sz w:val="12"/>
          <w:szCs w:val="12"/>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 sponsor in response to an action letter. Under the goals and policies agreed to by the FDA under PDUFA, the FDA aims to review and act on a Class 1 resubmission with two months of receipt and, with respect to a Class 2 resubmission, within six months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color w:val="auto"/>
        </w:rPr>
        <w:t>receipt. The FDA will not approve an application until issues identified in the complete response letter have been addressed.</w:t>
      </w:r>
    </w:p>
    <w:p>
      <w:pPr>
        <w:spacing w:after="0" w:line="170" w:lineRule="exact"/>
        <w:rPr>
          <w:sz w:val="20"/>
          <w:szCs w:val="20"/>
          <w:color w:val="auto"/>
        </w:rPr>
      </w:pPr>
    </w:p>
    <w:p>
      <w:pPr>
        <w:jc w:val="both"/>
        <w:ind w:right="500" w:firstLine="556"/>
        <w:spacing w:after="0" w:line="267" w:lineRule="auto"/>
        <w:rPr>
          <w:sz w:val="20"/>
          <w:szCs w:val="20"/>
          <w:color w:val="auto"/>
        </w:rPr>
      </w:pPr>
      <w:r>
        <w:rPr>
          <w:rFonts w:ascii="Arial" w:cs="Arial" w:eastAsia="Arial" w:hAnsi="Arial"/>
          <w:sz w:val="13"/>
          <w:szCs w:val="13"/>
          <w:color w:val="auto"/>
        </w:rPr>
        <w:t>The FDA may also refer the application to an Advisory Committee for review, evaluation and recommendation as to whether the application should be approved and under what conditions. In particular, the FDA may refer applications for novel drug or biological products or drug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w:t>
      </w:r>
    </w:p>
    <w:p>
      <w:pPr>
        <w:spacing w:after="0" w:line="135" w:lineRule="exact"/>
        <w:rPr>
          <w:sz w:val="20"/>
          <w:szCs w:val="20"/>
          <w:color w:val="auto"/>
        </w:rPr>
      </w:pPr>
    </w:p>
    <w:p>
      <w:pPr>
        <w:ind w:right="20" w:firstLine="556"/>
        <w:spacing w:after="0" w:line="285" w:lineRule="auto"/>
        <w:rPr>
          <w:sz w:val="20"/>
          <w:szCs w:val="20"/>
          <w:color w:val="auto"/>
        </w:rPr>
      </w:pPr>
      <w:r>
        <w:rPr>
          <w:rFonts w:ascii="Arial" w:cs="Arial" w:eastAsia="Arial" w:hAnsi="Arial"/>
          <w:sz w:val="12"/>
          <w:szCs w:val="12"/>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Fast Track, Breakthrough Therapy and Priority Review Designations</w:t>
      </w:r>
    </w:p>
    <w:p>
      <w:pPr>
        <w:spacing w:after="0" w:line="90" w:lineRule="exact"/>
        <w:rPr>
          <w:sz w:val="20"/>
          <w:szCs w:val="20"/>
          <w:color w:val="auto"/>
        </w:rPr>
      </w:pPr>
    </w:p>
    <w:p>
      <w:pPr>
        <w:ind w:right="480" w:firstLine="556"/>
        <w:spacing w:after="0" w:line="287" w:lineRule="auto"/>
        <w:rPr>
          <w:sz w:val="20"/>
          <w:szCs w:val="20"/>
          <w:color w:val="auto"/>
        </w:rPr>
      </w:pPr>
      <w:r>
        <w:rPr>
          <w:rFonts w:ascii="Arial" w:cs="Arial" w:eastAsia="Arial" w:hAnsi="Arial"/>
          <w:sz w:val="13"/>
          <w:szCs w:val="13"/>
          <w:color w:val="auto"/>
        </w:rPr>
        <w:t>The FDA may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92" w:lineRule="exact"/>
        <w:rPr>
          <w:sz w:val="20"/>
          <w:szCs w:val="20"/>
          <w:color w:val="auto"/>
        </w:rPr>
      </w:pPr>
    </w:p>
    <w:p>
      <w:pPr>
        <w:ind w:firstLine="556"/>
        <w:spacing w:after="0" w:line="287" w:lineRule="auto"/>
        <w:rPr>
          <w:sz w:val="20"/>
          <w:szCs w:val="20"/>
          <w:color w:val="auto"/>
        </w:rPr>
      </w:pPr>
      <w:r>
        <w:rPr>
          <w:rFonts w:ascii="Arial" w:cs="Arial" w:eastAsia="Arial" w:hAnsi="Arial"/>
          <w:sz w:val="12"/>
          <w:szCs w:val="12"/>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disease or condition. Fast track designation applies to the combination of the product and the specific indication for which it is being studied. The sponsor of a new drug or biologic may request that the FDA designate the drug or biologic as a fast track product at any time during the clinical development of the product.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125"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auto"/>
        </w:rPr>
        <w:t>In 2012, Congress enacted the Food and Drug Administration Safety and Innovation Act, or the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facilitate the design of clinical trials in an efficient manner.</w:t>
      </w:r>
    </w:p>
    <w:p>
      <w:pPr>
        <w:spacing w:after="0" w:line="137" w:lineRule="exact"/>
        <w:rPr>
          <w:sz w:val="20"/>
          <w:szCs w:val="20"/>
          <w:color w:val="auto"/>
        </w:rPr>
      </w:pPr>
    </w:p>
    <w:p>
      <w:pPr>
        <w:ind w:right="260" w:firstLine="556"/>
        <w:spacing w:after="0" w:line="287" w:lineRule="auto"/>
        <w:rPr>
          <w:sz w:val="20"/>
          <w:szCs w:val="20"/>
          <w:color w:val="auto"/>
        </w:rPr>
      </w:pPr>
      <w:r>
        <w:rPr>
          <w:rFonts w:ascii="Arial" w:cs="Arial" w:eastAsia="Arial" w:hAnsi="Arial"/>
          <w:sz w:val="13"/>
          <w:szCs w:val="13"/>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67" w:name="page168"/>
    <w:bookmarkEnd w:id="167"/>
    <w:p>
      <w:pPr>
        <w:jc w:val="both"/>
        <w:ind w:right="100"/>
        <w:spacing w:after="0" w:line="304" w:lineRule="auto"/>
        <w:rPr>
          <w:sz w:val="20"/>
          <w:szCs w:val="20"/>
          <w:color w:val="auto"/>
        </w:rPr>
      </w:pPr>
      <w:r>
        <w:rPr>
          <w:rFonts w:ascii="Arial" w:cs="Arial" w:eastAsia="Arial" w:hAnsi="Arial"/>
          <w:sz w:val="12"/>
          <w:szCs w:val="12"/>
          <w:color w:val="auto"/>
        </w:rPr>
        <w:t>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to six months (compared to 10 months under standard review).</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Fast track designation, priority review and breakthrough therapy designation may expedite the development or approval process, but do not change the standards for approval.</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Accelerated Approval Pathway</w:t>
      </w:r>
    </w:p>
    <w:p>
      <w:pPr>
        <w:spacing w:after="0" w:line="9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08" w:lineRule="exact"/>
        <w:rPr>
          <w:sz w:val="20"/>
          <w:szCs w:val="20"/>
          <w:color w:val="auto"/>
        </w:rPr>
      </w:pPr>
    </w:p>
    <w:p>
      <w:pPr>
        <w:ind w:right="120" w:firstLine="556"/>
        <w:spacing w:after="0" w:line="291" w:lineRule="auto"/>
        <w:rPr>
          <w:sz w:val="20"/>
          <w:szCs w:val="20"/>
          <w:color w:val="auto"/>
        </w:rPr>
      </w:pPr>
      <w:r>
        <w:rPr>
          <w:rFonts w:ascii="Arial" w:cs="Arial" w:eastAsia="Arial" w:hAnsi="Arial"/>
          <w:sz w:val="12"/>
          <w:szCs w:val="12"/>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23"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32" w:lineRule="exact"/>
        <w:rPr>
          <w:sz w:val="20"/>
          <w:szCs w:val="20"/>
          <w:color w:val="auto"/>
        </w:rPr>
      </w:pPr>
    </w:p>
    <w:p>
      <w:pPr>
        <w:ind w:right="200" w:firstLine="556"/>
        <w:spacing w:after="0" w:line="267" w:lineRule="auto"/>
        <w:rPr>
          <w:sz w:val="20"/>
          <w:szCs w:val="20"/>
          <w:color w:val="auto"/>
        </w:rPr>
      </w:pPr>
      <w:r>
        <w:rPr>
          <w:rFonts w:ascii="Arial" w:cs="Arial" w:eastAsia="Arial" w:hAnsi="Arial"/>
          <w:sz w:val="13"/>
          <w:szCs w:val="13"/>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All promotional materials for product candidates approved under accelerated regulations are subject to prior review by the FDA.</w:t>
      </w:r>
    </w:p>
    <w:p>
      <w:pPr>
        <w:spacing w:after="0" w:line="135" w:lineRule="exact"/>
        <w:rPr>
          <w:sz w:val="20"/>
          <w:szCs w:val="20"/>
          <w:color w:val="auto"/>
        </w:rPr>
      </w:pPr>
    </w:p>
    <w:p>
      <w:pPr>
        <w:ind w:right="180" w:firstLine="556"/>
        <w:spacing w:after="0" w:line="304" w:lineRule="auto"/>
        <w:rPr>
          <w:sz w:val="20"/>
          <w:szCs w:val="20"/>
          <w:color w:val="auto"/>
        </w:rPr>
      </w:pPr>
      <w:r>
        <w:rPr>
          <w:rFonts w:ascii="Arial" w:cs="Arial" w:eastAsia="Arial" w:hAnsi="Arial"/>
          <w:sz w:val="12"/>
          <w:szCs w:val="12"/>
          <w:color w:val="auto"/>
        </w:rPr>
        <w:t>Accelerated approval pathways are available for regenerative medicine therapies that meet certain conditions. Regenerative medicine therapies include cell therapies (both allogenic and autologous), therapeutic tissue engineering products, human cell and tissue products, and combination products using any such therapies or products, except those regulated under section 361 of the PHSA. Human gene therapies, including genetically modified cells, that lead to a sustained effect on cells or tissues, may also meet the definition of a regenerative medicine therapy, as may xenogeneic cell products.</w:t>
      </w:r>
    </w:p>
    <w:p>
      <w:pPr>
        <w:spacing w:after="0" w:line="116" w:lineRule="exact"/>
        <w:rPr>
          <w:sz w:val="20"/>
          <w:szCs w:val="20"/>
          <w:color w:val="auto"/>
        </w:rPr>
      </w:pPr>
    </w:p>
    <w:p>
      <w:pPr>
        <w:ind w:right="240" w:firstLine="556"/>
        <w:spacing w:after="0" w:line="331" w:lineRule="auto"/>
        <w:rPr>
          <w:sz w:val="20"/>
          <w:szCs w:val="20"/>
          <w:color w:val="auto"/>
        </w:rPr>
      </w:pPr>
      <w:r>
        <w:rPr>
          <w:rFonts w:ascii="Arial" w:cs="Arial" w:eastAsia="Arial" w:hAnsi="Arial"/>
          <w:sz w:val="12"/>
          <w:szCs w:val="12"/>
          <w:color w:val="auto"/>
        </w:rPr>
        <w:t>Regenerative medicine therapies designed to treat, modify, reverse or cure serious conditions are eligible for FDA’s expedited programs, including fast track designation, breakthrough therapy designation, priority review and accelerated approval, if they meet the criteria for such programs. They may also be eligible for Regenerative Medicine Advanced Therapy Designation, or RMAT designation.</w:t>
      </w:r>
    </w:p>
    <w:p>
      <w:pPr>
        <w:spacing w:after="0" w:line="99"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auto"/>
        </w:rPr>
        <w:t>An investigational drug is eligible for RMAT designation if it meets the definition of regenerative medicine therapy, it is intended to treat, modify, reverse or cure a serious condition, and preliminary clinical evidence indicates that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68" w:name="page169"/>
    <w:bookmarkEnd w:id="168"/>
    <w:p>
      <w:pPr>
        <w:ind w:right="180"/>
        <w:spacing w:after="0" w:line="287" w:lineRule="auto"/>
        <w:rPr>
          <w:sz w:val="20"/>
          <w:szCs w:val="20"/>
          <w:color w:val="auto"/>
        </w:rPr>
      </w:pPr>
      <w:r>
        <w:rPr>
          <w:rFonts w:ascii="Arial" w:cs="Arial" w:eastAsia="Arial" w:hAnsi="Arial"/>
          <w:sz w:val="13"/>
          <w:szCs w:val="13"/>
          <w:color w:val="auto"/>
        </w:rPr>
        <w:t>regenerative medicine therapy has the potential to address unmet medical needs for such condition. An unmet medical need is a condition whose treatment or diagnosis is not addressed adequately by available therapy.</w:t>
      </w:r>
    </w:p>
    <w:p>
      <w:pPr>
        <w:spacing w:after="0" w:line="122" w:lineRule="exact"/>
        <w:rPr>
          <w:sz w:val="20"/>
          <w:szCs w:val="20"/>
          <w:color w:val="auto"/>
        </w:rPr>
      </w:pPr>
    </w:p>
    <w:p>
      <w:pPr>
        <w:jc w:val="both"/>
        <w:ind w:firstLine="556"/>
        <w:spacing w:after="0" w:line="304" w:lineRule="auto"/>
        <w:rPr>
          <w:sz w:val="20"/>
          <w:szCs w:val="20"/>
          <w:color w:val="auto"/>
        </w:rPr>
      </w:pPr>
      <w:r>
        <w:rPr>
          <w:rFonts w:ascii="Arial" w:cs="Arial" w:eastAsia="Arial" w:hAnsi="Arial"/>
          <w:sz w:val="12"/>
          <w:szCs w:val="12"/>
          <w:color w:val="auto"/>
        </w:rPr>
        <w:t>RMAT designation confers all the benefits of the fast track and breakthrough therapy designation programs, including early actions with the FDA. The FDA reviews each application on a case-by-case basis to determine whether the clinical evidence is sufficient to support RMAT designation, considering factors such as the rigor of data collection, the consistency and persuasiveness of the outcomes, the number of patients or subjects, and the severity, rarity or prevalence of the condition, among other factors. The FDA may decline to grant RMAT designation if it finds the clinical evidence insufficient.</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RMAT designation may expedite the development or approval process, but it does not change the standards for approval.</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Post-Approval Regulation</w:t>
      </w:r>
    </w:p>
    <w:p>
      <w:pPr>
        <w:spacing w:after="0" w:line="90" w:lineRule="exact"/>
        <w:rPr>
          <w:sz w:val="20"/>
          <w:szCs w:val="20"/>
          <w:color w:val="auto"/>
        </w:rPr>
      </w:pPr>
    </w:p>
    <w:p>
      <w:pPr>
        <w:ind w:right="20" w:firstLine="556"/>
        <w:spacing w:after="0" w:line="261" w:lineRule="auto"/>
        <w:rPr>
          <w:sz w:val="20"/>
          <w:szCs w:val="20"/>
          <w:color w:val="auto"/>
        </w:rPr>
      </w:pPr>
      <w:r>
        <w:rPr>
          <w:rFonts w:ascii="Arial" w:cs="Arial" w:eastAsia="Arial" w:hAnsi="Arial"/>
          <w:sz w:val="13"/>
          <w:szCs w:val="13"/>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and promotional labeling.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GMP regulations, which impose certain procedural and documentation requirements upon manufacturers. Accordingly, the BLA holder and its third-party manufacturers must continue to expend time, money and effort in the areas of production and quality control to maintain compliance with GMP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39" w:lineRule="exact"/>
        <w:rPr>
          <w:sz w:val="20"/>
          <w:szCs w:val="20"/>
          <w:color w:val="auto"/>
        </w:rPr>
      </w:pPr>
    </w:p>
    <w:p>
      <w:pPr>
        <w:ind w:right="60" w:firstLine="556"/>
        <w:spacing w:after="0" w:line="267" w:lineRule="auto"/>
        <w:rPr>
          <w:sz w:val="20"/>
          <w:szCs w:val="20"/>
          <w:color w:val="auto"/>
        </w:rPr>
      </w:pPr>
      <w:r>
        <w:rPr>
          <w:rFonts w:ascii="Arial" w:cs="Arial" w:eastAsia="Arial" w:hAnsi="Arial"/>
          <w:sz w:val="13"/>
          <w:szCs w:val="13"/>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55" w:lineRule="exact"/>
        <w:rPr>
          <w:sz w:val="20"/>
          <w:szCs w:val="20"/>
          <w:color w:val="auto"/>
        </w:rPr>
      </w:pPr>
    </w:p>
    <w:p>
      <w:pPr>
        <w:ind w:left="1020" w:hanging="340"/>
        <w:spacing w:after="0"/>
        <w:tabs>
          <w:tab w:leader="none" w:pos="10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restrictions on the marketing or manufacturing of the product, complete withdrawal of the product from the market or product recalls;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fines, untitled letters or warning letters or holds on post-approval clinical trials;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adverse publicity;</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refusal of the FDA to approve pending applications or supplements to approved applications, or suspension or revocation of product license approvals;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product seizure or detention, or refusal to permit the import or export of products; or</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injunctions, fines, debarment, disgorgement of profits or the imposition of civil or criminal penalties.</w:t>
      </w:r>
    </w:p>
    <w:p>
      <w:pPr>
        <w:spacing w:after="0" w:line="170"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Orphan Drug Designation</w:t>
      </w:r>
    </w:p>
    <w:p>
      <w:pPr>
        <w:spacing w:after="0" w:line="90" w:lineRule="exact"/>
        <w:rPr>
          <w:sz w:val="20"/>
          <w:szCs w:val="20"/>
          <w:color w:val="auto"/>
        </w:rPr>
      </w:pPr>
    </w:p>
    <w:p>
      <w:pPr>
        <w:ind w:right="560" w:firstLine="556"/>
        <w:spacing w:after="0" w:line="287" w:lineRule="auto"/>
        <w:rPr>
          <w:sz w:val="20"/>
          <w:szCs w:val="20"/>
          <w:color w:val="auto"/>
        </w:rPr>
      </w:pPr>
      <w:r>
        <w:rPr>
          <w:rFonts w:ascii="Arial" w:cs="Arial" w:eastAsia="Arial" w:hAnsi="Arial"/>
          <w:sz w:val="13"/>
          <w:szCs w:val="13"/>
          <w:color w:val="auto"/>
        </w:rPr>
        <w:t>Orphan drug designation in the United States is designed to encourage sponsors to develop products intended for rare diseases or conditions. In the United States, a rare disease or condition is statutorily defined as a disease or condition that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69" w:name="page170"/>
    <w:bookmarkEnd w:id="169"/>
    <w:p>
      <w:pPr>
        <w:ind w:right="360"/>
        <w:spacing w:after="0" w:line="287" w:lineRule="auto"/>
        <w:rPr>
          <w:sz w:val="20"/>
          <w:szCs w:val="20"/>
          <w:color w:val="auto"/>
        </w:rPr>
      </w:pPr>
      <w:r>
        <w:rPr>
          <w:rFonts w:ascii="Arial" w:cs="Arial" w:eastAsia="Arial" w:hAnsi="Arial"/>
          <w:sz w:val="13"/>
          <w:szCs w:val="13"/>
          <w:color w:val="auto"/>
        </w:rPr>
        <w:t>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22" w:lineRule="exact"/>
        <w:rPr>
          <w:sz w:val="20"/>
          <w:szCs w:val="20"/>
          <w:color w:val="auto"/>
        </w:rPr>
      </w:pPr>
    </w:p>
    <w:p>
      <w:pPr>
        <w:ind w:right="160" w:firstLine="556"/>
        <w:spacing w:after="0" w:line="267" w:lineRule="auto"/>
        <w:rPr>
          <w:sz w:val="20"/>
          <w:szCs w:val="20"/>
          <w:color w:val="auto"/>
        </w:rPr>
      </w:pPr>
      <w:r>
        <w:rPr>
          <w:rFonts w:ascii="Arial" w:cs="Arial" w:eastAsia="Arial" w:hAnsi="Arial"/>
          <w:sz w:val="13"/>
          <w:szCs w:val="13"/>
          <w:color w:val="auto"/>
        </w:rPr>
        <w:t>Orphan drug designation qualifies a company for certain financial incentives, including tax advantages and, if the product receives the first FDA approval for the indication for which it has orphan designation, market exclusivity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FDA, the product must then go through the review and approval process like any other product.</w:t>
      </w:r>
    </w:p>
    <w:p>
      <w:pPr>
        <w:spacing w:after="0" w:line="135"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32"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Orphan product designation does not convey any advantage in or shorten the duration of the regulatory review and approval process.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Pediatric Studies and Exclusivity</w:t>
      </w:r>
    </w:p>
    <w:p>
      <w:pPr>
        <w:spacing w:after="0" w:line="90"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auto"/>
        </w:rPr>
        <w:t>Under the Pediatric Research Equity Act of 2003, an NDA or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who are planning to submit a marketing application for a drug or biological product that includes a new active ingredient, new indication, new dosage form, new dosing regimen or new route of administration must also submit pediatric study plans prior to the assessment data, and no later than 60 calendar days following an end-of-Phase 2 meeting with the FDA or, if there is no such meeting, as early as practicable before the initiation of the Phase 3 or Phase 2/3 study. Pediatric study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42"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The FDA may, on its own initiative or at the request of the sponsor,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32" w:lineRule="exact"/>
        <w:rPr>
          <w:sz w:val="20"/>
          <w:szCs w:val="20"/>
          <w:color w:val="auto"/>
        </w:rPr>
      </w:pPr>
    </w:p>
    <w:p>
      <w:pPr>
        <w:ind w:firstLine="556"/>
        <w:spacing w:after="0" w:line="291" w:lineRule="auto"/>
        <w:rPr>
          <w:sz w:val="20"/>
          <w:szCs w:val="20"/>
          <w:color w:val="auto"/>
        </w:rPr>
      </w:pPr>
      <w:r>
        <w:rPr>
          <w:rFonts w:ascii="Arial" w:cs="Arial" w:eastAsia="Arial" w:hAnsi="Arial"/>
          <w:sz w:val="12"/>
          <w:szCs w:val="12"/>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170" w:name="page171"/>
    <w:bookmarkEnd w:id="170"/>
    <w:p>
      <w:pPr>
        <w:ind w:left="560"/>
        <w:spacing w:after="0"/>
        <w:rPr>
          <w:sz w:val="20"/>
          <w:szCs w:val="20"/>
          <w:color w:val="auto"/>
        </w:rPr>
      </w:pPr>
      <w:r>
        <w:rPr>
          <w:rFonts w:ascii="Arial" w:cs="Arial" w:eastAsia="Arial" w:hAnsi="Arial"/>
          <w:sz w:val="13"/>
          <w:szCs w:val="13"/>
          <w:i w:val="1"/>
          <w:iCs w:val="1"/>
          <w:color w:val="auto"/>
        </w:rPr>
        <w:t>Biosimilars and Reference Product Exclusivity</w:t>
      </w:r>
    </w:p>
    <w:p>
      <w:pPr>
        <w:spacing w:after="0" w:line="90" w:lineRule="exact"/>
        <w:rPr>
          <w:sz w:val="20"/>
          <w:szCs w:val="20"/>
          <w:color w:val="auto"/>
        </w:rPr>
      </w:pPr>
    </w:p>
    <w:p>
      <w:pPr>
        <w:ind w:right="180" w:firstLine="556"/>
        <w:spacing w:after="0" w:line="272" w:lineRule="auto"/>
        <w:rPr>
          <w:sz w:val="20"/>
          <w:szCs w:val="20"/>
          <w:color w:val="auto"/>
        </w:rPr>
      </w:pPr>
      <w:r>
        <w:rPr>
          <w:rFonts w:ascii="Arial" w:cs="Arial" w:eastAsia="Arial" w:hAnsi="Arial"/>
          <w:sz w:val="13"/>
          <w:szCs w:val="13"/>
          <w:color w:val="auto"/>
        </w:rPr>
        <w:t>The Patient Protection and Affordable Care Act, as amended by the Health Care and Education Reconciliation Act, or collectively, the ACA, signed into law in 2010, includes a subtitle called the Biologics Price Competition and Innovation Act of 2009, or the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w:t>
      </w:r>
    </w:p>
    <w:p>
      <w:pPr>
        <w:spacing w:after="0" w:line="132" w:lineRule="exact"/>
        <w:rPr>
          <w:sz w:val="20"/>
          <w:szCs w:val="20"/>
          <w:color w:val="auto"/>
        </w:rPr>
      </w:pPr>
    </w:p>
    <w:p>
      <w:pPr>
        <w:ind w:firstLine="556"/>
        <w:spacing w:after="0" w:line="291" w:lineRule="auto"/>
        <w:rPr>
          <w:sz w:val="20"/>
          <w:szCs w:val="20"/>
          <w:color w:val="auto"/>
        </w:rPr>
      </w:pPr>
      <w:r>
        <w:rPr>
          <w:rFonts w:ascii="Arial" w:cs="Arial" w:eastAsia="Arial" w:hAnsi="Arial"/>
          <w:sz w:val="12"/>
          <w:szCs w:val="12"/>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sponsor’s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3"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auto"/>
        </w:rPr>
        <w:t>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26"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Regulation of Combination Products in the United States</w:t>
      </w:r>
    </w:p>
    <w:p>
      <w:pPr>
        <w:spacing w:after="0" w:line="90" w:lineRule="exact"/>
        <w:rPr>
          <w:sz w:val="20"/>
          <w:szCs w:val="20"/>
          <w:color w:val="auto"/>
        </w:rPr>
      </w:pPr>
    </w:p>
    <w:p>
      <w:pPr>
        <w:ind w:right="180" w:firstLine="556"/>
        <w:spacing w:after="0" w:line="287" w:lineRule="auto"/>
        <w:rPr>
          <w:sz w:val="20"/>
          <w:szCs w:val="20"/>
          <w:color w:val="auto"/>
        </w:rPr>
      </w:pPr>
      <w:r>
        <w:rPr>
          <w:rFonts w:ascii="Arial" w:cs="Arial" w:eastAsia="Arial" w:hAnsi="Arial"/>
          <w:sz w:val="13"/>
          <w:szCs w:val="13"/>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42" w:lineRule="exact"/>
        <w:rPr>
          <w:sz w:val="20"/>
          <w:szCs w:val="20"/>
          <w:color w:val="auto"/>
        </w:rPr>
      </w:pPr>
    </w:p>
    <w:p>
      <w:pPr>
        <w:ind w:left="1020" w:hanging="340"/>
        <w:spacing w:after="0"/>
        <w:tabs>
          <w:tab w:leader="none" w:pos="102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A product comprised of two or more regulated components that are physically, chemically or otherwise combined or mixed and produced as a single entity;</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Two or more separate products packaged together in a single package or as a unit and comprised of drug and device products, device and biological products, or biological and drug products;</w:t>
      </w:r>
    </w:p>
    <w:p>
      <w:pPr>
        <w:spacing w:after="0" w:line="101" w:lineRule="exact"/>
        <w:rPr>
          <w:rFonts w:ascii="Arial" w:cs="Arial" w:eastAsia="Arial" w:hAnsi="Arial"/>
          <w:sz w:val="12"/>
          <w:szCs w:val="12"/>
          <w:color w:val="auto"/>
        </w:rPr>
      </w:pPr>
    </w:p>
    <w:p>
      <w:pPr>
        <w:ind w:left="1020" w:right="20" w:hanging="340"/>
        <w:spacing w:after="0" w:line="272" w:lineRule="auto"/>
        <w:tabs>
          <w:tab w:leader="none" w:pos="102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 xml:space="preserve">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w:t>
      </w:r>
      <w:r>
        <w:rPr>
          <w:rFonts w:ascii="Arial" w:cs="Arial" w:eastAsia="Arial" w:hAnsi="Arial"/>
          <w:sz w:val="13"/>
          <w:szCs w:val="13"/>
          <w:i w:val="1"/>
          <w:iCs w:val="1"/>
          <w:color w:val="auto"/>
        </w:rPr>
        <w:t>e.g</w:t>
      </w:r>
      <w:r>
        <w:rPr>
          <w:rFonts w:ascii="Arial" w:cs="Arial" w:eastAsia="Arial" w:hAnsi="Arial"/>
          <w:sz w:val="13"/>
          <w:szCs w:val="13"/>
          <w:color w:val="auto"/>
        </w:rPr>
        <w:t>., to reflect a change in intended use, dosage form, strength, route of administration or significant change in dose; or</w:t>
      </w:r>
    </w:p>
    <w:p>
      <w:pPr>
        <w:spacing w:after="0" w:line="41" w:lineRule="exact"/>
        <w:rPr>
          <w:rFonts w:ascii="Arial" w:cs="Arial" w:eastAsia="Arial" w:hAnsi="Arial"/>
          <w:sz w:val="13"/>
          <w:szCs w:val="13"/>
          <w:color w:val="auto"/>
        </w:rPr>
      </w:pPr>
    </w:p>
    <w:p>
      <w:pPr>
        <w:ind w:left="1020" w:right="380" w:hanging="340"/>
        <w:spacing w:after="0" w:line="287" w:lineRule="auto"/>
        <w:tabs>
          <w:tab w:leader="none" w:pos="102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22"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biological product, the FDA center responsible for premarket review of the biological product would have primary jurisdiction for the combination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71" w:name="page172"/>
    <w:bookmarkEnd w:id="171"/>
    <w:p>
      <w:pPr>
        <w:jc w:val="both"/>
        <w:spacing w:after="0" w:line="272" w:lineRule="auto"/>
        <w:rPr>
          <w:sz w:val="20"/>
          <w:szCs w:val="20"/>
          <w:color w:val="auto"/>
        </w:rPr>
      </w:pPr>
      <w:r>
        <w:rPr>
          <w:rFonts w:ascii="Arial" w:cs="Arial" w:eastAsia="Arial" w:hAnsi="Arial"/>
          <w:sz w:val="13"/>
          <w:szCs w:val="13"/>
          <w:color w:val="auto"/>
        </w:rPr>
        <w:t>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32" w:lineRule="exact"/>
        <w:rPr>
          <w:sz w:val="20"/>
          <w:szCs w:val="20"/>
          <w:color w:val="auto"/>
        </w:rPr>
      </w:pPr>
    </w:p>
    <w:p>
      <w:pPr>
        <w:ind w:right="140" w:firstLine="556"/>
        <w:spacing w:after="0" w:line="304" w:lineRule="auto"/>
        <w:rPr>
          <w:sz w:val="20"/>
          <w:szCs w:val="20"/>
          <w:color w:val="auto"/>
        </w:rPr>
      </w:pPr>
      <w:r>
        <w:rPr>
          <w:rFonts w:ascii="Arial" w:cs="Arial" w:eastAsia="Arial" w:hAnsi="Arial"/>
          <w:sz w:val="12"/>
          <w:szCs w:val="12"/>
          <w:color w:val="auto"/>
        </w:rPr>
        <w:t>In order to market any product outside of the United States, a company must also comply with numerous and varying regulatory requirements of other countries and jurisdictions regarding quality, safety and efficacy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 and sell the product in those countries or jurisdictions.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Regulation and Procedures Governing Approval of Medicinal Products in the European Union</w:t>
      </w:r>
    </w:p>
    <w:p>
      <w:pPr>
        <w:spacing w:after="0" w:line="90" w:lineRule="exact"/>
        <w:rPr>
          <w:sz w:val="20"/>
          <w:szCs w:val="20"/>
          <w:color w:val="auto"/>
        </w:rPr>
      </w:pPr>
    </w:p>
    <w:p>
      <w:pPr>
        <w:ind w:right="40" w:firstLine="556"/>
        <w:spacing w:after="0" w:line="267" w:lineRule="auto"/>
        <w:rPr>
          <w:sz w:val="20"/>
          <w:szCs w:val="20"/>
          <w:color w:val="auto"/>
        </w:rPr>
      </w:pPr>
      <w:r>
        <w:rPr>
          <w:rFonts w:ascii="Arial" w:cs="Arial" w:eastAsia="Arial" w:hAnsi="Arial"/>
          <w:sz w:val="13"/>
          <w:szCs w:val="13"/>
          <w:color w:val="auto"/>
        </w:rPr>
        <w:t>The process governing approval of medicinal products, including biological medicinal products and advanced therapy medicinal products, or ATMPs, which comprise gene therapy products, somatic cell therapy products and tissue-engineered products, in the European Union generally follows the same lines as in the United States. It entails satisfactory completion of pharmaceutical development, nonclinical and clinical studies to establish the safety and efficacy of the medicinal product for each proposed indication. Moreover, an applicant must also demonstrate the ability to manufacture the product to a suitable quality.</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Clinical Trial Approval</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Pursuant to the currently applicable Clinical Trials Directive 2001/20/EC and the Directive 2005/28/EC on GCP, a system for the approval of clinical trials in the European Union has been implemented through national legislation of the member states.</w:t>
      </w:r>
    </w:p>
    <w:p>
      <w:pPr>
        <w:spacing w:after="0" w:line="122" w:lineRule="exact"/>
        <w:rPr>
          <w:sz w:val="20"/>
          <w:szCs w:val="20"/>
          <w:color w:val="auto"/>
        </w:rPr>
      </w:pPr>
    </w:p>
    <w:p>
      <w:pPr>
        <w:ind w:right="280" w:firstLine="556"/>
        <w:spacing w:after="0" w:line="272" w:lineRule="auto"/>
        <w:rPr>
          <w:sz w:val="20"/>
          <w:szCs w:val="20"/>
          <w:color w:val="auto"/>
        </w:rPr>
      </w:pPr>
      <w:r>
        <w:rPr>
          <w:rFonts w:ascii="Arial" w:cs="Arial" w:eastAsia="Arial" w:hAnsi="Arial"/>
          <w:sz w:val="13"/>
          <w:szCs w:val="13"/>
          <w:color w:val="auto"/>
        </w:rPr>
        <w:t>Clinical trials must be conducted in accordance with European Union and national regulations and the International Conference on Harmonization, or ICH, guidelines on GCP.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w:t>
      </w:r>
    </w:p>
    <w:p>
      <w:pPr>
        <w:spacing w:after="0" w:line="132" w:lineRule="exact"/>
        <w:rPr>
          <w:sz w:val="20"/>
          <w:szCs w:val="20"/>
          <w:color w:val="auto"/>
        </w:rPr>
      </w:pPr>
    </w:p>
    <w:p>
      <w:pPr>
        <w:ind w:right="40" w:firstLine="556"/>
        <w:spacing w:after="0" w:line="291" w:lineRule="auto"/>
        <w:rPr>
          <w:sz w:val="20"/>
          <w:szCs w:val="20"/>
          <w:color w:val="auto"/>
        </w:rPr>
      </w:pPr>
      <w:r>
        <w:rPr>
          <w:rFonts w:ascii="Arial" w:cs="Arial" w:eastAsia="Arial" w:hAnsi="Arial"/>
          <w:sz w:val="12"/>
          <w:szCs w:val="12"/>
          <w:color w:val="auto"/>
        </w:rPr>
        <w:t>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independent ethics committee has issued a favorable opinion. The clinical trial application must be accompanied by a copy of the trial protocol and an investigational medicinal product dossier with supporting information prescribed by Directive 2001/20/EC and Directive 2005/28/EC and corresponding national laws of the member states and further detailed in applicable guidance documents. Moreover, the sponsor must take out a clinical trial insurance policy, and in most European Union countries the sponsor is liable to provide ‘no fault’ compensation to any study subject injured in the clinical trial.</w:t>
      </w:r>
    </w:p>
    <w:p>
      <w:pPr>
        <w:spacing w:after="0" w:line="123" w:lineRule="exact"/>
        <w:rPr>
          <w:sz w:val="20"/>
          <w:szCs w:val="20"/>
          <w:color w:val="auto"/>
        </w:rPr>
      </w:pPr>
    </w:p>
    <w:p>
      <w:pPr>
        <w:ind w:firstLine="560"/>
        <w:spacing w:after="0" w:line="263" w:lineRule="auto"/>
        <w:rPr>
          <w:sz w:val="20"/>
          <w:szCs w:val="20"/>
          <w:color w:val="auto"/>
        </w:rPr>
      </w:pPr>
      <w:r>
        <w:rPr>
          <w:rFonts w:ascii="Arial" w:cs="Arial" w:eastAsia="Arial" w:hAnsi="Arial"/>
          <w:sz w:val="13"/>
          <w:szCs w:val="13"/>
          <w:color w:val="auto"/>
        </w:rPr>
        <w:t>In April 2014, the European Union adopted a new Clinical Trials Regulation (EU) No 536/2014, which is set to replace the current Clinical Trials Directive 2001/20/EC. It is expected that the new Clinical Trials Regulation will apply at earliest in 2020. It will overhaul the current system of approvals for clinical trials in the European Union. Specifically, the new regulation, which will be directly applicable in all member states, aims to simplify and streamline the approval of clinical trials in the European Union. For instance, the new Clinical Trials Regulation provides for a streamlined application procedure using a single entry point and strictly defined deadlines for the assessment of clinical trial applications. This means that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w:t>
      </w:r>
    </w:p>
    <w:p>
      <w:pPr>
        <w:spacing w:after="0" w:line="137"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auto"/>
        </w:rPr>
        <w:t>The sponsor of a clinical trial must register the clinical trial in advance, and information related to the product, patient population, phase of investigation, study sites and investigators, and other aspects of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72" w:name="page173"/>
    <w:bookmarkEnd w:id="172"/>
    <w:p>
      <w:pPr>
        <w:ind w:right="60" w:firstLine="556"/>
        <w:spacing w:after="0" w:line="264" w:lineRule="auto"/>
        <w:rPr>
          <w:sz w:val="20"/>
          <w:szCs w:val="20"/>
          <w:color w:val="auto"/>
        </w:rPr>
      </w:pPr>
      <w:r>
        <w:rPr>
          <w:rFonts w:ascii="Arial" w:cs="Arial" w:eastAsia="Arial" w:hAnsi="Arial"/>
          <w:sz w:val="13"/>
          <w:szCs w:val="13"/>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of the product concerned.</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Marketing Authorization</w:t>
      </w:r>
    </w:p>
    <w:p>
      <w:pPr>
        <w:spacing w:after="0" w:line="90" w:lineRule="exact"/>
        <w:rPr>
          <w:sz w:val="20"/>
          <w:szCs w:val="20"/>
          <w:color w:val="auto"/>
        </w:rPr>
      </w:pPr>
    </w:p>
    <w:p>
      <w:pPr>
        <w:jc w:val="both"/>
        <w:ind w:right="440" w:firstLine="556"/>
        <w:spacing w:after="0" w:line="272" w:lineRule="auto"/>
        <w:rPr>
          <w:sz w:val="20"/>
          <w:szCs w:val="20"/>
          <w:color w:val="auto"/>
        </w:rPr>
      </w:pPr>
      <w:r>
        <w:rPr>
          <w:rFonts w:ascii="Arial" w:cs="Arial" w:eastAsia="Arial" w:hAnsi="Arial"/>
          <w:sz w:val="13"/>
          <w:szCs w:val="13"/>
          <w:color w:val="auto"/>
        </w:rPr>
        <w:t>To obtain a marketing authorization for a product under the European Union regulatory system, a sponsor must submit a marketing authorization application, or MAA, either under a centralized procedure administered by the EMA or one of the procedures administered by competent authorities in European Union member states (decentralized procedure, national procedure or mutual recognition procedure).</w:t>
      </w:r>
    </w:p>
    <w:p>
      <w:pPr>
        <w:spacing w:after="0" w:line="132"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the agency’s website following the grant, denial or withdrawal of a MAA, subject to procedures for limited redactions and protection against unfair commercial use. A similar requirement is contained in the new Clinical Trials Regulation that is currently expected to take effect at earliest in 2020.</w:t>
      </w:r>
    </w:p>
    <w:p>
      <w:pPr>
        <w:spacing w:after="0" w:line="137" w:lineRule="exact"/>
        <w:rPr>
          <w:sz w:val="20"/>
          <w:szCs w:val="20"/>
          <w:color w:val="auto"/>
        </w:rPr>
      </w:pPr>
    </w:p>
    <w:p>
      <w:pPr>
        <w:ind w:right="60" w:firstLine="556"/>
        <w:spacing w:after="0" w:line="304" w:lineRule="auto"/>
        <w:rPr>
          <w:sz w:val="20"/>
          <w:szCs w:val="20"/>
          <w:color w:val="auto"/>
        </w:rPr>
      </w:pPr>
      <w:r>
        <w:rPr>
          <w:rFonts w:ascii="Arial" w:cs="Arial" w:eastAsia="Arial" w:hAnsi="Arial"/>
          <w:sz w:val="12"/>
          <w:szCs w:val="12"/>
          <w:color w:val="auto"/>
        </w:rPr>
        <w:t>A marketing authorization may be granted only to a sponsor established in the European Union. Regulation (EC) No. 1901/2006 on medicinal products for pediatric use provides that prior to obtaining a marketing authorization in the European Union in the centralized procedure, a sponsor must demonstrate compliance with all measures included in an EMA-approved Pediatric Investigation Plan covering all subsets of the pediatric population, unless the EMA has granted a product-specific waiver, class waiver or deferral for one or more of the measures included in the Pediatric Investigation Plan.</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centralized procedure provides for the grant of a single marketing authorization by the European Commission that is valid for all European Union member states. Pursuant to Regulation (EC)</w:t>
      </w:r>
    </w:p>
    <w:p>
      <w:pPr>
        <w:spacing w:after="0" w:line="31" w:lineRule="exact"/>
        <w:rPr>
          <w:sz w:val="20"/>
          <w:szCs w:val="20"/>
          <w:color w:val="auto"/>
        </w:rPr>
      </w:pPr>
    </w:p>
    <w:p>
      <w:pPr>
        <w:ind w:right="40"/>
        <w:spacing w:after="0" w:line="297" w:lineRule="auto"/>
        <w:rPr>
          <w:sz w:val="20"/>
          <w:szCs w:val="20"/>
          <w:color w:val="auto"/>
        </w:rPr>
      </w:pPr>
      <w:r>
        <w:rPr>
          <w:rFonts w:ascii="Arial" w:cs="Arial" w:eastAsia="Arial" w:hAnsi="Arial"/>
          <w:sz w:val="12"/>
          <w:szCs w:val="12"/>
          <w:color w:val="auto"/>
        </w:rPr>
        <w:t>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19"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disease (</w:t>
      </w:r>
      <w:r>
        <w:rPr>
          <w:rFonts w:ascii="Arial" w:cs="Arial" w:eastAsia="Arial" w:hAnsi="Arial"/>
          <w:sz w:val="13"/>
          <w:szCs w:val="13"/>
          <w:i w:val="1"/>
          <w:iCs w:val="1"/>
          <w:color w:val="auto"/>
        </w:rPr>
        <w:t>e.g</w:t>
      </w:r>
      <w:r>
        <w:rPr>
          <w:rFonts w:ascii="Arial" w:cs="Arial" w:eastAsia="Arial" w:hAnsi="Arial"/>
          <w:sz w:val="13"/>
          <w:szCs w:val="13"/>
          <w:color w:val="auto"/>
        </w:rPr>
        <w:t>., heavy disabling or life-threatening diseases) to be treated, (ii) the absence or insufficiency of an appropriate alternative therapeutic approach, and (iii) anticipation of high therapeutic benefit.</w:t>
      </w:r>
    </w:p>
    <w:p>
      <w:pPr>
        <w:spacing w:after="0" w:line="138" w:lineRule="exact"/>
        <w:rPr>
          <w:sz w:val="20"/>
          <w:szCs w:val="20"/>
          <w:color w:val="auto"/>
        </w:rPr>
      </w:pPr>
    </w:p>
    <w:p>
      <w:pPr>
        <w:ind w:right="320" w:firstLine="556"/>
        <w:spacing w:after="0" w:line="287" w:lineRule="auto"/>
        <w:rPr>
          <w:sz w:val="20"/>
          <w:szCs w:val="20"/>
          <w:color w:val="auto"/>
        </w:rPr>
      </w:pPr>
      <w:r>
        <w:rPr>
          <w:rFonts w:ascii="Arial" w:cs="Arial" w:eastAsia="Arial" w:hAnsi="Arial"/>
          <w:sz w:val="13"/>
          <w:szCs w:val="13"/>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22" w:lineRule="exact"/>
        <w:rPr>
          <w:sz w:val="20"/>
          <w:szCs w:val="20"/>
          <w:color w:val="auto"/>
        </w:rPr>
      </w:pPr>
    </w:p>
    <w:p>
      <w:pPr>
        <w:jc w:val="both"/>
        <w:ind w:right="160" w:firstLine="556"/>
        <w:spacing w:after="0" w:line="272" w:lineRule="auto"/>
        <w:rPr>
          <w:sz w:val="20"/>
          <w:szCs w:val="20"/>
          <w:color w:val="auto"/>
        </w:rPr>
      </w:pPr>
      <w:r>
        <w:rPr>
          <w:rFonts w:ascii="Arial" w:cs="Arial" w:eastAsia="Arial" w:hAnsi="Arial"/>
          <w:sz w:val="13"/>
          <w:szCs w:val="13"/>
          <w:color w:val="auto"/>
        </w:rPr>
        <w:t>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73" w:name="page174"/>
    <w:bookmarkEnd w:id="173"/>
    <w:p>
      <w:pPr>
        <w:ind w:right="120"/>
        <w:spacing w:after="0" w:line="264" w:lineRule="auto"/>
        <w:rPr>
          <w:sz w:val="20"/>
          <w:szCs w:val="20"/>
          <w:color w:val="auto"/>
        </w:rPr>
      </w:pPr>
      <w:r>
        <w:rPr>
          <w:rFonts w:ascii="Arial" w:cs="Arial" w:eastAsia="Arial" w:hAnsi="Arial"/>
          <w:sz w:val="13"/>
          <w:szCs w:val="13"/>
          <w:color w:val="auto"/>
        </w:rPr>
        <w:t>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which are not legally binding, provide additional guidance on the factors that the EMA will consider in relation to the development and evaluation of ATMPs and include, inter alia, the preclinical studies required to characterize ATMPs, the manufacturing and control information that should be submitted in a MAA; and post-approval measures required to monitor patients and evaluate the long term efficacy and potential adverse reactions of ATMPs.</w:t>
      </w:r>
    </w:p>
    <w:p>
      <w:pPr>
        <w:spacing w:after="0" w:line="138"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58" w:lineRule="exact"/>
        <w:rPr>
          <w:sz w:val="20"/>
          <w:szCs w:val="20"/>
          <w:color w:val="auto"/>
        </w:rPr>
      </w:pPr>
    </w:p>
    <w:p>
      <w:pPr>
        <w:ind w:left="1020" w:right="100" w:hanging="340"/>
        <w:spacing w:after="0" w:line="287" w:lineRule="auto"/>
        <w:tabs>
          <w:tab w:leader="none" w:pos="10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applicant must complete an identified program of studies within a time period specified by the competent authority, the results of which form the basis of a reassessment of the benefit/risk profile;</w:t>
      </w:r>
    </w:p>
    <w:p>
      <w:pPr>
        <w:spacing w:after="0" w:line="42" w:lineRule="exact"/>
        <w:rPr>
          <w:rFonts w:ascii="Arial" w:cs="Arial" w:eastAsia="Arial" w:hAnsi="Arial"/>
          <w:sz w:val="13"/>
          <w:szCs w:val="13"/>
          <w:color w:val="auto"/>
        </w:rPr>
      </w:pPr>
    </w:p>
    <w:p>
      <w:pPr>
        <w:ind w:left="1020" w:hanging="340"/>
        <w:spacing w:after="0" w:line="287" w:lineRule="auto"/>
        <w:tabs>
          <w:tab w:leader="none" w:pos="10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2" w:lineRule="exact"/>
        <w:rPr>
          <w:rFonts w:ascii="Arial" w:cs="Arial" w:eastAsia="Arial" w:hAnsi="Arial"/>
          <w:sz w:val="13"/>
          <w:szCs w:val="13"/>
          <w:color w:val="auto"/>
        </w:rPr>
      </w:pPr>
    </w:p>
    <w:p>
      <w:pPr>
        <w:ind w:left="1020" w:right="80" w:hanging="340"/>
        <w:spacing w:after="0" w:line="287" w:lineRule="auto"/>
        <w:tabs>
          <w:tab w:leader="none" w:pos="10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22"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135" w:lineRule="exact"/>
        <w:rPr>
          <w:sz w:val="20"/>
          <w:szCs w:val="20"/>
          <w:color w:val="auto"/>
        </w:rPr>
      </w:pPr>
    </w:p>
    <w:p>
      <w:pPr>
        <w:jc w:val="both"/>
        <w:ind w:right="580" w:firstLine="556"/>
        <w:spacing w:after="0" w:line="272" w:lineRule="auto"/>
        <w:rPr>
          <w:sz w:val="20"/>
          <w:szCs w:val="20"/>
          <w:color w:val="auto"/>
        </w:rPr>
      </w:pPr>
      <w:r>
        <w:rPr>
          <w:rFonts w:ascii="Arial" w:cs="Arial" w:eastAsia="Arial" w:hAnsi="Arial"/>
          <w:sz w:val="13"/>
          <w:szCs w:val="13"/>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the CHMP finds that all the following requirements are met:</w:t>
      </w:r>
    </w:p>
    <w:p>
      <w:pPr>
        <w:spacing w:after="0" w:line="52" w:lineRule="exact"/>
        <w:rPr>
          <w:sz w:val="20"/>
          <w:szCs w:val="20"/>
          <w:color w:val="auto"/>
        </w:rPr>
      </w:pPr>
    </w:p>
    <w:p>
      <w:pPr>
        <w:ind w:left="1020" w:hanging="340"/>
        <w:spacing w:after="0"/>
        <w:tabs>
          <w:tab w:leader="none" w:pos="10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the benefit-risk balance of the product is positive;</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it is likely that the applicant will be able to provide comprehensive data;</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unmet medical needs will be fulfilled; and</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the benefit to public health of the medicinal product’s immediate availability on the market outweighs the risks due to need for further data.</w:t>
      </w:r>
    </w:p>
    <w:p>
      <w:pPr>
        <w:spacing w:after="0" w:line="170"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Once comprehensive data on the medicinal product have been obtained, the marketing authorization may be converted into a standard marketing authorization which is no longer subject to specific obligations. Initially, this is valid for five years, but can be renewed for unlimited validity.</w:t>
      </w:r>
    </w:p>
    <w:p>
      <w:pPr>
        <w:spacing w:after="0" w:line="138"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auto"/>
        </w:rPr>
        <w:t>The European Union medicines rules expressly permit the member states to adopt national legislation prohibiting or restricting the sale, supply or use of any medicinal products containing, consisting of or derived from a specific type of human or animal cell, such as embryonic stem cells.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74" w:name="page175"/>
    <w:bookmarkEnd w:id="174"/>
    <w:p>
      <w:pPr>
        <w:ind w:left="560"/>
        <w:spacing w:after="0"/>
        <w:rPr>
          <w:sz w:val="20"/>
          <w:szCs w:val="20"/>
          <w:color w:val="auto"/>
        </w:rPr>
      </w:pPr>
      <w:r>
        <w:rPr>
          <w:rFonts w:ascii="Arial" w:cs="Arial" w:eastAsia="Arial" w:hAnsi="Arial"/>
          <w:sz w:val="13"/>
          <w:szCs w:val="13"/>
          <w:i w:val="1"/>
          <w:iCs w:val="1"/>
          <w:color w:val="auto"/>
        </w:rPr>
        <w:t>Periods of Authorization and Renewals</w:t>
      </w:r>
    </w:p>
    <w:p>
      <w:pPr>
        <w:spacing w:after="0" w:line="90" w:lineRule="exact"/>
        <w:rPr>
          <w:sz w:val="20"/>
          <w:szCs w:val="20"/>
          <w:color w:val="auto"/>
        </w:rPr>
      </w:pPr>
    </w:p>
    <w:p>
      <w:pPr>
        <w:ind w:right="40" w:firstLine="556"/>
        <w:spacing w:after="0" w:line="263" w:lineRule="auto"/>
        <w:rPr>
          <w:sz w:val="20"/>
          <w:szCs w:val="20"/>
          <w:color w:val="auto"/>
        </w:rPr>
      </w:pPr>
      <w:r>
        <w:rPr>
          <w:rFonts w:ascii="Arial" w:cs="Arial" w:eastAsia="Arial" w:hAnsi="Arial"/>
          <w:sz w:val="13"/>
          <w:szCs w:val="13"/>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Regulatory Requirements after Marketing Authorization</w:t>
      </w:r>
    </w:p>
    <w:p>
      <w:pPr>
        <w:spacing w:after="0" w:line="90" w:lineRule="exact"/>
        <w:rPr>
          <w:sz w:val="20"/>
          <w:szCs w:val="20"/>
          <w:color w:val="auto"/>
        </w:rPr>
      </w:pPr>
    </w:p>
    <w:p>
      <w:pPr>
        <w:ind w:right="40" w:firstLine="556"/>
        <w:spacing w:after="0" w:line="287" w:lineRule="auto"/>
        <w:rPr>
          <w:sz w:val="20"/>
          <w:szCs w:val="20"/>
          <w:color w:val="auto"/>
        </w:rPr>
      </w:pPr>
      <w:r>
        <w:rPr>
          <w:rFonts w:ascii="Arial" w:cs="Arial" w:eastAsia="Arial" w:hAnsi="Arial"/>
          <w:sz w:val="12"/>
          <w:szCs w:val="12"/>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25"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auto"/>
        </w:rPr>
        <w:t>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products to assure their safety and identity. Specifically, medicinal products may only be manufactured in the European Union, or imported into the European Union from another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practice, or GMP, before releasing the product for commercial distribution in the European Union or for use in a clinical trial. Manufacturing facilities are subject to periodic inspections by the competent authorities for compliance with GMP.</w:t>
      </w:r>
    </w:p>
    <w:p>
      <w:pPr>
        <w:spacing w:after="0" w:line="137" w:lineRule="exact"/>
        <w:rPr>
          <w:sz w:val="20"/>
          <w:szCs w:val="20"/>
          <w:color w:val="auto"/>
        </w:rPr>
      </w:pPr>
    </w:p>
    <w:p>
      <w:pPr>
        <w:ind w:firstLine="556"/>
        <w:spacing w:after="0" w:line="296" w:lineRule="auto"/>
        <w:rPr>
          <w:sz w:val="20"/>
          <w:szCs w:val="20"/>
          <w:color w:val="auto"/>
        </w:rPr>
      </w:pPr>
      <w:r>
        <w:rPr>
          <w:rFonts w:ascii="Arial" w:cs="Arial" w:eastAsia="Arial" w:hAnsi="Arial"/>
          <w:sz w:val="12"/>
          <w:szCs w:val="12"/>
          <w:color w:val="auto"/>
        </w:rPr>
        <w:t>Finally, the marketing and promotion of authorized products, including industry-sponsored continuing medical education and advertising directed toward the prescribers of products and/or the general public, are strictly regulated in the European Union. In principle,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Directive 2001/83/EC, as amended, the details are governed by regulations in each member state and can differ from one country to another.</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Human Cells and Tissues</w:t>
      </w:r>
    </w:p>
    <w:p>
      <w:pPr>
        <w:spacing w:after="0" w:line="90"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auto"/>
        </w:rPr>
        <w:t>Human cells and tissues that are intended for human applications but that do not fall within the scope of rules governing medicinal products or medical devices are not subject to premarket review and approval, nor do they require extensive preclinical and clinical testing. However, there are European Union rules governing the donation, procurement, testing and storage of human cells and tissues intended for human application, whether or not they are ATMPs. These rules also cover the processing, preservation and distribution of human cell and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serious adverse events and reactions linked to the quality and safety of cells and tissues. More detailed rules may exist at the national level.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75" w:name="page176"/>
    <w:bookmarkEnd w:id="175"/>
    <w:p>
      <w:pPr>
        <w:ind w:left="560"/>
        <w:spacing w:after="0"/>
        <w:rPr>
          <w:sz w:val="20"/>
          <w:szCs w:val="20"/>
          <w:color w:val="auto"/>
        </w:rPr>
      </w:pPr>
      <w:r>
        <w:rPr>
          <w:rFonts w:ascii="Arial" w:cs="Arial" w:eastAsia="Arial" w:hAnsi="Arial"/>
          <w:sz w:val="13"/>
          <w:szCs w:val="13"/>
          <w:i w:val="1"/>
          <w:iCs w:val="1"/>
          <w:color w:val="auto"/>
        </w:rPr>
        <w:t>Named Patient Supplies</w:t>
      </w:r>
    </w:p>
    <w:p>
      <w:pPr>
        <w:spacing w:after="0" w:line="90"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auto"/>
        </w:rPr>
        <w:t>The European Union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 This may in certain countries also apply to products manufactured in a country outside the European Union and imported to treat specific patients or small groups of patients.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Orphan Drug Designation and Exclusivity</w:t>
      </w:r>
    </w:p>
    <w:p>
      <w:pPr>
        <w:spacing w:after="0" w:line="90" w:lineRule="exact"/>
        <w:rPr>
          <w:sz w:val="20"/>
          <w:szCs w:val="20"/>
          <w:color w:val="auto"/>
        </w:rPr>
      </w:pPr>
    </w:p>
    <w:p>
      <w:pPr>
        <w:ind w:right="40" w:firstLine="556"/>
        <w:spacing w:after="0" w:line="291" w:lineRule="auto"/>
        <w:rPr>
          <w:sz w:val="20"/>
          <w:szCs w:val="20"/>
          <w:color w:val="auto"/>
        </w:rPr>
      </w:pPr>
      <w:r>
        <w:rPr>
          <w:rFonts w:ascii="Arial" w:cs="Arial" w:eastAsia="Arial" w:hAnsi="Arial"/>
          <w:sz w:val="12"/>
          <w:szCs w:val="12"/>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23" w:lineRule="exact"/>
        <w:rPr>
          <w:sz w:val="20"/>
          <w:szCs w:val="20"/>
          <w:color w:val="auto"/>
        </w:rPr>
      </w:pPr>
    </w:p>
    <w:p>
      <w:pPr>
        <w:ind w:right="40" w:firstLine="556"/>
        <w:spacing w:after="0" w:line="263" w:lineRule="auto"/>
        <w:rPr>
          <w:sz w:val="20"/>
          <w:szCs w:val="20"/>
          <w:color w:val="auto"/>
        </w:rPr>
      </w:pPr>
      <w:r>
        <w:rPr>
          <w:rFonts w:ascii="Arial" w:cs="Arial" w:eastAsia="Arial" w:hAnsi="Arial"/>
          <w:sz w:val="13"/>
          <w:szCs w:val="13"/>
          <w:color w:val="auto"/>
        </w:rPr>
        <w:t>An orphan drug designation provides a number of benefits, including fee reductions, regulatory assistance and the possibility to apply for a centralized European Union marketing authorization. Marketing authorization for an orphan drug leads to a 10-year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 currently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European Data Collection and Data Protection Laws</w:t>
      </w:r>
    </w:p>
    <w:p>
      <w:pPr>
        <w:spacing w:after="0" w:line="90" w:lineRule="exact"/>
        <w:rPr>
          <w:sz w:val="20"/>
          <w:szCs w:val="20"/>
          <w:color w:val="auto"/>
        </w:rPr>
      </w:pPr>
    </w:p>
    <w:p>
      <w:pPr>
        <w:ind w:firstLine="556"/>
        <w:spacing w:after="0" w:line="283" w:lineRule="auto"/>
        <w:rPr>
          <w:sz w:val="20"/>
          <w:szCs w:val="20"/>
          <w:color w:val="auto"/>
        </w:rPr>
      </w:pPr>
      <w:r>
        <w:rPr>
          <w:rFonts w:ascii="Arial" w:cs="Arial" w:eastAsia="Arial" w:hAnsi="Arial"/>
          <w:sz w:val="12"/>
          <w:szCs w:val="12"/>
          <w:color w:val="auto"/>
        </w:rPr>
        <w:t>We are required to comply with strict data protection and privacy legislation in the jurisdictions in which we operate, including the General Data Protection Regulation (EU) 2016/679, or GDPR. The GDPR governs our collection and use of personal data in the European Union relating to individuals (</w:t>
      </w:r>
      <w:r>
        <w:rPr>
          <w:rFonts w:ascii="Arial" w:cs="Arial" w:eastAsia="Arial" w:hAnsi="Arial"/>
          <w:sz w:val="12"/>
          <w:szCs w:val="12"/>
          <w:i w:val="1"/>
          <w:iCs w:val="1"/>
          <w:color w:val="auto"/>
        </w:rPr>
        <w:t>e.g</w:t>
      </w:r>
      <w:r>
        <w:rPr>
          <w:rFonts w:ascii="Arial" w:cs="Arial" w:eastAsia="Arial" w:hAnsi="Arial"/>
          <w:sz w:val="12"/>
          <w:szCs w:val="12"/>
          <w:color w:val="auto"/>
        </w:rPr>
        <w:t>., patients). The GDPR imposes several requirements on organizations that process such data, including: to observe core data processing principles; to comply with various accountability measures; to provide more detailed information to individuals about data processing activities; to establish a legal basis to process personal data (including enhanced consent requirements); to maintain the integrity, security and confidentiality of personal data; and to report personal data breaches. The GDPR also restricts the transfer of personal data outside of the European Economic Area (</w:t>
      </w:r>
      <w:r>
        <w:rPr>
          <w:rFonts w:ascii="Arial" w:cs="Arial" w:eastAsia="Arial" w:hAnsi="Arial"/>
          <w:sz w:val="12"/>
          <w:szCs w:val="12"/>
          <w:i w:val="1"/>
          <w:iCs w:val="1"/>
          <w:color w:val="auto"/>
        </w:rPr>
        <w:t>e.g</w:t>
      </w:r>
      <w:r>
        <w:rPr>
          <w:rFonts w:ascii="Arial" w:cs="Arial" w:eastAsia="Arial" w:hAnsi="Arial"/>
          <w:sz w:val="12"/>
          <w:szCs w:val="12"/>
          <w:color w:val="auto"/>
        </w:rPr>
        <w:t>., to the United States and other countries that are not deemed to provide adequate protection under their domestic laws). The GDPR may impose additional responsibility and liability in relation to personal data that we process, and require us to put in place additional mechanisms ensuring compliance with the new data protection rules. This may be onerous and adversely affect our business, financial condition, results of operations and prospects. Failure to comply with the requirements of the GDPR and related national data protection laws of European Union member states may result in a variety of enforcement measures, including significant fines and other administrative measures. The GDPR has introduced substantial fines for breaches of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is no guarantee of success in defending these claims, and if we do not prevail, we could be required to pay substantial fines and/or damages and could suffer significant reputational harm. Even if we are successful, litigation could result in substantial cost and be a distraction to management and other employees.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Regulation of Diagnostic Products in the European Union</w:t>
      </w:r>
    </w:p>
    <w:p>
      <w:pPr>
        <w:spacing w:after="0" w:line="90"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 xml:space="preserve">In the European Union,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diagnostic products are regulated as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diagnostic medical devices, or IVDs. The marketing of IVDs is subject to compliance with the In Vitro Diagnostic Medical Devices Directive 98/79/EC (IVD Directive). An IVD may be placed on the market within the European Union only if it conforms to certain “essential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76" w:name="page177"/>
    <w:bookmarkEnd w:id="176"/>
    <w:p>
      <w:pPr>
        <w:ind w:right="280"/>
        <w:spacing w:after="0" w:line="331" w:lineRule="auto"/>
        <w:rPr>
          <w:sz w:val="20"/>
          <w:szCs w:val="20"/>
          <w:color w:val="auto"/>
        </w:rPr>
      </w:pPr>
      <w:r>
        <w:rPr>
          <w:rFonts w:ascii="Arial" w:cs="Arial" w:eastAsia="Arial" w:hAnsi="Arial"/>
          <w:sz w:val="12"/>
          <w:szCs w:val="12"/>
          <w:color w:val="auto"/>
        </w:rPr>
        <w:t>requirements” and bears the CE Mark. The most fundamental and essential requirement is that an IVD must be designed and manufactured in such a way that it will not compromise the clinical condition or safety of patients, or the safety and health of users and others. In addition, the IVD must achieve the performance(s) stated by the manufacturer and be designed and manufactured in a suitable manner.</w:t>
      </w:r>
    </w:p>
    <w:p>
      <w:pPr>
        <w:spacing w:after="0" w:line="99"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auto"/>
        </w:rPr>
        <w:t>Manufacturers must demonstrate that their IVDs conform to the relevant essential requirements through a conformity assessment procedure. The nature of the assessment depends upon the classification of the device. For IVDs intended to determine certain conditions or detect certain diseases, conformity assessment procedures involve a notified body. Notified bodies are often private entities and are authorized or licensed to perform such assessments by government authorities.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For all other IVDs, the manufacturer performs its own conformity assessment procedure and self-declares conformity before applying the CE Mark. Application of the CE Mark allows the general commercializing of an IVD in the European Union. The manufacturer or, if the manufacturer is located outside the European Union, its authorized representative in the European Union must also register with the competent authority in the European Union member state in which it is located.</w:t>
      </w:r>
    </w:p>
    <w:p>
      <w:pPr>
        <w:spacing w:after="0" w:line="139" w:lineRule="exact"/>
        <w:rPr>
          <w:sz w:val="20"/>
          <w:szCs w:val="20"/>
          <w:color w:val="auto"/>
        </w:rPr>
      </w:pPr>
    </w:p>
    <w:p>
      <w:pPr>
        <w:ind w:right="40" w:firstLine="556"/>
        <w:spacing w:after="0" w:line="263" w:lineRule="auto"/>
        <w:rPr>
          <w:sz w:val="20"/>
          <w:szCs w:val="20"/>
          <w:color w:val="auto"/>
        </w:rPr>
      </w:pPr>
      <w:r>
        <w:rPr>
          <w:rFonts w:ascii="Arial" w:cs="Arial" w:eastAsia="Arial" w:hAnsi="Arial"/>
          <w:sz w:val="13"/>
          <w:szCs w:val="13"/>
          <w:color w:val="auto"/>
        </w:rPr>
        <w:t>In May 2017, the European Union adopted a new In Vitro Diagnostic Medical Devices Regulation (EU) 2017/746, or the IVD Regulation, which will apply in the European Union from May 26, 2022. The IVD Regulation does not set out a radically new system, but clearly envisages, among other things, stricter controls of IVDs, including the involvement of notified bodies in conformity assessments of many more categories of IVD and increased expectations as regards clinical data for IVDs. The IVD Regulation also envisages greater control over notified bodies and their standards, increased transparency, more robust device vigilance requirements and clarification of the rules for clinical investigations. Under transitional provisions, IVDs with notified body certificates issued under the IVD Directive prior to May 26, 2022 may continue to be placed on the market for the remaining validity of the certificate, until May 27, 2024 at the latest. After the expiry of any applicable transitional period, only IVDs that have been CE marked under the IVD Regulation may be placed on the market in the European Union.</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Coverage, Pricing and Reimbursement</w:t>
      </w:r>
    </w:p>
    <w:p>
      <w:pPr>
        <w:spacing w:after="0" w:line="90" w:lineRule="exact"/>
        <w:rPr>
          <w:sz w:val="20"/>
          <w:szCs w:val="20"/>
          <w:color w:val="auto"/>
        </w:rPr>
      </w:pPr>
    </w:p>
    <w:p>
      <w:pPr>
        <w:ind w:right="40" w:firstLine="556"/>
        <w:spacing w:after="0" w:line="285" w:lineRule="auto"/>
        <w:rPr>
          <w:sz w:val="20"/>
          <w:szCs w:val="20"/>
          <w:color w:val="auto"/>
        </w:rPr>
      </w:pPr>
      <w:r>
        <w:rPr>
          <w:rFonts w:ascii="Arial" w:cs="Arial" w:eastAsia="Arial" w:hAnsi="Arial"/>
          <w:sz w:val="12"/>
          <w:szCs w:val="12"/>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cost-effectiveness of medical products and services and imposing controls to manage costs.</w:t>
      </w:r>
    </w:p>
    <w:p>
      <w:pPr>
        <w:spacing w:after="0" w:line="129" w:lineRule="exact"/>
        <w:rPr>
          <w:sz w:val="20"/>
          <w:szCs w:val="20"/>
          <w:color w:val="auto"/>
        </w:rPr>
      </w:pPr>
    </w:p>
    <w:p>
      <w:pPr>
        <w:ind w:right="40" w:firstLine="556"/>
        <w:spacing w:after="0" w:line="261" w:lineRule="auto"/>
        <w:rPr>
          <w:sz w:val="20"/>
          <w:szCs w:val="20"/>
          <w:color w:val="auto"/>
        </w:rPr>
      </w:pPr>
      <w:r>
        <w:rPr>
          <w:rFonts w:ascii="Arial" w:cs="Arial" w:eastAsia="Arial" w:hAnsi="Arial"/>
          <w:sz w:val="13"/>
          <w:szCs w:val="13"/>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pharmacoeconomic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11" w:right="359" w:bottom="1440" w:gutter="0" w:footer="0" w:header="0"/>
        </w:sectPr>
      </w:pPr>
    </w:p>
    <w:bookmarkStart w:id="177" w:name="page178"/>
    <w:bookmarkEnd w:id="177"/>
    <w:p>
      <w:pPr>
        <w:ind w:right="20"/>
        <w:spacing w:after="0" w:line="272" w:lineRule="auto"/>
        <w:rPr>
          <w:sz w:val="20"/>
          <w:szCs w:val="20"/>
          <w:color w:val="auto"/>
        </w:rPr>
      </w:pPr>
      <w:r>
        <w:rPr>
          <w:rFonts w:ascii="Arial" w:cs="Arial" w:eastAsia="Arial" w:hAnsi="Arial"/>
          <w:sz w:val="13"/>
          <w:szCs w:val="13"/>
          <w:color w:val="auto"/>
        </w:rPr>
        <w:t>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32" w:lineRule="exact"/>
        <w:rPr>
          <w:sz w:val="20"/>
          <w:szCs w:val="20"/>
          <w:color w:val="auto"/>
        </w:rPr>
      </w:pPr>
    </w:p>
    <w:p>
      <w:pPr>
        <w:ind w:right="60" w:firstLine="556"/>
        <w:spacing w:after="0" w:line="263" w:lineRule="auto"/>
        <w:rPr>
          <w:sz w:val="20"/>
          <w:szCs w:val="20"/>
          <w:color w:val="auto"/>
        </w:rPr>
      </w:pPr>
      <w:r>
        <w:rPr>
          <w:rFonts w:ascii="Arial" w:cs="Arial" w:eastAsia="Arial" w:hAnsi="Arial"/>
          <w:sz w:val="13"/>
          <w:szCs w:val="13"/>
          <w:color w:val="auto"/>
        </w:rPr>
        <w:t>The containment of healthcare costs also has become a priority of federal, state and foreign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37" w:lineRule="exact"/>
        <w:rPr>
          <w:sz w:val="20"/>
          <w:szCs w:val="20"/>
          <w:color w:val="auto"/>
        </w:rPr>
      </w:pPr>
    </w:p>
    <w:p>
      <w:pPr>
        <w:ind w:firstLine="556"/>
        <w:spacing w:after="0" w:line="296" w:lineRule="auto"/>
        <w:rPr>
          <w:sz w:val="20"/>
          <w:szCs w:val="20"/>
          <w:color w:val="auto"/>
        </w:rPr>
      </w:pPr>
      <w:r>
        <w:rPr>
          <w:rFonts w:ascii="Arial" w:cs="Arial" w:eastAsia="Arial" w:hAnsi="Arial"/>
          <w:sz w:val="12"/>
          <w:szCs w:val="12"/>
          <w:color w:val="auto"/>
        </w:rPr>
        <w:t>Outside the United States, we will face challenges in ensuring and obtaining adequate coverage and payment for any product candidates we may develop. Pricing of prescription pharmaceuticals is subject to governmental control in many countries, including in particular the member states of the European Union. Pricing negotiations with governmental authorities or other third-party payors such as statutory health insurance funds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19" w:lineRule="exact"/>
        <w:rPr>
          <w:sz w:val="20"/>
          <w:szCs w:val="20"/>
          <w:color w:val="auto"/>
        </w:rPr>
      </w:pPr>
    </w:p>
    <w:p>
      <w:pPr>
        <w:ind w:right="80" w:firstLine="556"/>
        <w:spacing w:after="0" w:line="282" w:lineRule="auto"/>
        <w:rPr>
          <w:sz w:val="20"/>
          <w:szCs w:val="20"/>
          <w:color w:val="auto"/>
        </w:rPr>
      </w:pPr>
      <w:r>
        <w:rPr>
          <w:rFonts w:ascii="Arial" w:cs="Arial" w:eastAsia="Arial" w:hAnsi="Arial"/>
          <w:sz w:val="12"/>
          <w:szCs w:val="12"/>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Moreover, European Union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Healthcare Law and Regulation</w:t>
      </w:r>
    </w:p>
    <w:p>
      <w:pPr>
        <w:spacing w:after="0" w:line="90" w:lineRule="exact"/>
        <w:rPr>
          <w:sz w:val="20"/>
          <w:szCs w:val="20"/>
          <w:color w:val="auto"/>
        </w:rPr>
      </w:pPr>
    </w:p>
    <w:p>
      <w:pPr>
        <w:ind w:right="200" w:firstLine="556"/>
        <w:spacing w:after="0" w:line="267" w:lineRule="auto"/>
        <w:rPr>
          <w:sz w:val="20"/>
          <w:szCs w:val="20"/>
          <w:color w:val="auto"/>
        </w:rPr>
      </w:pPr>
      <w:r>
        <w:rPr>
          <w:rFonts w:ascii="Arial" w:cs="Arial" w:eastAsia="Arial" w:hAnsi="Arial"/>
          <w:sz w:val="13"/>
          <w:szCs w:val="13"/>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include, without limitation, the following:</w:t>
      </w:r>
    </w:p>
    <w:p>
      <w:pPr>
        <w:spacing w:after="0" w:line="55" w:lineRule="exact"/>
        <w:rPr>
          <w:sz w:val="20"/>
          <w:szCs w:val="20"/>
          <w:color w:val="auto"/>
        </w:rPr>
      </w:pPr>
    </w:p>
    <w:p>
      <w:pPr>
        <w:ind w:left="1020" w:right="120" w:hanging="340"/>
        <w:spacing w:after="0" w:line="287" w:lineRule="auto"/>
        <w:tabs>
          <w:tab w:leader="none" w:pos="102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78" w:name="page179"/>
    <w:bookmarkEnd w:id="178"/>
    <w:p>
      <w:pPr>
        <w:ind w:left="1020" w:right="40"/>
        <w:spacing w:after="0" w:line="272" w:lineRule="auto"/>
        <w:rPr>
          <w:sz w:val="20"/>
          <w:szCs w:val="20"/>
          <w:color w:val="auto"/>
        </w:rPr>
      </w:pPr>
      <w:r>
        <w:rPr>
          <w:rFonts w:ascii="Arial" w:cs="Arial" w:eastAsia="Arial" w:hAnsi="Arial"/>
          <w:sz w:val="13"/>
          <w:szCs w:val="13"/>
          <w:color w:val="auto"/>
        </w:rPr>
        <w:t>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 Moreover, the government may assert that a claim that includes items or services resulting from a violation of the federal Anti-Kickback Statute constitutes a false or fraudulent claim for purposes of the civil False Claims Act;</w:t>
      </w:r>
    </w:p>
    <w:p>
      <w:pPr>
        <w:spacing w:after="0" w:line="52" w:lineRule="exact"/>
        <w:rPr>
          <w:sz w:val="20"/>
          <w:szCs w:val="20"/>
          <w:color w:val="auto"/>
        </w:rPr>
      </w:pPr>
    </w:p>
    <w:p>
      <w:pPr>
        <w:ind w:left="1020" w:right="180" w:hanging="340"/>
        <w:spacing w:after="0" w:line="272" w:lineRule="auto"/>
        <w:tabs>
          <w:tab w:leader="none" w:pos="10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w:t>
      </w:r>
    </w:p>
    <w:p>
      <w:pPr>
        <w:spacing w:after="0" w:line="51" w:lineRule="exact"/>
        <w:rPr>
          <w:rFonts w:ascii="Arial" w:cs="Arial" w:eastAsia="Arial" w:hAnsi="Arial"/>
          <w:sz w:val="13"/>
          <w:szCs w:val="13"/>
          <w:color w:val="auto"/>
        </w:rPr>
      </w:pPr>
    </w:p>
    <w:p>
      <w:pPr>
        <w:ind w:left="1020" w:right="60" w:hanging="340"/>
        <w:spacing w:after="0" w:line="272" w:lineRule="auto"/>
        <w:tabs>
          <w:tab w:leader="none" w:pos="10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51" w:lineRule="exact"/>
        <w:rPr>
          <w:rFonts w:ascii="Arial" w:cs="Arial" w:eastAsia="Arial" w:hAnsi="Arial"/>
          <w:sz w:val="13"/>
          <w:szCs w:val="13"/>
          <w:color w:val="auto"/>
        </w:rPr>
      </w:pPr>
    </w:p>
    <w:p>
      <w:pPr>
        <w:ind w:left="1020" w:hanging="340"/>
        <w:spacing w:after="0" w:line="304" w:lineRule="auto"/>
        <w:tabs>
          <w:tab w:leader="none" w:pos="102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without the appropriate authorization by entities subject to the law, such as healthcare providers, health plans and healthcare clearinghouses and their respective business associates;</w:t>
      </w:r>
    </w:p>
    <w:p>
      <w:pPr>
        <w:spacing w:after="0" w:line="35" w:lineRule="exact"/>
        <w:rPr>
          <w:rFonts w:ascii="Arial" w:cs="Arial" w:eastAsia="Arial" w:hAnsi="Arial"/>
          <w:sz w:val="12"/>
          <w:szCs w:val="12"/>
          <w:color w:val="auto"/>
        </w:rPr>
      </w:pPr>
    </w:p>
    <w:p>
      <w:pPr>
        <w:jc w:val="both"/>
        <w:ind w:left="1020" w:right="160" w:hanging="340"/>
        <w:spacing w:after="0" w:line="304" w:lineRule="auto"/>
        <w:tabs>
          <w:tab w:leader="none" w:pos="102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the federal transparency requirements known as the federal Physician Payments Sunshine Act, under the 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35" w:lineRule="exact"/>
        <w:rPr>
          <w:rFonts w:ascii="Arial" w:cs="Arial" w:eastAsia="Arial" w:hAnsi="Arial"/>
          <w:sz w:val="12"/>
          <w:szCs w:val="12"/>
          <w:color w:val="auto"/>
        </w:rPr>
      </w:pPr>
    </w:p>
    <w:p>
      <w:pPr>
        <w:ind w:left="1020" w:hanging="340"/>
        <w:spacing w:after="0"/>
        <w:tabs>
          <w:tab w:leader="none" w:pos="10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federal consumer protection and unfair competition laws, which broadly regulate marketplace activities and activities that potentially harm consumers;</w:t>
      </w:r>
    </w:p>
    <w:p>
      <w:pPr>
        <w:spacing w:after="0" w:line="90" w:lineRule="exact"/>
        <w:rPr>
          <w:rFonts w:ascii="Arial" w:cs="Arial" w:eastAsia="Arial" w:hAnsi="Arial"/>
          <w:sz w:val="13"/>
          <w:szCs w:val="13"/>
          <w:color w:val="auto"/>
        </w:rPr>
      </w:pPr>
    </w:p>
    <w:p>
      <w:pPr>
        <w:ind w:left="1020" w:right="60" w:hanging="340"/>
        <w:spacing w:after="0" w:line="287" w:lineRule="auto"/>
        <w:tabs>
          <w:tab w:leader="none" w:pos="10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42" w:lineRule="exact"/>
        <w:rPr>
          <w:rFonts w:ascii="Arial" w:cs="Arial" w:eastAsia="Arial" w:hAnsi="Arial"/>
          <w:sz w:val="13"/>
          <w:szCs w:val="13"/>
          <w:color w:val="auto"/>
        </w:rPr>
      </w:pPr>
    </w:p>
    <w:p>
      <w:pPr>
        <w:ind w:left="1020" w:right="780" w:hanging="340"/>
        <w:spacing w:after="0" w:line="287" w:lineRule="auto"/>
        <w:tabs>
          <w:tab w:leader="none" w:pos="10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Foreign Corrupt Practices Act, a U.S. law which regulates certain financial relationships with foreign government officials (which could include, for example, certain medical professionals);</w:t>
      </w:r>
    </w:p>
    <w:p>
      <w:pPr>
        <w:spacing w:after="0" w:line="42" w:lineRule="exact"/>
        <w:rPr>
          <w:rFonts w:ascii="Arial" w:cs="Arial" w:eastAsia="Arial" w:hAnsi="Arial"/>
          <w:sz w:val="13"/>
          <w:szCs w:val="13"/>
          <w:color w:val="auto"/>
        </w:rPr>
      </w:pPr>
    </w:p>
    <w:p>
      <w:pPr>
        <w:ind w:left="1020" w:hanging="340"/>
        <w:spacing w:after="0"/>
        <w:tabs>
          <w:tab w:leader="none" w:pos="10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national anti-bribery laws and laws governing interactions with healthcare professionals of European Union Member States;</w:t>
      </w:r>
    </w:p>
    <w:p>
      <w:pPr>
        <w:spacing w:after="0" w:line="90" w:lineRule="exact"/>
        <w:rPr>
          <w:rFonts w:ascii="Arial" w:cs="Arial" w:eastAsia="Arial" w:hAnsi="Arial"/>
          <w:sz w:val="13"/>
          <w:szCs w:val="13"/>
          <w:color w:val="auto"/>
        </w:rPr>
      </w:pPr>
    </w:p>
    <w:p>
      <w:pPr>
        <w:ind w:left="1020" w:hanging="340"/>
        <w:spacing w:after="0"/>
        <w:tabs>
          <w:tab w:leader="none" w:pos="10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U.K. Bribery Act 2010; and</w:t>
      </w:r>
    </w:p>
    <w:p>
      <w:pPr>
        <w:spacing w:after="0" w:line="90" w:lineRule="exact"/>
        <w:rPr>
          <w:rFonts w:ascii="Arial" w:cs="Arial" w:eastAsia="Arial" w:hAnsi="Arial"/>
          <w:sz w:val="13"/>
          <w:szCs w:val="13"/>
          <w:color w:val="auto"/>
        </w:rPr>
      </w:pPr>
    </w:p>
    <w:p>
      <w:pPr>
        <w:ind w:left="1020" w:right="140" w:hanging="340"/>
        <w:spacing w:after="0" w:line="287" w:lineRule="auto"/>
        <w:tabs>
          <w:tab w:leader="none" w:pos="10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22"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35" w:lineRule="exact"/>
        <w:rPr>
          <w:sz w:val="20"/>
          <w:szCs w:val="20"/>
          <w:color w:val="auto"/>
        </w:rPr>
      </w:pPr>
    </w:p>
    <w:p>
      <w:pPr>
        <w:ind w:right="280" w:firstLine="556"/>
        <w:spacing w:after="0" w:line="287" w:lineRule="auto"/>
        <w:rPr>
          <w:sz w:val="20"/>
          <w:szCs w:val="20"/>
          <w:color w:val="auto"/>
        </w:rPr>
      </w:pPr>
      <w:r>
        <w:rPr>
          <w:rFonts w:ascii="Arial" w:cs="Arial" w:eastAsia="Arial" w:hAnsi="Arial"/>
          <w:sz w:val="13"/>
          <w:szCs w:val="13"/>
          <w:color w:val="auto"/>
        </w:rPr>
        <w:t>The scope and enforcement of each of these laws is uncertain and subject to rapid change in the current environment of healthcare reform, especially in light of the lack of applicable precedent and regulations. Federal and state enforcement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79" w:name="page180"/>
    <w:bookmarkEnd w:id="179"/>
    <w:p>
      <w:pPr>
        <w:ind w:right="80"/>
        <w:spacing w:after="0" w:line="287" w:lineRule="auto"/>
        <w:rPr>
          <w:sz w:val="20"/>
          <w:szCs w:val="20"/>
          <w:color w:val="auto"/>
        </w:rPr>
      </w:pPr>
      <w:r>
        <w:rPr>
          <w:rFonts w:ascii="Arial" w:cs="Arial" w:eastAsia="Arial" w:hAnsi="Arial"/>
          <w:sz w:val="13"/>
          <w:szCs w:val="13"/>
          <w:color w:val="auto"/>
        </w:rPr>
        <w:t>bodies have recently increased their scrutiny of interactions between healthcare companies and healthcare providers, which has led to a number of investigations, prosecutions, convictions and settlements in the healthcare industry.</w:t>
      </w:r>
    </w:p>
    <w:p>
      <w:pPr>
        <w:spacing w:after="0" w:line="122"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the business. Moreover, we expect that there will continue to be federal and state laws and regulations, proposed and implemented, that could impact our future operations and business.</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Current and Future Healthcare Reform Legislation</w:t>
      </w:r>
    </w:p>
    <w:p>
      <w:pPr>
        <w:spacing w:after="0" w:line="90"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auto"/>
        </w:rPr>
        <w:t>In the United States and foreign jurisdictions, there have been a number of legislative and regulatory changes and proposed changes regarding the healthcare system that could prevent or delay marketing approval of our investigational medicines, restrict or regulate post-approval activities, and affect our ability to profitably sell any investigational medicines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w:t>
      </w:r>
    </w:p>
    <w:p>
      <w:pPr>
        <w:spacing w:after="0" w:line="135" w:lineRule="exact"/>
        <w:rPr>
          <w:sz w:val="20"/>
          <w:szCs w:val="20"/>
          <w:color w:val="auto"/>
        </w:rPr>
      </w:pPr>
    </w:p>
    <w:p>
      <w:pPr>
        <w:ind w:right="20" w:firstLine="556"/>
        <w:spacing w:after="0" w:line="283" w:lineRule="auto"/>
        <w:rPr>
          <w:sz w:val="20"/>
          <w:szCs w:val="20"/>
          <w:color w:val="auto"/>
        </w:rPr>
      </w:pPr>
      <w:r>
        <w:rPr>
          <w:rFonts w:ascii="Arial" w:cs="Arial" w:eastAsia="Arial" w:hAnsi="Arial"/>
          <w:sz w:val="12"/>
          <w:szCs w:val="12"/>
          <w:color w:val="auto"/>
        </w:rPr>
        <w:t>The ACA, for example, contains provisions that subject biological products to potential competition by lower-cost biosimilars and may reduce the profitability of drug products through increased rebates for drugs reimbursed by Medicaid programs, extension of Medicaid rebates to Medicaid-managed care plans, mandatory discounts for certain Medicare Part D beneficiaries, and annual fees based on pharmaceutical companies’ share of sales to federal health care programs. With the current presidential administration and Congress, there may be additional administrative or legislative changes, including modification, repeal or replacement of all, or certain provisions of, the ACA, which may impact reimbursement for drugs and biologics. On January 20, 2017, an Executive Order was signed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October 13, 2017, an executive order was signed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While Congress has not passed repeal legislation, the TCJA includes a provision repealing the tax-based shared responsibility payment imposed by the ACA on certain individuals who fail to maintain qualifying health coverage for all or part of a year that is commonly referred to as the “individual mandate.” Congress may consider other legislation to repeal and replace elements of the ACA. Litigation and legislation over the ACA are likely to continue, with unpredictable and uncertain results.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Additionally, other federal health reform measures have been proposed and adopted in the United States since the ACA was enacted:</w:t>
      </w:r>
    </w:p>
    <w:p>
      <w:pPr>
        <w:spacing w:after="0" w:line="90" w:lineRule="exact"/>
        <w:rPr>
          <w:sz w:val="20"/>
          <w:szCs w:val="20"/>
          <w:color w:val="auto"/>
        </w:rPr>
      </w:pPr>
    </w:p>
    <w:p>
      <w:pPr>
        <w:ind w:left="1020" w:right="240" w:hanging="340"/>
        <w:spacing w:after="0" w:line="267" w:lineRule="auto"/>
        <w:tabs>
          <w:tab w:leader="none" w:pos="102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2025 unless additional Congressional action is taken.</w:t>
      </w:r>
    </w:p>
    <w:p>
      <w:pPr>
        <w:spacing w:after="0" w:line="54" w:lineRule="exact"/>
        <w:rPr>
          <w:rFonts w:ascii="Arial" w:cs="Arial" w:eastAsia="Arial" w:hAnsi="Arial"/>
          <w:sz w:val="13"/>
          <w:szCs w:val="13"/>
          <w:color w:val="auto"/>
        </w:rPr>
      </w:pPr>
    </w:p>
    <w:p>
      <w:pPr>
        <w:ind w:left="1020" w:right="60" w:hanging="340"/>
        <w:spacing w:after="0" w:line="287" w:lineRule="auto"/>
        <w:tabs>
          <w:tab w:leader="none" w:pos="102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80" w:name="page181"/>
    <w:bookmarkEnd w:id="180"/>
    <w:p>
      <w:pPr>
        <w:ind w:left="1020" w:right="200" w:hanging="340"/>
        <w:spacing w:after="0" w:line="272" w:lineRule="auto"/>
        <w:tabs>
          <w:tab w:leader="none" w:pos="102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w:t>
      </w:r>
    </w:p>
    <w:p>
      <w:pPr>
        <w:spacing w:after="0" w:line="132"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auto"/>
        </w:rPr>
        <w:t>Further,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federal government, state legislatures and foreign governments have shown significant interest in implementing cost containment programs, including price-controls, restrictions on reimbursement, and requirements for substitution of generic products for branded prescription drugs to limit the growth of government-paid health care costs. For example, the federal government has passed legislation requiring pharmaceutical manufacturers to provide rebates and discounts to certain entities and governmental payors to participate in federal healthcare programs.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Packaging and Distribution in the United States</w:t>
      </w:r>
    </w:p>
    <w:p>
      <w:pPr>
        <w:spacing w:after="0" w:line="90"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32"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22"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(i) changes to our manufacturing arrangements,</w:t>
      </w:r>
    </w:p>
    <w:p>
      <w:pPr>
        <w:spacing w:after="0" w:line="19" w:lineRule="exact"/>
        <w:rPr>
          <w:sz w:val="20"/>
          <w:szCs w:val="20"/>
          <w:color w:val="auto"/>
        </w:rPr>
      </w:pPr>
    </w:p>
    <w:p>
      <w:pPr>
        <w:ind w:right="100"/>
        <w:spacing w:after="0" w:line="273" w:lineRule="auto"/>
        <w:tabs>
          <w:tab w:leader="none" w:pos="196"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additions or modifications to product labeling, (iii) the recall or discontinuation of our products or (iv) additional record-keeping requirements. If any such changes were to be imposed, they could adversely affect the operation of our business.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Other U.S. Environmental, Health and Safety Laws and Regulations</w:t>
      </w:r>
    </w:p>
    <w:p>
      <w:pPr>
        <w:spacing w:after="0" w:line="90" w:lineRule="exact"/>
        <w:rPr>
          <w:sz w:val="20"/>
          <w:szCs w:val="20"/>
          <w:color w:val="auto"/>
        </w:rPr>
      </w:pPr>
    </w:p>
    <w:p>
      <w:pPr>
        <w:ind w:right="60" w:firstLine="556"/>
        <w:spacing w:after="0" w:line="291" w:lineRule="auto"/>
        <w:rPr>
          <w:sz w:val="20"/>
          <w:szCs w:val="20"/>
          <w:color w:val="auto"/>
        </w:rPr>
      </w:pPr>
      <w:r>
        <w:rPr>
          <w:rFonts w:ascii="Arial" w:cs="Arial" w:eastAsia="Arial" w:hAnsi="Arial"/>
          <w:sz w:val="12"/>
          <w:szCs w:val="12"/>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23" w:lineRule="exact"/>
        <w:rPr>
          <w:sz w:val="20"/>
          <w:szCs w:val="20"/>
          <w:color w:val="auto"/>
        </w:rPr>
      </w:pPr>
    </w:p>
    <w:p>
      <w:pPr>
        <w:ind w:right="340" w:firstLine="556"/>
        <w:spacing w:after="0" w:line="287" w:lineRule="auto"/>
        <w:rPr>
          <w:sz w:val="20"/>
          <w:szCs w:val="20"/>
          <w:color w:val="auto"/>
        </w:rPr>
      </w:pPr>
      <w:r>
        <w:rPr>
          <w:rFonts w:ascii="Arial" w:cs="Arial" w:eastAsia="Arial" w:hAnsi="Arial"/>
          <w:sz w:val="13"/>
          <w:szCs w:val="13"/>
          <w:color w:val="auto"/>
        </w:rPr>
        <w:t>We maintain workers’ compensation employers’ liability insurance to cover us for costs and expenses we may incur due to injuries to our employees, but this insurance may not provide adequate coverage against potential liabilities.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81" w:name="page182"/>
    <w:bookmarkEnd w:id="181"/>
    <w:p>
      <w:pPr>
        <w:ind w:right="180" w:firstLine="558"/>
        <w:spacing w:after="0" w:line="287" w:lineRule="auto"/>
        <w:rPr>
          <w:sz w:val="20"/>
          <w:szCs w:val="20"/>
          <w:color w:val="auto"/>
        </w:rPr>
      </w:pPr>
      <w:r>
        <w:rPr>
          <w:rFonts w:ascii="Arial" w:cs="Arial" w:eastAsia="Arial" w:hAnsi="Arial"/>
          <w:sz w:val="13"/>
          <w:szCs w:val="13"/>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XVI.</w:t>
      </w:r>
      <w:r>
        <w:rPr>
          <w:sz w:val="20"/>
          <w:szCs w:val="20"/>
          <w:color w:val="auto"/>
        </w:rPr>
        <w:tab/>
      </w:r>
      <w:r>
        <w:rPr>
          <w:rFonts w:ascii="Arial" w:cs="Arial" w:eastAsia="Arial" w:hAnsi="Arial"/>
          <w:sz w:val="13"/>
          <w:szCs w:val="13"/>
          <w:b w:val="1"/>
          <w:bCs w:val="1"/>
          <w:color w:val="auto"/>
        </w:rPr>
        <w:t>Intellectual Property</w:t>
      </w:r>
    </w:p>
    <w:p>
      <w:pPr>
        <w:spacing w:after="0" w:line="90" w:lineRule="exact"/>
        <w:rPr>
          <w:sz w:val="20"/>
          <w:szCs w:val="20"/>
          <w:color w:val="auto"/>
        </w:rPr>
      </w:pPr>
    </w:p>
    <w:p>
      <w:pPr>
        <w:ind w:left="1100" w:hanging="550"/>
        <w:spacing w:after="0"/>
        <w:tabs>
          <w:tab w:leader="none" w:pos="1100" w:val="left"/>
        </w:tabs>
        <w:numPr>
          <w:ilvl w:val="0"/>
          <w:numId w:val="216"/>
        </w:numPr>
        <w:rPr>
          <w:rFonts w:ascii="Arial" w:cs="Arial" w:eastAsia="Arial" w:hAnsi="Arial"/>
          <w:sz w:val="13"/>
          <w:szCs w:val="13"/>
          <w:b w:val="1"/>
          <w:bCs w:val="1"/>
          <w:color w:val="auto"/>
        </w:rPr>
      </w:pPr>
      <w:r>
        <w:rPr>
          <w:rFonts w:ascii="Arial" w:cs="Arial" w:eastAsia="Arial" w:hAnsi="Arial"/>
          <w:sz w:val="13"/>
          <w:szCs w:val="13"/>
          <w:b w:val="1"/>
          <w:bCs w:val="1"/>
          <w:color w:val="auto"/>
        </w:rPr>
        <w:t>Introduction</w:t>
      </w:r>
    </w:p>
    <w:p>
      <w:pPr>
        <w:spacing w:after="0" w:line="94" w:lineRule="exact"/>
        <w:rPr>
          <w:sz w:val="20"/>
          <w:szCs w:val="20"/>
          <w:color w:val="auto"/>
        </w:rPr>
      </w:pPr>
    </w:p>
    <w:p>
      <w:pPr>
        <w:ind w:right="200" w:firstLine="556"/>
        <w:spacing w:after="0" w:line="272" w:lineRule="auto"/>
        <w:rPr>
          <w:sz w:val="20"/>
          <w:szCs w:val="20"/>
          <w:color w:val="auto"/>
        </w:rPr>
      </w:pPr>
      <w:r>
        <w:rPr>
          <w:rFonts w:ascii="Arial" w:cs="Arial" w:eastAsia="Arial" w:hAnsi="Arial"/>
          <w:sz w:val="13"/>
          <w:szCs w:val="13"/>
          <w:color w:val="auto"/>
        </w:rPr>
        <w:t>We pursue a layered intellectual property strategy to protect our various technology platforms and their application to the treatment of cancer and other serious diseases. One focus of our intellectual property strategy is to provide protection for our platforms and product candidates currently in development. We also pursue intellectual property protection for assets that may be used in future development programs and/or that may be of interest to our collaborators, or otherwise may prove valuable in the field.</w:t>
      </w:r>
    </w:p>
    <w:p>
      <w:pPr>
        <w:spacing w:after="0" w:line="132"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auto"/>
        </w:rPr>
        <w:t>Various aspects of our technology platforms and our product candidates are claimed by patent filings. We also pursue other modalities of protection, including trademark and trade secret protection, as appropriate. Many of our intellectual property assets were developed and are owned solely by us, some have been developed via collaboration and are jointly owned, and some have been acquired by acquisition and/or licensed from third parties. We expect that we will continue to make additional patent application filings, and will continue to pursue opportunities to acquire and license additional intellectual property assets, technologies, platforms or product candidates, as developments arise or are identified.</w:t>
      </w:r>
    </w:p>
    <w:p>
      <w:pPr>
        <w:spacing w:after="0" w:line="135" w:lineRule="exact"/>
        <w:rPr>
          <w:sz w:val="20"/>
          <w:szCs w:val="20"/>
          <w:color w:val="auto"/>
        </w:rPr>
      </w:pPr>
    </w:p>
    <w:p>
      <w:pPr>
        <w:jc w:val="both"/>
        <w:ind w:right="80" w:firstLine="556"/>
        <w:spacing w:after="0" w:line="272" w:lineRule="auto"/>
        <w:rPr>
          <w:sz w:val="20"/>
          <w:szCs w:val="20"/>
          <w:color w:val="auto"/>
        </w:rPr>
      </w:pPr>
      <w:r>
        <w:rPr>
          <w:rFonts w:ascii="Arial" w:cs="Arial" w:eastAsia="Arial" w:hAnsi="Arial"/>
          <w:sz w:val="13"/>
          <w:szCs w:val="13"/>
          <w:color w:val="auto"/>
        </w:rPr>
        <w:t>Regardless, given the early stage of development of our product candidates, we cannot be certain that any of the patent filings or other intellectual property rights that we have pursued or obtained will provide protection for any product candidates that may ultimately be commercialized. Our most advanced product candidates are currently in clinical testing, with no certainty that they will be successful, or that significant modification or adjustment may not be required for successful commercialization.</w:t>
      </w:r>
    </w:p>
    <w:p>
      <w:pPr>
        <w:spacing w:after="0" w:line="132"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auto"/>
        </w:rPr>
        <w:t>Our future commercial success depends, in part, on our ability to obtain and maintain patent and other proprietary protection for commercially important technology, inventions and know-how related to our business; defend and enforce our patents and other intellectual property; preserve the confidentiality of our trade secrets; and operate without infringing, misappropriating or violating the valid and enforceable patents and other intellectual property rights of third parties. Our ability to stop third parties from making, using, selling, offering to sell or importing our products may depend on the extent to which we have rights under valid and enforceable patents, trade secrets or other intellectual property rights that cover these activities. With respect to both our owned and licensed intellectual property, we cannot be sure that patents will issue with respect to any of the owned or licensed pending patent applications or with respect to any patent applications that we, our co-owners or our licensors may file in the future, nor can we be sure that any of our owned or licensed patents or any patents that may be issued in the future to us or our licensors will be commercially useful in protecting any products that, we ultimately attempt to commercialize, or any method of making or using such products. Moreover, we may be unable to obtain patent protection for certain of our product candidates generally as well as with respect to certain indications. See “Risk Factors—Risks Related to our Intellectual Property” for a more comprehensive description of risks related to our intellectual property.</w:t>
      </w:r>
    </w:p>
    <w:p>
      <w:pPr>
        <w:spacing w:after="0" w:line="129"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auto"/>
        </w:rPr>
        <w:t>As of January 15, 2020, our overall owned and in-licensed patent portfolio included more than 200 patent families, each of which includes at least one filing in the United States or Europe, and several of which are pending or granted in multiple jurisdictions. The patent families include at least 100 patent families that are solely or jointly owned by BioNTech, including certain families acquired through our acquisitions of antibody assets and infrastructure from MabVax Therapeutics Holdings, Inc., and the rest that we have licensed from a third party.</w:t>
      </w:r>
    </w:p>
    <w:p>
      <w:pPr>
        <w:spacing w:after="0" w:line="132" w:lineRule="exact"/>
        <w:rPr>
          <w:sz w:val="20"/>
          <w:szCs w:val="20"/>
          <w:color w:val="auto"/>
        </w:rPr>
      </w:pPr>
    </w:p>
    <w:p>
      <w:pPr>
        <w:ind w:right="20" w:firstLine="556"/>
        <w:spacing w:after="0" w:line="263" w:lineRule="auto"/>
        <w:rPr>
          <w:sz w:val="20"/>
          <w:szCs w:val="20"/>
          <w:color w:val="auto"/>
        </w:rPr>
      </w:pPr>
      <w:r>
        <w:rPr>
          <w:rFonts w:ascii="Arial" w:cs="Arial" w:eastAsia="Arial" w:hAnsi="Arial"/>
          <w:sz w:val="13"/>
          <w:szCs w:val="13"/>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However, many jurisdictions, including the United States, require the payment of periodic maintenance fees in order for patents to remain in force for the full 20-year term.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 for patents that claim a drug or drug product, or its approved use, if the patent was issued before clinical trials were completed and certain other requirements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82" w:name="page183"/>
    <w:bookmarkEnd w:id="182"/>
    <w:p>
      <w:pPr>
        <w:ind w:right="100"/>
        <w:spacing w:after="0" w:line="267" w:lineRule="auto"/>
        <w:rPr>
          <w:sz w:val="20"/>
          <w:szCs w:val="20"/>
          <w:color w:val="auto"/>
        </w:rPr>
      </w:pPr>
      <w:r>
        <w:rPr>
          <w:rFonts w:ascii="Arial" w:cs="Arial" w:eastAsia="Arial" w:hAnsi="Arial"/>
          <w:sz w:val="13"/>
          <w:szCs w:val="13"/>
          <w:color w:val="auto"/>
        </w:rPr>
        <w:t>were satisfied. In the United States, such extension is called a Patent Term Extension, or PTE, and it is limited to a period of not more than five years, or the total patent term including the PTE cannot exceed 14 years after the date of regulatory approval; only one patent can be extended per product approval. The United States also offers a different form of patent term extension, known as Patent Term Adjustment, or PTA, whereby a particular patent’s term is automatically extended beyond the 20-year date if the United States Patent and Trademark Office, or the USPTO, caused delay during its examination; however, potentially available PTA is reduced by any amount of any delay caused by the patent applicant.</w:t>
      </w:r>
    </w:p>
    <w:p>
      <w:pPr>
        <w:spacing w:after="0" w:line="135" w:lineRule="exact"/>
        <w:rPr>
          <w:sz w:val="20"/>
          <w:szCs w:val="20"/>
          <w:color w:val="auto"/>
        </w:rPr>
      </w:pPr>
    </w:p>
    <w:p>
      <w:pPr>
        <w:jc w:val="both"/>
        <w:ind w:right="20" w:firstLine="556"/>
        <w:spacing w:after="0" w:line="272" w:lineRule="auto"/>
        <w:rPr>
          <w:sz w:val="20"/>
          <w:szCs w:val="20"/>
          <w:color w:val="auto"/>
        </w:rPr>
      </w:pPr>
      <w:r>
        <w:rPr>
          <w:rFonts w:ascii="Arial" w:cs="Arial" w:eastAsia="Arial" w:hAnsi="Arial"/>
          <w:sz w:val="13"/>
          <w:szCs w:val="13"/>
          <w:color w:val="auto"/>
        </w:rPr>
        <w:t>Below, we provide a summary of the contours of our current patent portfolio as it relates to different aspects of relevant technology, including noting ownership and 20-year terms for filings included in the portfolio that are directed to such aspects. Particularly given our pre-commercial state of development, we cannot be certain that any of the patent filings in our portfolio will provide meaningful protection for any product we ultimately attempt to commercialize.</w:t>
      </w:r>
    </w:p>
    <w:p>
      <w:pPr>
        <w:spacing w:after="0" w:line="208" w:lineRule="exact"/>
        <w:rPr>
          <w:sz w:val="20"/>
          <w:szCs w:val="20"/>
          <w:color w:val="auto"/>
        </w:rPr>
      </w:pPr>
    </w:p>
    <w:p>
      <w:pPr>
        <w:ind w:left="1100" w:hanging="550"/>
        <w:spacing w:after="0"/>
        <w:tabs>
          <w:tab w:leader="none" w:pos="1100" w:val="left"/>
        </w:tabs>
        <w:numPr>
          <w:ilvl w:val="0"/>
          <w:numId w:val="217"/>
        </w:numPr>
        <w:rPr>
          <w:rFonts w:ascii="Arial" w:cs="Arial" w:eastAsia="Arial" w:hAnsi="Arial"/>
          <w:sz w:val="13"/>
          <w:szCs w:val="13"/>
          <w:b w:val="1"/>
          <w:bCs w:val="1"/>
          <w:color w:val="auto"/>
        </w:rPr>
      </w:pPr>
      <w:r>
        <w:rPr>
          <w:rFonts w:ascii="Arial" w:cs="Arial" w:eastAsia="Arial" w:hAnsi="Arial"/>
          <w:sz w:val="13"/>
          <w:szCs w:val="13"/>
          <w:b w:val="1"/>
          <w:bCs w:val="1"/>
          <w:color w:val="auto"/>
        </w:rPr>
        <w:t>Patent Portfolio</w:t>
      </w:r>
    </w:p>
    <w:p>
      <w:pPr>
        <w:spacing w:after="0" w:line="94" w:lineRule="exact"/>
        <w:rPr>
          <w:sz w:val="20"/>
          <w:szCs w:val="20"/>
          <w:color w:val="auto"/>
        </w:rPr>
      </w:pPr>
    </w:p>
    <w:p>
      <w:pPr>
        <w:jc w:val="both"/>
        <w:ind w:right="200" w:firstLine="556"/>
        <w:spacing w:after="0" w:line="272" w:lineRule="auto"/>
        <w:rPr>
          <w:sz w:val="20"/>
          <w:szCs w:val="20"/>
          <w:color w:val="auto"/>
        </w:rPr>
      </w:pPr>
      <w:r>
        <w:rPr>
          <w:rFonts w:ascii="Arial" w:cs="Arial" w:eastAsia="Arial" w:hAnsi="Arial"/>
          <w:sz w:val="13"/>
          <w:szCs w:val="13"/>
          <w:color w:val="auto"/>
        </w:rPr>
        <w:t>The patent portfolios for our most advanced programs are summarized below. Patent prosecution is a lengthy process, during which the scope of the claims initially submitted for examination by the USPTO and its foreign equivalents can be significantly narrowed by the time they issue, if they issue at all. We expect this could be the case with respect to some of our pending patent applications referred to below.</w:t>
      </w:r>
    </w:p>
    <w:p>
      <w:pPr>
        <w:spacing w:after="0" w:line="212" w:lineRule="exact"/>
        <w:rPr>
          <w:sz w:val="20"/>
          <w:szCs w:val="20"/>
          <w:color w:val="auto"/>
        </w:rPr>
      </w:pPr>
    </w:p>
    <w:p>
      <w:pPr>
        <w:ind w:left="1660" w:hanging="550"/>
        <w:spacing w:after="0"/>
        <w:tabs>
          <w:tab w:leader="none" w:pos="1660" w:val="left"/>
        </w:tabs>
        <w:numPr>
          <w:ilvl w:val="0"/>
          <w:numId w:val="21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mRNA</w:t>
      </w:r>
    </w:p>
    <w:p>
      <w:pPr>
        <w:spacing w:after="0" w:line="90" w:lineRule="exact"/>
        <w:rPr>
          <w:sz w:val="20"/>
          <w:szCs w:val="20"/>
          <w:color w:val="auto"/>
        </w:rPr>
      </w:pPr>
    </w:p>
    <w:p>
      <w:pPr>
        <w:ind w:left="560" w:right="140" w:firstLine="527"/>
        <w:spacing w:after="0" w:line="267" w:lineRule="auto"/>
        <w:rPr>
          <w:sz w:val="20"/>
          <w:szCs w:val="20"/>
          <w:color w:val="auto"/>
        </w:rPr>
      </w:pPr>
      <w:r>
        <w:rPr>
          <w:rFonts w:ascii="Arial" w:cs="Arial" w:eastAsia="Arial" w:hAnsi="Arial"/>
          <w:sz w:val="13"/>
          <w:szCs w:val="13"/>
          <w:color w:val="auto"/>
        </w:rPr>
        <w:t>The patent portfolio for our mRNA therapeutic platforms and product candidates includes patent filings directed to features of therapeutic mRNA structures, some of which are included in current development candidates. Our patent portfolio also includes patent filings directed to mRNA formulations, including the lipoplex formulations currently utilized with our FixVac and iNeST platforms, and the lipid nanoparticles currently utilized with our RiboMab and RiboCytokine platforms, as well as patent filings directed to mRNA manufacturing, and to uses of mRNA therapeutics. We provide more detail below regarding the patent filings directed to these features.</w:t>
      </w: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mRNA Structure</w:t>
      </w:r>
    </w:p>
    <w:p>
      <w:pPr>
        <w:spacing w:after="0" w:line="90" w:lineRule="exact"/>
        <w:rPr>
          <w:sz w:val="20"/>
          <w:szCs w:val="20"/>
          <w:color w:val="auto"/>
        </w:rPr>
      </w:pPr>
    </w:p>
    <w:p>
      <w:pPr>
        <w:ind w:left="560" w:firstLine="527"/>
        <w:spacing w:after="0" w:line="288" w:lineRule="auto"/>
        <w:rPr>
          <w:sz w:val="20"/>
          <w:szCs w:val="20"/>
          <w:color w:val="auto"/>
        </w:rPr>
      </w:pPr>
      <w:r>
        <w:rPr>
          <w:rFonts w:ascii="Arial" w:cs="Arial" w:eastAsia="Arial" w:hAnsi="Arial"/>
          <w:sz w:val="12"/>
          <w:szCs w:val="12"/>
          <w:color w:val="auto"/>
        </w:rPr>
        <w:t>Our patent portfolio includes patent filings directed to various features of mRNA structure, which may, for example, contribute to increased immunogenicity (</w:t>
      </w:r>
      <w:r>
        <w:rPr>
          <w:rFonts w:ascii="Arial" w:cs="Arial" w:eastAsia="Arial" w:hAnsi="Arial"/>
          <w:sz w:val="12"/>
          <w:szCs w:val="12"/>
          <w:i w:val="1"/>
          <w:iCs w:val="1"/>
          <w:color w:val="auto"/>
        </w:rPr>
        <w:t>e.g</w:t>
      </w:r>
      <w:r>
        <w:rPr>
          <w:rFonts w:ascii="Arial" w:cs="Arial" w:eastAsia="Arial" w:hAnsi="Arial"/>
          <w:sz w:val="12"/>
          <w:szCs w:val="12"/>
          <w:color w:val="auto"/>
        </w:rPr>
        <w:t>., antigen presentation), translation efficiency, and/or stability of mRNA constructs that include them. Such features include, for example, antigen-MHC fusions, 5’ cap structures, 3’ UTR structures, polyA tails and reduced-uracil content mRNAs. Filings directed to each of these features, or collectively, the mRNA Structure Filings, have been made in the United States and various foreign jurisdictions. Some such mRNA Structure Filings are owned solely by BioNTech SE or BioNTech RNA which are referred to collectively in this section as BioNTech, some jointly by BioNTech and one or more third parties, and some by BioNTech licensors, such as Louisiana State University, or LSU, and the terms of the applicable agreement with LSU, are further summarized below in “—C. In-Licensing.” Issued existing mRNA Structure Filings have, and pending existing mRNA Structure Filings, if issued, would have, 20-year terms that extend into the mid-2020s to the mid-2030s.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mRNA Formulations</w:t>
      </w:r>
    </w:p>
    <w:p>
      <w:pPr>
        <w:spacing w:after="0" w:line="90" w:lineRule="exact"/>
        <w:rPr>
          <w:sz w:val="20"/>
          <w:szCs w:val="20"/>
          <w:color w:val="auto"/>
        </w:rPr>
      </w:pPr>
    </w:p>
    <w:p>
      <w:pPr>
        <w:jc w:val="both"/>
        <w:ind w:left="560" w:right="160" w:firstLine="527"/>
        <w:spacing w:after="0" w:line="272" w:lineRule="auto"/>
        <w:rPr>
          <w:sz w:val="20"/>
          <w:szCs w:val="20"/>
          <w:color w:val="auto"/>
        </w:rPr>
      </w:pPr>
      <w:r>
        <w:rPr>
          <w:rFonts w:ascii="Arial" w:cs="Arial" w:eastAsia="Arial" w:hAnsi="Arial"/>
          <w:sz w:val="13"/>
          <w:szCs w:val="13"/>
          <w:color w:val="auto"/>
        </w:rPr>
        <w:t>Our patent portfolio includes patent filings directed to various formulations for mRNA delivery, some of which are utilized with current development candidates. For example, our portfolio includes patent filings directed to lipoplex formulations, with 20-year terms that extend into 2038, if issued, or collectively, the mRNA Lipoplex Filings, although none of these filings is currently an issued patent. Such mRNA Lipoplex Filings are solely owned by BioNTech RNA.</w:t>
      </w:r>
    </w:p>
    <w:p>
      <w:pPr>
        <w:spacing w:after="0" w:line="132" w:lineRule="exact"/>
        <w:rPr>
          <w:sz w:val="20"/>
          <w:szCs w:val="20"/>
          <w:color w:val="auto"/>
        </w:rPr>
      </w:pPr>
    </w:p>
    <w:p>
      <w:pPr>
        <w:ind w:left="560" w:right="100" w:firstLine="527"/>
        <w:spacing w:after="0" w:line="267" w:lineRule="auto"/>
        <w:rPr>
          <w:sz w:val="20"/>
          <w:szCs w:val="20"/>
          <w:color w:val="auto"/>
        </w:rPr>
      </w:pPr>
      <w:r>
        <w:rPr>
          <w:rFonts w:ascii="Arial" w:cs="Arial" w:eastAsia="Arial" w:hAnsi="Arial"/>
          <w:sz w:val="13"/>
          <w:szCs w:val="13"/>
          <w:color w:val="auto"/>
        </w:rPr>
        <w:t>In addition, our portfolio includes U.S. and foreign patent filings directed to lipid nanoparticles and polyplex technologies, which are jointly owned by BioNTech RNA and TRON, or collectively, the mRNA Lipid Nanoparticle/Polyplex Filings. Issued mRNA Lipid Nanoparticle/Polyplex Filings have, and pending mRNA Lipid Nanoparticle/Polyplex Filings, if issued, would have, 20 year terms that extend into the mid- to late-2030s. Some such mRNA Lipid Nanoparticle/Polyplex Filings were granted in certain foreign jurisdictions, but do not currently include any U.S. issued patents. The terms of the co-ownership of such patent filings with TRON are summarized below in “—C. In-Licensing.”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83" w:name="page184"/>
    <w:bookmarkEnd w:id="183"/>
    <w:p>
      <w:pPr>
        <w:ind w:left="520"/>
        <w:spacing w:after="0"/>
        <w:rPr>
          <w:sz w:val="20"/>
          <w:szCs w:val="20"/>
          <w:color w:val="auto"/>
        </w:rPr>
      </w:pPr>
      <w:r>
        <w:rPr>
          <w:rFonts w:ascii="Arial" w:cs="Arial" w:eastAsia="Arial" w:hAnsi="Arial"/>
          <w:sz w:val="13"/>
          <w:szCs w:val="13"/>
          <w:b w:val="1"/>
          <w:bCs w:val="1"/>
          <w:i w:val="1"/>
          <w:iCs w:val="1"/>
          <w:color w:val="auto"/>
        </w:rPr>
        <w:t>mRNA Manufacturing</w:t>
      </w:r>
    </w:p>
    <w:p>
      <w:pPr>
        <w:spacing w:after="0" w:line="90" w:lineRule="exact"/>
        <w:rPr>
          <w:sz w:val="20"/>
          <w:szCs w:val="20"/>
          <w:color w:val="auto"/>
        </w:rPr>
      </w:pPr>
    </w:p>
    <w:p>
      <w:pPr>
        <w:ind w:right="40" w:firstLine="527"/>
        <w:spacing w:after="0" w:line="264" w:lineRule="auto"/>
        <w:rPr>
          <w:sz w:val="20"/>
          <w:szCs w:val="20"/>
          <w:color w:val="auto"/>
        </w:rPr>
      </w:pPr>
      <w:r>
        <w:rPr>
          <w:rFonts w:ascii="Arial" w:cs="Arial" w:eastAsia="Arial" w:hAnsi="Arial"/>
          <w:sz w:val="13"/>
          <w:szCs w:val="13"/>
          <w:color w:val="auto"/>
        </w:rPr>
        <w:t>As discussed below, we utilize trade secret protection for many aspects of our mRNA manufacturing technologies, including as currently utilized for production of certain of our development candidates. In addition, our patent portfolio includes certain patent filings relevant to mRNA manufacturing, or collectively, the mRNA Manufacturing Filings, which we believe may provide commercial value to protect product candidates and/or support collaborations or other licensing arrangements. For example, our mRNA Manufacturing Filings include U.S. and foreign patent filings relating to certain aspects of mRNA purification and production. These mRNA Manufacturing Filings are either solely owned by BioNTech RNA, or jointly owned by BioNTech RNA and TRON and, if issued, would have 20-year terms that would extend into mid to late 2030s, although none is currently an issued patent.</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mRNA Product Candidates</w:t>
      </w:r>
    </w:p>
    <w:p>
      <w:pPr>
        <w:spacing w:after="0" w:line="90" w:lineRule="exact"/>
        <w:rPr>
          <w:sz w:val="20"/>
          <w:szCs w:val="20"/>
          <w:color w:val="auto"/>
        </w:rPr>
      </w:pPr>
    </w:p>
    <w:p>
      <w:pPr>
        <w:ind w:right="220" w:firstLine="527"/>
        <w:spacing w:after="0" w:line="287" w:lineRule="auto"/>
        <w:rPr>
          <w:sz w:val="20"/>
          <w:szCs w:val="20"/>
          <w:color w:val="auto"/>
        </w:rPr>
      </w:pPr>
      <w:r>
        <w:rPr>
          <w:rFonts w:ascii="Arial" w:cs="Arial" w:eastAsia="Arial" w:hAnsi="Arial"/>
          <w:sz w:val="13"/>
          <w:szCs w:val="13"/>
          <w:color w:val="auto"/>
        </w:rPr>
        <w:t>Our most advanced mRNA product candidate development programs are in oncology and involve various platforms. Our pipeline also includes mRNA product candidates for treatment of certain infectious diseases and mRNA product candidates for protein replacement therapy in certain rare diseases.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Oncology mRNA Product Candidates</w:t>
      </w:r>
    </w:p>
    <w:p>
      <w:pPr>
        <w:spacing w:after="0" w:line="90" w:lineRule="exact"/>
        <w:rPr>
          <w:sz w:val="20"/>
          <w:szCs w:val="20"/>
          <w:color w:val="auto"/>
        </w:rPr>
      </w:pPr>
    </w:p>
    <w:p>
      <w:pPr>
        <w:ind w:firstLine="527"/>
        <w:spacing w:after="0" w:line="331" w:lineRule="auto"/>
        <w:rPr>
          <w:sz w:val="20"/>
          <w:szCs w:val="20"/>
          <w:color w:val="auto"/>
        </w:rPr>
      </w:pPr>
      <w:r>
        <w:rPr>
          <w:rFonts w:ascii="Arial" w:cs="Arial" w:eastAsia="Arial" w:hAnsi="Arial"/>
          <w:sz w:val="12"/>
          <w:szCs w:val="12"/>
          <w:color w:val="auto"/>
        </w:rPr>
        <w:t>Our current clinical programs are all in oncology. The most advanced involve iNeST immunotherapy product candidates being developed with our collaborator, Genentech. We also have FixVac product candidates in Phase 1 clinical trials, and have recently initiated Phase 1 clinical trials of our mRNA-based intratumoral immunotherapy developed through our collaboration with Sanofi.</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FixVac</w:t>
      </w:r>
    </w:p>
    <w:p>
      <w:pPr>
        <w:spacing w:after="0" w:line="90" w:lineRule="exact"/>
        <w:rPr>
          <w:sz w:val="20"/>
          <w:szCs w:val="20"/>
          <w:color w:val="auto"/>
        </w:rPr>
      </w:pPr>
    </w:p>
    <w:p>
      <w:pPr>
        <w:ind w:right="80" w:firstLine="527"/>
        <w:spacing w:after="0" w:line="263" w:lineRule="auto"/>
        <w:rPr>
          <w:sz w:val="20"/>
          <w:szCs w:val="20"/>
          <w:color w:val="auto"/>
        </w:rPr>
      </w:pPr>
      <w:r>
        <w:rPr>
          <w:rFonts w:ascii="Arial" w:cs="Arial" w:eastAsia="Arial" w:hAnsi="Arial"/>
          <w:sz w:val="13"/>
          <w:szCs w:val="13"/>
          <w:color w:val="auto"/>
        </w:rPr>
        <w:t>Our FixVac product candidates share many of the structural elements involved in our iNeST product candidates. Thus, some or all of the mRNA Structure Filings relevant to our iNeST product candidates and discussed above are also relevant to our FixVac product candidates. These patent filings, or the FixVac Platform Filings, include mRNA Structure Filings relating to antigen-MHC fusions, phosphorothioate stabilized 5’ cap structures, 3’ UTR structures containing a specific sequence element, and interrupted polyA tails, which are solely or jointly owned by BioNTech or BioNTech’s licensors. Issued FixVAC Platform Filings have, and pending FixVac Platform Filings, if issued, would have, 20-year terms extending into the mid-2020s to the mid-2030s. While we have pursued or obtained patent protection covering components of FixVac product candidates, manufacturing-related methods and/or formulations, we do not currently have any claims in our owned or in-licensed issued patents that cover the overall construct used in our FixVac product candidates.</w:t>
      </w:r>
    </w:p>
    <w:p>
      <w:pPr>
        <w:spacing w:after="0" w:line="137" w:lineRule="exact"/>
        <w:rPr>
          <w:sz w:val="20"/>
          <w:szCs w:val="20"/>
          <w:color w:val="auto"/>
        </w:rPr>
      </w:pPr>
    </w:p>
    <w:p>
      <w:pPr>
        <w:ind w:right="80" w:firstLine="530"/>
        <w:spacing w:after="0" w:line="287" w:lineRule="auto"/>
        <w:rPr>
          <w:sz w:val="20"/>
          <w:szCs w:val="20"/>
          <w:color w:val="auto"/>
        </w:rPr>
      </w:pPr>
      <w:r>
        <w:rPr>
          <w:rFonts w:ascii="Arial" w:cs="Arial" w:eastAsia="Arial" w:hAnsi="Arial"/>
          <w:sz w:val="13"/>
          <w:szCs w:val="13"/>
          <w:color w:val="auto"/>
        </w:rPr>
        <w:t>Our patent portfolio further includes U.S. and foreign patent filings relating to combined uses of our FixVac and iNeST product candidates. Such issued patent filings have, and such pending patent filings, if issued, would have, 20-year terms that extend into 2033, and are jointly owned by BioNTech RNA and TRON.</w:t>
      </w:r>
    </w:p>
    <w:p>
      <w:pPr>
        <w:spacing w:after="0" w:line="122" w:lineRule="exact"/>
        <w:rPr>
          <w:sz w:val="20"/>
          <w:szCs w:val="20"/>
          <w:color w:val="auto"/>
        </w:rPr>
      </w:pPr>
    </w:p>
    <w:p>
      <w:pPr>
        <w:ind w:firstLine="527"/>
        <w:spacing w:after="0" w:line="263" w:lineRule="auto"/>
        <w:rPr>
          <w:sz w:val="20"/>
          <w:szCs w:val="20"/>
          <w:color w:val="auto"/>
        </w:rPr>
      </w:pPr>
      <w:r>
        <w:rPr>
          <w:rFonts w:ascii="Arial" w:cs="Arial" w:eastAsia="Arial" w:hAnsi="Arial"/>
          <w:sz w:val="13"/>
          <w:szCs w:val="13"/>
          <w:color w:val="auto"/>
        </w:rPr>
        <w:t>Our current Phase 1 clinical trials for FixVac product candidates are studying such product candidates in treatment of advanced melanoma, head and neck cancer, and breast cancer (particularly triple negative breast cancer). While we do not currently have any claims in our owned or in-licensed issued patents that are directed to use of our FixVac product candidates in the indications of these clinical trials, certain FixVac Platform Filings include specific reference to treatment of each of these indications. Additionally, our patent portfolio relevant to FixVac product candidates further includes U.S. and foreign patent filings relating to use of particular tumor antigens for treatment of triple negative breast cancer included in Phase 1 clinical trials, or the Triple Negative Breast Cancer FixVAC Filings. Issued Triple Negative Breast Cancer FixVac Filings have, and pending Triple Negative Breast Cancer FixVac Filings, if issued, would have, 20-year terms that extend into 2034, and are jointly owned by BioNTech SE and TRON.</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iNeST</w:t>
      </w:r>
    </w:p>
    <w:p>
      <w:pPr>
        <w:spacing w:after="0" w:line="90" w:lineRule="exact"/>
        <w:rPr>
          <w:sz w:val="20"/>
          <w:szCs w:val="20"/>
          <w:color w:val="auto"/>
        </w:rPr>
      </w:pPr>
    </w:p>
    <w:p>
      <w:pPr>
        <w:jc w:val="both"/>
        <w:ind w:right="120" w:firstLine="527"/>
        <w:spacing w:after="0" w:line="272" w:lineRule="auto"/>
        <w:rPr>
          <w:sz w:val="20"/>
          <w:szCs w:val="20"/>
          <w:color w:val="auto"/>
        </w:rPr>
      </w:pPr>
      <w:r>
        <w:rPr>
          <w:rFonts w:ascii="Arial" w:cs="Arial" w:eastAsia="Arial" w:hAnsi="Arial"/>
          <w:sz w:val="13"/>
          <w:szCs w:val="13"/>
          <w:color w:val="auto"/>
        </w:rPr>
        <w:t>Our patent filings relevant to our iNeST product candidates include mRNA Structure Filings relating to features for increasing antigen presentation (</w:t>
      </w:r>
      <w:r>
        <w:rPr>
          <w:rFonts w:ascii="Arial" w:cs="Arial" w:eastAsia="Arial" w:hAnsi="Arial"/>
          <w:sz w:val="13"/>
          <w:szCs w:val="13"/>
          <w:i w:val="1"/>
          <w:iCs w:val="1"/>
          <w:color w:val="auto"/>
        </w:rPr>
        <w:t>e.g</w:t>
      </w:r>
      <w:r>
        <w:rPr>
          <w:rFonts w:ascii="Arial" w:cs="Arial" w:eastAsia="Arial" w:hAnsi="Arial"/>
          <w:sz w:val="13"/>
          <w:szCs w:val="13"/>
          <w:color w:val="auto"/>
        </w:rPr>
        <w:t>., antigen-MHC fusions) and features for increasing translation efficiency and/or stability of mRNA constructs (</w:t>
      </w:r>
      <w:r>
        <w:rPr>
          <w:rFonts w:ascii="Arial" w:cs="Arial" w:eastAsia="Arial" w:hAnsi="Arial"/>
          <w:sz w:val="13"/>
          <w:szCs w:val="13"/>
          <w:i w:val="1"/>
          <w:iCs w:val="1"/>
          <w:color w:val="auto"/>
        </w:rPr>
        <w:t>e.g.</w:t>
      </w:r>
      <w:r>
        <w:rPr>
          <w:rFonts w:ascii="Arial" w:cs="Arial" w:eastAsia="Arial" w:hAnsi="Arial"/>
          <w:sz w:val="13"/>
          <w:szCs w:val="13"/>
          <w:color w:val="auto"/>
        </w:rPr>
        <w:t>, phosphorothioate stabilized 5’ cap structures, 3’ UTR structures containing a specific sequence element, and polyA tails of a particular length or interrupted polyA tails); mRNA Lipoplex</w:t>
      </w:r>
    </w:p>
    <w:p>
      <w:pPr>
        <w:spacing w:after="0" w:line="132"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371" w:right="319" w:bottom="1440" w:gutter="0" w:footer="0" w:header="0"/>
        </w:sectPr>
      </w:pPr>
    </w:p>
    <w:bookmarkStart w:id="184" w:name="page185"/>
    <w:bookmarkEnd w:id="184"/>
    <w:p>
      <w:pPr>
        <w:ind w:right="100"/>
        <w:spacing w:after="0" w:line="272" w:lineRule="auto"/>
        <w:rPr>
          <w:sz w:val="20"/>
          <w:szCs w:val="20"/>
          <w:color w:val="auto"/>
        </w:rPr>
      </w:pPr>
      <w:r>
        <w:rPr>
          <w:rFonts w:ascii="Arial" w:cs="Arial" w:eastAsia="Arial" w:hAnsi="Arial"/>
          <w:sz w:val="13"/>
          <w:szCs w:val="13"/>
          <w:color w:val="auto"/>
        </w:rPr>
        <w:t>Filings relating to negatively charged lipoplexes (</w:t>
      </w:r>
      <w:r>
        <w:rPr>
          <w:rFonts w:ascii="Arial" w:cs="Arial" w:eastAsia="Arial" w:hAnsi="Arial"/>
          <w:sz w:val="13"/>
          <w:szCs w:val="13"/>
          <w:i w:val="1"/>
          <w:iCs w:val="1"/>
          <w:color w:val="auto"/>
        </w:rPr>
        <w:t>e.g</w:t>
      </w:r>
      <w:r>
        <w:rPr>
          <w:rFonts w:ascii="Arial" w:cs="Arial" w:eastAsia="Arial" w:hAnsi="Arial"/>
          <w:sz w:val="13"/>
          <w:szCs w:val="13"/>
          <w:color w:val="auto"/>
        </w:rPr>
        <w:t>., for spleen targeting); and mRNA Manufacturing Filings, or collectively, the iNeST mRNA Platform Filings. While we have pursued or obtained patent protection covering components of iNeST product candidates, manufacturing-related methods and/or formulations, we do not currently have any claims in our owned or in-licensed issued patents that cover the overall construct used in our iNeST product candidates.</w:t>
      </w:r>
    </w:p>
    <w:p>
      <w:pPr>
        <w:spacing w:after="0" w:line="132" w:lineRule="exact"/>
        <w:rPr>
          <w:sz w:val="20"/>
          <w:szCs w:val="20"/>
          <w:color w:val="auto"/>
        </w:rPr>
      </w:pPr>
    </w:p>
    <w:p>
      <w:pPr>
        <w:ind w:right="20" w:firstLine="527"/>
        <w:spacing w:after="0" w:line="304" w:lineRule="auto"/>
        <w:rPr>
          <w:sz w:val="20"/>
          <w:szCs w:val="20"/>
          <w:color w:val="auto"/>
        </w:rPr>
      </w:pPr>
      <w:r>
        <w:rPr>
          <w:rFonts w:ascii="Arial" w:cs="Arial" w:eastAsia="Arial" w:hAnsi="Arial"/>
          <w:sz w:val="12"/>
          <w:szCs w:val="12"/>
          <w:color w:val="auto"/>
        </w:rPr>
        <w:t>Our patent portfolio further includes U.S. and foreign filings directed to the process of identifying neoantigens in patient samples and/or predicting those that will be immunoreactive in an iNeST immunotherapy product, or collectively, the Neoantigen Filings. Certain issued Neoantigen Filings have, and certain pending Neoantigen Filings, if issued, would have 20-year terms that extend into the mid- to late-2030s, although none is a U.S. issued patent. The Neoantigen Filings are solely owned by BioNTech RNA, or jointly owned by BioNTech RNA and TRON.</w:t>
      </w:r>
    </w:p>
    <w:p>
      <w:pPr>
        <w:spacing w:after="0" w:line="116" w:lineRule="exact"/>
        <w:rPr>
          <w:sz w:val="20"/>
          <w:szCs w:val="20"/>
          <w:color w:val="auto"/>
        </w:rPr>
      </w:pPr>
    </w:p>
    <w:p>
      <w:pPr>
        <w:ind w:right="180" w:firstLine="527"/>
        <w:spacing w:after="0" w:line="272" w:lineRule="auto"/>
        <w:rPr>
          <w:sz w:val="20"/>
          <w:szCs w:val="20"/>
          <w:color w:val="auto"/>
        </w:rPr>
      </w:pPr>
      <w:r>
        <w:rPr>
          <w:rFonts w:ascii="Arial" w:cs="Arial" w:eastAsia="Arial" w:hAnsi="Arial"/>
          <w:sz w:val="13"/>
          <w:szCs w:val="13"/>
          <w:color w:val="auto"/>
        </w:rPr>
        <w:t>We are currently studying our iNeST product candidates for the treatment of metastatic melanoma in Phase 2 clinical trials and those for the treatment of various solid tumors in Phase 1 clinical trials. Certain iNeST mRNA Platform Filings and Neoantigen Filings cover treatment of each of these indications. However, we do not currently have any claims in our owned or in-licensed issued patents that are directed to use of iNeST product candidates in the indications of these clinical trials.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Intratumoral Immunotherapies</w:t>
      </w:r>
    </w:p>
    <w:p>
      <w:pPr>
        <w:spacing w:after="0" w:line="90" w:lineRule="exact"/>
        <w:rPr>
          <w:sz w:val="20"/>
          <w:szCs w:val="20"/>
          <w:color w:val="auto"/>
        </w:rPr>
      </w:pPr>
    </w:p>
    <w:p>
      <w:pPr>
        <w:ind w:right="60" w:firstLine="527"/>
        <w:spacing w:after="0" w:line="264" w:lineRule="auto"/>
        <w:rPr>
          <w:sz w:val="20"/>
          <w:szCs w:val="20"/>
          <w:color w:val="auto"/>
        </w:rPr>
      </w:pPr>
      <w:r>
        <w:rPr>
          <w:rFonts w:ascii="Arial" w:cs="Arial" w:eastAsia="Arial" w:hAnsi="Arial"/>
          <w:sz w:val="13"/>
          <w:szCs w:val="13"/>
          <w:color w:val="auto"/>
        </w:rPr>
        <w:t>Certain of the mRNA Structure Filings (including some that are relevant to iNeST and/or FixVac product candidates, as discussed above) are also directed to one or more features of our intratumoral immunotherapies, including our most advanced intratumoral immunotherapy, which we are developing through our collaboration with Sanofi, and which has recently entered Phase 1 clinical trials. For example, mRNA Structure Filings relating to 3’ UTR structures containing a specific sequence element, interrupted polyA tail structures, and reduced-uracil content mRNAs, which, as noted above are solely or jointly owned by BioNTech and, if issued, would have 20-year terms extending into the mid-2030s, provide protection to our current intratumoral immunotherapy development candidate. However, these filings do not currently include any issued patents.</w:t>
      </w:r>
    </w:p>
    <w:p>
      <w:pPr>
        <w:spacing w:after="0" w:line="138" w:lineRule="exact"/>
        <w:rPr>
          <w:sz w:val="20"/>
          <w:szCs w:val="20"/>
          <w:color w:val="auto"/>
        </w:rPr>
      </w:pPr>
    </w:p>
    <w:p>
      <w:pPr>
        <w:ind w:right="20" w:firstLine="527"/>
        <w:spacing w:after="0" w:line="267" w:lineRule="auto"/>
        <w:rPr>
          <w:sz w:val="20"/>
          <w:szCs w:val="20"/>
          <w:color w:val="auto"/>
        </w:rPr>
      </w:pPr>
      <w:r>
        <w:rPr>
          <w:rFonts w:ascii="Arial" w:cs="Arial" w:eastAsia="Arial" w:hAnsi="Arial"/>
          <w:sz w:val="13"/>
          <w:szCs w:val="13"/>
          <w:color w:val="auto"/>
        </w:rPr>
        <w:t>We have also obtained third-party licenses to technologies relating to certain features of the mRNA structure relevant to the intratumoral immunotherapies. These include two non-exclusive sublicenses—one from mRNA RiboTherapeutics, Inc., or MRT, and one from its affiliate CellScript, LLC (these licenses, together, the MRT-CellScript Sublicenses). MRT-CellScript Sublicenses allow us to use, make and/or sell nucleoside-modified mRNA products that are covered by U.S. and European Patent Office patent filings owned by the Trustees of the University of Pennsylvania, or the Penn Modified RNA Patent Rights, which sublicenses are further summarized below in “—C. In-Licensing.”</w:t>
      </w:r>
    </w:p>
    <w:p>
      <w:pPr>
        <w:spacing w:after="0" w:line="135" w:lineRule="exact"/>
        <w:rPr>
          <w:sz w:val="20"/>
          <w:szCs w:val="20"/>
          <w:color w:val="auto"/>
        </w:rPr>
      </w:pPr>
    </w:p>
    <w:p>
      <w:pPr>
        <w:ind w:right="180" w:firstLine="527"/>
        <w:spacing w:after="0" w:line="331" w:lineRule="auto"/>
        <w:rPr>
          <w:sz w:val="20"/>
          <w:szCs w:val="20"/>
          <w:color w:val="auto"/>
        </w:rPr>
      </w:pPr>
      <w:r>
        <w:rPr>
          <w:rFonts w:ascii="Arial" w:cs="Arial" w:eastAsia="Arial" w:hAnsi="Arial"/>
          <w:sz w:val="12"/>
          <w:szCs w:val="12"/>
          <w:color w:val="auto"/>
        </w:rPr>
        <w:t>Additionally, certain patent filings have arisen from our collaboration relating to compositions including mRNAs encoding particular cytokines for treatment of solid tumors, or the mRNA Cytokine Filings. Such mRNA Cytokine Filings, if issued, would have 20-year terms that would extend into 2038. However, these filings do not currently include any issued patents.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RiboMabs and RiboCytokines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own or license a number of patent filings directed to our RiboMab and RiboCytokine programs. Many are owned solely by us, some are jointly owned, and some have been acquired or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licensed.</w:t>
      </w:r>
    </w:p>
    <w:p>
      <w:pPr>
        <w:spacing w:after="0" w:line="162" w:lineRule="exact"/>
        <w:rPr>
          <w:sz w:val="20"/>
          <w:szCs w:val="20"/>
          <w:color w:val="auto"/>
        </w:rPr>
      </w:pPr>
    </w:p>
    <w:p>
      <w:pPr>
        <w:ind w:firstLine="527"/>
        <w:spacing w:after="0" w:line="272" w:lineRule="auto"/>
        <w:rPr>
          <w:sz w:val="20"/>
          <w:szCs w:val="20"/>
          <w:color w:val="auto"/>
        </w:rPr>
      </w:pPr>
      <w:r>
        <w:rPr>
          <w:rFonts w:ascii="Arial" w:cs="Arial" w:eastAsia="Arial" w:hAnsi="Arial"/>
          <w:sz w:val="13"/>
          <w:szCs w:val="13"/>
          <w:color w:val="auto"/>
        </w:rPr>
        <w:t>Patent filings relevant to our RiboMab and RiboCytokine programs include certain mRNA Structure Filings relevant to our iNeST and/or FixVac product candidates, specifically relating to 3’ UTR structures containing a specific sequence element, interrupted polyA tail structures, and reduced-uracil content mRNAs; mRNA Lipid Nanoparticle/Polyplex Filings; and patent filings under the MRT-CellScript Sublicenses relating to nucleoside-modified mRNAs.</w:t>
      </w:r>
    </w:p>
    <w:p>
      <w:pPr>
        <w:spacing w:after="0" w:line="132" w:lineRule="exact"/>
        <w:rPr>
          <w:sz w:val="20"/>
          <w:szCs w:val="20"/>
          <w:color w:val="auto"/>
        </w:rPr>
      </w:pPr>
    </w:p>
    <w:p>
      <w:pPr>
        <w:ind w:right="220" w:firstLine="527"/>
        <w:spacing w:after="0" w:line="331" w:lineRule="auto"/>
        <w:rPr>
          <w:sz w:val="20"/>
          <w:szCs w:val="20"/>
          <w:color w:val="auto"/>
        </w:rPr>
      </w:pPr>
      <w:r>
        <w:rPr>
          <w:rFonts w:ascii="Arial" w:cs="Arial" w:eastAsia="Arial" w:hAnsi="Arial"/>
          <w:sz w:val="12"/>
          <w:szCs w:val="12"/>
          <w:color w:val="auto"/>
        </w:rPr>
        <w:t>We have also recently acquired patent assets from MabVax Therapeutics, or the MabVax Filings, that relate to various antibodies, including certain antibodies targeting sialyl Lewis A and ganglioside GD2, as well as nucleic acid encoding them. Issued MabVax Filings have, and the pending MabVax Filings, if issued, would have, 20-year terms that extend into the mid-2030s.</w:t>
      </w:r>
    </w:p>
    <w:p>
      <w:pPr>
        <w:spacing w:after="0" w:line="99" w:lineRule="exact"/>
        <w:rPr>
          <w:sz w:val="20"/>
          <w:szCs w:val="20"/>
          <w:color w:val="auto"/>
        </w:rPr>
      </w:pPr>
    </w:p>
    <w:p>
      <w:pPr>
        <w:jc w:val="center"/>
        <w:ind w:right="520"/>
        <w:spacing w:after="0"/>
        <w:rPr>
          <w:sz w:val="20"/>
          <w:szCs w:val="20"/>
          <w:color w:val="auto"/>
        </w:rPr>
      </w:pPr>
      <w:r>
        <w:rPr>
          <w:rFonts w:ascii="Arial" w:cs="Arial" w:eastAsia="Arial" w:hAnsi="Arial"/>
          <w:sz w:val="13"/>
          <w:szCs w:val="13"/>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00"/>
          </w:cols>
          <w:pgMar w:left="860" w:top="211" w:right="339" w:bottom="1440" w:gutter="0" w:footer="0" w:header="0"/>
        </w:sectPr>
      </w:pPr>
    </w:p>
    <w:bookmarkStart w:id="185" w:name="page186"/>
    <w:bookmarkEnd w:id="185"/>
    <w:p>
      <w:pPr>
        <w:ind w:left="520"/>
        <w:spacing w:after="0"/>
        <w:rPr>
          <w:sz w:val="20"/>
          <w:szCs w:val="20"/>
          <w:color w:val="auto"/>
        </w:rPr>
      </w:pPr>
      <w:r>
        <w:rPr>
          <w:rFonts w:ascii="Arial" w:cs="Arial" w:eastAsia="Arial" w:hAnsi="Arial"/>
          <w:sz w:val="13"/>
          <w:szCs w:val="13"/>
          <w:u w:val="single" w:color="auto"/>
          <w:color w:val="auto"/>
        </w:rPr>
        <w:t>Infectious Diseases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is discussed elsewhere in this Annual Report, we have collaborated with third parties, including Pfizer, Penn and Fosun Pharma, to develop infectious disease mRNA vaccines.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Certain patent filings that might be useful to our infectious disease mRNA vaccines include certain of the mRNA Structure Filings and the mRNA Lipid Nanoparticle/Polyplex Filings.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Rare Diseases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are developing mRNA-based protein replacement therapy for several rare disease indications through our collaboration with Genevant.</w:t>
      </w:r>
    </w:p>
    <w:p>
      <w:pPr>
        <w:spacing w:after="0" w:line="170" w:lineRule="exact"/>
        <w:rPr>
          <w:sz w:val="20"/>
          <w:szCs w:val="20"/>
          <w:color w:val="auto"/>
        </w:rPr>
      </w:pPr>
    </w:p>
    <w:p>
      <w:pPr>
        <w:ind w:right="60" w:firstLine="527"/>
        <w:spacing w:after="0" w:line="296" w:lineRule="auto"/>
        <w:rPr>
          <w:sz w:val="20"/>
          <w:szCs w:val="20"/>
          <w:color w:val="auto"/>
        </w:rPr>
      </w:pPr>
      <w:r>
        <w:rPr>
          <w:rFonts w:ascii="Arial" w:cs="Arial" w:eastAsia="Arial" w:hAnsi="Arial"/>
          <w:sz w:val="12"/>
          <w:szCs w:val="12"/>
          <w:color w:val="auto"/>
        </w:rPr>
        <w:t>Certain of the mRNA Structure Filings (including some that are relevant to iNeST and/or FixVac product candidates, as discussed above) and patent filings under the CellScript Licenses include patent filings directed to nucleoside-modified mRNAs also provide protection for one or more features of mRNA-based protein replacement product candidates. For example, mRNA Structure Filings include patent filings directed to 3’ UTR structures containing a specific sequence element, interrupted poly A tail structures and reduced-uracil content mRNAs, which, as noted above are solely or jointly owned by BioNTech, and, if issued, would have 20-year terms that would extend into the mid-2030s. However, these filings do not currently include any issued patents.</w:t>
      </w:r>
    </w:p>
    <w:p>
      <w:pPr>
        <w:spacing w:after="0" w:line="119" w:lineRule="exact"/>
        <w:rPr>
          <w:sz w:val="20"/>
          <w:szCs w:val="20"/>
          <w:color w:val="auto"/>
        </w:rPr>
      </w:pPr>
    </w:p>
    <w:p>
      <w:pPr>
        <w:ind w:right="140" w:firstLine="527"/>
        <w:spacing w:after="0" w:line="304" w:lineRule="auto"/>
        <w:rPr>
          <w:sz w:val="20"/>
          <w:szCs w:val="20"/>
          <w:color w:val="auto"/>
        </w:rPr>
      </w:pPr>
      <w:r>
        <w:rPr>
          <w:rFonts w:ascii="Arial" w:cs="Arial" w:eastAsia="Arial" w:hAnsi="Arial"/>
          <w:sz w:val="12"/>
          <w:szCs w:val="12"/>
          <w:color w:val="auto"/>
        </w:rPr>
        <w:t>Our patent portfolio relating to our rare disease programs also include certain patent filings that we have licensed from Genevant, or the Genevant Filings. Specifically, the Genevant Filings are owned by Arbutus Biopharma Corporation, which is a Genevant affiliate, and relate primarily to lipid or non-liposomal formulations that might be useful in these programs, and have been filed primarily in the U.S. and Europe, with 20-year terms that extend into mid-2020s to mid-2030s for the issued Genevant Filings and the pending Genevant Filings, if issued.</w:t>
      </w:r>
    </w:p>
    <w:p>
      <w:pPr>
        <w:spacing w:after="0" w:line="196" w:lineRule="exact"/>
        <w:rPr>
          <w:sz w:val="20"/>
          <w:szCs w:val="20"/>
          <w:color w:val="auto"/>
        </w:rPr>
      </w:pPr>
    </w:p>
    <w:p>
      <w:pPr>
        <w:ind w:left="1140" w:hanging="585"/>
        <w:spacing w:after="0"/>
        <w:tabs>
          <w:tab w:leader="none" w:pos="1140" w:val="left"/>
        </w:tabs>
        <w:numPr>
          <w:ilvl w:val="0"/>
          <w:numId w:val="21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Engineered Cell Therapy</w:t>
      </w:r>
    </w:p>
    <w:p>
      <w:pPr>
        <w:spacing w:after="0" w:line="90" w:lineRule="exact"/>
        <w:rPr>
          <w:sz w:val="20"/>
          <w:szCs w:val="20"/>
          <w:color w:val="auto"/>
        </w:rPr>
      </w:pPr>
    </w:p>
    <w:p>
      <w:pPr>
        <w:ind w:right="20" w:firstLine="527"/>
        <w:spacing w:after="0" w:line="264" w:lineRule="auto"/>
        <w:rPr>
          <w:sz w:val="20"/>
          <w:szCs w:val="20"/>
          <w:color w:val="auto"/>
        </w:rPr>
      </w:pPr>
      <w:r>
        <w:rPr>
          <w:rFonts w:ascii="Arial" w:cs="Arial" w:eastAsia="Arial" w:hAnsi="Arial"/>
          <w:sz w:val="13"/>
          <w:szCs w:val="13"/>
          <w:color w:val="auto"/>
        </w:rPr>
        <w:t>Our engineered cell therapy product class features use of chimeric antigen receptor, or CAR-, T cell or individualized T cell receptors for oncology therapy. Our patent filings relevant to these platforms and product candidates, or the CAR-T/TCR Filings, are generally co-owned by BioNTech Cell &amp; Gene Therapies GmbH, or BioNTech C&amp;GT, and TRON. For example, the CAR-T/TCR Filings include patent filings directed to various CAR-T formats and methods of enhancing CAR-T cells by nucleic acid vaccination, as well as patent filings directed to processes of identifying and/or making individualized T cell receptors. The CAR-T/TCR Patent Filings, if issued, would have 20-year terms that would extend into the mid- to late-2030s. However, these filings do not currently include any issued patents.</w:t>
      </w:r>
    </w:p>
    <w:p>
      <w:pPr>
        <w:spacing w:after="0" w:line="138" w:lineRule="exact"/>
        <w:rPr>
          <w:sz w:val="20"/>
          <w:szCs w:val="20"/>
          <w:color w:val="auto"/>
        </w:rPr>
      </w:pPr>
    </w:p>
    <w:p>
      <w:pPr>
        <w:ind w:firstLine="527"/>
        <w:spacing w:after="0" w:line="267" w:lineRule="auto"/>
        <w:rPr>
          <w:sz w:val="20"/>
          <w:szCs w:val="20"/>
          <w:color w:val="auto"/>
        </w:rPr>
      </w:pPr>
      <w:r>
        <w:rPr>
          <w:rFonts w:ascii="Arial" w:cs="Arial" w:eastAsia="Arial" w:hAnsi="Arial"/>
          <w:sz w:val="13"/>
          <w:szCs w:val="13"/>
          <w:color w:val="auto"/>
        </w:rPr>
        <w:t>Certain CAR-T programs involve CAR-T cell product candidates that target different members of the claudin family. Our patent portfolio includes certain patent filings specifically relevant to our claudin-specific CAR-T cell product candidates and are jointly owned by BioNTech C&amp;GT, TRON and Ganymed, or the Claudin-Specific CAR-T Cell Filings. The issued Claudin-Specific CAR-T Cell Filings have, and the pending Claudin-Specific CAR-T Cell Filings, if issued, would have, 20-year terms extending into the mid-2030s. However, these filings do not currently include any U.S. issued patents. The terms of our co-ownership of such patent filings with TRON and Ganymed are summarized below in “—C. In-Licensing.”</w:t>
      </w:r>
    </w:p>
    <w:p>
      <w:pPr>
        <w:spacing w:after="0" w:line="215" w:lineRule="exact"/>
        <w:rPr>
          <w:sz w:val="20"/>
          <w:szCs w:val="20"/>
          <w:color w:val="auto"/>
        </w:rPr>
      </w:pPr>
    </w:p>
    <w:p>
      <w:pPr>
        <w:ind w:left="1140" w:hanging="588"/>
        <w:spacing w:after="0"/>
        <w:tabs>
          <w:tab w:leader="none" w:pos="1140" w:val="left"/>
        </w:tabs>
        <w:numPr>
          <w:ilvl w:val="0"/>
          <w:numId w:val="22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Antibodies</w:t>
      </w:r>
    </w:p>
    <w:p>
      <w:pPr>
        <w:spacing w:after="0" w:line="90" w:lineRule="exact"/>
        <w:rPr>
          <w:sz w:val="20"/>
          <w:szCs w:val="20"/>
          <w:color w:val="auto"/>
        </w:rPr>
      </w:pPr>
    </w:p>
    <w:p>
      <w:pPr>
        <w:ind w:right="20" w:firstLine="527"/>
        <w:spacing w:after="0" w:line="267" w:lineRule="auto"/>
        <w:rPr>
          <w:sz w:val="20"/>
          <w:szCs w:val="20"/>
          <w:color w:val="auto"/>
        </w:rPr>
      </w:pPr>
      <w:r>
        <w:rPr>
          <w:rFonts w:ascii="Arial" w:cs="Arial" w:eastAsia="Arial" w:hAnsi="Arial"/>
          <w:sz w:val="13"/>
          <w:szCs w:val="13"/>
          <w:color w:val="auto"/>
        </w:rPr>
        <w:t>Our antibodies product class features bispecific checkpoint immunomodulators for oncology therapy, which are developed through collaboration with Genmab. Our development candidates include bispecific antibodies that are designed to activate 4-1BB upon simultaneous binding to PD-L1 or CD-40. Our patent portfolio includes certain patent filings relevant to such bispecific antibodies, or the Bispecific Checkpoint Modulator Filings, co-owned by us and Genmab. Such Bispecific Checkpoint Modulator Filings, if issued, would have 20-year terms that would extend into the late-2030s and do not currently include any issued patents.</w:t>
      </w:r>
    </w:p>
    <w:p>
      <w:pPr>
        <w:spacing w:after="0" w:line="135"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7180580"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720"/>
          </w:cols>
          <w:pgMar w:left="860" w:top="371" w:right="319" w:bottom="1440" w:gutter="0" w:footer="0" w:header="0"/>
        </w:sectPr>
      </w:pPr>
    </w:p>
    <w:bookmarkStart w:id="186" w:name="page187"/>
    <w:bookmarkEnd w:id="186"/>
    <w:p>
      <w:pPr>
        <w:ind w:left="1700" w:hanging="588"/>
        <w:spacing w:after="0"/>
        <w:tabs>
          <w:tab w:leader="none" w:pos="1700" w:val="left"/>
        </w:tabs>
        <w:numPr>
          <w:ilvl w:val="0"/>
          <w:numId w:val="22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Small Molecule Immunomodulators</w:t>
      </w:r>
    </w:p>
    <w:p>
      <w:pPr>
        <w:spacing w:after="0" w:line="90" w:lineRule="exact"/>
        <w:rPr>
          <w:sz w:val="20"/>
          <w:szCs w:val="20"/>
          <w:color w:val="auto"/>
        </w:rPr>
      </w:pPr>
    </w:p>
    <w:p>
      <w:pPr>
        <w:ind w:left="560" w:right="80" w:firstLine="527"/>
        <w:spacing w:after="0" w:line="272" w:lineRule="auto"/>
        <w:rPr>
          <w:sz w:val="20"/>
          <w:szCs w:val="20"/>
          <w:color w:val="auto"/>
        </w:rPr>
      </w:pPr>
      <w:r>
        <w:rPr>
          <w:rFonts w:ascii="Arial" w:cs="Arial" w:eastAsia="Arial" w:hAnsi="Arial"/>
          <w:sz w:val="13"/>
          <w:szCs w:val="13"/>
          <w:color w:val="auto"/>
        </w:rPr>
        <w:t>Our small molecule therapeutics product class features oncology treatment using small molecule product candidates that activate the immune system via TLR7 agonism. Our patent portfolio includes patent filings relevant to these TLR7 agonists, or the TLR7 Agonist Filings. Certain TLR7 Agonist Filings are directed to substituted imidazoquinolines, and, if issued, would have 20-year terms that would extend into the late 2030s. However, these filings do not currently include any issued patents.</w:t>
      </w:r>
    </w:p>
    <w:p>
      <w:pPr>
        <w:spacing w:after="0" w:line="208" w:lineRule="exact"/>
        <w:rPr>
          <w:sz w:val="20"/>
          <w:szCs w:val="20"/>
          <w:color w:val="auto"/>
        </w:rPr>
      </w:pPr>
    </w:p>
    <w:p>
      <w:pPr>
        <w:ind w:left="1100" w:hanging="550"/>
        <w:spacing w:after="0"/>
        <w:tabs>
          <w:tab w:leader="none" w:pos="1100"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color w:val="auto"/>
        </w:rPr>
        <w:t>In-Licensing</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Some of our intellectual property assets have been acquired by acquisition and/or in-licensing.</w:t>
      </w:r>
    </w:p>
    <w:p>
      <w:pPr>
        <w:spacing w:after="0" w:line="170"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auto"/>
        </w:rPr>
        <w:t>We have pursued a strategy of identifying and in-licensing third-party patents that we believe are complementary to or otherwise interact synergistically with our own intellectual property portfolio. We have entered into material intellectual property licensing or option arrangements with Penn, TRON, Louisiana State University and MRT-CellScript.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key terms of these arrangements are summarized below.</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Penn Agreement</w:t>
      </w:r>
    </w:p>
    <w:p>
      <w:pPr>
        <w:spacing w:after="0" w:line="90" w:lineRule="exact"/>
        <w:rPr>
          <w:sz w:val="20"/>
          <w:szCs w:val="20"/>
          <w:color w:val="auto"/>
        </w:rPr>
      </w:pPr>
    </w:p>
    <w:p>
      <w:pPr>
        <w:ind w:right="160" w:firstLine="556"/>
        <w:spacing w:after="0" w:line="331" w:lineRule="auto"/>
        <w:rPr>
          <w:sz w:val="20"/>
          <w:szCs w:val="20"/>
          <w:color w:val="auto"/>
        </w:rPr>
      </w:pPr>
      <w:r>
        <w:rPr>
          <w:rFonts w:ascii="Arial" w:cs="Arial" w:eastAsia="Arial" w:hAnsi="Arial"/>
          <w:sz w:val="12"/>
          <w:szCs w:val="12"/>
          <w:color w:val="auto"/>
        </w:rPr>
        <w:t>In October 2018, BioNTech RNA entered into a collaboration and license agreement with the Trustees of the University of Pennsylvania regarding the development and commercialization of certain mRNA vaccines and mRNA diagnostics for the diagnosis, detection, evaluation, prophylaxis and treatment of infectious diseases. We refer to this agreement as the Penn Agreement.</w:t>
      </w:r>
    </w:p>
    <w:p>
      <w:pPr>
        <w:spacing w:after="0" w:line="99" w:lineRule="exact"/>
        <w:rPr>
          <w:sz w:val="20"/>
          <w:szCs w:val="20"/>
          <w:color w:val="auto"/>
        </w:rPr>
      </w:pPr>
    </w:p>
    <w:p>
      <w:pPr>
        <w:ind w:firstLine="560"/>
        <w:spacing w:after="0" w:line="285" w:lineRule="auto"/>
        <w:rPr>
          <w:sz w:val="20"/>
          <w:szCs w:val="20"/>
          <w:color w:val="auto"/>
        </w:rPr>
      </w:pPr>
      <w:r>
        <w:rPr>
          <w:rFonts w:ascii="Arial" w:cs="Arial" w:eastAsia="Arial" w:hAnsi="Arial"/>
          <w:sz w:val="12"/>
          <w:szCs w:val="12"/>
          <w:color w:val="auto"/>
        </w:rPr>
        <w:t>Under the Penn Agreement, BioNTech RNA and Penn agree to collaborate with respect to research and development activities and are obligated to use commercially reasonable efforts to develop products that use formulated mRNAs encoding one or more immunogens for 10 disease indications in the field of infectious diseases (each, a Penn Product). Penn is responsible for all research and development work up to completion of studies enabling an IND as well as IND-supporting preclinical work, and BioNTech RNA is responsible for the manufacture of mRNA amounts to support the preclinical and IND-enabling studies. If a Penn Product developed under the research program achieves certain acceptance criteria for a specified indication, BioNTech RNA has the right to obtain an exclusive worldwide license under Penn’s patent rights (and a non-exclusive license under Penn’s know-how and materials) to research, develop, make, use or commercialize Penn Products in such indication. Under the Penn Agreement, Penn retains certain rights to conduct and authorize non-commercial third-party research, educational and patient care activities under any licensed intellectual property. Moreover, the license granted by Penn is subject to certain rights granted to the U.S. government in connection with government funding provided by the United States, including the requirement that products that result from intellectual property funded by the U.S. government that are sold in the United States be substantially manufactured in the United States.</w:t>
      </w:r>
    </w:p>
    <w:p>
      <w:pPr>
        <w:spacing w:after="0" w:line="129"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BioNTech RNA has an obligation to use commercially reasonable efforts to clinically develop, obtain regulatory approval for and commercialize at least one Penn Product for each indication licensed under the Penn Agreement. Moreover, BioNTech RNA is obligated to achieve certain clinical and regulatory milestones within specified time periods, and its failure to do so would provide Penn the right to terminate the Penn Agreement on an indication-by-indication basis.</w:t>
      </w:r>
    </w:p>
    <w:p>
      <w:pPr>
        <w:spacing w:after="0" w:line="132"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BioNTech RNA paid to Penn an upfront fee of $5 million to fund research activities and has agreed to pay Penn additional funds through quarterly payments, not to exceed an aggregate of $15 million, upon depletion of the previously advanced funds. Under the Penn Agreement, BioNTech RNA also agreed to pay Penn an annual alliance management fee. In addition, if any Penn Product is covered by a Penn patent, BioNTech RNA will pay to Penn development and commercialization milestone payments up to $44.4 million for each Penn Product licensed under this agreement and royalties in a low-single digit percentage on net sales of all Penn Products licensed under the Penn Agreement. Further, Penn will receive a percentage of any income from sublicenses BioNTech RNA grants to third parties, subject to certain caps set forth in the Penn Agreement.</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BioNTech RNA has the sole responsibility for and decision-making authority over clinical development and commercialization activities relating to any Penn Product arising from the collaboration.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BioNTech RNA is also responsible for the manufacture of mRNA to support clinical development and commercialization efforts.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371" w:right="339" w:bottom="1440" w:gutter="0" w:footer="0" w:header="0"/>
        </w:sectPr>
      </w:pPr>
    </w:p>
    <w:bookmarkStart w:id="187" w:name="page188"/>
    <w:bookmarkEnd w:id="187"/>
    <w:p>
      <w:pPr>
        <w:ind w:firstLine="556"/>
        <w:spacing w:after="0" w:line="272" w:lineRule="auto"/>
        <w:rPr>
          <w:sz w:val="20"/>
          <w:szCs w:val="20"/>
          <w:color w:val="auto"/>
        </w:rPr>
      </w:pPr>
      <w:r>
        <w:rPr>
          <w:rFonts w:ascii="Arial" w:cs="Arial" w:eastAsia="Arial" w:hAnsi="Arial"/>
          <w:sz w:val="13"/>
          <w:szCs w:val="13"/>
          <w:color w:val="auto"/>
        </w:rPr>
        <w:t>The Penn Agreement remains in effect until the expiration of the last Penn patent covering any licensed Penn Product or developmental product candidate. BioNTech RNA may terminate the Penn Agreement for convenience in its entirety or on an indication-by-indication basis upon 90 days’ prior notice to Penn. The Penn Agreement also grants both parties termination rights for uncured material breaches, including for BioNTech RNA’s failure to achieve its obligations to achieve certain diligence milestones, and insolvency.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TRON Agreements</w:t>
      </w:r>
    </w:p>
    <w:p>
      <w:pPr>
        <w:spacing w:after="0" w:line="90" w:lineRule="exact"/>
        <w:rPr>
          <w:sz w:val="20"/>
          <w:szCs w:val="20"/>
          <w:color w:val="auto"/>
        </w:rPr>
      </w:pPr>
    </w:p>
    <w:p>
      <w:pPr>
        <w:ind w:right="80" w:firstLine="556"/>
        <w:spacing w:after="0" w:line="288" w:lineRule="auto"/>
        <w:rPr>
          <w:sz w:val="20"/>
          <w:szCs w:val="20"/>
          <w:color w:val="auto"/>
        </w:rPr>
      </w:pPr>
      <w:r>
        <w:rPr>
          <w:rFonts w:ascii="Arial" w:cs="Arial" w:eastAsia="Arial" w:hAnsi="Arial"/>
          <w:sz w:val="12"/>
          <w:szCs w:val="12"/>
          <w:color w:val="auto"/>
        </w:rPr>
        <w:t>In 2015, we and our subsidiaries BioNTech RNA, BioNTech Diagnostics GmbH, BioNTech Protein Therapeutics GmbH, BioNTech Cell &amp; Gene Therapies GmbH, Eufets GmbH and JPT Peptide Technologies GmbH entered into a Master Agreement for Research Services with TRON. Concurrently with this Master Agreement for Research Services, or the TRON Research Agreement, we entered into a License Agreement with Ganymed, TRON, Johannes Gutenberg-Universität Mainz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Agreement. In 2019, we and our subsidiaries BioNTech RNA Pharmaceuticals GmbH, BioNTech Diagnostics GmbH, BioNTech Protein Therapeutics GmbH, BioNTech Cell &amp; Gene Therapies GmbH, BioNTech Innovative Manufacturing Services GmbH and JPT Peptide Technologies GmbH, entered into a Framework Collaboration Agreement with TRON, or the TRON Collaboration Agreement.</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TRON Research Agreement</w:t>
      </w:r>
    </w:p>
    <w:p>
      <w:pPr>
        <w:spacing w:after="0" w:line="90"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contemplated for that period. Individual work orders set the specific binding terms of each project or service. TRON is obligated to render services in accordance with the scientific standards, all applicable laboratory and legal provisions and with the care customary in the industry.</w:t>
      </w:r>
    </w:p>
    <w:p>
      <w:pPr>
        <w:spacing w:after="0" w:line="135" w:lineRule="exact"/>
        <w:rPr>
          <w:sz w:val="20"/>
          <w:szCs w:val="20"/>
          <w:color w:val="auto"/>
        </w:rPr>
      </w:pPr>
    </w:p>
    <w:p>
      <w:pPr>
        <w:ind w:right="40" w:firstLine="556"/>
        <w:spacing w:after="0" w:line="267" w:lineRule="auto"/>
        <w:rPr>
          <w:sz w:val="20"/>
          <w:szCs w:val="20"/>
          <w:color w:val="auto"/>
        </w:rPr>
      </w:pPr>
      <w:r>
        <w:rPr>
          <w:rFonts w:ascii="Arial" w:cs="Arial" w:eastAsia="Arial" w:hAnsi="Arial"/>
          <w:sz w:val="13"/>
          <w:szCs w:val="13"/>
          <w:color w:val="auto"/>
        </w:rPr>
        <w:t>We are entitled to the exclusive rights to all inventions, methods, specifications, materials, documents, data, know-how and other results (together, the Results) developed or discovered by TRON or by us and TRON jointly under the TRON Research Agreement, except to the extent they constitute improvements of the technologies applied by TRON in the relevant projects. Under the TRON Research Agreement, TRON granted us a non-exclusive, royalty-free license to use TRON Improvements if such TRON Improvements are necessary for the continued development and exploitation of the Results or the manufacture or marketing of products which contain any of the Results and are covered by a patent claiming any of the Results.</w:t>
      </w:r>
    </w:p>
    <w:p>
      <w:pPr>
        <w:spacing w:after="0" w:line="135"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auto"/>
        </w:rPr>
        <w:t>Under the TRON Research Agreement, TRON’s services rendered in the field of applied research are invoiced at cost. For other services, fixed prices are to be set forth in the individual work orders. TRON invoices us monthly and our payments are due no later than 10 days thereafter. Additionally, we are obligated to pay to TRON low single-digit tiered royalties on net sales of any product developed under the TRON Research Agreement that is covered by a patent claiming any of the Results.</w:t>
      </w:r>
    </w:p>
    <w:p>
      <w:pPr>
        <w:spacing w:after="0" w:line="132" w:lineRule="exact"/>
        <w:rPr>
          <w:sz w:val="20"/>
          <w:szCs w:val="20"/>
          <w:color w:val="auto"/>
        </w:rPr>
      </w:pPr>
    </w:p>
    <w:p>
      <w:pPr>
        <w:jc w:val="both"/>
        <w:ind w:right="20" w:firstLine="556"/>
        <w:spacing w:after="0" w:line="272" w:lineRule="auto"/>
        <w:rPr>
          <w:sz w:val="20"/>
          <w:szCs w:val="20"/>
          <w:color w:val="auto"/>
        </w:rPr>
      </w:pPr>
      <w:r>
        <w:rPr>
          <w:rFonts w:ascii="Arial" w:cs="Arial" w:eastAsia="Arial" w:hAnsi="Arial"/>
          <w:sz w:val="13"/>
          <w:szCs w:val="13"/>
          <w:color w:val="auto"/>
        </w:rPr>
        <w:t>The TRON Research Agreement limits each party’s liability to the other to intentional and grossly negligent actions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32" w:lineRule="exact"/>
        <w:rPr>
          <w:sz w:val="20"/>
          <w:szCs w:val="20"/>
          <w:color w:val="auto"/>
        </w:rPr>
      </w:pPr>
    </w:p>
    <w:p>
      <w:pPr>
        <w:jc w:val="both"/>
        <w:ind w:right="40" w:firstLine="556"/>
        <w:spacing w:after="0" w:line="287" w:lineRule="auto"/>
        <w:rPr>
          <w:sz w:val="20"/>
          <w:szCs w:val="20"/>
          <w:color w:val="auto"/>
        </w:rPr>
      </w:pPr>
      <w:r>
        <w:rPr>
          <w:rFonts w:ascii="Arial" w:cs="Arial" w:eastAsia="Arial" w:hAnsi="Arial"/>
          <w:sz w:val="13"/>
          <w:szCs w:val="13"/>
          <w:color w:val="auto"/>
        </w:rPr>
        <w:t>The TRON Research Agreement has an indefinite term, but may be terminated by either party on six months’ notice. If one of our subsidiaries terminates its role in the TRON Research Agreement, the agreement will survive and continue without that subsidiary.</w:t>
      </w:r>
    </w:p>
    <w:p>
      <w:pPr>
        <w:spacing w:after="0" w:line="122" w:lineRule="exact"/>
        <w:rPr>
          <w:sz w:val="20"/>
          <w:szCs w:val="20"/>
          <w:color w:val="auto"/>
        </w:rPr>
      </w:pPr>
    </w:p>
    <w:p>
      <w:pPr>
        <w:ind w:right="460" w:firstLine="556"/>
        <w:spacing w:after="0" w:line="287" w:lineRule="auto"/>
        <w:rPr>
          <w:sz w:val="20"/>
          <w:szCs w:val="20"/>
          <w:color w:val="auto"/>
        </w:rPr>
      </w:pPr>
      <w:r>
        <w:rPr>
          <w:rFonts w:ascii="Arial" w:cs="Arial" w:eastAsia="Arial" w:hAnsi="Arial"/>
          <w:sz w:val="13"/>
          <w:szCs w:val="13"/>
          <w:color w:val="auto"/>
        </w:rPr>
        <w:t>In November 2017, we and TRON entered into an agreement to include certain research and development activities regarding neoepitope RNA immunotherapies as work included in the TRON Research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88" w:name="page189"/>
    <w:bookmarkEnd w:id="188"/>
    <w:p>
      <w:pPr>
        <w:ind w:left="560"/>
        <w:spacing w:after="0"/>
        <w:rPr>
          <w:sz w:val="20"/>
          <w:szCs w:val="20"/>
          <w:color w:val="auto"/>
        </w:rPr>
      </w:pPr>
      <w:r>
        <w:rPr>
          <w:rFonts w:ascii="Arial" w:cs="Arial" w:eastAsia="Arial" w:hAnsi="Arial"/>
          <w:sz w:val="13"/>
          <w:szCs w:val="13"/>
          <w:b w:val="1"/>
          <w:bCs w:val="1"/>
          <w:i w:val="1"/>
          <w:iCs w:val="1"/>
          <w:color w:val="auto"/>
        </w:rPr>
        <w:t>TRON License Agreement</w:t>
      </w:r>
    </w:p>
    <w:p>
      <w:pPr>
        <w:spacing w:after="0" w:line="90" w:lineRule="exact"/>
        <w:rPr>
          <w:sz w:val="20"/>
          <w:szCs w:val="20"/>
          <w:color w:val="auto"/>
        </w:rPr>
      </w:pPr>
    </w:p>
    <w:p>
      <w:pPr>
        <w:ind w:right="240" w:firstLine="556"/>
        <w:spacing w:after="0" w:line="272" w:lineRule="auto"/>
        <w:rPr>
          <w:sz w:val="20"/>
          <w:szCs w:val="20"/>
          <w:color w:val="auto"/>
        </w:rPr>
      </w:pPr>
      <w:r>
        <w:rPr>
          <w:rFonts w:ascii="Arial" w:cs="Arial" w:eastAsia="Arial" w:hAnsi="Arial"/>
          <w:sz w:val="13"/>
          <w:szCs w:val="13"/>
          <w:color w:val="auto"/>
        </w:rPr>
        <w:t>The TRON License Agreement governs the ownership of and licenses under certain patents, inventions, know-how, technologies and other knowledge (together, the Development Results) filed and created before January 1,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132" w:lineRule="exact"/>
        <w:rPr>
          <w:sz w:val="20"/>
          <w:szCs w:val="20"/>
          <w:color w:val="auto"/>
        </w:rPr>
      </w:pPr>
    </w:p>
    <w:p>
      <w:pPr>
        <w:ind w:right="100" w:firstLine="556"/>
        <w:spacing w:after="0" w:line="291" w:lineRule="auto"/>
        <w:rPr>
          <w:sz w:val="20"/>
          <w:szCs w:val="20"/>
          <w:color w:val="auto"/>
        </w:rPr>
      </w:pPr>
      <w:r>
        <w:rPr>
          <w:rFonts w:ascii="Arial" w:cs="Arial" w:eastAsia="Arial" w:hAnsi="Arial"/>
          <w:sz w:val="12"/>
          <w:szCs w:val="12"/>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 certain shares to TRON, on the one hand, and BioNTech and/or Ganymed, on the other hand included therein is allocated. Each party may assign its share in the co-owned Development Results to its affiliates provided that such party provide notice of the transfer and the identity of the new co-owner to the other co-owners. However, in case of an assignment of such share to a third party (except in case of a material asset sale), the assigning party must obligate the assignee to comply with the terms of the TRON License Agreement and the assigning party will remain bound by the obligations of the TRON License Agreement unless the other co-owners have consented to discharge the assigning party from such obligations.</w:t>
      </w:r>
    </w:p>
    <w:p>
      <w:pPr>
        <w:spacing w:after="0" w:line="123"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auto"/>
        </w:rPr>
        <w:t xml:space="preserve">The parties to the TRON License Agreement grant licenses to each other under their shares in the Development Results substantially as follows. Ganymed is exclusively entitled to use the Development Results for certain antibodies and antibody fragments that bind to certain defined targets, or the Ganymed Field of Use. We are exclusively entitled to use the Development Results in any other field of use (including immunological therapeutics, small molecule compounds, siRNA-based therapeutics, micro-proteins, antibody based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(except for those in the Ganymed Field of Use), diagnostics and therapeutics based on long-chain RNA as well as other cell therapy applications, immune cells transgenized with recombinant directed against certain defined targets or chimeric antigene receptors and RNA-based pharmaceuticals). The University Parties may use the Development Results for internal research purposes only. We have an obligation to use reasonable efforts to develop and commercialize products in our field of use worldwide.</w:t>
      </w:r>
    </w:p>
    <w:p>
      <w:pPr>
        <w:spacing w:after="0" w:line="137"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auto"/>
        </w:rPr>
        <w:t>Under the TRON License Agreement, we and Ganymed must agree on which party will have the primary role in filing, prosecuting, maintaining and defending jointly owned patents. We and Ganymed each have the exclusive right to enforce the Development Results in our respective fields of use, subject to certain step-in rights of the other parties.</w:t>
      </w:r>
    </w:p>
    <w:p>
      <w:pPr>
        <w:spacing w:after="0" w:line="122" w:lineRule="exact"/>
        <w:rPr>
          <w:sz w:val="20"/>
          <w:szCs w:val="20"/>
          <w:color w:val="auto"/>
        </w:rPr>
      </w:pPr>
    </w:p>
    <w:p>
      <w:pPr>
        <w:ind w:right="160" w:firstLine="556"/>
        <w:spacing w:after="0" w:line="267" w:lineRule="auto"/>
        <w:rPr>
          <w:sz w:val="20"/>
          <w:szCs w:val="20"/>
          <w:color w:val="auto"/>
        </w:rPr>
      </w:pPr>
      <w:r>
        <w:rPr>
          <w:rFonts w:ascii="Arial" w:cs="Arial" w:eastAsia="Arial" w:hAnsi="Arial"/>
          <w:sz w:val="13"/>
          <w:szCs w:val="13"/>
          <w:color w:val="auto"/>
        </w:rPr>
        <w:t>We are obligated to pay to the University Parties low single-digit tiered royalties on net sales on any product that is covered by certain of the patents including in the Development Results. If licenses are granted to third parties, we are obligated to pay to the University Parties a mid-single-digit share of all upfront payments, milestone payments and other remuneration we receive from such third parties in consideration for the license. Regarding upfront payments only, the University Parties’ share will be offset against subsequent license fees on net sales. In addition, we are obligated to pay certain development and regulatory milestones up to a low seven-figure amount to Johannes Gutenberg-Universität Mainz.</w:t>
      </w:r>
    </w:p>
    <w:p>
      <w:pPr>
        <w:spacing w:after="0" w:line="135"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auto"/>
        </w:rPr>
        <w:t>The TRON License Agreement contains a limitation on liability as between the parties, wherein the parties will only be liable to each other for intentional and grossly negligent actions, and, in the case of gross negligence, liability for indirect and consequential damages and lost profits is excluded. We are obligated to indemnify the University Parties and Ganymed for third-party claims of product liability or violation of applicable law based on our distribution of our products or if we breach the TRON License Agreement or if we or one of our agents acts culpably.</w:t>
      </w:r>
    </w:p>
    <w:p>
      <w:pPr>
        <w:spacing w:after="0" w:line="132" w:lineRule="exact"/>
        <w:rPr>
          <w:sz w:val="20"/>
          <w:szCs w:val="20"/>
          <w:color w:val="auto"/>
        </w:rPr>
      </w:pPr>
    </w:p>
    <w:p>
      <w:pPr>
        <w:jc w:val="both"/>
        <w:ind w:right="220" w:firstLine="556"/>
        <w:spacing w:after="0" w:line="267" w:lineRule="auto"/>
        <w:rPr>
          <w:sz w:val="20"/>
          <w:szCs w:val="20"/>
          <w:color w:val="auto"/>
        </w:rPr>
      </w:pPr>
      <w:r>
        <w:rPr>
          <w:rFonts w:ascii="Arial" w:cs="Arial" w:eastAsia="Arial" w:hAnsi="Arial"/>
          <w:sz w:val="13"/>
          <w:szCs w:val="13"/>
          <w:color w:val="auto"/>
        </w:rPr>
        <w:t>The TRON License Agreement will remain in effect as long as there are any obligations on us or Ganymed to pay license fees. After expiry of the TRON License Agreement, each party will have a perpetual, non-exclusive, royalty-free license to use the Developments Results. The TRON License Agreement may be terminated by any party on six months’ notice. The licenses granted between the parties will survive such termination. The TRON License Agreement also grants all parties termination rights for uncured material breaches. If only one party terminates its role in the Agreement, the Agreement will survive and continue between the other parties.</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TRON Collaboration Agreement</w:t>
      </w:r>
    </w:p>
    <w:p>
      <w:pPr>
        <w:spacing w:after="0" w:line="90"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auto"/>
        </w:rPr>
        <w:t>Under the TRON Collaboration Agreement, TRON from time to time undertakes certain projects in collaboration with us under separate project specific agreements, comprising innovative non-clinical research and development projects. We and TRON meet regularly to review and update project plans, and no less than annually to agree the budget for the on-going projects for the coming calendar year. Individual project agreements set the specific binding terms of each project.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89" w:name="page190"/>
    <w:bookmarkEnd w:id="189"/>
    <w:p>
      <w:pPr>
        <w:ind w:right="280"/>
        <w:spacing w:after="0" w:line="287" w:lineRule="auto"/>
        <w:rPr>
          <w:sz w:val="20"/>
          <w:szCs w:val="20"/>
          <w:color w:val="auto"/>
        </w:rPr>
      </w:pPr>
      <w:r>
        <w:rPr>
          <w:rFonts w:ascii="Arial" w:cs="Arial" w:eastAsia="Arial" w:hAnsi="Arial"/>
          <w:sz w:val="13"/>
          <w:szCs w:val="13"/>
          <w:color w:val="auto"/>
        </w:rPr>
        <w:t>TRON is obligated to perform its obligations in accordance with the scientific standards, all applicable technical laboratory and legal provisions and with the care customary in the non-clinical biotechnology research industry.</w:t>
      </w:r>
    </w:p>
    <w:p>
      <w:pPr>
        <w:spacing w:after="0" w:line="122" w:lineRule="exact"/>
        <w:rPr>
          <w:sz w:val="20"/>
          <w:szCs w:val="20"/>
          <w:color w:val="auto"/>
        </w:rPr>
      </w:pPr>
    </w:p>
    <w:p>
      <w:pPr>
        <w:ind w:right="40" w:firstLine="556"/>
        <w:spacing w:after="0" w:line="261" w:lineRule="auto"/>
        <w:rPr>
          <w:sz w:val="20"/>
          <w:szCs w:val="20"/>
          <w:color w:val="auto"/>
        </w:rPr>
      </w:pPr>
      <w:r>
        <w:rPr>
          <w:rFonts w:ascii="Arial" w:cs="Arial" w:eastAsia="Arial" w:hAnsi="Arial"/>
          <w:sz w:val="13"/>
          <w:szCs w:val="13"/>
          <w:color w:val="auto"/>
        </w:rPr>
        <w:t>Except for the results of a particular research project which has been funded exclusively by TRON, or the RNT Project, all of the inventions, methods, specifications, materials, documents, data, know-how and other results (together, the Results) developed or discovered by TRON or by us and TRON jointly under the TRON Collaboration Agreement are jointly owned. The Results of the RNT Project are owned exclusively by TRON. Under the TRON Collaboration Agreement, TRON grants us an exclusive, worldwide, sublicensable license under its interest in the Results to research and have researched, develop and have developed, make and have made, use, and otherwise commercialize or have commercialized, and otherwise commercially exploit, products in a field that is specified in the corresponding project agreement. The field of use is either (a) the prophylaxis, diagnosis and treatment of all indications in humans and animals; (b) the prophylaxis, diagnosis and treatment of oncological diseases, infectious diseases and rare genetic diseases; or (c) in the case of the Results from the RNT Project only, the prophylaxis, diagnosis and treatment of rectal neuroendocrine tumors in humans. We are required to use our reasonable efforts to develop and commercialize products that exploit the Results.</w:t>
      </w:r>
    </w:p>
    <w:p>
      <w:pPr>
        <w:spacing w:after="0" w:line="142" w:lineRule="exact"/>
        <w:rPr>
          <w:sz w:val="20"/>
          <w:szCs w:val="20"/>
          <w:color w:val="auto"/>
        </w:rPr>
      </w:pPr>
    </w:p>
    <w:p>
      <w:pPr>
        <w:ind w:right="20" w:firstLine="556"/>
        <w:spacing w:after="0" w:line="291" w:lineRule="auto"/>
        <w:rPr>
          <w:sz w:val="20"/>
          <w:szCs w:val="20"/>
          <w:color w:val="auto"/>
        </w:rPr>
      </w:pPr>
      <w:r>
        <w:rPr>
          <w:rFonts w:ascii="Arial" w:cs="Arial" w:eastAsia="Arial" w:hAnsi="Arial"/>
          <w:sz w:val="12"/>
          <w:szCs w:val="12"/>
          <w:color w:val="auto"/>
        </w:rPr>
        <w:t>Under the TRON Collaboration Agreement, TRON’s activities are invoiced at cost. TRON invoices us monthly and our payments are due no later than 10 days thereafter. Additionally, we are obligated to pay to TRON low single-digit tiered royalties on net sales of any product developed under the TRON Collaboration Agreement that is covered by a patent claiming any of the Results or, in certain circumstances, by a patentable invention forming part of the Results which we elect to maintain as a trade secret. If licenses under Results are granted to third parties, we are obligated to pay to TRON a mid-single-digit share of all upfront payments, milestone payments and other remuneration we receive from such third parties in consideration for the license. In addition, we are obligated to pay a one-time only milestone of a low seven-figure amount to TRON the first time annual sales of a product developed under the TRON Collaboration Agreement reach a low nine-figure number.</w:t>
      </w:r>
    </w:p>
    <w:p>
      <w:pPr>
        <w:spacing w:after="0" w:line="123"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The TRON Collaboration Agreement limits each party’s liability to the other to cases of willful misconduct and gross negligence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32"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auto"/>
        </w:rPr>
        <w:t>The TRON Collaboration Agreement came into force with retroactive effect from January 2015 and has an indefinite term, but may be terminated by either party on nine months’ notice. If one of our subsidiaries terminates its role in the TRON Collaboration Agreement, the agreement will survive and continue without that subsidiary.</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LSU License Agreement</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In May 2015, we entered into a Patent License Agreement with the Board of Supervisors of Louisiana State University and Agricultural and Mechanical College, or LSU, and the University of Warsaw, or UW. The agreement (which we refer to as the LSU Agreement) replaces and supersedes the earlier license agreement between the parties.</w:t>
      </w:r>
    </w:p>
    <w:p>
      <w:pPr>
        <w:spacing w:after="0" w:line="12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Under the LSU Agreement, UW and LSU granted to us an exclusive royalty-bearing license under certain patent rights relating to mRNA cap analogs and the synthesis and use of anti-reverse phosphorothioate analogs of the mRNA cap in the United States, certain jurisdictions in the European Union and other countries. As consideration for the license granted, we are obligated to pay running royalties in the low single digits on all net sales of products utilizing the licensed patents and to pay annual maintenance fees to LSU.</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are obligated to use commercially reasonable efforts to develop one or more marketable products utilizing the licensed patents, upon which we would owe additional milestone payments to LSU.</w:t>
      </w:r>
    </w:p>
    <w:p>
      <w:pPr>
        <w:spacing w:after="0" w:line="182" w:lineRule="exact"/>
        <w:rPr>
          <w:sz w:val="20"/>
          <w:szCs w:val="20"/>
          <w:color w:val="auto"/>
        </w:rPr>
      </w:pPr>
    </w:p>
    <w:p>
      <w:pPr>
        <w:ind w:right="240" w:firstLine="822"/>
        <w:spacing w:after="0" w:line="287" w:lineRule="auto"/>
        <w:rPr>
          <w:sz w:val="20"/>
          <w:szCs w:val="20"/>
          <w:color w:val="auto"/>
        </w:rPr>
      </w:pPr>
      <w:r>
        <w:rPr>
          <w:rFonts w:ascii="Arial" w:cs="Arial" w:eastAsia="Arial" w:hAnsi="Arial"/>
          <w:sz w:val="13"/>
          <w:szCs w:val="13"/>
          <w:color w:val="auto"/>
        </w:rPr>
        <w:t>The LSU Agreement remains in effect until expiration of the licensed patents. We have the right to terminate the LSU Agreement for convenience with 60 days’ prior notice, and LSU and UW may terminate for our uncured material breach.</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CellScript and mRNA Ribotherapeutics License Agreement</w:t>
      </w:r>
    </w:p>
    <w:p>
      <w:pPr>
        <w:spacing w:after="0" w:line="90" w:lineRule="exact"/>
        <w:rPr>
          <w:sz w:val="20"/>
          <w:szCs w:val="20"/>
          <w:color w:val="auto"/>
        </w:rPr>
      </w:pPr>
    </w:p>
    <w:p>
      <w:pPr>
        <w:ind w:right="220" w:firstLine="556"/>
        <w:spacing w:after="0" w:line="287" w:lineRule="auto"/>
        <w:rPr>
          <w:sz w:val="20"/>
          <w:szCs w:val="20"/>
          <w:color w:val="auto"/>
        </w:rPr>
      </w:pPr>
      <w:r>
        <w:rPr>
          <w:rFonts w:ascii="Arial" w:cs="Arial" w:eastAsia="Arial" w:hAnsi="Arial"/>
          <w:sz w:val="13"/>
          <w:szCs w:val="13"/>
          <w:color w:val="auto"/>
        </w:rPr>
        <w:t>BioNTech RNA entered into the two MRT-CellScript Sublicenses discussed above. Together, the MRT-CellScript Sublicenses grant BioNTech RNA worldwide, non-exclusive sublicenses under the Penn Modified mRNA Patent Rights (as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190" w:name="page191"/>
    <w:bookmarkEnd w:id="190"/>
    <w:p>
      <w:pPr>
        <w:ind w:right="320"/>
        <w:spacing w:after="0" w:line="272" w:lineRule="auto"/>
        <w:rPr>
          <w:sz w:val="20"/>
          <w:szCs w:val="20"/>
          <w:color w:val="auto"/>
        </w:rPr>
      </w:pPr>
      <w:r>
        <w:rPr>
          <w:rFonts w:ascii="Arial" w:cs="Arial" w:eastAsia="Arial" w:hAnsi="Arial"/>
          <w:sz w:val="13"/>
          <w:szCs w:val="13"/>
          <w:color w:val="auto"/>
        </w:rPr>
        <w:t xml:space="preserve">defined in the MRT-CellScript Sublicenses) to research, develop, make, import, use and commercialize products for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uses in humans and non-human animals, including therapeutic and prophylactic applications, and for certain uses in the diagnostic and prognostic field of use and certain laboratory research or screening uses. Under these sublicenses, BioNTech RNA has the right to grant sublicenses to affiliates and third parties.</w:t>
      </w:r>
    </w:p>
    <w:p>
      <w:pPr>
        <w:spacing w:after="0" w:line="13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BioNTech RNA must use reasonable efforts to develop and commercialize products under the sublicenses. Furthermore, BioNTech RNA is obliged to pay MRT and CellScript development milestone payments of up to approximately $26 million as well as royalties in the low to mid-single digits on net sales of licensed products, depending on the field of use.</w:t>
      </w:r>
    </w:p>
    <w:p>
      <w:pPr>
        <w:spacing w:after="0" w:line="122" w:lineRule="exact"/>
        <w:rPr>
          <w:sz w:val="20"/>
          <w:szCs w:val="20"/>
          <w:color w:val="auto"/>
        </w:rPr>
      </w:pPr>
    </w:p>
    <w:p>
      <w:pPr>
        <w:jc w:val="both"/>
        <w:ind w:right="80" w:firstLine="556"/>
        <w:spacing w:after="0" w:line="331" w:lineRule="auto"/>
        <w:rPr>
          <w:sz w:val="20"/>
          <w:szCs w:val="20"/>
          <w:color w:val="auto"/>
        </w:rPr>
      </w:pPr>
      <w:r>
        <w:rPr>
          <w:rFonts w:ascii="Arial" w:cs="Arial" w:eastAsia="Arial" w:hAnsi="Arial"/>
          <w:sz w:val="12"/>
          <w:szCs w:val="12"/>
          <w:color w:val="auto"/>
        </w:rPr>
        <w:t>The agreements continue until the expiration or abandonment of the last licensed patent to expire or be abandoned. BioNTech RNA may terminate the agreement for convenience with respect to all or certain patent rights with 60 days’ prior written notice. MRT or CellScript may terminate the respective sublicense agreement for payment default, uncured material breach or the bankruptcy of BioNTech RNA.</w:t>
      </w:r>
    </w:p>
    <w:p>
      <w:pPr>
        <w:spacing w:after="0" w:line="175" w:lineRule="exact"/>
        <w:rPr>
          <w:sz w:val="20"/>
          <w:szCs w:val="20"/>
          <w:color w:val="auto"/>
        </w:rPr>
      </w:pPr>
    </w:p>
    <w:p>
      <w:pPr>
        <w:ind w:left="1100" w:hanging="550"/>
        <w:spacing w:after="0"/>
        <w:tabs>
          <w:tab w:leader="none" w:pos="1100"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color w:val="auto"/>
        </w:rPr>
        <w:t>Trademark Portfolio</w:t>
      </w:r>
    </w:p>
    <w:p>
      <w:pPr>
        <w:spacing w:after="0" w:line="94" w:lineRule="exact"/>
        <w:rPr>
          <w:sz w:val="20"/>
          <w:szCs w:val="20"/>
          <w:color w:val="auto"/>
        </w:rPr>
      </w:pPr>
    </w:p>
    <w:p>
      <w:pPr>
        <w:ind w:right="800" w:firstLine="556"/>
        <w:spacing w:after="0" w:line="292" w:lineRule="auto"/>
        <w:rPr>
          <w:sz w:val="20"/>
          <w:szCs w:val="20"/>
          <w:color w:val="auto"/>
        </w:rPr>
      </w:pPr>
      <w:r>
        <w:rPr>
          <w:rFonts w:ascii="Arial" w:cs="Arial" w:eastAsia="Arial" w:hAnsi="Arial"/>
          <w:sz w:val="13"/>
          <w:szCs w:val="13"/>
          <w:color w:val="auto"/>
        </w:rPr>
        <w:t>Certain features of our business and our product candidates are protected by trademarks. Our trademark portfolio includes, but is not limited to, registrations for each of FixVac</w:t>
      </w:r>
      <w:r>
        <w:rPr>
          <w:rFonts w:ascii="Arial" w:cs="Arial" w:eastAsia="Arial" w:hAnsi="Arial"/>
          <w:sz w:val="19"/>
          <w:szCs w:val="19"/>
          <w:color w:val="auto"/>
          <w:vertAlign w:val="superscript"/>
        </w:rPr>
        <w:t>®</w:t>
      </w:r>
      <w:r>
        <w:rPr>
          <w:rFonts w:ascii="Arial" w:cs="Arial" w:eastAsia="Arial" w:hAnsi="Arial"/>
          <w:sz w:val="13"/>
          <w:szCs w:val="13"/>
          <w:color w:val="auto"/>
        </w:rPr>
        <w:t>, IVAC</w:t>
      </w:r>
      <w:r>
        <w:rPr>
          <w:rFonts w:ascii="Arial" w:cs="Arial" w:eastAsia="Arial" w:hAnsi="Arial"/>
          <w:sz w:val="19"/>
          <w:szCs w:val="19"/>
          <w:color w:val="auto"/>
          <w:vertAlign w:val="superscript"/>
        </w:rPr>
        <w:t>®</w:t>
      </w:r>
      <w:r>
        <w:rPr>
          <w:rFonts w:ascii="Arial" w:cs="Arial" w:eastAsia="Arial" w:hAnsi="Arial"/>
          <w:sz w:val="13"/>
          <w:szCs w:val="13"/>
          <w:color w:val="auto"/>
        </w:rPr>
        <w:t>, MammaTyper</w:t>
      </w:r>
      <w:r>
        <w:rPr>
          <w:rFonts w:ascii="Arial" w:cs="Arial" w:eastAsia="Arial" w:hAnsi="Arial"/>
          <w:sz w:val="19"/>
          <w:szCs w:val="19"/>
          <w:color w:val="auto"/>
          <w:vertAlign w:val="superscript"/>
        </w:rPr>
        <w:t>®</w:t>
      </w:r>
      <w:r>
        <w:rPr>
          <w:rFonts w:ascii="Arial" w:cs="Arial" w:eastAsia="Arial" w:hAnsi="Arial"/>
          <w:sz w:val="19"/>
          <w:szCs w:val="19"/>
          <w:color w:val="auto"/>
          <w:vertAlign w:val="subscript"/>
        </w:rPr>
        <w:t>,</w:t>
      </w:r>
      <w:r>
        <w:rPr>
          <w:rFonts w:ascii="Arial" w:cs="Arial" w:eastAsia="Arial" w:hAnsi="Arial"/>
          <w:sz w:val="13"/>
          <w:szCs w:val="13"/>
          <w:color w:val="auto"/>
        </w:rPr>
        <w:t xml:space="preserve"> RiboCytokine</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RiboMab</w:t>
      </w:r>
      <w:r>
        <w:rPr>
          <w:rFonts w:ascii="Arial" w:cs="Arial" w:eastAsia="Arial" w:hAnsi="Arial"/>
          <w:sz w:val="19"/>
          <w:szCs w:val="19"/>
          <w:color w:val="auto"/>
          <w:vertAlign w:val="superscript"/>
        </w:rPr>
        <w:t>®</w:t>
      </w:r>
      <w:r>
        <w:rPr>
          <w:rFonts w:ascii="Arial" w:cs="Arial" w:eastAsia="Arial" w:hAnsi="Arial"/>
          <w:sz w:val="13"/>
          <w:szCs w:val="13"/>
          <w:color w:val="auto"/>
        </w:rPr>
        <w:t>.</w:t>
      </w:r>
    </w:p>
    <w:p>
      <w:pPr>
        <w:spacing w:after="0" w:line="108" w:lineRule="exact"/>
        <w:rPr>
          <w:sz w:val="20"/>
          <w:szCs w:val="20"/>
          <w:color w:val="auto"/>
        </w:rPr>
      </w:pPr>
    </w:p>
    <w:p>
      <w:pPr>
        <w:ind w:left="1100" w:hanging="550"/>
        <w:spacing w:after="0"/>
        <w:tabs>
          <w:tab w:leader="none" w:pos="1100" w:val="left"/>
        </w:tabs>
        <w:numPr>
          <w:ilvl w:val="0"/>
          <w:numId w:val="224"/>
        </w:numPr>
        <w:rPr>
          <w:rFonts w:ascii="Arial" w:cs="Arial" w:eastAsia="Arial" w:hAnsi="Arial"/>
          <w:sz w:val="13"/>
          <w:szCs w:val="13"/>
          <w:b w:val="1"/>
          <w:bCs w:val="1"/>
          <w:color w:val="auto"/>
        </w:rPr>
      </w:pPr>
      <w:r>
        <w:rPr>
          <w:rFonts w:ascii="Arial" w:cs="Arial" w:eastAsia="Arial" w:hAnsi="Arial"/>
          <w:sz w:val="13"/>
          <w:szCs w:val="13"/>
          <w:b w:val="1"/>
          <w:bCs w:val="1"/>
          <w:color w:val="auto"/>
        </w:rPr>
        <w:t>Trade Secret Protection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Certain of our technologies, including in particular certain proprietary manufacturing processes or technologies and/or neoantigen prediction technologies, are protected as trade secrets.</w:t>
      </w:r>
    </w:p>
    <w:p>
      <w:pPr>
        <w:spacing w:after="0" w:line="170" w:lineRule="exact"/>
        <w:rPr>
          <w:sz w:val="20"/>
          <w:szCs w:val="20"/>
          <w:color w:val="auto"/>
        </w:rPr>
      </w:pPr>
    </w:p>
    <w:p>
      <w:pPr>
        <w:ind w:firstLine="556"/>
        <w:spacing w:after="0" w:line="284" w:lineRule="auto"/>
        <w:rPr>
          <w:sz w:val="20"/>
          <w:szCs w:val="20"/>
          <w:color w:val="auto"/>
        </w:rPr>
      </w:pPr>
      <w:r>
        <w:rPr>
          <w:rFonts w:ascii="Arial" w:cs="Arial" w:eastAsia="Arial" w:hAnsi="Arial"/>
          <w:sz w:val="12"/>
          <w:szCs w:val="12"/>
          <w:color w:val="auto"/>
        </w:rPr>
        <w:t>In addition to patent protection, we rely upon unpatented trade secrets and confidential know-how and continuing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agreements with any future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XVII.</w:t>
        <w:tab/>
        <w:t>Competition</w:t>
      </w:r>
    </w:p>
    <w:p>
      <w:pPr>
        <w:spacing w:after="0" w:line="94" w:lineRule="exact"/>
        <w:rPr>
          <w:sz w:val="20"/>
          <w:szCs w:val="20"/>
          <w:color w:val="auto"/>
        </w:rPr>
      </w:pPr>
    </w:p>
    <w:p>
      <w:pPr>
        <w:ind w:right="200" w:firstLine="556"/>
        <w:spacing w:after="0" w:line="331" w:lineRule="auto"/>
        <w:rPr>
          <w:sz w:val="20"/>
          <w:szCs w:val="20"/>
          <w:color w:val="auto"/>
        </w:rPr>
      </w:pPr>
      <w:r>
        <w:rPr>
          <w:rFonts w:ascii="Arial" w:cs="Arial" w:eastAsia="Arial" w:hAnsi="Arial"/>
          <w:sz w:val="12"/>
          <w:szCs w:val="12"/>
          <w:color w:val="auto"/>
        </w:rPr>
        <w:t>We compete in an industry characterized by rapidly advancing technologies, intense competition and a complex intellectual property landscape. We face substantial competition from many different sources, including large and specialty pharmaceutical and biotechnology companies, academic research institutions and governmental agencies and public and private research institutions.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Below is a description of competition surrounding each of our technologies.</w:t>
      </w:r>
    </w:p>
    <w:p>
      <w:pPr>
        <w:spacing w:after="0" w:line="170" w:lineRule="exact"/>
        <w:rPr>
          <w:sz w:val="20"/>
          <w:szCs w:val="20"/>
          <w:color w:val="auto"/>
        </w:rPr>
      </w:pPr>
    </w:p>
    <w:p>
      <w:pPr>
        <w:ind w:right="100" w:firstLine="556"/>
        <w:spacing w:after="0" w:line="383" w:lineRule="auto"/>
        <w:rPr>
          <w:sz w:val="20"/>
          <w:szCs w:val="20"/>
          <w:color w:val="auto"/>
        </w:rPr>
      </w:pPr>
      <w:r>
        <w:rPr>
          <w:rFonts w:ascii="Arial" w:cs="Arial" w:eastAsia="Arial" w:hAnsi="Arial"/>
          <w:sz w:val="11"/>
          <w:szCs w:val="11"/>
          <w:i w:val="1"/>
          <w:iCs w:val="1"/>
          <w:color w:val="auto"/>
        </w:rPr>
        <w:t>mRNA Therapies</w:t>
      </w:r>
      <w:r>
        <w:rPr>
          <w:rFonts w:ascii="Arial" w:cs="Arial" w:eastAsia="Arial" w:hAnsi="Arial"/>
          <w:sz w:val="11"/>
          <w:szCs w:val="11"/>
          <w:color w:val="auto"/>
        </w:rPr>
        <w:t>. mRNA therapies are a new medical frontier, and we expect competition in this space to be robust across diverse therapeutic areas. We compete with a number of companies focused</w:t>
      </w:r>
      <w:r>
        <w:rPr>
          <w:rFonts w:ascii="Arial" w:cs="Arial" w:eastAsia="Arial" w:hAnsi="Arial"/>
          <w:sz w:val="11"/>
          <w:szCs w:val="11"/>
          <w:i w:val="1"/>
          <w:iCs w:val="1"/>
          <w:color w:val="auto"/>
        </w:rPr>
        <w:t xml:space="preserve"> </w:t>
      </w:r>
      <w:r>
        <w:rPr>
          <w:rFonts w:ascii="Arial" w:cs="Arial" w:eastAsia="Arial" w:hAnsi="Arial"/>
          <w:sz w:val="11"/>
          <w:szCs w:val="11"/>
          <w:color w:val="auto"/>
        </w:rPr>
        <w:t>on developing mRNA technologies for a wide range of applications, including Moderna, CureVac, eTheRNA immunotherapies, Translate Bio, Arcturus Therapeutics, ethris, Genevant and GlaxoSmithKline.</w:t>
      </w:r>
    </w:p>
    <w:p>
      <w:pPr>
        <w:spacing w:after="0" w:line="76" w:lineRule="exact"/>
        <w:rPr>
          <w:sz w:val="20"/>
          <w:szCs w:val="20"/>
          <w:color w:val="auto"/>
        </w:rPr>
      </w:pPr>
    </w:p>
    <w:p>
      <w:pPr>
        <w:ind w:right="340" w:firstLine="556"/>
        <w:spacing w:after="0" w:line="287" w:lineRule="auto"/>
        <w:rPr>
          <w:sz w:val="20"/>
          <w:szCs w:val="20"/>
          <w:color w:val="auto"/>
        </w:rPr>
      </w:pPr>
      <w:r>
        <w:rPr>
          <w:rFonts w:ascii="Arial" w:cs="Arial" w:eastAsia="Arial" w:hAnsi="Arial"/>
          <w:sz w:val="13"/>
          <w:szCs w:val="13"/>
          <w:i w:val="1"/>
          <w:iCs w:val="1"/>
          <w:color w:val="auto"/>
        </w:rPr>
        <w:t xml:space="preserve">Oncology. </w:t>
      </w:r>
      <w:r>
        <w:rPr>
          <w:rFonts w:ascii="Arial" w:cs="Arial" w:eastAsia="Arial" w:hAnsi="Arial"/>
          <w:sz w:val="13"/>
          <w:szCs w:val="13"/>
          <w:color w:val="auto"/>
        </w:rPr>
        <w:t>The oncology therapeutics landscape in general is highly competitive and includes large and specialty pharmaceutical and biotechnology companies, academic research institutions and</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agencies and public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191" w:name="page192"/>
    <w:bookmarkEnd w:id="191"/>
    <w:p>
      <w:pPr>
        <w:ind w:right="160"/>
        <w:spacing w:after="0" w:line="267" w:lineRule="auto"/>
        <w:rPr>
          <w:sz w:val="20"/>
          <w:szCs w:val="20"/>
          <w:color w:val="auto"/>
        </w:rPr>
      </w:pPr>
      <w:r>
        <w:rPr>
          <w:rFonts w:ascii="Arial" w:cs="Arial" w:eastAsia="Arial" w:hAnsi="Arial"/>
          <w:sz w:val="13"/>
          <w:szCs w:val="13"/>
          <w:color w:val="auto"/>
        </w:rPr>
        <w:t>private research institutions. It includes both competition from marketed therapies as well as potential new therapeutics in development. We may compete with products with different mechanisms of action as well as against established standards of care. Companies such as AstraZeneca, Amgen, Bristol-Myers Squibb, Celgene, Eli Lilly, GlaxoSmithKline, Incyte, Janssen Pharmaceuticals, Merck &amp; Co., Novartis, Pfizer, Roche and Sanofi are developing diversified immuno-oncology programs and have substantial resources. We expect our intratumoral immunotherapy candidates for the treatment of solid tumors to face direct competition from companies such as Moderna and CureVac.</w:t>
      </w:r>
    </w:p>
    <w:p>
      <w:pPr>
        <w:spacing w:after="0" w:line="135"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auto"/>
        </w:rPr>
        <w:t>We also expect our FixVac and iNeST candidates to face competition from smaller specialized oncology companies such as Agenus, Gritstone, Moderna in collaboration with Merck &amp; Co., Aduro Biotech, Advaxis Immunotherapies, Achilles Therapeutics, NousCom, ISA Pharmaceuticals, CureVac in collaboration with Eli Lilly, Genocea Biosciences, Vaccibody, PACT Pharma and ZIOPHARM Oncology in the antigen-based therapy space.</w:t>
      </w:r>
    </w:p>
    <w:p>
      <w:pPr>
        <w:spacing w:after="0" w:line="132" w:lineRule="exact"/>
        <w:rPr>
          <w:sz w:val="20"/>
          <w:szCs w:val="20"/>
          <w:color w:val="auto"/>
        </w:rPr>
      </w:pPr>
    </w:p>
    <w:p>
      <w:pPr>
        <w:ind w:right="400" w:firstLine="556"/>
        <w:spacing w:after="0" w:line="272" w:lineRule="auto"/>
        <w:rPr>
          <w:sz w:val="20"/>
          <w:szCs w:val="20"/>
          <w:color w:val="auto"/>
        </w:rPr>
      </w:pPr>
      <w:r>
        <w:rPr>
          <w:rFonts w:ascii="Arial" w:cs="Arial" w:eastAsia="Arial" w:hAnsi="Arial"/>
          <w:sz w:val="13"/>
          <w:szCs w:val="13"/>
          <w:i w:val="1"/>
          <w:iCs w:val="1"/>
          <w:color w:val="auto"/>
        </w:rPr>
        <w:t>Engineered Cell Therapy Drug Class</w:t>
      </w:r>
      <w:r>
        <w:rPr>
          <w:rFonts w:ascii="Arial" w:cs="Arial" w:eastAsia="Arial" w:hAnsi="Arial"/>
          <w:sz w:val="13"/>
          <w:szCs w:val="13"/>
          <w:color w:val="auto"/>
        </w:rPr>
        <w:t>. We compete with a number of companies focused on adoptive cell therapies, including Novartis Pharmaceuticals, Gilead Sciences, Celgene, Allogene</w:t>
      </w:r>
      <w:r>
        <w:rPr>
          <w:rFonts w:ascii="Arial" w:cs="Arial" w:eastAsia="Arial" w:hAnsi="Arial"/>
          <w:sz w:val="13"/>
          <w:szCs w:val="13"/>
          <w:i w:val="1"/>
          <w:iCs w:val="1"/>
          <w:color w:val="auto"/>
        </w:rPr>
        <w:t xml:space="preserve"> </w:t>
      </w:r>
      <w:r>
        <w:rPr>
          <w:rFonts w:ascii="Arial" w:cs="Arial" w:eastAsia="Arial" w:hAnsi="Arial"/>
          <w:sz w:val="13"/>
          <w:szCs w:val="13"/>
          <w:color w:val="auto"/>
        </w:rPr>
        <w:t>Therapeutics, CRISPR Therapeutics, bluebird bio, Medigene, Adaptimmune Therapeutics, Amgen, Atara Biotherapeutics, Autolus Limited, Cellectis, PACT, Mustang Bio, Iovance Biotherapeutics, TCR2 Therapeutics, Editas Medicine, Celyad, Celularity, Unum Therapeutics, Intrexon, and Bellicum Pharmaceuticals and Precision Biosciences.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 xml:space="preserve">Antibodies Drug Class. </w:t>
      </w:r>
      <w:r>
        <w:rPr>
          <w:rFonts w:ascii="Arial" w:cs="Arial" w:eastAsia="Arial" w:hAnsi="Arial"/>
          <w:sz w:val="12"/>
          <w:szCs w:val="12"/>
          <w:color w:val="auto"/>
        </w:rPr>
        <w:t>We compete with a number of companies with operations focused on checkpoint immunomodulators, including AstraZeneca, Merck, Pfizer, Novartis, Roche and Bristol-Myers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Squibb.</w:t>
      </w:r>
    </w:p>
    <w:p>
      <w:pPr>
        <w:spacing w:after="0" w:line="162" w:lineRule="exact"/>
        <w:rPr>
          <w:sz w:val="20"/>
          <w:szCs w:val="20"/>
          <w:color w:val="auto"/>
        </w:rPr>
      </w:pPr>
    </w:p>
    <w:p>
      <w:pPr>
        <w:ind w:right="380" w:firstLine="556"/>
        <w:spacing w:after="0" w:line="287" w:lineRule="auto"/>
        <w:rPr>
          <w:sz w:val="20"/>
          <w:szCs w:val="20"/>
          <w:color w:val="auto"/>
        </w:rPr>
      </w:pPr>
      <w:r>
        <w:rPr>
          <w:rFonts w:ascii="Arial" w:cs="Arial" w:eastAsia="Arial" w:hAnsi="Arial"/>
          <w:sz w:val="13"/>
          <w:szCs w:val="13"/>
          <w:i w:val="1"/>
          <w:iCs w:val="1"/>
          <w:color w:val="auto"/>
        </w:rPr>
        <w:t xml:space="preserve">Small Molecule Immunomodulator Drug Class. </w:t>
      </w:r>
      <w:r>
        <w:rPr>
          <w:rFonts w:ascii="Arial" w:cs="Arial" w:eastAsia="Arial" w:hAnsi="Arial"/>
          <w:sz w:val="13"/>
          <w:szCs w:val="13"/>
          <w:color w:val="auto"/>
        </w:rPr>
        <w:t>We are aware of a number of other companies developing TLR agonists, including Checkmate Pharmaceuticals, Dynavax Technologies, Exicure,</w:t>
      </w:r>
      <w:r>
        <w:rPr>
          <w:rFonts w:ascii="Arial" w:cs="Arial" w:eastAsia="Arial" w:hAnsi="Arial"/>
          <w:sz w:val="13"/>
          <w:szCs w:val="13"/>
          <w:i w:val="1"/>
          <w:iCs w:val="1"/>
          <w:color w:val="auto"/>
        </w:rPr>
        <w:t xml:space="preserve"> </w:t>
      </w:r>
      <w:r>
        <w:rPr>
          <w:rFonts w:ascii="Arial" w:cs="Arial" w:eastAsia="Arial" w:hAnsi="Arial"/>
          <w:sz w:val="13"/>
          <w:szCs w:val="13"/>
          <w:color w:val="auto"/>
        </w:rPr>
        <w:t>Gilead, GlaxoSmithKline, Hoffmann-La Roche, Mologen and Nektar Therapeutics.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Infectious Diseases</w:t>
      </w:r>
      <w:r>
        <w:rPr>
          <w:rFonts w:ascii="Arial" w:cs="Arial" w:eastAsia="Arial" w:hAnsi="Arial"/>
          <w:sz w:val="12"/>
          <w:szCs w:val="12"/>
          <w:color w:val="auto"/>
        </w:rPr>
        <w:t>. The infectious disease space includes general competition from well-established pharmaceutical companies such as AbbVie, Bayer, Gilead, Janssen Pharmaceuticals, Merck &amp; Co.</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and Novartis. In addition, Seqirus UK, Sanofi Pasteur, GlaxoSmithKline, Biomedical Corp. of Quebec and AstraZeneca produce influenza vaccines.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Rare Diseases</w:t>
      </w:r>
      <w:r>
        <w:rPr>
          <w:rFonts w:ascii="Arial" w:cs="Arial" w:eastAsia="Arial" w:hAnsi="Arial"/>
          <w:sz w:val="12"/>
          <w:szCs w:val="12"/>
          <w:color w:val="auto"/>
        </w:rPr>
        <w:t>. We compete with a number of companies focused on rare diseases, including Roche, Alexion Pharmaceuticals, Novartis, Bristol-Myers Squibb, Sanofi Novo Nordisk and Pfizer.</w:t>
      </w:r>
    </w:p>
    <w:p>
      <w:pPr>
        <w:spacing w:after="0" w:line="182" w:lineRule="exact"/>
        <w:rPr>
          <w:sz w:val="20"/>
          <w:szCs w:val="20"/>
          <w:color w:val="auto"/>
        </w:rPr>
      </w:pPr>
    </w:p>
    <w:p>
      <w:pPr>
        <w:ind w:firstLine="556"/>
        <w:spacing w:after="0" w:line="287" w:lineRule="auto"/>
        <w:rPr>
          <w:sz w:val="20"/>
          <w:szCs w:val="20"/>
          <w:color w:val="auto"/>
        </w:rPr>
      </w:pPr>
      <w:r>
        <w:rPr>
          <w:rFonts w:ascii="Arial" w:cs="Arial" w:eastAsia="Arial" w:hAnsi="Arial"/>
          <w:sz w:val="12"/>
          <w:szCs w:val="12"/>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as Genmab, Pfizer and Sanofi, may also be competitors within the same market or other markets. Accordingly, our competitors may be more successful than us in developing and potentially commercializing technologies and achieving widespread market acceptance. In addition, our competitors may design technologies that are more efficacious, safer or more effectively marketed than ours or have fewer side effects, or may obtain regulatory approvals more quickly than we are able, which could eliminate or reduce our commercial potential.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25" w:lineRule="exact"/>
        <w:rPr>
          <w:sz w:val="20"/>
          <w:szCs w:val="20"/>
          <w:color w:val="auto"/>
        </w:rPr>
      </w:pPr>
    </w:p>
    <w:p>
      <w:pPr>
        <w:ind w:right="140" w:firstLine="556"/>
        <w:spacing w:after="0" w:line="264" w:lineRule="auto"/>
        <w:rPr>
          <w:sz w:val="20"/>
          <w:szCs w:val="20"/>
          <w:color w:val="auto"/>
        </w:rPr>
      </w:pPr>
      <w:r>
        <w:rPr>
          <w:rFonts w:ascii="Arial" w:cs="Arial" w:eastAsia="Arial" w:hAnsi="Arial"/>
          <w:sz w:val="13"/>
          <w:szCs w:val="13"/>
          <w:color w:val="auto"/>
        </w:rPr>
        <w:t>We anticipate that the key competitive factors affecting our technologies will be efficacy, safety, cost and convenience, as well as our ability to build a fully-integrated biotechnology company. The availability of reimbursement from government and other third-party payors will also significantly affect the pricing and competitiveness of our products. The timing of market introduction of our products and competitive products will also affect competition among products. We expect the relative speed with which we can develop our products, complete the clinical trials and approval processes, and supply commercial quantities of the products to the market to be important competitive factors.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XVIII.</w:t>
        <w:tab/>
        <w:t>Legal Proceedings</w:t>
      </w:r>
    </w:p>
    <w:p>
      <w:pPr>
        <w:spacing w:after="0" w:line="94"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From time to time, we may be involved in legal proceedings in the ordinary course of business. We are currently not a party to any material legal or administrative proceedings. In addition, we are not aware of any material legal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192" w:name="page193"/>
    <w:bookmarkEnd w:id="192"/>
    <w:p>
      <w:pPr>
        <w:spacing w:after="0" w:line="287" w:lineRule="auto"/>
        <w:rPr>
          <w:sz w:val="20"/>
          <w:szCs w:val="20"/>
          <w:color w:val="auto"/>
        </w:rPr>
      </w:pPr>
      <w:r>
        <w:rPr>
          <w:rFonts w:ascii="Arial" w:cs="Arial" w:eastAsia="Arial" w:hAnsi="Arial"/>
          <w:sz w:val="13"/>
          <w:szCs w:val="13"/>
          <w:color w:val="auto"/>
        </w:rPr>
        <w:t>administrative proceedings contemplated to be brought against us. Regardless of outcome, litigation can have an adverse impact on us because of defense and settlement costs, diversion of management resources and other factors.</w:t>
      </w:r>
    </w:p>
    <w:p>
      <w:pPr>
        <w:spacing w:after="0" w:line="198" w:lineRule="exact"/>
        <w:rPr>
          <w:sz w:val="20"/>
          <w:szCs w:val="20"/>
          <w:color w:val="auto"/>
        </w:rPr>
      </w:pPr>
    </w:p>
    <w:p>
      <w:pPr>
        <w:ind w:left="1100" w:hanging="550"/>
        <w:spacing w:after="0"/>
        <w:tabs>
          <w:tab w:leader="none" w:pos="1100" w:val="left"/>
        </w:tabs>
        <w:numPr>
          <w:ilvl w:val="0"/>
          <w:numId w:val="225"/>
        </w:numPr>
        <w:rPr>
          <w:rFonts w:ascii="Arial" w:cs="Arial" w:eastAsia="Arial" w:hAnsi="Arial"/>
          <w:sz w:val="13"/>
          <w:szCs w:val="13"/>
          <w:b w:val="1"/>
          <w:bCs w:val="1"/>
          <w:color w:val="auto"/>
        </w:rPr>
      </w:pPr>
      <w:r>
        <w:rPr>
          <w:rFonts w:ascii="Arial" w:cs="Arial" w:eastAsia="Arial" w:hAnsi="Arial"/>
          <w:sz w:val="13"/>
          <w:szCs w:val="13"/>
          <w:b w:val="1"/>
          <w:bCs w:val="1"/>
          <w:color w:val="auto"/>
        </w:rPr>
        <w:t>Organizational Structure</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a list of our subsidiaries that are included in the consolidated financial statements as of December 31, 2019 please refer to Item 18.</w:t>
      </w:r>
    </w:p>
    <w:p>
      <w:pPr>
        <w:spacing w:after="0" w:line="246" w:lineRule="exact"/>
        <w:rPr>
          <w:sz w:val="20"/>
          <w:szCs w:val="20"/>
          <w:color w:val="auto"/>
        </w:rPr>
      </w:pPr>
    </w:p>
    <w:p>
      <w:pPr>
        <w:ind w:left="1100" w:hanging="550"/>
        <w:spacing w:after="0"/>
        <w:tabs>
          <w:tab w:leader="none" w:pos="1100" w:val="left"/>
        </w:tabs>
        <w:numPr>
          <w:ilvl w:val="0"/>
          <w:numId w:val="226"/>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Plants and Equipment</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headquarters are located in Mainz, Germany, where we occupy:</w:t>
      </w:r>
    </w:p>
    <w:p>
      <w:pPr>
        <w:spacing w:after="0" w:line="80" w:lineRule="exact"/>
        <w:rPr>
          <w:sz w:val="20"/>
          <w:szCs w:val="20"/>
          <w:color w:val="auto"/>
        </w:rPr>
      </w:pPr>
    </w:p>
    <w:p>
      <w:pPr>
        <w:ind w:left="1020" w:right="60" w:hanging="340"/>
        <w:spacing w:after="0" w:line="331" w:lineRule="auto"/>
        <w:tabs>
          <w:tab w:leader="none" w:pos="102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Approximately 9,416 square meters (equivalent to approximately 101,353 square feet) of laboratory, GMP manufacturing, storage and office space under a lease for the entire building located at An der Goldgrube 12, 55131 Mainz under a lease that has an initial term that expires on October 31, 2027, but which we have the option to extend until October, 2042.</w:t>
      </w:r>
    </w:p>
    <w:p>
      <w:pPr>
        <w:spacing w:after="0" w:line="9" w:lineRule="exact"/>
        <w:rPr>
          <w:rFonts w:ascii="Arial" w:cs="Arial" w:eastAsia="Arial" w:hAnsi="Arial"/>
          <w:sz w:val="12"/>
          <w:szCs w:val="12"/>
          <w:color w:val="auto"/>
        </w:rPr>
      </w:pPr>
    </w:p>
    <w:p>
      <w:pPr>
        <w:ind w:left="1020" w:right="1000" w:hanging="340"/>
        <w:spacing w:after="0" w:line="287" w:lineRule="auto"/>
        <w:tabs>
          <w:tab w:leader="none" w:pos="10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Approximately 1,069 square meters (equivalent to approximately 11,507 square feet) of office and GMP manufacturing space under a lease for part of the building located at Kupferbergterrasse 15, 17019, 44116 Mainz under a lease that expires in March 31, 2022.</w:t>
      </w:r>
    </w:p>
    <w:p>
      <w:pPr>
        <w:spacing w:after="0" w:line="32" w:lineRule="exact"/>
        <w:rPr>
          <w:rFonts w:ascii="Arial" w:cs="Arial" w:eastAsia="Arial" w:hAnsi="Arial"/>
          <w:sz w:val="13"/>
          <w:szCs w:val="13"/>
          <w:color w:val="auto"/>
        </w:rPr>
      </w:pPr>
    </w:p>
    <w:p>
      <w:pPr>
        <w:ind w:left="1020" w:hanging="340"/>
        <w:spacing w:after="0" w:line="304" w:lineRule="auto"/>
        <w:tabs>
          <w:tab w:leader="none" w:pos="102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Approximately 4,882 square meters (equivalent to approximately 52,549 square feet) of flexible use space under a lease for the entire building at Adam-Opel-Strasse 10, 55129 Mainz-Hechtsheim that has an initial term that expires on December 31, 2024, but which we have the option to extend until December 31, 2027. If the lease has not been terminated prior to December 31, 2024, and the option has not been exercised prior to this date, the lease will convert to an unlimited period terminable by either party on 12 months’ prior written notice.</w:t>
      </w:r>
    </w:p>
    <w:p>
      <w:pPr>
        <w:spacing w:after="0" w:line="25" w:lineRule="exact"/>
        <w:rPr>
          <w:rFonts w:ascii="Arial" w:cs="Arial" w:eastAsia="Arial" w:hAnsi="Arial"/>
          <w:sz w:val="12"/>
          <w:szCs w:val="12"/>
          <w:color w:val="auto"/>
        </w:rPr>
      </w:pPr>
    </w:p>
    <w:p>
      <w:pPr>
        <w:ind w:left="1020" w:right="280" w:hanging="340"/>
        <w:spacing w:after="0" w:line="287" w:lineRule="auto"/>
        <w:tabs>
          <w:tab w:leader="none" w:pos="10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Approximately 82,881 square meters (equivalent to approximately 892,124 square feet) of office space and a further area of land associated with this office space of approximately 12,600 square meters (equivalent to approximately 135,625 square feet), which is owned by BioNTech.</w:t>
      </w:r>
    </w:p>
    <w:p>
      <w:pPr>
        <w:spacing w:after="0" w:line="32" w:lineRule="exact"/>
        <w:rPr>
          <w:rFonts w:ascii="Arial" w:cs="Arial" w:eastAsia="Arial" w:hAnsi="Arial"/>
          <w:sz w:val="13"/>
          <w:szCs w:val="13"/>
          <w:color w:val="auto"/>
        </w:rPr>
      </w:pPr>
    </w:p>
    <w:p>
      <w:pPr>
        <w:ind w:left="1020" w:right="540" w:hanging="340"/>
        <w:spacing w:after="0" w:line="331" w:lineRule="auto"/>
        <w:tabs>
          <w:tab w:leader="none" w:pos="102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Approximately 4,025 square meters (equivalent to 43,324 square feet) of office space under a lease for the entire building at Hechtsheimer Strasse 2,55131 Mainz-Hechtsheim, which commenced on July 1, 2019. The initial term of the lease expires on June 30, 2029, which we have the option to extend until June 30, 2034 and again until June 30, 2039.</w:t>
      </w:r>
    </w:p>
    <w:p>
      <w:pPr>
        <w:spacing w:after="0" w:line="9" w:lineRule="exact"/>
        <w:rPr>
          <w:rFonts w:ascii="Arial" w:cs="Arial" w:eastAsia="Arial" w:hAnsi="Arial"/>
          <w:sz w:val="12"/>
          <w:szCs w:val="12"/>
          <w:color w:val="auto"/>
        </w:rPr>
      </w:pPr>
    </w:p>
    <w:p>
      <w:pPr>
        <w:ind w:left="1020" w:hanging="340"/>
        <w:spacing w:after="0"/>
        <w:tabs>
          <w:tab w:leader="none" w:pos="10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We also own a plot of land of approximately 8,753 square meters (equivalent to 94,216 square feet) at Hechtsheimer Strasse, 55131 Mainz.</w:t>
      </w:r>
    </w:p>
    <w:p>
      <w:pPr>
        <w:spacing w:after="0" w:line="170" w:lineRule="exact"/>
        <w:rPr>
          <w:sz w:val="20"/>
          <w:szCs w:val="20"/>
          <w:color w:val="auto"/>
        </w:rPr>
      </w:pPr>
    </w:p>
    <w:p>
      <w:pPr>
        <w:ind w:firstLine="556"/>
        <w:spacing w:after="0" w:line="287" w:lineRule="auto"/>
        <w:rPr>
          <w:sz w:val="20"/>
          <w:szCs w:val="20"/>
          <w:color w:val="auto"/>
        </w:rPr>
      </w:pPr>
      <w:r>
        <w:rPr>
          <w:rFonts w:ascii="Arial" w:cs="Arial" w:eastAsia="Arial" w:hAnsi="Arial"/>
          <w:sz w:val="12"/>
          <w:szCs w:val="12"/>
          <w:color w:val="auto"/>
        </w:rPr>
        <w:t>In addition, our BioNTech IMFS facility in Idar-Oberstein, Germany, occupies approximately 2,800 square meters (equivalent to approximately 30,140 square feet). This includes 650 square meters (approximately 7,000 square feet) of clean room area, and 700 square meters (approximately 7,500 square feet) of development and quality control laboratories. We occupy approximately 575 square meters (equivalent to approximately 6,200 square feet) of this space, which is used primarily for storage, under a lease that has an initial expiry date of October 1, 2021, but which we have the right to extend by an additional five years. We occupy approximately 100 square meters (equivalent to approximately 1,075 square feet) of this space, which is used primarily for storage, under a lease that can be terminated by either party on six months’ written notice (but not earlier than May 1, 2020). We occupy approximately 80 square meters (equivalent to approximately 860 square feet) of this space, which is used as office space, under a lease that can be terminated by either party on three months’ written notice. The rest of this facility, including the GMP-certified manufacturing suites, is owned by BioNTech. We also recently purchased a building of approximately 802 square meters (equivalent to 8,632 square feet) near our IMFS facility in Idar-Oberstein, which will be used as office space.</w:t>
      </w:r>
    </w:p>
    <w:p>
      <w:pPr>
        <w:spacing w:after="0" w:line="125"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At our JPT facility in Berlin, Germany, we occupy approximately 1,794 square meters (equivalent to approximately 19,299 square feet) of office, laboratory and other space. Approximately 250 square meters of that space (equivalent to approximately 2,690 square feet) is occupied under a lease which has an expiry date of June 20, 2020 and will continue for further six-month periods, unless terminated by either party on three months’ prior written notice. Approximately 1,523 square meters (equivalent to approximately 16,199 square feet) are occupied under a lease for an indeterminate period of time but which may be terminated by either party on 12 months’ prior written notice. The remaining approximately 20 square meters (equivalent to approximately 215 square feet) of storage space is occupied under a lease on a monthly basis and can be terminated by either party giving two weeks’ written notice.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193" w:name="page194"/>
    <w:bookmarkEnd w:id="193"/>
    <w:p>
      <w:pPr>
        <w:ind w:firstLine="556"/>
        <w:spacing w:after="0" w:line="287" w:lineRule="auto"/>
        <w:rPr>
          <w:sz w:val="20"/>
          <w:szCs w:val="20"/>
          <w:color w:val="auto"/>
        </w:rPr>
      </w:pPr>
      <w:r>
        <w:rPr>
          <w:rFonts w:ascii="Arial" w:cs="Arial" w:eastAsia="Arial" w:hAnsi="Arial"/>
          <w:sz w:val="13"/>
          <w:szCs w:val="13"/>
          <w:color w:val="auto"/>
        </w:rPr>
        <w:t>In Martinsried, Germany, outside Munich, Germany, we occupy approximately 1,681 square meters (equivalent to approximately 18,100 square feet) under a lease that has an initial term that expires on December 31, 2020, but which we have the option to extend until December 31, 2022.</w:t>
      </w:r>
    </w:p>
    <w:p>
      <w:pPr>
        <w:spacing w:after="0" w:line="122"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auto"/>
        </w:rPr>
        <w:t>In Neuried, Germany, outside Munich, Germany, we occupy approximately 725 square meters (equivalent to approximately 7,800 square feet) of laboratory and office space under a lease that expires on December 31, 2021, but which we have the option to extend until December 31, 2026. If the lease is not terminated before December 31, 2021 (where the option is not exercised) or December 31, 2026 (where the option is exercised) the lease will renew automatically for an additional one-year period until terminated by either party on 12 months’ prior written notice.</w:t>
      </w:r>
    </w:p>
    <w:p>
      <w:pPr>
        <w:spacing w:after="0" w:line="116" w:lineRule="exact"/>
        <w:rPr>
          <w:sz w:val="20"/>
          <w:szCs w:val="20"/>
          <w:color w:val="auto"/>
        </w:rPr>
      </w:pPr>
    </w:p>
    <w:p>
      <w:pPr>
        <w:jc w:val="both"/>
        <w:ind w:right="120" w:firstLine="556"/>
        <w:spacing w:after="0" w:line="304" w:lineRule="auto"/>
        <w:rPr>
          <w:sz w:val="20"/>
          <w:szCs w:val="20"/>
          <w:color w:val="auto"/>
        </w:rPr>
      </w:pPr>
      <w:r>
        <w:rPr>
          <w:rFonts w:ascii="Arial" w:cs="Arial" w:eastAsia="Arial" w:hAnsi="Arial"/>
          <w:sz w:val="12"/>
          <w:szCs w:val="12"/>
          <w:color w:val="auto"/>
        </w:rPr>
        <w:t>In Halle (Saale), Germany, we have since the beginning of 2020 occupied approximately 415 square meters (equivalent to approximately 4,467 square feet) of office and other space under a lease that expires on February 28, 2022. We further occupy 90 square meters (equivalent to approximately 968 square feet) of laboratory space under a lease that also expires on February 28, 2022. Each lease will renew automatically for an additional one-year period until terminated by either party on six months’ prior written notice to expire at the end of the lease period (or any extension thereof).</w:t>
      </w:r>
    </w:p>
    <w:p>
      <w:pPr>
        <w:spacing w:after="0" w:line="116" w:lineRule="exact"/>
        <w:rPr>
          <w:sz w:val="20"/>
          <w:szCs w:val="20"/>
          <w:color w:val="auto"/>
        </w:rPr>
      </w:pPr>
    </w:p>
    <w:p>
      <w:pPr>
        <w:jc w:val="both"/>
        <w:ind w:right="120" w:firstLine="556"/>
        <w:spacing w:after="0" w:line="287" w:lineRule="auto"/>
        <w:rPr>
          <w:sz w:val="20"/>
          <w:szCs w:val="20"/>
          <w:color w:val="auto"/>
        </w:rPr>
      </w:pPr>
      <w:r>
        <w:rPr>
          <w:rFonts w:ascii="Arial" w:cs="Arial" w:eastAsia="Arial" w:hAnsi="Arial"/>
          <w:sz w:val="13"/>
          <w:szCs w:val="13"/>
          <w:color w:val="auto"/>
        </w:rPr>
        <w:t>In San Diego, we occupy approximately 14,971 square feet of laboratory and office space under a lease to part of a building located at 11535 Sorrento Valley Road, San Diego, California, that expires on February 28, 2022.</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intend to expand our capacity as follows:</w:t>
      </w:r>
    </w:p>
    <w:p>
      <w:pPr>
        <w:spacing w:after="0" w:line="80" w:lineRule="exact"/>
        <w:rPr>
          <w:sz w:val="20"/>
          <w:szCs w:val="20"/>
          <w:color w:val="auto"/>
        </w:rPr>
      </w:pPr>
    </w:p>
    <w:p>
      <w:pPr>
        <w:ind w:left="1020" w:right="120" w:hanging="340"/>
        <w:spacing w:after="0" w:line="304" w:lineRule="auto"/>
        <w:tabs>
          <w:tab w:leader="none" w:pos="102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In the third quarter of 2020, we anticipate completing the construction of two new buildings at our BioNTech IMFS facility in Idar-Oberstein, Germany, which we will own, and as a result of which we will occupy an additional 780 square meters (equivalent to approximately 8,395 square feet) of clean room space and 550 square meters (equivalent to approximately 5,900 square feet) of laboratory space, expanding our capacity for GMP cell therapy manufacturing and 650 square meters (equivalent to approximately 7,000 square feet) of office space.</w:t>
      </w:r>
    </w:p>
    <w:p>
      <w:pPr>
        <w:spacing w:after="0" w:line="25" w:lineRule="exact"/>
        <w:rPr>
          <w:rFonts w:ascii="Arial" w:cs="Arial" w:eastAsia="Arial" w:hAnsi="Arial"/>
          <w:sz w:val="12"/>
          <w:szCs w:val="12"/>
          <w:color w:val="auto"/>
        </w:rPr>
      </w:pPr>
    </w:p>
    <w:p>
      <w:pPr>
        <w:ind w:left="1020" w:right="200" w:hanging="340"/>
        <w:spacing w:after="0" w:line="331" w:lineRule="auto"/>
        <w:tabs>
          <w:tab w:leader="none" w:pos="102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We anticipate completing the construction of a new complex of building for our JPT business in Berlin, Germany, possibly as early as 2023. Upon completion of the construction project we will occupy up to approximately 5,000 additional square meters (equivalent to approximately 53,820 square feet) of useable floor space split between laboratories, offices and storage.</w:t>
      </w:r>
    </w:p>
    <w:p>
      <w:pPr>
        <w:spacing w:after="0" w:line="99" w:lineRule="exact"/>
        <w:rPr>
          <w:sz w:val="20"/>
          <w:szCs w:val="20"/>
          <w:color w:val="auto"/>
        </w:rPr>
      </w:pPr>
    </w:p>
    <w:p>
      <w:pPr>
        <w:ind w:right="320" w:firstLine="556"/>
        <w:spacing w:after="0" w:line="272" w:lineRule="auto"/>
        <w:rPr>
          <w:sz w:val="20"/>
          <w:szCs w:val="20"/>
          <w:color w:val="auto"/>
        </w:rPr>
      </w:pPr>
      <w:r>
        <w:rPr>
          <w:rFonts w:ascii="Arial" w:cs="Arial" w:eastAsia="Arial" w:hAnsi="Arial"/>
          <w:sz w:val="13"/>
          <w:szCs w:val="13"/>
          <w:color w:val="auto"/>
        </w:rPr>
        <w:t>We are committed to the continued development of world-class laboratory as well as manufacturing operations to support our research and development as well as clinical manufacturing needs, to prepare for commercial scale manufacturing of our product candidates, and to realize external commercial opportunities. We expect to commit approximately an additional €250 million through 2023. Our planned laboratory and manufacturing investments include:</w:t>
      </w:r>
    </w:p>
    <w:p>
      <w:pPr>
        <w:spacing w:after="0" w:line="42" w:lineRule="exact"/>
        <w:rPr>
          <w:sz w:val="20"/>
          <w:szCs w:val="20"/>
          <w:color w:val="auto"/>
        </w:rPr>
      </w:pPr>
    </w:p>
    <w:p>
      <w:pPr>
        <w:ind w:left="1020" w:hanging="340"/>
        <w:spacing w:after="0"/>
        <w:tabs>
          <w:tab w:leader="none" w:pos="10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two new buildings at our BioNTech IMFS facility, including three floors each of clean rooms and additional development and quality control laboratories;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our planned commercial scale facility in Mainz, which will occupy more than 100,000 square feet and will house cleanrooms, laboratories and offices;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an expansion of our JPT facility, which is designed to more than double our capacity;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an expansion of our laboratory space for research and development on our Mainz campus.</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4A. Unresolved Staff Comments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There are no written comments from the staff of the U.S. Securities and Exchange Commission which remain unresolved before the end of the fiscal year to which the Annual Report relates.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94" w:name="page195"/>
    <w:bookmarkEnd w:id="194"/>
    <w:p>
      <w:pPr>
        <w:spacing w:after="0"/>
        <w:rPr>
          <w:sz w:val="20"/>
          <w:szCs w:val="20"/>
          <w:color w:val="auto"/>
        </w:rPr>
      </w:pPr>
      <w:r>
        <w:rPr>
          <w:rFonts w:ascii="Arial" w:cs="Arial" w:eastAsia="Arial" w:hAnsi="Arial"/>
          <w:sz w:val="13"/>
          <w:szCs w:val="13"/>
          <w:b w:val="1"/>
          <w:bCs w:val="1"/>
          <w:color w:val="auto"/>
        </w:rPr>
        <w:t>Item 5. Operating and Financial Review and Prospects</w:t>
      </w:r>
    </w:p>
    <w:p>
      <w:pPr>
        <w:spacing w:after="0" w:line="94" w:lineRule="exact"/>
        <w:rPr>
          <w:sz w:val="20"/>
          <w:szCs w:val="20"/>
          <w:color w:val="auto"/>
        </w:rPr>
      </w:pPr>
    </w:p>
    <w:p>
      <w:pPr>
        <w:ind w:right="40" w:firstLine="556"/>
        <w:spacing w:after="0" w:line="291" w:lineRule="auto"/>
        <w:rPr>
          <w:sz w:val="20"/>
          <w:szCs w:val="20"/>
          <w:color w:val="auto"/>
        </w:rPr>
      </w:pPr>
      <w:r>
        <w:rPr>
          <w:rFonts w:ascii="Arial" w:cs="Arial" w:eastAsia="Arial" w:hAnsi="Arial"/>
          <w:sz w:val="12"/>
          <w:szCs w:val="12"/>
          <w:i w:val="1"/>
          <w:iCs w:val="1"/>
          <w:color w:val="auto"/>
        </w:rPr>
        <w:t>The following “Operating and Financial Review and Prospects” should be read together with the information in “Selected Consolidated Financial Data” and our financial statements and related notes included elsewhere in this Annual Report. The following discussion is based on our financial information prepared in accordance with the International Financial Reporting Standards, or IFRS, as issued by the International Accounting Standards Board, or IASB,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“Risk Factors” and elsewhere in this Annual Report. Please also see “Cautionary Statement Regarding Forward-Looking Statements.”</w:t>
      </w:r>
    </w:p>
    <w:p>
      <w:pPr>
        <w:spacing w:after="0" w:line="199" w:lineRule="exact"/>
        <w:rPr>
          <w:sz w:val="20"/>
          <w:szCs w:val="20"/>
          <w:color w:val="auto"/>
        </w:rPr>
      </w:pPr>
    </w:p>
    <w:p>
      <w:pPr>
        <w:jc w:val="center"/>
        <w:ind w:left="560" w:right="8940" w:hanging="10"/>
        <w:spacing w:after="0" w:line="420" w:lineRule="auto"/>
        <w:tabs>
          <w:tab w:leader="none" w:pos="953" w:val="left"/>
        </w:tabs>
        <w:numPr>
          <w:ilvl w:val="0"/>
          <w:numId w:val="23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Operating Results </w:t>
      </w:r>
      <w:r>
        <w:rPr>
          <w:rFonts w:ascii="Arial" w:cs="Arial" w:eastAsia="Arial" w:hAnsi="Arial"/>
          <w:sz w:val="12"/>
          <w:szCs w:val="12"/>
          <w:b w:val="1"/>
          <w:bCs w:val="1"/>
          <w:color w:val="231F20"/>
        </w:rPr>
        <w:t>Financial Operations Overview</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shows our consolidated statements of operations for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13"/>
                <w:szCs w:val="13"/>
                <w:color w:val="auto"/>
              </w:rPr>
            </w:pPr>
          </w:p>
        </w:tc>
      </w:tr>
      <w:tr>
        <w:trPr>
          <w:trHeight w:val="173"/>
        </w:trPr>
        <w:tc>
          <w:tcPr>
            <w:tcW w:w="6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1600" w:type="dxa"/>
            <w:vAlign w:val="bottom"/>
            <w:tcBorders>
              <w:bottom w:val="single" w:sz="8" w:color="70AD47"/>
              <w:right w:val="single" w:sz="8" w:color="70AD47"/>
            </w:tcBorders>
          </w:tcPr>
          <w:p>
            <w:pPr>
              <w:spacing w:after="0"/>
              <w:rPr>
                <w:sz w:val="14"/>
                <w:szCs w:val="14"/>
                <w:color w:val="auto"/>
              </w:rPr>
            </w:pPr>
          </w:p>
        </w:tc>
        <w:tc>
          <w:tcPr>
            <w:tcW w:w="1580" w:type="dxa"/>
            <w:vAlign w:val="bottom"/>
            <w:tcBorders>
              <w:bottom w:val="single" w:sz="8" w:color="70AD47"/>
            </w:tcBorders>
          </w:tcPr>
          <w:p>
            <w:pPr>
              <w:spacing w:after="0"/>
              <w:rPr>
                <w:sz w:val="14"/>
                <w:szCs w:val="14"/>
                <w:color w:val="auto"/>
              </w:rPr>
            </w:pPr>
          </w:p>
        </w:tc>
      </w:tr>
      <w:tr>
        <w:trPr>
          <w:trHeight w:val="33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Revenues from contracts with customers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108,589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€127,575</w:t>
            </w:r>
          </w:p>
        </w:tc>
        <w:tc>
          <w:tcPr>
            <w:tcW w:w="1580" w:type="dxa"/>
            <w:vAlign w:val="bottom"/>
          </w:tcPr>
          <w:p>
            <w:pPr>
              <w:jc w:val="right"/>
              <w:spacing w:after="0"/>
              <w:rPr>
                <w:sz w:val="20"/>
                <w:szCs w:val="20"/>
                <w:color w:val="auto"/>
              </w:rPr>
            </w:pPr>
            <w:r>
              <w:rPr>
                <w:rFonts w:ascii="Arial" w:cs="Arial" w:eastAsia="Arial" w:hAnsi="Arial"/>
                <w:sz w:val="13"/>
                <w:szCs w:val="13"/>
                <w:color w:val="auto"/>
              </w:rPr>
              <w:t>€61,598</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Cost of sales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(17,361)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(13,690)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(9,318)</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Gross profit</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€91,228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€113,885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€52,280</w:t>
            </w:r>
          </w:p>
        </w:tc>
      </w:tr>
      <w:tr>
        <w:trPr>
          <w:trHeight w:val="33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Research and development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(226,466)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(143,040)</w:t>
            </w:r>
          </w:p>
        </w:tc>
        <w:tc>
          <w:tcPr>
            <w:tcW w:w="1580" w:type="dxa"/>
            <w:vAlign w:val="bottom"/>
          </w:tcPr>
          <w:p>
            <w:pPr>
              <w:jc w:val="right"/>
              <w:spacing w:after="0"/>
              <w:rPr>
                <w:sz w:val="20"/>
                <w:szCs w:val="20"/>
                <w:color w:val="auto"/>
              </w:rPr>
            </w:pPr>
            <w:r>
              <w:rPr>
                <w:rFonts w:ascii="Arial" w:cs="Arial" w:eastAsia="Arial" w:hAnsi="Arial"/>
                <w:sz w:val="13"/>
                <w:szCs w:val="13"/>
                <w:color w:val="auto"/>
              </w:rPr>
              <w:t>(85,496)</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Sales and marketing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(2,718)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(3,041)</w:t>
            </w:r>
          </w:p>
        </w:tc>
        <w:tc>
          <w:tcPr>
            <w:tcW w:w="1580" w:type="dxa"/>
            <w:vAlign w:val="bottom"/>
          </w:tcPr>
          <w:p>
            <w:pPr>
              <w:jc w:val="right"/>
              <w:spacing w:after="0"/>
              <w:rPr>
                <w:sz w:val="20"/>
                <w:szCs w:val="20"/>
                <w:color w:val="auto"/>
              </w:rPr>
            </w:pPr>
            <w:r>
              <w:rPr>
                <w:rFonts w:ascii="Arial" w:cs="Arial" w:eastAsia="Arial" w:hAnsi="Arial"/>
                <w:sz w:val="13"/>
                <w:szCs w:val="13"/>
                <w:color w:val="auto"/>
              </w:rPr>
              <w:t>(6,603)</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General and administrative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(45,547)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(26,334)</w:t>
            </w:r>
          </w:p>
        </w:tc>
        <w:tc>
          <w:tcPr>
            <w:tcW w:w="1580" w:type="dxa"/>
            <w:vAlign w:val="bottom"/>
          </w:tcPr>
          <w:p>
            <w:pPr>
              <w:jc w:val="right"/>
              <w:spacing w:after="0"/>
              <w:rPr>
                <w:sz w:val="20"/>
                <w:szCs w:val="20"/>
                <w:color w:val="auto"/>
              </w:rPr>
            </w:pPr>
            <w:r>
              <w:rPr>
                <w:rFonts w:ascii="Arial" w:cs="Arial" w:eastAsia="Arial" w:hAnsi="Arial"/>
                <w:sz w:val="13"/>
                <w:szCs w:val="13"/>
                <w:color w:val="auto"/>
              </w:rPr>
              <w:t>(23,520)</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Other operating income</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2,724</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5,396</w:t>
            </w:r>
          </w:p>
        </w:tc>
        <w:tc>
          <w:tcPr>
            <w:tcW w:w="1580" w:type="dxa"/>
            <w:vAlign w:val="bottom"/>
          </w:tcPr>
          <w:p>
            <w:pPr>
              <w:jc w:val="right"/>
              <w:spacing w:after="0"/>
              <w:rPr>
                <w:sz w:val="20"/>
                <w:szCs w:val="20"/>
                <w:color w:val="auto"/>
              </w:rPr>
            </w:pPr>
            <w:r>
              <w:rPr>
                <w:rFonts w:ascii="Arial" w:cs="Arial" w:eastAsia="Arial" w:hAnsi="Arial"/>
                <w:sz w:val="13"/>
                <w:szCs w:val="13"/>
                <w:color w:val="auto"/>
              </w:rPr>
              <w:t>2,349</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Other operating expenses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(739)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(720)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(288)</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Operating loss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€(181,518)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€(53,854)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€(61,277)</w:t>
            </w:r>
          </w:p>
        </w:tc>
      </w:tr>
      <w:tr>
        <w:trPr>
          <w:trHeight w:val="33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Finance income</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4,122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8,046</w:t>
            </w:r>
          </w:p>
        </w:tc>
        <w:tc>
          <w:tcPr>
            <w:tcW w:w="1580" w:type="dxa"/>
            <w:vAlign w:val="bottom"/>
          </w:tcPr>
          <w:p>
            <w:pPr>
              <w:jc w:val="right"/>
              <w:spacing w:after="0"/>
              <w:rPr>
                <w:sz w:val="20"/>
                <w:szCs w:val="20"/>
                <w:color w:val="auto"/>
              </w:rPr>
            </w:pPr>
            <w:r>
              <w:rPr>
                <w:rFonts w:ascii="Arial" w:cs="Arial" w:eastAsia="Arial" w:hAnsi="Arial"/>
                <w:sz w:val="13"/>
                <w:szCs w:val="13"/>
                <w:color w:val="auto"/>
              </w:rPr>
              <w:t>2,133</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Finance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(326)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w:t>
            </w:r>
          </w:p>
        </w:tc>
        <w:tc>
          <w:tcPr>
            <w:tcW w:w="1580" w:type="dxa"/>
            <w:vAlign w:val="bottom"/>
          </w:tcPr>
          <w:p>
            <w:pPr>
              <w:jc w:val="right"/>
              <w:spacing w:after="0"/>
              <w:rPr>
                <w:sz w:val="20"/>
                <w:szCs w:val="20"/>
                <w:color w:val="auto"/>
              </w:rPr>
            </w:pPr>
            <w:r>
              <w:rPr>
                <w:rFonts w:ascii="Arial" w:cs="Arial" w:eastAsia="Arial" w:hAnsi="Arial"/>
                <w:sz w:val="13"/>
                <w:szCs w:val="13"/>
                <w:color w:val="auto"/>
              </w:rPr>
              <w:t>(26,007)</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Interest expense related to lease liability</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(1,718)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(1,721)</w:t>
            </w:r>
          </w:p>
        </w:tc>
        <w:tc>
          <w:tcPr>
            <w:tcW w:w="1580" w:type="dxa"/>
            <w:vAlign w:val="bottom"/>
          </w:tcPr>
          <w:p>
            <w:pPr>
              <w:jc w:val="right"/>
              <w:spacing w:after="0"/>
              <w:rPr>
                <w:sz w:val="20"/>
                <w:szCs w:val="20"/>
                <w:color w:val="auto"/>
              </w:rPr>
            </w:pPr>
            <w:r>
              <w:rPr>
                <w:rFonts w:ascii="Arial" w:cs="Arial" w:eastAsia="Arial" w:hAnsi="Arial"/>
                <w:sz w:val="13"/>
                <w:szCs w:val="13"/>
                <w:color w:val="auto"/>
              </w:rPr>
              <w:t>(676)</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Share of loss of equity method investees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(84)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(78)</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Loss before tax</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€(179,440)</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€(47,662)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€(85,905)</w:t>
            </w:r>
          </w:p>
        </w:tc>
      </w:tr>
      <w:tr>
        <w:trPr>
          <w:trHeight w:val="33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Income taxes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268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(600)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(45)</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Loss for the period</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€(179,172)</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€(48,262)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€(85,950)</w:t>
            </w:r>
          </w:p>
        </w:tc>
      </w:tr>
    </w:tbl>
    <w:p>
      <w:pPr>
        <w:spacing w:after="0" w:line="31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Revenue</w:t>
      </w:r>
    </w:p>
    <w:p>
      <w:pPr>
        <w:spacing w:after="0" w:line="90" w:lineRule="exact"/>
        <w:rPr>
          <w:sz w:val="20"/>
          <w:szCs w:val="20"/>
          <w:color w:val="auto"/>
        </w:rPr>
      </w:pPr>
    </w:p>
    <w:p>
      <w:pPr>
        <w:ind w:right="280" w:firstLine="556"/>
        <w:spacing w:after="0" w:line="287" w:lineRule="auto"/>
        <w:rPr>
          <w:sz w:val="20"/>
          <w:szCs w:val="20"/>
          <w:color w:val="auto"/>
        </w:rPr>
      </w:pPr>
      <w:r>
        <w:rPr>
          <w:rFonts w:ascii="Arial" w:cs="Arial" w:eastAsia="Arial" w:hAnsi="Arial"/>
          <w:sz w:val="13"/>
          <w:szCs w:val="13"/>
          <w:color w:val="auto"/>
        </w:rPr>
        <w:t>To date, we have not generated any revenue from the sale of pharmaceutical products. Our revenue has been primarily derived from our collaborations and the sale of diagnostic products, peptides, retroviral vectors for clinical supply, and development and manufacturing services that are sold to third-party customers.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67" w:right="31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69"/>
        </w:trPr>
        <w:tc>
          <w:tcPr>
            <w:tcW w:w="6520" w:type="dxa"/>
            <w:vAlign w:val="bottom"/>
          </w:tcPr>
          <w:p>
            <w:pPr>
              <w:ind w:left="560"/>
              <w:spacing w:after="0"/>
              <w:rPr>
                <w:sz w:val="20"/>
                <w:szCs w:val="20"/>
                <w:color w:val="auto"/>
              </w:rPr>
            </w:pPr>
            <w:r>
              <w:rPr>
                <w:rFonts w:ascii="Arial" w:cs="Arial" w:eastAsia="Arial" w:hAnsi="Arial"/>
                <w:sz w:val="13"/>
                <w:szCs w:val="13"/>
                <w:color w:val="auto"/>
              </w:rPr>
              <w:t>The following is a summary of revenue recognized for the periods indicated:</w:t>
            </w: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17"/>
        </w:trPr>
        <w:tc>
          <w:tcPr>
            <w:tcW w:w="6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87"/>
              </w:rPr>
              <w:t>Years ended</w:t>
            </w:r>
          </w:p>
        </w:tc>
        <w:tc>
          <w:tcPr>
            <w:tcW w:w="1560" w:type="dxa"/>
            <w:vAlign w:val="bottom"/>
          </w:tcPr>
          <w:p>
            <w:pPr>
              <w:spacing w:after="0"/>
              <w:rPr>
                <w:sz w:val="24"/>
                <w:szCs w:val="24"/>
                <w:color w:val="auto"/>
              </w:rPr>
            </w:pPr>
          </w:p>
        </w:tc>
      </w:tr>
      <w:tr>
        <w:trPr>
          <w:trHeight w:val="173"/>
        </w:trPr>
        <w:tc>
          <w:tcPr>
            <w:tcW w:w="6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31,</w:t>
            </w:r>
          </w:p>
        </w:tc>
        <w:tc>
          <w:tcPr>
            <w:tcW w:w="1560" w:type="dxa"/>
            <w:vAlign w:val="bottom"/>
          </w:tcPr>
          <w:p>
            <w:pPr>
              <w:spacing w:after="0"/>
              <w:rPr>
                <w:sz w:val="15"/>
                <w:szCs w:val="15"/>
                <w:color w:val="auto"/>
              </w:rPr>
            </w:pPr>
          </w:p>
        </w:tc>
      </w:tr>
      <w:tr>
        <w:trPr>
          <w:trHeight w:val="170"/>
        </w:trPr>
        <w:tc>
          <w:tcPr>
            <w:tcW w:w="6520" w:type="dxa"/>
            <w:vAlign w:val="bottom"/>
            <w:tcBorders>
              <w:right w:val="single" w:sz="8" w:color="70AD47"/>
            </w:tcBorders>
          </w:tcPr>
          <w:p>
            <w:pPr>
              <w:spacing w:after="0"/>
              <w:rPr>
                <w:sz w:val="14"/>
                <w:szCs w:val="14"/>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5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580" w:type="dxa"/>
            <w:vAlign w:val="bottom"/>
            <w:tcBorders>
              <w:bottom w:val="single" w:sz="8" w:color="70AD47"/>
              <w:right w:val="single" w:sz="8" w:color="70AD47"/>
            </w:tcBorders>
            <w:shd w:val="clear" w:color="auto" w:fill="C5E0B3"/>
          </w:tcPr>
          <w:p>
            <w:pPr>
              <w:spacing w:after="0"/>
              <w:rPr>
                <w:sz w:val="14"/>
                <w:szCs w:val="14"/>
                <w:color w:val="auto"/>
              </w:rPr>
            </w:pPr>
          </w:p>
        </w:tc>
        <w:tc>
          <w:tcPr>
            <w:tcW w:w="1620" w:type="dxa"/>
            <w:vAlign w:val="bottom"/>
            <w:tcBorders>
              <w:bottom w:val="single" w:sz="8" w:color="70AD47"/>
              <w:right w:val="single" w:sz="8" w:color="70AD47"/>
            </w:tcBorders>
          </w:tcPr>
          <w:p>
            <w:pPr>
              <w:spacing w:after="0"/>
              <w:rPr>
                <w:sz w:val="14"/>
                <w:szCs w:val="14"/>
                <w:color w:val="auto"/>
              </w:rPr>
            </w:pPr>
          </w:p>
        </w:tc>
        <w:tc>
          <w:tcPr>
            <w:tcW w:w="1560" w:type="dxa"/>
            <w:vAlign w:val="bottom"/>
            <w:tcBorders>
              <w:bottom w:val="single" w:sz="8" w:color="70AD47"/>
            </w:tcBorders>
          </w:tcPr>
          <w:p>
            <w:pPr>
              <w:spacing w:after="0"/>
              <w:rPr>
                <w:sz w:val="14"/>
                <w:szCs w:val="14"/>
                <w:color w:val="auto"/>
              </w:rPr>
            </w:pPr>
          </w:p>
        </w:tc>
      </w:tr>
      <w:tr>
        <w:trPr>
          <w:trHeight w:val="161"/>
        </w:trPr>
        <w:tc>
          <w:tcPr>
            <w:tcW w:w="652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Revenues from contracts with customers</w:t>
            </w:r>
          </w:p>
        </w:tc>
        <w:tc>
          <w:tcPr>
            <w:tcW w:w="1580" w:type="dxa"/>
            <w:vAlign w:val="bottom"/>
            <w:tcBorders>
              <w:right w:val="single" w:sz="8" w:color="70AD47"/>
            </w:tcBorders>
            <w:shd w:val="clear" w:color="auto" w:fill="C6E0B4"/>
          </w:tcPr>
          <w:p>
            <w:pPr>
              <w:spacing w:after="0"/>
              <w:rPr>
                <w:sz w:val="14"/>
                <w:szCs w:val="14"/>
                <w:color w:val="auto"/>
              </w:rPr>
            </w:pPr>
          </w:p>
        </w:tc>
        <w:tc>
          <w:tcPr>
            <w:tcW w:w="1620" w:type="dxa"/>
            <w:vAlign w:val="bottom"/>
            <w:tcBorders>
              <w:right w:val="single" w:sz="8" w:color="70AD47"/>
            </w:tcBorders>
          </w:tcPr>
          <w:p>
            <w:pPr>
              <w:spacing w:after="0"/>
              <w:rPr>
                <w:sz w:val="14"/>
                <w:szCs w:val="14"/>
                <w:color w:val="auto"/>
              </w:rPr>
            </w:pPr>
          </w:p>
        </w:tc>
        <w:tc>
          <w:tcPr>
            <w:tcW w:w="1560" w:type="dxa"/>
            <w:vAlign w:val="bottom"/>
          </w:tcPr>
          <w:p>
            <w:pPr>
              <w:spacing w:after="0"/>
              <w:rPr>
                <w:sz w:val="14"/>
                <w:szCs w:val="14"/>
                <w:color w:val="auto"/>
              </w:rPr>
            </w:pPr>
          </w:p>
        </w:tc>
      </w:tr>
      <w:tr>
        <w:trPr>
          <w:trHeight w:val="169"/>
        </w:trPr>
        <w:tc>
          <w:tcPr>
            <w:tcW w:w="652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Revenues resulting from collaboration and license agreements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€84,428</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€101,837</w:t>
            </w:r>
          </w:p>
        </w:tc>
        <w:tc>
          <w:tcPr>
            <w:tcW w:w="1560" w:type="dxa"/>
            <w:vAlign w:val="bottom"/>
          </w:tcPr>
          <w:p>
            <w:pPr>
              <w:jc w:val="right"/>
              <w:spacing w:after="0"/>
              <w:rPr>
                <w:sz w:val="20"/>
                <w:szCs w:val="20"/>
                <w:color w:val="auto"/>
              </w:rPr>
            </w:pPr>
            <w:r>
              <w:rPr>
                <w:rFonts w:ascii="Arial" w:cs="Arial" w:eastAsia="Arial" w:hAnsi="Arial"/>
                <w:sz w:val="13"/>
                <w:szCs w:val="13"/>
                <w:color w:val="auto"/>
              </w:rPr>
              <w:t>€42,333</w:t>
            </w:r>
          </w:p>
        </w:tc>
      </w:tr>
      <w:tr>
        <w:trPr>
          <w:trHeight w:val="170"/>
        </w:trPr>
        <w:tc>
          <w:tcPr>
            <w:tcW w:w="652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Revenues from other sales transactions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24,161</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25,738</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19,265</w:t>
            </w:r>
          </w:p>
        </w:tc>
      </w:tr>
      <w:tr>
        <w:trPr>
          <w:trHeight w:val="160"/>
        </w:trPr>
        <w:tc>
          <w:tcPr>
            <w:tcW w:w="65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revenues from contracts with customers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€108,589</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€127,575</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€61,598</w:t>
            </w:r>
          </w:p>
        </w:tc>
      </w:tr>
      <w:tr>
        <w:trPr>
          <w:trHeight w:val="310"/>
        </w:trPr>
        <w:tc>
          <w:tcPr>
            <w:tcW w:w="6520" w:type="dxa"/>
            <w:vAlign w:val="bottom"/>
          </w:tcPr>
          <w:p>
            <w:pPr>
              <w:ind w:left="560"/>
              <w:spacing w:after="0"/>
              <w:rPr>
                <w:sz w:val="20"/>
                <w:szCs w:val="20"/>
                <w:color w:val="auto"/>
              </w:rPr>
            </w:pPr>
            <w:r>
              <w:rPr>
                <w:rFonts w:ascii="Arial" w:cs="Arial" w:eastAsia="Arial" w:hAnsi="Arial"/>
                <w:sz w:val="13"/>
                <w:szCs w:val="13"/>
                <w:color w:val="auto"/>
              </w:rPr>
              <w:t>The following table summarizes our collaboration revenue for the periods indicated:</w:t>
            </w: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7"/>
        </w:trPr>
        <w:tc>
          <w:tcPr>
            <w:tcW w:w="6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87"/>
              </w:rPr>
              <w:t>Years ended</w:t>
            </w:r>
          </w:p>
        </w:tc>
        <w:tc>
          <w:tcPr>
            <w:tcW w:w="1560" w:type="dxa"/>
            <w:vAlign w:val="bottom"/>
          </w:tcPr>
          <w:p>
            <w:pPr>
              <w:spacing w:after="0"/>
              <w:rPr>
                <w:sz w:val="24"/>
                <w:szCs w:val="24"/>
                <w:color w:val="auto"/>
              </w:rPr>
            </w:pPr>
          </w:p>
        </w:tc>
      </w:tr>
      <w:tr>
        <w:trPr>
          <w:trHeight w:val="173"/>
        </w:trPr>
        <w:tc>
          <w:tcPr>
            <w:tcW w:w="6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560" w:type="dxa"/>
            <w:vAlign w:val="bottom"/>
          </w:tcPr>
          <w:p>
            <w:pPr>
              <w:spacing w:after="0"/>
              <w:rPr>
                <w:sz w:val="15"/>
                <w:szCs w:val="15"/>
                <w:color w:val="auto"/>
              </w:rPr>
            </w:pPr>
          </w:p>
        </w:tc>
      </w:tr>
      <w:tr>
        <w:trPr>
          <w:trHeight w:val="170"/>
        </w:trPr>
        <w:tc>
          <w:tcPr>
            <w:tcW w:w="6520" w:type="dxa"/>
            <w:vAlign w:val="bottom"/>
            <w:tcBorders>
              <w:right w:val="single" w:sz="8" w:color="70AD47"/>
            </w:tcBorders>
          </w:tcPr>
          <w:p>
            <w:pPr>
              <w:spacing w:after="0"/>
              <w:rPr>
                <w:sz w:val="14"/>
                <w:szCs w:val="14"/>
                <w:color w:val="auto"/>
              </w:rPr>
            </w:pP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left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5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580" w:type="dxa"/>
            <w:vAlign w:val="bottom"/>
            <w:tcBorders>
              <w:bottom w:val="single" w:sz="8" w:color="70AD47"/>
              <w:right w:val="single" w:sz="8" w:color="C5E0B3"/>
            </w:tcBorders>
            <w:shd w:val="clear" w:color="auto" w:fill="C5E0B3"/>
          </w:tcPr>
          <w:p>
            <w:pPr>
              <w:spacing w:after="0"/>
              <w:rPr>
                <w:sz w:val="14"/>
                <w:szCs w:val="14"/>
                <w:color w:val="auto"/>
              </w:rPr>
            </w:pPr>
          </w:p>
        </w:tc>
        <w:tc>
          <w:tcPr>
            <w:tcW w:w="1620" w:type="dxa"/>
            <w:vAlign w:val="bottom"/>
            <w:tcBorders>
              <w:left w:val="single" w:sz="8" w:color="70AD47"/>
              <w:bottom w:val="single" w:sz="8" w:color="70AD47"/>
              <w:right w:val="single" w:sz="8" w:color="70AD47"/>
            </w:tcBorders>
          </w:tcPr>
          <w:p>
            <w:pPr>
              <w:spacing w:after="0"/>
              <w:rPr>
                <w:sz w:val="14"/>
                <w:szCs w:val="14"/>
                <w:color w:val="auto"/>
              </w:rPr>
            </w:pPr>
          </w:p>
        </w:tc>
        <w:tc>
          <w:tcPr>
            <w:tcW w:w="1560" w:type="dxa"/>
            <w:vAlign w:val="bottom"/>
            <w:tcBorders>
              <w:bottom w:val="single" w:sz="8" w:color="70AD47"/>
            </w:tcBorders>
          </w:tcPr>
          <w:p>
            <w:pPr>
              <w:spacing w:after="0"/>
              <w:rPr>
                <w:sz w:val="14"/>
                <w:szCs w:val="14"/>
                <w:color w:val="auto"/>
              </w:rPr>
            </w:pPr>
          </w:p>
        </w:tc>
      </w:tr>
      <w:tr>
        <w:trPr>
          <w:trHeight w:val="161"/>
        </w:trPr>
        <w:tc>
          <w:tcPr>
            <w:tcW w:w="652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Revenues resulting from collaboration and license agreements</w:t>
            </w:r>
          </w:p>
        </w:tc>
        <w:tc>
          <w:tcPr>
            <w:tcW w:w="1580" w:type="dxa"/>
            <w:vAlign w:val="bottom"/>
            <w:tcBorders>
              <w:right w:val="single" w:sz="8" w:color="C6E0B4"/>
            </w:tcBorders>
            <w:shd w:val="clear" w:color="auto" w:fill="C6E0B4"/>
          </w:tcPr>
          <w:p>
            <w:pPr>
              <w:spacing w:after="0"/>
              <w:rPr>
                <w:sz w:val="14"/>
                <w:szCs w:val="14"/>
                <w:color w:val="auto"/>
              </w:rPr>
            </w:pPr>
          </w:p>
        </w:tc>
        <w:tc>
          <w:tcPr>
            <w:tcW w:w="1620" w:type="dxa"/>
            <w:vAlign w:val="bottom"/>
            <w:tcBorders>
              <w:left w:val="single" w:sz="8" w:color="70AD47"/>
              <w:right w:val="single" w:sz="8" w:color="70AD47"/>
            </w:tcBorders>
          </w:tcPr>
          <w:p>
            <w:pPr>
              <w:spacing w:after="0"/>
              <w:rPr>
                <w:sz w:val="14"/>
                <w:szCs w:val="14"/>
                <w:color w:val="auto"/>
              </w:rPr>
            </w:pPr>
          </w:p>
        </w:tc>
        <w:tc>
          <w:tcPr>
            <w:tcW w:w="1560" w:type="dxa"/>
            <w:vAlign w:val="bottom"/>
          </w:tcPr>
          <w:p>
            <w:pPr>
              <w:spacing w:after="0"/>
              <w:rPr>
                <w:sz w:val="14"/>
                <w:szCs w:val="14"/>
                <w:color w:val="auto"/>
              </w:rPr>
            </w:pPr>
          </w:p>
        </w:tc>
      </w:tr>
      <w:tr>
        <w:trPr>
          <w:trHeight w:val="169"/>
        </w:trPr>
        <w:tc>
          <w:tcPr>
            <w:tcW w:w="652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Genentech Inc.</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€64,026</w:t>
            </w:r>
          </w:p>
        </w:tc>
        <w:tc>
          <w:tcPr>
            <w:tcW w:w="1620" w:type="dxa"/>
            <w:vAlign w:val="bottom"/>
            <w:tcBorders>
              <w:left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€49,536</w:t>
            </w:r>
          </w:p>
        </w:tc>
        <w:tc>
          <w:tcPr>
            <w:tcW w:w="1560" w:type="dxa"/>
            <w:vAlign w:val="bottom"/>
          </w:tcPr>
          <w:p>
            <w:pPr>
              <w:jc w:val="right"/>
              <w:spacing w:after="0"/>
              <w:rPr>
                <w:sz w:val="20"/>
                <w:szCs w:val="20"/>
                <w:color w:val="auto"/>
              </w:rPr>
            </w:pPr>
            <w:r>
              <w:rPr>
                <w:rFonts w:ascii="Arial" w:cs="Arial" w:eastAsia="Arial" w:hAnsi="Arial"/>
                <w:sz w:val="13"/>
                <w:szCs w:val="13"/>
                <w:color w:val="auto"/>
              </w:rPr>
              <w:t>€27,829</w:t>
            </w:r>
          </w:p>
        </w:tc>
      </w:tr>
      <w:tr>
        <w:trPr>
          <w:trHeight w:val="170"/>
        </w:trPr>
        <w:tc>
          <w:tcPr>
            <w:tcW w:w="652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Pfizer Inc.</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14,348</w:t>
            </w:r>
          </w:p>
        </w:tc>
        <w:tc>
          <w:tcPr>
            <w:tcW w:w="1620" w:type="dxa"/>
            <w:vAlign w:val="bottom"/>
            <w:tcBorders>
              <w:left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7,174</w:t>
            </w:r>
          </w:p>
        </w:tc>
        <w:tc>
          <w:tcPr>
            <w:tcW w:w="1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2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Sanofi S.A.</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4,233</w:t>
            </w:r>
          </w:p>
        </w:tc>
        <w:tc>
          <w:tcPr>
            <w:tcW w:w="1620" w:type="dxa"/>
            <w:vAlign w:val="bottom"/>
            <w:tcBorders>
              <w:left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41,712</w:t>
            </w:r>
          </w:p>
        </w:tc>
        <w:tc>
          <w:tcPr>
            <w:tcW w:w="1560" w:type="dxa"/>
            <w:vAlign w:val="bottom"/>
          </w:tcPr>
          <w:p>
            <w:pPr>
              <w:jc w:val="right"/>
              <w:spacing w:after="0"/>
              <w:rPr>
                <w:sz w:val="20"/>
                <w:szCs w:val="20"/>
                <w:color w:val="auto"/>
              </w:rPr>
            </w:pPr>
            <w:r>
              <w:rPr>
                <w:rFonts w:ascii="Arial" w:cs="Arial" w:eastAsia="Arial" w:hAnsi="Arial"/>
                <w:sz w:val="13"/>
                <w:szCs w:val="13"/>
                <w:color w:val="auto"/>
              </w:rPr>
              <w:t>5,665</w:t>
            </w:r>
          </w:p>
        </w:tc>
      </w:tr>
      <w:tr>
        <w:trPr>
          <w:trHeight w:val="170"/>
        </w:trPr>
        <w:tc>
          <w:tcPr>
            <w:tcW w:w="652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Genmab A/S</w:t>
            </w: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left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2,740</w:t>
            </w:r>
          </w:p>
        </w:tc>
        <w:tc>
          <w:tcPr>
            <w:tcW w:w="1560" w:type="dxa"/>
            <w:vAlign w:val="bottom"/>
          </w:tcPr>
          <w:p>
            <w:pPr>
              <w:jc w:val="right"/>
              <w:spacing w:after="0"/>
              <w:rPr>
                <w:sz w:val="20"/>
                <w:szCs w:val="20"/>
                <w:color w:val="auto"/>
              </w:rPr>
            </w:pPr>
            <w:r>
              <w:rPr>
                <w:rFonts w:ascii="Arial" w:cs="Arial" w:eastAsia="Arial" w:hAnsi="Arial"/>
                <w:sz w:val="13"/>
                <w:szCs w:val="13"/>
                <w:color w:val="auto"/>
              </w:rPr>
              <w:t>6,765</w:t>
            </w:r>
          </w:p>
        </w:tc>
      </w:tr>
      <w:tr>
        <w:trPr>
          <w:trHeight w:val="170"/>
        </w:trPr>
        <w:tc>
          <w:tcPr>
            <w:tcW w:w="652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Eli Lilly and Company</w:t>
            </w:r>
          </w:p>
        </w:tc>
        <w:tc>
          <w:tcPr>
            <w:tcW w:w="158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1,821</w:t>
            </w:r>
          </w:p>
        </w:tc>
        <w:tc>
          <w:tcPr>
            <w:tcW w:w="162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676</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2,074</w:t>
            </w:r>
          </w:p>
        </w:tc>
      </w:tr>
      <w:tr>
        <w:trPr>
          <w:trHeight w:val="160"/>
        </w:trPr>
        <w:tc>
          <w:tcPr>
            <w:tcW w:w="65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revenues resulting from collaboration and license agreements</w:t>
            </w:r>
          </w:p>
        </w:tc>
        <w:tc>
          <w:tcPr>
            <w:tcW w:w="158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€84,428</w:t>
            </w:r>
          </w:p>
        </w:tc>
        <w:tc>
          <w:tcPr>
            <w:tcW w:w="162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€101,837</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€42,333</w:t>
            </w:r>
          </w:p>
        </w:tc>
      </w:tr>
    </w:tbl>
    <w:p>
      <w:pPr>
        <w:spacing w:after="0" w:line="231" w:lineRule="exact"/>
        <w:rPr>
          <w:sz w:val="20"/>
          <w:szCs w:val="20"/>
          <w:color w:val="auto"/>
        </w:rPr>
      </w:pPr>
    </w:p>
    <w:p>
      <w:pPr>
        <w:ind w:right="20" w:firstLine="554"/>
        <w:spacing w:after="0" w:line="287" w:lineRule="auto"/>
        <w:rPr>
          <w:sz w:val="20"/>
          <w:szCs w:val="20"/>
          <w:color w:val="auto"/>
        </w:rPr>
      </w:pPr>
      <w:r>
        <w:rPr>
          <w:rFonts w:ascii="Arial" w:cs="Arial" w:eastAsia="Arial" w:hAnsi="Arial"/>
          <w:sz w:val="12"/>
          <w:szCs w:val="12"/>
          <w:color w:val="auto"/>
        </w:rPr>
        <w:t>Our collaboration revenue consists of milestone payments, upfront licensing payments and reimbursement of development expenses. Certain of these payments are initially recorded on our statement of financial position and are subsequently recognized as revenue in accordance with our accounting policy as described further in “—Critical Accounting Policies and Use of Estimates” and Note 2.3.4 to our consolidated financial statements included elsewhere in this Annual Report. From the year ended December 31, 2018 to the year ended December 31, 2019 the total revenues resulting from collaboration and license agreements decreased from €101.8 million to €84.4 million. From the year ended December 31, 2017 to the year ended December 31, 2018 the total revenues resulting from collaboration and license agreements increased from €42.3 million to €101.8 million. The revenue recognized in the year ended December 31, 2018 included an amount of €33.2 million collaboration revenue from our Sanofi collaboration for a reimbursement of 50% of CellScript sublicense costs pursuant to a separate sub-sublicense agreement dated December 22, 2018. This transaction only occurred in the year ended December 31, 2018. Our collaborations with Bayer and Genevant did not result in any revenue in the years ended December 31, 2019, December 31, 2018 and December 31, 2017.</w:t>
      </w:r>
    </w:p>
    <w:p>
      <w:pPr>
        <w:spacing w:after="0" w:line="125" w:lineRule="exact"/>
        <w:rPr>
          <w:sz w:val="20"/>
          <w:szCs w:val="20"/>
          <w:color w:val="auto"/>
        </w:rPr>
      </w:pPr>
    </w:p>
    <w:p>
      <w:pPr>
        <w:ind w:right="420" w:firstLine="556"/>
        <w:spacing w:after="0" w:line="287" w:lineRule="auto"/>
        <w:rPr>
          <w:sz w:val="20"/>
          <w:szCs w:val="20"/>
          <w:color w:val="auto"/>
        </w:rPr>
      </w:pPr>
      <w:r>
        <w:rPr>
          <w:rFonts w:ascii="Arial" w:cs="Arial" w:eastAsia="Arial" w:hAnsi="Arial"/>
          <w:sz w:val="13"/>
          <w:szCs w:val="13"/>
          <w:color w:val="auto"/>
        </w:rPr>
        <w:t>Our revenue from other sales transactions consists of sales of diagnostic products, peptides, retroviral vectors for clinical supply, and development and manufacturing services sold to third-party customers.</w:t>
      </w:r>
    </w:p>
    <w:p>
      <w:pPr>
        <w:spacing w:after="0" w:line="122" w:lineRule="exact"/>
        <w:rPr>
          <w:sz w:val="20"/>
          <w:szCs w:val="20"/>
          <w:color w:val="auto"/>
        </w:rPr>
      </w:pPr>
    </w:p>
    <w:p>
      <w:pPr>
        <w:jc w:val="both"/>
        <w:ind w:right="20" w:firstLine="556"/>
        <w:spacing w:after="0" w:line="272" w:lineRule="auto"/>
        <w:rPr>
          <w:sz w:val="20"/>
          <w:szCs w:val="20"/>
          <w:color w:val="auto"/>
        </w:rPr>
      </w:pPr>
      <w:r>
        <w:rPr>
          <w:rFonts w:ascii="Arial" w:cs="Arial" w:eastAsia="Arial" w:hAnsi="Arial"/>
          <w:sz w:val="13"/>
          <w:szCs w:val="13"/>
          <w:color w:val="auto"/>
        </w:rPr>
        <w:t>Our ability to generate revenue from sales of pharmaceutical products and become profitable depends upon our and our collaborators’ ability to successfully commercialize our product candidates. For the foreseeable future, we do not expect revenue from pharmaceutical product sales. To the extent that existing or potential future collaborations generate revenue, our revenue may vary due to many uncertainties in the development of our product candidates and other factors.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further information on our revenue recognition policies, see “—Critical Accounting Policies and Use of Estimates—Revenue Recognition.”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96" w:name="page197"/>
    <w:bookmarkEnd w:id="196"/>
    <w:p>
      <w:pPr>
        <w:ind w:left="560"/>
        <w:spacing w:after="0"/>
        <w:rPr>
          <w:sz w:val="20"/>
          <w:szCs w:val="20"/>
          <w:color w:val="auto"/>
        </w:rPr>
      </w:pPr>
      <w:r>
        <w:rPr>
          <w:rFonts w:ascii="Arial" w:cs="Arial" w:eastAsia="Arial" w:hAnsi="Arial"/>
          <w:sz w:val="13"/>
          <w:szCs w:val="13"/>
          <w:b w:val="1"/>
          <w:bCs w:val="1"/>
          <w:i w:val="1"/>
          <w:iCs w:val="1"/>
          <w:color w:val="auto"/>
        </w:rPr>
        <w:t>Cost of Sales</w:t>
      </w:r>
    </w:p>
    <w:p>
      <w:pPr>
        <w:spacing w:after="0" w:line="90"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Our cost of sales includes personnel-related expenses, social security expenses, laboratory supplies, purchased services, depreciation and other expenses incurred in connection with the manufacturing of our external products.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Pr>
          <w:p>
            <w:pPr>
              <w:ind w:left="560"/>
              <w:spacing w:after="0"/>
              <w:rPr>
                <w:sz w:val="20"/>
                <w:szCs w:val="20"/>
                <w:color w:val="auto"/>
              </w:rPr>
            </w:pPr>
            <w:r>
              <w:rPr>
                <w:rFonts w:ascii="Arial" w:cs="Arial" w:eastAsia="Arial" w:hAnsi="Arial"/>
                <w:sz w:val="13"/>
                <w:szCs w:val="13"/>
                <w:color w:val="auto"/>
              </w:rPr>
              <w:t>The following table summarizes our cost of sales for the periods indicated:</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17"/>
        </w:trPr>
        <w:tc>
          <w:tcPr>
            <w:tcW w:w="6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r>
      <w:tr>
        <w:trPr>
          <w:trHeight w:val="173"/>
        </w:trPr>
        <w:tc>
          <w:tcPr>
            <w:tcW w:w="6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1600" w:type="dxa"/>
            <w:vAlign w:val="bottom"/>
            <w:tcBorders>
              <w:bottom w:val="single" w:sz="8" w:color="70AD47"/>
              <w:right w:val="single" w:sz="8" w:color="70AD47"/>
            </w:tcBorders>
          </w:tcPr>
          <w:p>
            <w:pPr>
              <w:spacing w:after="0"/>
              <w:rPr>
                <w:sz w:val="14"/>
                <w:szCs w:val="14"/>
                <w:color w:val="auto"/>
              </w:rPr>
            </w:pPr>
          </w:p>
        </w:tc>
        <w:tc>
          <w:tcPr>
            <w:tcW w:w="1580" w:type="dxa"/>
            <w:vAlign w:val="bottom"/>
            <w:tcBorders>
              <w:bottom w:val="single" w:sz="8" w:color="70AD47"/>
            </w:tcBorders>
          </w:tcPr>
          <w:p>
            <w:pPr>
              <w:spacing w:after="0"/>
              <w:rPr>
                <w:sz w:val="14"/>
                <w:szCs w:val="14"/>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Cost of sales</w:t>
            </w:r>
          </w:p>
        </w:tc>
        <w:tc>
          <w:tcPr>
            <w:tcW w:w="1600" w:type="dxa"/>
            <w:vAlign w:val="bottom"/>
            <w:tcBorders>
              <w:right w:val="single" w:sz="8" w:color="70AD47"/>
            </w:tcBorders>
            <w:shd w:val="clear" w:color="auto" w:fill="C6E0B4"/>
          </w:tcPr>
          <w:p>
            <w:pPr>
              <w:spacing w:after="0"/>
              <w:rPr>
                <w:sz w:val="14"/>
                <w:szCs w:val="14"/>
                <w:color w:val="auto"/>
              </w:rPr>
            </w:pPr>
          </w:p>
        </w:tc>
        <w:tc>
          <w:tcPr>
            <w:tcW w:w="1600" w:type="dxa"/>
            <w:vAlign w:val="bottom"/>
            <w:tcBorders>
              <w:right w:val="single" w:sz="8" w:color="70AD47"/>
            </w:tcBorders>
          </w:tcPr>
          <w:p>
            <w:pPr>
              <w:spacing w:after="0"/>
              <w:rPr>
                <w:sz w:val="14"/>
                <w:szCs w:val="14"/>
                <w:color w:val="auto"/>
              </w:rPr>
            </w:pPr>
          </w:p>
        </w:tc>
        <w:tc>
          <w:tcPr>
            <w:tcW w:w="1580" w:type="dxa"/>
            <w:vAlign w:val="bottom"/>
          </w:tcPr>
          <w:p>
            <w:pPr>
              <w:spacing w:after="0"/>
              <w:rPr>
                <w:sz w:val="14"/>
                <w:szCs w:val="14"/>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Wages, benefits and social security expense</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€7,206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€6,726</w:t>
            </w:r>
          </w:p>
        </w:tc>
        <w:tc>
          <w:tcPr>
            <w:tcW w:w="1580" w:type="dxa"/>
            <w:vAlign w:val="bottom"/>
          </w:tcPr>
          <w:p>
            <w:pPr>
              <w:jc w:val="right"/>
              <w:spacing w:after="0"/>
              <w:rPr>
                <w:sz w:val="20"/>
                <w:szCs w:val="20"/>
                <w:color w:val="auto"/>
              </w:rPr>
            </w:pPr>
            <w:r>
              <w:rPr>
                <w:rFonts w:ascii="Arial" w:cs="Arial" w:eastAsia="Arial" w:hAnsi="Arial"/>
                <w:sz w:val="13"/>
                <w:szCs w:val="13"/>
                <w:color w:val="auto"/>
              </w:rPr>
              <w:t>€6,105</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Laboratory supplies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3,845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1,368</w:t>
            </w:r>
          </w:p>
        </w:tc>
        <w:tc>
          <w:tcPr>
            <w:tcW w:w="1580" w:type="dxa"/>
            <w:vAlign w:val="bottom"/>
          </w:tcPr>
          <w:p>
            <w:pPr>
              <w:jc w:val="right"/>
              <w:spacing w:after="0"/>
              <w:rPr>
                <w:sz w:val="20"/>
                <w:szCs w:val="20"/>
                <w:color w:val="auto"/>
              </w:rPr>
            </w:pPr>
            <w:r>
              <w:rPr>
                <w:rFonts w:ascii="Arial" w:cs="Arial" w:eastAsia="Arial" w:hAnsi="Arial"/>
                <w:sz w:val="13"/>
                <w:szCs w:val="13"/>
                <w:color w:val="auto"/>
              </w:rPr>
              <w:t>2,849</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Purchased services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1,986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2,514</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Depreciation and amortization</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1,467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1,367</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Other</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2,857</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1,715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364</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cost of sales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€17,361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€13,690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€9,318</w:t>
            </w:r>
          </w:p>
        </w:tc>
      </w:tr>
    </w:tbl>
    <w:p>
      <w:pPr>
        <w:spacing w:after="0" w:line="31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0" w:lineRule="exact"/>
        <w:rPr>
          <w:sz w:val="20"/>
          <w:szCs w:val="20"/>
          <w:color w:val="auto"/>
        </w:rPr>
      </w:pPr>
    </w:p>
    <w:p>
      <w:pPr>
        <w:jc w:val="both"/>
        <w:ind w:right="160" w:firstLine="556"/>
        <w:spacing w:after="0" w:line="272" w:lineRule="auto"/>
        <w:rPr>
          <w:sz w:val="20"/>
          <w:szCs w:val="20"/>
          <w:color w:val="auto"/>
        </w:rPr>
      </w:pPr>
      <w:r>
        <w:rPr>
          <w:rFonts w:ascii="Arial" w:cs="Arial" w:eastAsia="Arial" w:hAnsi="Arial"/>
          <w:sz w:val="13"/>
          <w:szCs w:val="13"/>
          <w:color w:val="auto"/>
        </w:rPr>
        <w:t>The nature of our business and primary focus of our activities generate a significant amount of research and development expenses. All research and development expenses are expensed as incurred. Research and development expenses include our share of expenses payable by us under the terms of our collaboration agreements and 100% of the expenses for our wholly owned product candidates. Research and development expenses represent costs incurred by us for the following:</w:t>
      </w:r>
    </w:p>
    <w:p>
      <w:pPr>
        <w:spacing w:after="0" w:line="42" w:lineRule="exact"/>
        <w:rPr>
          <w:sz w:val="20"/>
          <w:szCs w:val="20"/>
          <w:color w:val="auto"/>
        </w:rPr>
      </w:pPr>
    </w:p>
    <w:p>
      <w:pPr>
        <w:ind w:left="1020" w:hanging="340"/>
        <w:spacing w:after="0"/>
        <w:tabs>
          <w:tab w:leader="none" w:pos="102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cost to develop our platforms;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discovery efforts leading to product candidates;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clinical development expenses for our programs;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cost to develop our manufacturing technology and infrastructure;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digital infrastructure costs.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costs above comprise the following categories:</w:t>
      </w:r>
    </w:p>
    <w:p>
      <w:pPr>
        <w:spacing w:after="0" w:line="80" w:lineRule="exact"/>
        <w:rPr>
          <w:sz w:val="20"/>
          <w:szCs w:val="20"/>
          <w:color w:val="auto"/>
        </w:rPr>
      </w:pPr>
    </w:p>
    <w:p>
      <w:pPr>
        <w:ind w:left="1020" w:hanging="340"/>
        <w:spacing w:after="0"/>
        <w:tabs>
          <w:tab w:leader="none" w:pos="102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personnel-related expenses, including salaries, benefits, share-based compensation expense and social security expense;</w:t>
      </w:r>
    </w:p>
    <w:p>
      <w:pPr>
        <w:spacing w:after="0" w:line="80" w:lineRule="exact"/>
        <w:rPr>
          <w:rFonts w:ascii="Arial" w:cs="Arial" w:eastAsia="Arial" w:hAnsi="Arial"/>
          <w:sz w:val="13"/>
          <w:szCs w:val="13"/>
          <w:color w:val="auto"/>
        </w:rPr>
      </w:pPr>
    </w:p>
    <w:p>
      <w:pPr>
        <w:ind w:left="1020" w:right="100" w:hanging="340"/>
        <w:spacing w:after="0" w:line="287" w:lineRule="auto"/>
        <w:tabs>
          <w:tab w:leader="none" w:pos="102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expenses incurred under agreements with third parties, such as consultants, investigative sites, contract research organizations, or CROs, that conduct our preclinical studies and clinical trials, and in-licensing arrangements;</w:t>
      </w:r>
    </w:p>
    <w:p>
      <w:pPr>
        <w:spacing w:after="0" w:line="32" w:lineRule="exact"/>
        <w:rPr>
          <w:rFonts w:ascii="Arial" w:cs="Arial" w:eastAsia="Arial" w:hAnsi="Arial"/>
          <w:sz w:val="13"/>
          <w:szCs w:val="13"/>
          <w:color w:val="auto"/>
        </w:rPr>
      </w:pPr>
    </w:p>
    <w:p>
      <w:pPr>
        <w:ind w:left="1020" w:right="760" w:hanging="340"/>
        <w:spacing w:after="0" w:line="287" w:lineRule="auto"/>
        <w:tabs>
          <w:tab w:leader="none" w:pos="102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costs of acquiring, developing and manufacturing materials for preclinical studies and clinical trials, including both internal manufacturing and third-party contract manufacturing organizations, or CMOs;</w:t>
      </w:r>
    </w:p>
    <w:p>
      <w:pPr>
        <w:spacing w:after="0" w:line="32" w:lineRule="exact"/>
        <w:rPr>
          <w:rFonts w:ascii="Arial" w:cs="Arial" w:eastAsia="Arial" w:hAnsi="Arial"/>
          <w:sz w:val="13"/>
          <w:szCs w:val="13"/>
          <w:color w:val="auto"/>
        </w:rPr>
      </w:pPr>
    </w:p>
    <w:p>
      <w:pPr>
        <w:ind w:left="1020" w:hanging="340"/>
        <w:spacing w:after="0"/>
        <w:tabs>
          <w:tab w:leader="none" w:pos="102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expenses incurred for the procurement of materials, laboratory supplies and non-capital equipment used in the research and development process;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facilities, depreciation and amortization, and other direct and allocated expenses incurred as a result of research and development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69"/>
        </w:trPr>
        <w:tc>
          <w:tcPr>
            <w:tcW w:w="6500" w:type="dxa"/>
            <w:vAlign w:val="bottom"/>
          </w:tcPr>
          <w:p>
            <w:pPr>
              <w:ind w:left="560"/>
              <w:spacing w:after="0"/>
              <w:rPr>
                <w:sz w:val="20"/>
                <w:szCs w:val="20"/>
                <w:color w:val="auto"/>
              </w:rPr>
            </w:pPr>
            <w:r>
              <w:rPr>
                <w:rFonts w:ascii="Arial" w:cs="Arial" w:eastAsia="Arial" w:hAnsi="Arial"/>
                <w:sz w:val="13"/>
                <w:szCs w:val="13"/>
                <w:color w:val="auto"/>
              </w:rPr>
              <w:t>The following table summarizes our research and development expenses for the periods indicated:</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17"/>
        </w:trPr>
        <w:tc>
          <w:tcPr>
            <w:tcW w:w="6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r>
      <w:tr>
        <w:trPr>
          <w:trHeight w:val="173"/>
        </w:trPr>
        <w:tc>
          <w:tcPr>
            <w:tcW w:w="6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5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1600" w:type="dxa"/>
            <w:vAlign w:val="bottom"/>
            <w:tcBorders>
              <w:bottom w:val="single" w:sz="8" w:color="70AD47"/>
              <w:right w:val="single" w:sz="8" w:color="70AD47"/>
            </w:tcBorders>
          </w:tcPr>
          <w:p>
            <w:pPr>
              <w:spacing w:after="0"/>
              <w:rPr>
                <w:sz w:val="14"/>
                <w:szCs w:val="14"/>
                <w:color w:val="auto"/>
              </w:rPr>
            </w:pPr>
          </w:p>
        </w:tc>
        <w:tc>
          <w:tcPr>
            <w:tcW w:w="1580" w:type="dxa"/>
            <w:vAlign w:val="bottom"/>
            <w:tcBorders>
              <w:bottom w:val="single" w:sz="8" w:color="70AD47"/>
            </w:tcBorders>
          </w:tcPr>
          <w:p>
            <w:pPr>
              <w:spacing w:after="0"/>
              <w:rPr>
                <w:sz w:val="14"/>
                <w:szCs w:val="14"/>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Research and development expenses</w:t>
            </w:r>
          </w:p>
        </w:tc>
        <w:tc>
          <w:tcPr>
            <w:tcW w:w="1600" w:type="dxa"/>
            <w:vAlign w:val="bottom"/>
            <w:tcBorders>
              <w:right w:val="single" w:sz="8" w:color="70AD47"/>
            </w:tcBorders>
            <w:shd w:val="clear" w:color="auto" w:fill="C6E0B4"/>
          </w:tcPr>
          <w:p>
            <w:pPr>
              <w:spacing w:after="0"/>
              <w:rPr>
                <w:sz w:val="14"/>
                <w:szCs w:val="14"/>
                <w:color w:val="auto"/>
              </w:rPr>
            </w:pPr>
          </w:p>
        </w:tc>
        <w:tc>
          <w:tcPr>
            <w:tcW w:w="1600" w:type="dxa"/>
            <w:vAlign w:val="bottom"/>
            <w:tcBorders>
              <w:right w:val="single" w:sz="8" w:color="70AD47"/>
            </w:tcBorders>
          </w:tcPr>
          <w:p>
            <w:pPr>
              <w:spacing w:after="0"/>
              <w:rPr>
                <w:sz w:val="14"/>
                <w:szCs w:val="14"/>
                <w:color w:val="auto"/>
              </w:rPr>
            </w:pPr>
          </w:p>
        </w:tc>
        <w:tc>
          <w:tcPr>
            <w:tcW w:w="1580" w:type="dxa"/>
            <w:vAlign w:val="bottom"/>
          </w:tcPr>
          <w:p>
            <w:pPr>
              <w:spacing w:after="0"/>
              <w:rPr>
                <w:sz w:val="14"/>
                <w:szCs w:val="14"/>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Wages, benefits and social security expense</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€83,213</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€45,668</w:t>
            </w:r>
          </w:p>
        </w:tc>
        <w:tc>
          <w:tcPr>
            <w:tcW w:w="1580" w:type="dxa"/>
            <w:vAlign w:val="bottom"/>
          </w:tcPr>
          <w:p>
            <w:pPr>
              <w:jc w:val="right"/>
              <w:spacing w:after="0"/>
              <w:rPr>
                <w:sz w:val="20"/>
                <w:szCs w:val="20"/>
                <w:color w:val="auto"/>
              </w:rPr>
            </w:pPr>
            <w:r>
              <w:rPr>
                <w:rFonts w:ascii="Arial" w:cs="Arial" w:eastAsia="Arial" w:hAnsi="Arial"/>
                <w:sz w:val="13"/>
                <w:szCs w:val="13"/>
                <w:color w:val="auto"/>
              </w:rPr>
              <w:t>€31,970</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Purchased services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65,552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42,079</w:t>
            </w:r>
          </w:p>
        </w:tc>
        <w:tc>
          <w:tcPr>
            <w:tcW w:w="1580" w:type="dxa"/>
            <w:vAlign w:val="bottom"/>
          </w:tcPr>
          <w:p>
            <w:pPr>
              <w:jc w:val="right"/>
              <w:spacing w:after="0"/>
              <w:rPr>
                <w:sz w:val="20"/>
                <w:szCs w:val="20"/>
                <w:color w:val="auto"/>
              </w:rPr>
            </w:pPr>
            <w:r>
              <w:rPr>
                <w:rFonts w:ascii="Arial" w:cs="Arial" w:eastAsia="Arial" w:hAnsi="Arial"/>
                <w:sz w:val="13"/>
                <w:szCs w:val="13"/>
                <w:color w:val="auto"/>
              </w:rPr>
              <w:t>22,686</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Laboratory supplies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37,218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22,921</w:t>
            </w:r>
          </w:p>
        </w:tc>
        <w:tc>
          <w:tcPr>
            <w:tcW w:w="1580" w:type="dxa"/>
            <w:vAlign w:val="bottom"/>
          </w:tcPr>
          <w:p>
            <w:pPr>
              <w:jc w:val="right"/>
              <w:spacing w:after="0"/>
              <w:rPr>
                <w:sz w:val="20"/>
                <w:szCs w:val="20"/>
                <w:color w:val="auto"/>
              </w:rPr>
            </w:pPr>
            <w:r>
              <w:rPr>
                <w:rFonts w:ascii="Arial" w:cs="Arial" w:eastAsia="Arial" w:hAnsi="Arial"/>
                <w:sz w:val="13"/>
                <w:szCs w:val="13"/>
                <w:color w:val="auto"/>
              </w:rPr>
              <w:t>15,762</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Depreciation and amortization</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27,533</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18,312</w:t>
            </w:r>
          </w:p>
        </w:tc>
        <w:tc>
          <w:tcPr>
            <w:tcW w:w="1580" w:type="dxa"/>
            <w:vAlign w:val="bottom"/>
          </w:tcPr>
          <w:p>
            <w:pPr>
              <w:jc w:val="right"/>
              <w:spacing w:after="0"/>
              <w:rPr>
                <w:sz w:val="20"/>
                <w:szCs w:val="20"/>
                <w:color w:val="auto"/>
              </w:rPr>
            </w:pPr>
            <w:r>
              <w:rPr>
                <w:rFonts w:ascii="Arial" w:cs="Arial" w:eastAsia="Arial" w:hAnsi="Arial"/>
                <w:sz w:val="13"/>
                <w:szCs w:val="13"/>
                <w:color w:val="auto"/>
              </w:rPr>
              <w:t>9,859</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Lease and lease related cost</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2,527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2,404</w:t>
            </w:r>
          </w:p>
        </w:tc>
        <w:tc>
          <w:tcPr>
            <w:tcW w:w="1580" w:type="dxa"/>
            <w:vAlign w:val="bottom"/>
          </w:tcPr>
          <w:p>
            <w:pPr>
              <w:jc w:val="right"/>
              <w:spacing w:after="0"/>
              <w:rPr>
                <w:sz w:val="20"/>
                <w:szCs w:val="20"/>
                <w:color w:val="auto"/>
              </w:rPr>
            </w:pPr>
            <w:r>
              <w:rPr>
                <w:rFonts w:ascii="Arial" w:cs="Arial" w:eastAsia="Arial" w:hAnsi="Arial"/>
                <w:sz w:val="13"/>
                <w:szCs w:val="13"/>
                <w:color w:val="auto"/>
              </w:rPr>
              <w:t>3,475</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IT costs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3,800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1,572</w:t>
            </w:r>
          </w:p>
        </w:tc>
        <w:tc>
          <w:tcPr>
            <w:tcW w:w="1580" w:type="dxa"/>
            <w:vAlign w:val="bottom"/>
          </w:tcPr>
          <w:p>
            <w:pPr>
              <w:jc w:val="right"/>
              <w:spacing w:after="0"/>
              <w:rPr>
                <w:sz w:val="20"/>
                <w:szCs w:val="20"/>
                <w:color w:val="auto"/>
              </w:rPr>
            </w:pPr>
            <w:r>
              <w:rPr>
                <w:rFonts w:ascii="Arial" w:cs="Arial" w:eastAsia="Arial" w:hAnsi="Arial"/>
                <w:sz w:val="13"/>
                <w:szCs w:val="13"/>
                <w:color w:val="auto"/>
              </w:rPr>
              <w:t>366</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Travel costs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1,546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1,281</w:t>
            </w:r>
          </w:p>
        </w:tc>
        <w:tc>
          <w:tcPr>
            <w:tcW w:w="1580" w:type="dxa"/>
            <w:vAlign w:val="bottom"/>
          </w:tcPr>
          <w:p>
            <w:pPr>
              <w:jc w:val="right"/>
              <w:spacing w:after="0"/>
              <w:rPr>
                <w:sz w:val="20"/>
                <w:szCs w:val="20"/>
                <w:color w:val="auto"/>
              </w:rPr>
            </w:pPr>
            <w:r>
              <w:rPr>
                <w:rFonts w:ascii="Arial" w:cs="Arial" w:eastAsia="Arial" w:hAnsi="Arial"/>
                <w:sz w:val="13"/>
                <w:szCs w:val="13"/>
                <w:color w:val="auto"/>
              </w:rPr>
              <w:t>776</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Transport costs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1,081</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668</w:t>
            </w:r>
          </w:p>
        </w:tc>
        <w:tc>
          <w:tcPr>
            <w:tcW w:w="1580" w:type="dxa"/>
            <w:vAlign w:val="bottom"/>
          </w:tcPr>
          <w:p>
            <w:pPr>
              <w:jc w:val="right"/>
              <w:spacing w:after="0"/>
              <w:rPr>
                <w:sz w:val="20"/>
                <w:szCs w:val="20"/>
                <w:color w:val="auto"/>
              </w:rPr>
            </w:pPr>
            <w:r>
              <w:rPr>
                <w:rFonts w:ascii="Arial" w:cs="Arial" w:eastAsia="Arial" w:hAnsi="Arial"/>
                <w:sz w:val="13"/>
                <w:szCs w:val="13"/>
                <w:color w:val="auto"/>
              </w:rPr>
              <w:t>396</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Job advertisement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1,040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352</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Other</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2,956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7,783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206</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research and development expenses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€226,466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€143,040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€85,496</w:t>
            </w:r>
          </w:p>
        </w:tc>
      </w:tr>
    </w:tbl>
    <w:p>
      <w:pPr>
        <w:spacing w:after="0" w:line="231" w:lineRule="exact"/>
        <w:rPr>
          <w:sz w:val="20"/>
          <w:szCs w:val="20"/>
          <w:color w:val="auto"/>
        </w:rPr>
      </w:pPr>
    </w:p>
    <w:p>
      <w:pPr>
        <w:ind w:right="80" w:firstLine="554"/>
        <w:spacing w:after="0" w:line="304" w:lineRule="auto"/>
        <w:rPr>
          <w:sz w:val="20"/>
          <w:szCs w:val="20"/>
          <w:color w:val="auto"/>
        </w:rPr>
      </w:pPr>
      <w:r>
        <w:rPr>
          <w:rFonts w:ascii="Arial" w:cs="Arial" w:eastAsia="Arial" w:hAnsi="Arial"/>
          <w:sz w:val="12"/>
          <w:szCs w:val="12"/>
          <w:color w:val="auto"/>
        </w:rPr>
        <w:t>The largest component of our total operating expenses has historically been our investment in research and development activities, including development of our platforms and manufacturing technologies. We cannot reasonably estimate the nature, timing and amount of research and development expenses required to complete the development of the product candidates we are currently developing or may develop in the future. A change in expectations or outcomes of any of the known or unknown risks and uncertainties may materially impact our expected research and development expenditures.</w:t>
      </w:r>
    </w:p>
    <w:p>
      <w:pPr>
        <w:spacing w:after="0" w:line="116" w:lineRule="exact"/>
        <w:rPr>
          <w:sz w:val="20"/>
          <w:szCs w:val="20"/>
          <w:color w:val="auto"/>
        </w:rPr>
      </w:pPr>
    </w:p>
    <w:p>
      <w:pPr>
        <w:ind w:right="20" w:firstLine="556"/>
        <w:spacing w:after="0" w:line="263" w:lineRule="auto"/>
        <w:rPr>
          <w:sz w:val="20"/>
          <w:szCs w:val="20"/>
          <w:color w:val="auto"/>
        </w:rPr>
      </w:pPr>
      <w:r>
        <w:rPr>
          <w:rFonts w:ascii="Arial" w:cs="Arial" w:eastAsia="Arial" w:hAnsi="Arial"/>
          <w:sz w:val="13"/>
          <w:szCs w:val="13"/>
          <w:color w:val="auto"/>
        </w:rPr>
        <w:t>Continued research and development is central to the ongoing activities of our business. Product candidates in later stages of clinical development generally have higher development expenses than those in earlier stages of clinical development, primarily due to the increased size and duration of later-stage clinical trials. We expect these costs to continue to increase in the future as our product candidates progress through the development phases and as we identify and develop additional programs.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37" w:lineRule="exact"/>
        <w:rPr>
          <w:sz w:val="20"/>
          <w:szCs w:val="20"/>
          <w:color w:val="auto"/>
        </w:rPr>
      </w:pPr>
    </w:p>
    <w:p>
      <w:pPr>
        <w:jc w:val="both"/>
        <w:ind w:right="100" w:firstLine="556"/>
        <w:spacing w:after="0" w:line="272" w:lineRule="auto"/>
        <w:rPr>
          <w:sz w:val="20"/>
          <w:szCs w:val="20"/>
          <w:color w:val="auto"/>
        </w:rPr>
      </w:pPr>
      <w:r>
        <w:rPr>
          <w:rFonts w:ascii="Arial" w:cs="Arial" w:eastAsia="Arial" w:hAnsi="Arial"/>
          <w:sz w:val="13"/>
          <w:szCs w:val="13"/>
          <w:color w:val="auto"/>
        </w:rPr>
        <w:t>Research and development expenses increased from €143.0 million during the year ended December 31, 2018 to €226.5 million during the year ended December 31, 2019 mainly due to an increase in wages, benefits and social security expenses due to an increase in headcount and the full-year reflection of the ESOP program expenses during the year ended December 31, 2019 as well as higher development expenses spent on purchased services and laboratory supplies.</w:t>
      </w:r>
    </w:p>
    <w:p>
      <w:pPr>
        <w:spacing w:after="0" w:line="132" w:lineRule="exact"/>
        <w:rPr>
          <w:sz w:val="20"/>
          <w:szCs w:val="20"/>
          <w:color w:val="auto"/>
        </w:rPr>
      </w:pPr>
    </w:p>
    <w:p>
      <w:pPr>
        <w:jc w:val="both"/>
        <w:ind w:right="160" w:firstLine="556"/>
        <w:spacing w:after="0" w:line="287" w:lineRule="auto"/>
        <w:rPr>
          <w:sz w:val="20"/>
          <w:szCs w:val="20"/>
          <w:color w:val="auto"/>
        </w:rPr>
      </w:pPr>
      <w:r>
        <w:rPr>
          <w:rFonts w:ascii="Arial" w:cs="Arial" w:eastAsia="Arial" w:hAnsi="Arial"/>
          <w:sz w:val="13"/>
          <w:szCs w:val="13"/>
          <w:color w:val="auto"/>
        </w:rPr>
        <w:t>Research and development expenses increased from €85.5 million during the year ended December 31, 2017 to €143.0 million during the year ended December 31, 2018 which was mainly due to an increase in wages, benefits and social security expenses and higher development expenses spent especially on purchased services and laboratory supplies.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Sales and Marketing Expenses</w:t>
      </w:r>
    </w:p>
    <w:p>
      <w:pPr>
        <w:spacing w:after="0" w:line="90" w:lineRule="exact"/>
        <w:rPr>
          <w:sz w:val="20"/>
          <w:szCs w:val="20"/>
          <w:color w:val="auto"/>
        </w:rPr>
      </w:pPr>
    </w:p>
    <w:p>
      <w:pPr>
        <w:jc w:val="both"/>
        <w:ind w:right="160" w:firstLine="556"/>
        <w:spacing w:after="0" w:line="272" w:lineRule="auto"/>
        <w:rPr>
          <w:sz w:val="20"/>
          <w:szCs w:val="20"/>
          <w:color w:val="auto"/>
        </w:rPr>
      </w:pPr>
      <w:r>
        <w:rPr>
          <w:rFonts w:ascii="Arial" w:cs="Arial" w:eastAsia="Arial" w:hAnsi="Arial"/>
          <w:sz w:val="13"/>
          <w:szCs w:val="13"/>
          <w:color w:val="auto"/>
        </w:rPr>
        <w:t>Our sales and marketing expenses consist of personnel-related costs, purchased services, travel costs, social security, transport costs and depreciation. If we obtain regulatory approval for any of our product candidates and do not enter into any third-party commercialization collaborations, we expect to incur significant expenses related to building a sales and marketing team to support sales, marketing and distribution activities.</w:t>
      </w:r>
    </w:p>
    <w:p>
      <w:pPr>
        <w:spacing w:after="0" w:line="132" w:lineRule="exact"/>
        <w:rPr>
          <w:sz w:val="20"/>
          <w:szCs w:val="20"/>
          <w:color w:val="auto"/>
        </w:rPr>
      </w:pPr>
    </w:p>
    <w:p>
      <w:pPr>
        <w:ind w:right="480" w:firstLine="556"/>
        <w:spacing w:after="0" w:line="287" w:lineRule="auto"/>
        <w:rPr>
          <w:sz w:val="20"/>
          <w:szCs w:val="20"/>
          <w:color w:val="auto"/>
        </w:rPr>
      </w:pPr>
      <w:r>
        <w:rPr>
          <w:rFonts w:ascii="Arial" w:cs="Arial" w:eastAsia="Arial" w:hAnsi="Arial"/>
          <w:sz w:val="13"/>
          <w:szCs w:val="13"/>
          <w:color w:val="auto"/>
        </w:rPr>
        <w:t>Sales and marketing expenses amounted to €2.7 million in the year ended December 31, 2019, €0.2 million of which constituted expenses for purchased services. Sales and marketing expenses amounted to €3.0 million in the year ended December 31, 2018, €0.8 million of which constituted expenses for purchased services.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98" w:name="page199"/>
    <w:bookmarkEnd w:id="198"/>
    <w:p>
      <w:pPr>
        <w:ind w:left="560"/>
        <w:spacing w:after="0"/>
        <w:rPr>
          <w:sz w:val="20"/>
          <w:szCs w:val="20"/>
          <w:color w:val="auto"/>
        </w:rPr>
      </w:pPr>
      <w:r>
        <w:rPr>
          <w:rFonts w:ascii="Arial" w:cs="Arial" w:eastAsia="Arial" w:hAnsi="Arial"/>
          <w:sz w:val="13"/>
          <w:szCs w:val="13"/>
          <w:color w:val="auto"/>
        </w:rPr>
        <w:t>Our sales and marketing expenses amounted to €6.6 million in the year ended December 31, 2017, €2.8 million of which constituted expenses for purchased services.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General and Administrative Expenses</w:t>
      </w:r>
    </w:p>
    <w:p>
      <w:pPr>
        <w:spacing w:after="0" w:line="90" w:lineRule="exact"/>
        <w:rPr>
          <w:sz w:val="20"/>
          <w:szCs w:val="20"/>
          <w:color w:val="auto"/>
        </w:rPr>
      </w:pPr>
    </w:p>
    <w:p>
      <w:pPr>
        <w:ind w:right="200" w:firstLine="556"/>
        <w:spacing w:after="0" w:line="272" w:lineRule="auto"/>
        <w:rPr>
          <w:sz w:val="20"/>
          <w:szCs w:val="20"/>
          <w:color w:val="auto"/>
        </w:rPr>
      </w:pPr>
      <w:r>
        <w:rPr>
          <w:rFonts w:ascii="Arial" w:cs="Arial" w:eastAsia="Arial" w:hAnsi="Arial"/>
          <w:sz w:val="13"/>
          <w:szCs w:val="13"/>
          <w:color w:val="auto"/>
        </w:rPr>
        <w:t>General and administrative expenses consist primarily of personnel-related costs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Pr>
          <w:p>
            <w:pPr>
              <w:ind w:left="560"/>
              <w:spacing w:after="0"/>
              <w:rPr>
                <w:sz w:val="20"/>
                <w:szCs w:val="20"/>
                <w:color w:val="auto"/>
              </w:rPr>
            </w:pPr>
            <w:r>
              <w:rPr>
                <w:rFonts w:ascii="Arial" w:cs="Arial" w:eastAsia="Arial" w:hAnsi="Arial"/>
                <w:sz w:val="13"/>
                <w:szCs w:val="13"/>
                <w:color w:val="auto"/>
              </w:rPr>
              <w:t>The following table summarizes our general and administrative expenses for the periods indicated:</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17"/>
        </w:trPr>
        <w:tc>
          <w:tcPr>
            <w:tcW w:w="6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r>
      <w:tr>
        <w:trPr>
          <w:trHeight w:val="173"/>
        </w:trPr>
        <w:tc>
          <w:tcPr>
            <w:tcW w:w="6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1600" w:type="dxa"/>
            <w:vAlign w:val="bottom"/>
            <w:tcBorders>
              <w:bottom w:val="single" w:sz="8" w:color="70AD47"/>
              <w:right w:val="single" w:sz="8" w:color="70AD47"/>
            </w:tcBorders>
          </w:tcPr>
          <w:p>
            <w:pPr>
              <w:spacing w:after="0"/>
              <w:rPr>
                <w:sz w:val="14"/>
                <w:szCs w:val="14"/>
                <w:color w:val="auto"/>
              </w:rPr>
            </w:pPr>
          </w:p>
        </w:tc>
        <w:tc>
          <w:tcPr>
            <w:tcW w:w="1580" w:type="dxa"/>
            <w:vAlign w:val="bottom"/>
            <w:tcBorders>
              <w:bottom w:val="single" w:sz="8" w:color="70AD47"/>
            </w:tcBorders>
          </w:tcPr>
          <w:p>
            <w:pPr>
              <w:spacing w:after="0"/>
              <w:rPr>
                <w:sz w:val="14"/>
                <w:szCs w:val="14"/>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General and administrative expenses</w:t>
            </w:r>
          </w:p>
        </w:tc>
        <w:tc>
          <w:tcPr>
            <w:tcW w:w="1600" w:type="dxa"/>
            <w:vAlign w:val="bottom"/>
            <w:tcBorders>
              <w:right w:val="single" w:sz="8" w:color="70AD47"/>
            </w:tcBorders>
            <w:shd w:val="clear" w:color="auto" w:fill="C6E0B4"/>
          </w:tcPr>
          <w:p>
            <w:pPr>
              <w:spacing w:after="0"/>
              <w:rPr>
                <w:sz w:val="14"/>
                <w:szCs w:val="14"/>
                <w:color w:val="auto"/>
              </w:rPr>
            </w:pPr>
          </w:p>
        </w:tc>
        <w:tc>
          <w:tcPr>
            <w:tcW w:w="1600" w:type="dxa"/>
            <w:vAlign w:val="bottom"/>
            <w:tcBorders>
              <w:right w:val="single" w:sz="8" w:color="70AD47"/>
            </w:tcBorders>
          </w:tcPr>
          <w:p>
            <w:pPr>
              <w:spacing w:after="0"/>
              <w:rPr>
                <w:sz w:val="14"/>
                <w:szCs w:val="14"/>
                <w:color w:val="auto"/>
              </w:rPr>
            </w:pPr>
          </w:p>
        </w:tc>
        <w:tc>
          <w:tcPr>
            <w:tcW w:w="1580" w:type="dxa"/>
            <w:vAlign w:val="bottom"/>
          </w:tcPr>
          <w:p>
            <w:pPr>
              <w:spacing w:after="0"/>
              <w:rPr>
                <w:sz w:val="14"/>
                <w:szCs w:val="14"/>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Wages, benefits and social security expense</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€19,122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€8,582</w:t>
            </w:r>
          </w:p>
        </w:tc>
        <w:tc>
          <w:tcPr>
            <w:tcW w:w="1580" w:type="dxa"/>
            <w:vAlign w:val="bottom"/>
          </w:tcPr>
          <w:p>
            <w:pPr>
              <w:jc w:val="right"/>
              <w:spacing w:after="0"/>
              <w:rPr>
                <w:sz w:val="20"/>
                <w:szCs w:val="20"/>
                <w:color w:val="auto"/>
              </w:rPr>
            </w:pPr>
            <w:r>
              <w:rPr>
                <w:rFonts w:ascii="Arial" w:cs="Arial" w:eastAsia="Arial" w:hAnsi="Arial"/>
                <w:sz w:val="13"/>
                <w:szCs w:val="13"/>
                <w:color w:val="auto"/>
              </w:rPr>
              <w:t>€9,861</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Purchased services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6,419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5,177</w:t>
            </w:r>
          </w:p>
        </w:tc>
        <w:tc>
          <w:tcPr>
            <w:tcW w:w="1580" w:type="dxa"/>
            <w:vAlign w:val="bottom"/>
          </w:tcPr>
          <w:p>
            <w:pPr>
              <w:jc w:val="right"/>
              <w:spacing w:after="0"/>
              <w:rPr>
                <w:sz w:val="20"/>
                <w:szCs w:val="20"/>
                <w:color w:val="auto"/>
              </w:rPr>
            </w:pPr>
            <w:r>
              <w:rPr>
                <w:rFonts w:ascii="Arial" w:cs="Arial" w:eastAsia="Arial" w:hAnsi="Arial"/>
                <w:sz w:val="13"/>
                <w:szCs w:val="13"/>
                <w:color w:val="auto"/>
              </w:rPr>
              <w:t>3,544</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IT and office equipment</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4,573</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3,774</w:t>
            </w:r>
          </w:p>
        </w:tc>
        <w:tc>
          <w:tcPr>
            <w:tcW w:w="1580" w:type="dxa"/>
            <w:vAlign w:val="bottom"/>
          </w:tcPr>
          <w:p>
            <w:pPr>
              <w:jc w:val="right"/>
              <w:spacing w:after="0"/>
              <w:rPr>
                <w:sz w:val="20"/>
                <w:szCs w:val="20"/>
                <w:color w:val="auto"/>
              </w:rPr>
            </w:pPr>
            <w:r>
              <w:rPr>
                <w:rFonts w:ascii="Arial" w:cs="Arial" w:eastAsia="Arial" w:hAnsi="Arial"/>
                <w:sz w:val="13"/>
                <w:szCs w:val="13"/>
                <w:color w:val="auto"/>
              </w:rPr>
              <w:t>2,706</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Depreciation and amortization</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4,855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2,284</w:t>
            </w:r>
          </w:p>
        </w:tc>
        <w:tc>
          <w:tcPr>
            <w:tcW w:w="1580" w:type="dxa"/>
            <w:vAlign w:val="bottom"/>
          </w:tcPr>
          <w:p>
            <w:pPr>
              <w:jc w:val="right"/>
              <w:spacing w:after="0"/>
              <w:rPr>
                <w:sz w:val="20"/>
                <w:szCs w:val="20"/>
                <w:color w:val="auto"/>
              </w:rPr>
            </w:pPr>
            <w:r>
              <w:rPr>
                <w:rFonts w:ascii="Arial" w:cs="Arial" w:eastAsia="Arial" w:hAnsi="Arial"/>
                <w:sz w:val="13"/>
                <w:szCs w:val="13"/>
                <w:color w:val="auto"/>
              </w:rPr>
              <w:t>630</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Lease and lease related cost</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1,715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1,012</w:t>
            </w:r>
          </w:p>
        </w:tc>
        <w:tc>
          <w:tcPr>
            <w:tcW w:w="1580" w:type="dxa"/>
            <w:vAlign w:val="bottom"/>
          </w:tcPr>
          <w:p>
            <w:pPr>
              <w:jc w:val="right"/>
              <w:spacing w:after="0"/>
              <w:rPr>
                <w:sz w:val="20"/>
                <w:szCs w:val="20"/>
                <w:color w:val="auto"/>
              </w:rPr>
            </w:pPr>
            <w:r>
              <w:rPr>
                <w:rFonts w:ascii="Arial" w:cs="Arial" w:eastAsia="Arial" w:hAnsi="Arial"/>
                <w:sz w:val="13"/>
                <w:szCs w:val="13"/>
                <w:color w:val="auto"/>
              </w:rPr>
              <w:t>1,611</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Travel costs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1,391</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1,043</w:t>
            </w:r>
          </w:p>
        </w:tc>
        <w:tc>
          <w:tcPr>
            <w:tcW w:w="1580" w:type="dxa"/>
            <w:vAlign w:val="bottom"/>
          </w:tcPr>
          <w:p>
            <w:pPr>
              <w:jc w:val="right"/>
              <w:spacing w:after="0"/>
              <w:rPr>
                <w:sz w:val="20"/>
                <w:szCs w:val="20"/>
                <w:color w:val="auto"/>
              </w:rPr>
            </w:pPr>
            <w:r>
              <w:rPr>
                <w:rFonts w:ascii="Arial" w:cs="Arial" w:eastAsia="Arial" w:hAnsi="Arial"/>
                <w:sz w:val="13"/>
                <w:szCs w:val="13"/>
                <w:color w:val="auto"/>
              </w:rPr>
              <w:t>247</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Insurance premiums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1,061</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145</w:t>
            </w:r>
          </w:p>
        </w:tc>
        <w:tc>
          <w:tcPr>
            <w:tcW w:w="158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Laboratory supplies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785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456</w:t>
            </w:r>
          </w:p>
        </w:tc>
        <w:tc>
          <w:tcPr>
            <w:tcW w:w="15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Job advertisement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548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861</w:t>
            </w:r>
          </w:p>
        </w:tc>
        <w:tc>
          <w:tcPr>
            <w:tcW w:w="1580" w:type="dxa"/>
            <w:vAlign w:val="bottom"/>
          </w:tcPr>
          <w:p>
            <w:pPr>
              <w:jc w:val="right"/>
              <w:spacing w:after="0"/>
              <w:rPr>
                <w:sz w:val="20"/>
                <w:szCs w:val="20"/>
                <w:color w:val="auto"/>
              </w:rPr>
            </w:pPr>
            <w:r>
              <w:rPr>
                <w:rFonts w:ascii="Arial" w:cs="Arial" w:eastAsia="Arial" w:hAnsi="Arial"/>
                <w:sz w:val="13"/>
                <w:szCs w:val="13"/>
                <w:color w:val="auto"/>
              </w:rPr>
              <w:t>719</w:t>
            </w: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Other</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5,078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3,000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4,039</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general and administrative expenses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€45,547</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€26,334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€23,520</w:t>
            </w:r>
          </w:p>
        </w:tc>
      </w:tr>
    </w:tbl>
    <w:p>
      <w:pPr>
        <w:spacing w:after="0" w:line="181"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We anticipate general and administrative expenses will increase as research and development expands. These increases will likely relate to additional personnel and increased costs related in part to finance, legal and intellectual property-related matters along with increased expenses related to operating as a publicly traded company, such as fees related to audit, legal and tax services, regulatory compliance programs and investor relations.</w:t>
      </w:r>
    </w:p>
    <w:p>
      <w:pPr>
        <w:spacing w:after="0" w:line="132" w:lineRule="exact"/>
        <w:rPr>
          <w:sz w:val="20"/>
          <w:szCs w:val="20"/>
          <w:color w:val="auto"/>
        </w:rPr>
      </w:pPr>
    </w:p>
    <w:p>
      <w:pPr>
        <w:ind w:right="340" w:firstLine="556"/>
        <w:spacing w:after="0" w:line="304" w:lineRule="auto"/>
        <w:rPr>
          <w:sz w:val="20"/>
          <w:szCs w:val="20"/>
          <w:color w:val="auto"/>
        </w:rPr>
      </w:pPr>
      <w:r>
        <w:rPr>
          <w:rFonts w:ascii="Arial" w:cs="Arial" w:eastAsia="Arial" w:hAnsi="Arial"/>
          <w:sz w:val="12"/>
          <w:szCs w:val="12"/>
          <w:color w:val="auto"/>
        </w:rPr>
        <w:t>General and administrative expenses increased from €26.3 million during the year ended December 31, 2018 to €45.5 million during the year ended December 31, 2019. This increase was mainly influenced by an increase in headcount and the full-year reflection of the ESOP program expenses during the year ended December 31, 2019 as well as a charge of €2.6 million in connection with certain withholding tax payments for intellectual property licenses related to prior years that was recorded during the year ended December 31, 2019 but not during the year ended December 31, 2018.</w:t>
      </w:r>
    </w:p>
    <w:p>
      <w:pPr>
        <w:spacing w:after="0" w:line="116" w:lineRule="exact"/>
        <w:rPr>
          <w:sz w:val="20"/>
          <w:szCs w:val="20"/>
          <w:color w:val="auto"/>
        </w:rPr>
      </w:pPr>
    </w:p>
    <w:p>
      <w:pPr>
        <w:ind w:right="20" w:firstLine="556"/>
        <w:spacing w:after="0" w:line="331" w:lineRule="auto"/>
        <w:rPr>
          <w:sz w:val="20"/>
          <w:szCs w:val="20"/>
          <w:color w:val="auto"/>
        </w:rPr>
      </w:pPr>
      <w:r>
        <w:rPr>
          <w:rFonts w:ascii="Arial" w:cs="Arial" w:eastAsia="Arial" w:hAnsi="Arial"/>
          <w:sz w:val="12"/>
          <w:szCs w:val="12"/>
          <w:color w:val="auto"/>
        </w:rPr>
        <w:t>General and administrative expenses increased from €23.5 million during the year ended December 31, 2017 to €26.3 million during the year ended December 31, 2018. The relatively small increase is influenced by offsetting effects. Whereby the costs for purchased services as well as IT and office equipment increased, the costs of wages, benefits and social security expenses as well as office costs decreased.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Other Operating Income (Expenses)</w:t>
      </w:r>
    </w:p>
    <w:p>
      <w:pPr>
        <w:spacing w:after="0" w:line="90" w:lineRule="exact"/>
        <w:rPr>
          <w:sz w:val="20"/>
          <w:szCs w:val="20"/>
          <w:color w:val="auto"/>
        </w:rPr>
      </w:pPr>
    </w:p>
    <w:p>
      <w:pPr>
        <w:ind w:right="140" w:firstLine="556"/>
        <w:spacing w:after="0" w:line="272" w:lineRule="auto"/>
        <w:rPr>
          <w:sz w:val="20"/>
          <w:szCs w:val="20"/>
          <w:color w:val="auto"/>
        </w:rPr>
      </w:pPr>
      <w:r>
        <w:rPr>
          <w:rFonts w:ascii="Arial" w:cs="Arial" w:eastAsia="Arial" w:hAnsi="Arial"/>
          <w:sz w:val="13"/>
          <w:szCs w:val="13"/>
          <w:color w:val="auto"/>
        </w:rPr>
        <w:t>Our other operating income consists primarily of government grants. In the year ended December 31, 2019, our other operating income amounted to €2.7 million, €1.5 million of which constituted government grants. In the year ended December 31, 2018, our other operating income amounted to €5.4 million, €4.2 million of which constituted government grants. In the year ended December 31, 2017, our other operating income amounted to€2.3 million, most all of which was attributable to government grants.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99" w:name="page200"/>
    <w:bookmarkEnd w:id="199"/>
    <w:p>
      <w:pPr>
        <w:ind w:left="560"/>
        <w:spacing w:after="0"/>
        <w:rPr>
          <w:sz w:val="20"/>
          <w:szCs w:val="20"/>
          <w:color w:val="auto"/>
        </w:rPr>
      </w:pPr>
      <w:r>
        <w:rPr>
          <w:rFonts w:ascii="Arial" w:cs="Arial" w:eastAsia="Arial" w:hAnsi="Arial"/>
          <w:sz w:val="13"/>
          <w:szCs w:val="13"/>
          <w:b w:val="1"/>
          <w:bCs w:val="1"/>
          <w:i w:val="1"/>
          <w:iCs w:val="1"/>
          <w:color w:val="auto"/>
        </w:rPr>
        <w:t>Finance Income (Expenses)</w:t>
      </w:r>
    </w:p>
    <w:p>
      <w:pPr>
        <w:spacing w:after="0" w:line="90" w:lineRule="exact"/>
        <w:rPr>
          <w:sz w:val="20"/>
          <w:szCs w:val="20"/>
          <w:color w:val="auto"/>
        </w:rPr>
      </w:pPr>
    </w:p>
    <w:p>
      <w:pPr>
        <w:ind w:right="200" w:firstLine="556"/>
        <w:spacing w:after="0" w:line="272" w:lineRule="auto"/>
        <w:rPr>
          <w:sz w:val="20"/>
          <w:szCs w:val="20"/>
          <w:color w:val="auto"/>
        </w:rPr>
      </w:pPr>
      <w:r>
        <w:rPr>
          <w:rFonts w:ascii="Arial" w:cs="Arial" w:eastAsia="Arial" w:hAnsi="Arial"/>
          <w:sz w:val="13"/>
          <w:szCs w:val="13"/>
          <w:color w:val="auto"/>
        </w:rPr>
        <w:t>Our finance income consists of interest income on cash and foreign exchange gains. In the year ended December 31, 2019, our finance income amounted to €4.1 million, €2.3 million of which were attributable to unrealized foreign exchange gains. In the year ended December 31, 2018, our finance income amounted to €8.0 million, €6.1 million of which were attributable to unrealized foreign exchange gains. In the year ended December 31, 2017, no foreign exchange gains were reported under finance income and our finance income amounted to €2.1 million.</w:t>
      </w:r>
    </w:p>
    <w:p>
      <w:pPr>
        <w:spacing w:after="0" w:line="132"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auto"/>
        </w:rPr>
        <w:t>In the year ended December 31, 2019, our finance expense amounted to €0.3 million. In the year ended December 31, 2018, our finance expense amounted to €48 thousand. In both years, no foreign exchange losses were reported under finance expense. In the year ended December 31, 2017, our finance expense amounted to €26.0 million, most of which was attributable to unrealized foreign exchange losses resulting from unhedged U.S. dollar cash accounts.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Tax Losses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have accumulated tax losses with respect to corporate tax and trade tax. As at December 31, 2019, our accumulated tax losses amounted to €356.0 million with respect to corporate tax and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€352.3 million with respect to trade tax. We had accumulated tax losses of €179.3 million with respect to corporate tax and €176.4 million with respect to trade tax as at December 31, 2018. We had accumulated</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tax losses of €178.5 million with respect to corporate tax and €176.0 million with respect to trade tax as at December 31, 2017.</w:t>
      </w:r>
    </w:p>
    <w:p>
      <w:pPr>
        <w:spacing w:after="0" w:line="162" w:lineRule="exact"/>
        <w:rPr>
          <w:sz w:val="20"/>
          <w:szCs w:val="20"/>
          <w:color w:val="auto"/>
        </w:rPr>
      </w:pPr>
    </w:p>
    <w:p>
      <w:pPr>
        <w:jc w:val="both"/>
        <w:ind w:right="60" w:firstLine="556"/>
        <w:spacing w:after="0" w:line="272" w:lineRule="auto"/>
        <w:rPr>
          <w:sz w:val="20"/>
          <w:szCs w:val="20"/>
          <w:color w:val="auto"/>
        </w:rPr>
      </w:pPr>
      <w:r>
        <w:rPr>
          <w:rFonts w:ascii="Arial" w:cs="Arial" w:eastAsia="Arial" w:hAnsi="Arial"/>
          <w:sz w:val="13"/>
          <w:szCs w:val="13"/>
          <w:color w:val="auto"/>
        </w:rPr>
        <w:t>Deferred tax assets on tax losses have not been capitalized as there is not sufficient probability in terms of IAS 12 that there will be future taxable profits available against which the unused tax losses can be utilized. The accumulated tax losses as at December 31, 2019 relate to Germany and the United States (as at December 31, 2018 and December 31, 2017: Germany). There is no expiration date for any of the accumulated tax losses under German or US tax law.</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Information About Our Business Units and Operating Segments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Our business is managed in two business units: our biotech business unit and our external services business unit. Our biotech business unit is comprised of the following three operating segments:</w:t>
      </w:r>
    </w:p>
    <w:p>
      <w:pPr>
        <w:spacing w:after="0" w:line="88" w:lineRule="exact"/>
        <w:rPr>
          <w:sz w:val="20"/>
          <w:szCs w:val="20"/>
          <w:color w:val="auto"/>
        </w:rPr>
      </w:pPr>
    </w:p>
    <w:p>
      <w:pPr>
        <w:ind w:left="1020" w:hanging="340"/>
        <w:spacing w:after="0" w:line="275" w:lineRule="auto"/>
        <w:tabs>
          <w:tab w:leader="none" w:pos="102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 xml:space="preserve">The </w:t>
      </w:r>
      <w:r>
        <w:rPr>
          <w:rFonts w:ascii="Arial" w:cs="Arial" w:eastAsia="Arial" w:hAnsi="Arial"/>
          <w:sz w:val="13"/>
          <w:szCs w:val="13"/>
          <w:b w:val="1"/>
          <w:bCs w:val="1"/>
          <w:color w:val="auto"/>
        </w:rPr>
        <w:t>Clinical</w:t>
      </w:r>
      <w:r>
        <w:rPr>
          <w:rFonts w:ascii="Arial" w:cs="Arial" w:eastAsia="Arial" w:hAnsi="Arial"/>
          <w:sz w:val="13"/>
          <w:szCs w:val="13"/>
          <w:color w:val="auto"/>
        </w:rPr>
        <w:t xml:space="preserve"> segment contains all development activities relating to clinical programs. Clinical trials include testing the product candidates on humans. Clinical trials are an essential part of the development and licensing of the pharmaceutical products and are performed before the respective product can be placed on the market. We are actively engaged in many collaborations and licensing deals with leading pharmaceutical companies and academic collaborators.</w:t>
      </w:r>
    </w:p>
    <w:p>
      <w:pPr>
        <w:spacing w:after="0" w:line="36" w:lineRule="exact"/>
        <w:rPr>
          <w:rFonts w:ascii="Arial" w:cs="Arial" w:eastAsia="Arial" w:hAnsi="Arial"/>
          <w:sz w:val="13"/>
          <w:szCs w:val="13"/>
          <w:color w:val="auto"/>
        </w:rPr>
      </w:pPr>
    </w:p>
    <w:p>
      <w:pPr>
        <w:ind w:left="1020" w:right="160" w:hanging="340"/>
        <w:spacing w:after="0" w:line="294" w:lineRule="auto"/>
        <w:tabs>
          <w:tab w:leader="none" w:pos="102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 xml:space="preserve">The </w:t>
      </w:r>
      <w:r>
        <w:rPr>
          <w:rFonts w:ascii="Arial" w:cs="Arial" w:eastAsia="Arial" w:hAnsi="Arial"/>
          <w:sz w:val="13"/>
          <w:szCs w:val="13"/>
          <w:b w:val="1"/>
          <w:bCs w:val="1"/>
          <w:color w:val="auto"/>
        </w:rPr>
        <w:t>Technology Platform</w:t>
      </w:r>
      <w:r>
        <w:rPr>
          <w:rFonts w:ascii="Arial" w:cs="Arial" w:eastAsia="Arial" w:hAnsi="Arial"/>
          <w:sz w:val="13"/>
          <w:szCs w:val="13"/>
          <w:color w:val="auto"/>
        </w:rPr>
        <w:t xml:space="preserve"> segment contains all development activities relating to preclinical programs. Preclinical development is the stage of research that begins before clinical trials. It is performed to determine the desired pharmacological effects and to identify any unwanted effects that may cause adverse reactions during human exposure.</w:t>
      </w:r>
    </w:p>
    <w:p>
      <w:pPr>
        <w:spacing w:after="0" w:line="23" w:lineRule="exact"/>
        <w:rPr>
          <w:rFonts w:ascii="Arial" w:cs="Arial" w:eastAsia="Arial" w:hAnsi="Arial"/>
          <w:sz w:val="13"/>
          <w:szCs w:val="13"/>
          <w:color w:val="auto"/>
        </w:rPr>
      </w:pPr>
    </w:p>
    <w:p>
      <w:pPr>
        <w:ind w:left="1020" w:right="140" w:hanging="340"/>
        <w:spacing w:after="0" w:line="275" w:lineRule="auto"/>
        <w:tabs>
          <w:tab w:leader="none" w:pos="102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 xml:space="preserve">The </w:t>
      </w:r>
      <w:r>
        <w:rPr>
          <w:rFonts w:ascii="Arial" w:cs="Arial" w:eastAsia="Arial" w:hAnsi="Arial"/>
          <w:sz w:val="13"/>
          <w:szCs w:val="13"/>
          <w:b w:val="1"/>
          <w:bCs w:val="1"/>
          <w:color w:val="auto"/>
        </w:rPr>
        <w:t>Manufacturing</w:t>
      </w:r>
      <w:r>
        <w:rPr>
          <w:rFonts w:ascii="Arial" w:cs="Arial" w:eastAsia="Arial" w:hAnsi="Arial"/>
          <w:sz w:val="13"/>
          <w:szCs w:val="13"/>
          <w:color w:val="auto"/>
        </w:rPr>
        <w:t xml:space="preserve"> segment is an essential part of the research and development process as it includes the manufacturing unit of mRNA and engineered cell therapies. All of the medical substances and tools that form the basis for the research studies performed by BioNTech are manufactured in this segment (</w:t>
      </w:r>
      <w:r>
        <w:rPr>
          <w:rFonts w:ascii="Arial" w:cs="Arial" w:eastAsia="Arial" w:hAnsi="Arial"/>
          <w:sz w:val="13"/>
          <w:szCs w:val="13"/>
          <w:i w:val="1"/>
          <w:iCs w:val="1"/>
          <w:color w:val="auto"/>
        </w:rPr>
        <w:t>i.e.</w:t>
      </w:r>
      <w:r>
        <w:rPr>
          <w:rFonts w:ascii="Arial" w:cs="Arial" w:eastAsia="Arial" w:hAnsi="Arial"/>
          <w:sz w:val="13"/>
          <w:szCs w:val="13"/>
          <w:color w:val="auto"/>
        </w:rPr>
        <w:t>, the Manufacturing segment contains only internally produced substances and tools).</w:t>
      </w:r>
    </w:p>
    <w:p>
      <w:pPr>
        <w:spacing w:after="0" w:line="130"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Our biotech business unit also includes our business services operations. Our business services operations comprise our central administrative functions, such as finance, procurement, human resources, legal and intellectual property. Revenue and expenses relating to a program are attributed to the Technology Platform segment until the program commences late-stage preclinical studies, including IND-enabling studies, at which time the program revenues and expenses are attributed to the Clinical segment. In addition, the majority of our Manufacturing segment revenue and expenses are related to the development of our clinical product candidates.</w:t>
      </w:r>
    </w:p>
    <w:p>
      <w:pPr>
        <w:spacing w:after="0" w:line="135"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color w:val="auto"/>
        </w:rPr>
        <w:t>Our external services business unit comprises the external services segment, which includes activities related to the sales of diagnostic products, peptides, retroviral vectors for clinical supply, and development and manufacturing services that are sold to third-party customers.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371" w:right="339" w:bottom="1440" w:gutter="0" w:footer="0" w:header="0"/>
        </w:sectPr>
      </w:pPr>
    </w:p>
    <w:bookmarkStart w:id="200" w:name="page201"/>
    <w:bookmarkEnd w:id="200"/>
    <w:p>
      <w:pPr>
        <w:ind w:left="560"/>
        <w:spacing w:after="0"/>
        <w:rPr>
          <w:sz w:val="20"/>
          <w:szCs w:val="20"/>
          <w:color w:val="auto"/>
        </w:rPr>
      </w:pPr>
      <w:r>
        <w:rPr>
          <w:rFonts w:ascii="Arial" w:cs="Arial" w:eastAsia="Arial" w:hAnsi="Arial"/>
          <w:sz w:val="13"/>
          <w:szCs w:val="13"/>
          <w:b w:val="1"/>
          <w:bCs w:val="1"/>
          <w:color w:val="231F20"/>
        </w:rPr>
        <w:t>Biotech Business Unit</w:t>
      </w:r>
    </w:p>
    <w:p>
      <w:pPr>
        <w:spacing w:after="0" w:line="94"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color w:val="auto"/>
        </w:rPr>
        <w:t>The following table summarizes the statements of operations of our biotech business unit, consisting of the Clinical, Technology Platform and Manufacturing segments and the associated business services operations for each period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13"/>
                <w:szCs w:val="13"/>
                <w:color w:val="auto"/>
              </w:rPr>
            </w:pPr>
          </w:p>
        </w:tc>
      </w:tr>
      <w:tr>
        <w:trPr>
          <w:trHeight w:val="173"/>
        </w:trPr>
        <w:tc>
          <w:tcPr>
            <w:tcW w:w="6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1600" w:type="dxa"/>
            <w:vAlign w:val="bottom"/>
            <w:tcBorders>
              <w:bottom w:val="single" w:sz="8" w:color="70AD47"/>
              <w:right w:val="single" w:sz="8" w:color="70AD47"/>
            </w:tcBorders>
          </w:tcPr>
          <w:p>
            <w:pPr>
              <w:spacing w:after="0"/>
              <w:rPr>
                <w:sz w:val="14"/>
                <w:szCs w:val="14"/>
                <w:color w:val="auto"/>
              </w:rPr>
            </w:pPr>
          </w:p>
        </w:tc>
        <w:tc>
          <w:tcPr>
            <w:tcW w:w="1580" w:type="dxa"/>
            <w:vAlign w:val="bottom"/>
            <w:tcBorders>
              <w:bottom w:val="single" w:sz="8" w:color="70AD47"/>
            </w:tcBorders>
          </w:tcPr>
          <w:p>
            <w:pPr>
              <w:spacing w:after="0"/>
              <w:rPr>
                <w:sz w:val="14"/>
                <w:szCs w:val="14"/>
                <w:color w:val="auto"/>
              </w:rPr>
            </w:pPr>
          </w:p>
        </w:tc>
      </w:tr>
      <w:tr>
        <w:trPr>
          <w:trHeight w:val="33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Revenues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€85,122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€108,662</w:t>
            </w:r>
          </w:p>
        </w:tc>
        <w:tc>
          <w:tcPr>
            <w:tcW w:w="1580" w:type="dxa"/>
            <w:vAlign w:val="bottom"/>
          </w:tcPr>
          <w:p>
            <w:pPr>
              <w:jc w:val="right"/>
              <w:spacing w:after="0"/>
              <w:rPr>
                <w:sz w:val="20"/>
                <w:szCs w:val="20"/>
                <w:color w:val="auto"/>
              </w:rPr>
            </w:pPr>
            <w:r>
              <w:rPr>
                <w:rFonts w:ascii="Arial" w:cs="Arial" w:eastAsia="Arial" w:hAnsi="Arial"/>
                <w:sz w:val="13"/>
                <w:szCs w:val="13"/>
                <w:color w:val="auto"/>
              </w:rPr>
              <w:t>€42,657</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Cost of sales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(40)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Gross profit</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€85,122</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€108,622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€42,657</w:t>
            </w:r>
          </w:p>
        </w:tc>
      </w:tr>
      <w:tr>
        <w:trPr>
          <w:trHeight w:val="33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Research and development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(226,305)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(142,448)</w:t>
            </w:r>
          </w:p>
        </w:tc>
        <w:tc>
          <w:tcPr>
            <w:tcW w:w="1580" w:type="dxa"/>
            <w:vAlign w:val="bottom"/>
          </w:tcPr>
          <w:p>
            <w:pPr>
              <w:jc w:val="right"/>
              <w:spacing w:after="0"/>
              <w:rPr>
                <w:sz w:val="20"/>
                <w:szCs w:val="20"/>
                <w:color w:val="auto"/>
              </w:rPr>
            </w:pPr>
            <w:r>
              <w:rPr>
                <w:rFonts w:ascii="Arial" w:cs="Arial" w:eastAsia="Arial" w:hAnsi="Arial"/>
                <w:sz w:val="13"/>
                <w:szCs w:val="13"/>
                <w:color w:val="auto"/>
              </w:rPr>
              <w:t>(83,583)</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Sales and marketing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(1,302)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(2,106)</w:t>
            </w:r>
          </w:p>
        </w:tc>
        <w:tc>
          <w:tcPr>
            <w:tcW w:w="1580" w:type="dxa"/>
            <w:vAlign w:val="bottom"/>
          </w:tcPr>
          <w:p>
            <w:pPr>
              <w:jc w:val="right"/>
              <w:spacing w:after="0"/>
              <w:rPr>
                <w:sz w:val="20"/>
                <w:szCs w:val="20"/>
                <w:color w:val="auto"/>
              </w:rPr>
            </w:pPr>
            <w:r>
              <w:rPr>
                <w:rFonts w:ascii="Arial" w:cs="Arial" w:eastAsia="Arial" w:hAnsi="Arial"/>
                <w:sz w:val="13"/>
                <w:szCs w:val="13"/>
                <w:color w:val="auto"/>
              </w:rPr>
              <w:t>(4,904)</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General and administrative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(42,577)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(23,791)</w:t>
            </w:r>
          </w:p>
        </w:tc>
        <w:tc>
          <w:tcPr>
            <w:tcW w:w="1580" w:type="dxa"/>
            <w:vAlign w:val="bottom"/>
          </w:tcPr>
          <w:p>
            <w:pPr>
              <w:jc w:val="right"/>
              <w:spacing w:after="0"/>
              <w:rPr>
                <w:sz w:val="20"/>
                <w:szCs w:val="20"/>
                <w:color w:val="auto"/>
              </w:rPr>
            </w:pPr>
            <w:r>
              <w:rPr>
                <w:rFonts w:ascii="Arial" w:cs="Arial" w:eastAsia="Arial" w:hAnsi="Arial"/>
                <w:sz w:val="13"/>
                <w:szCs w:val="13"/>
                <w:color w:val="auto"/>
              </w:rPr>
              <w:t>(21,094)</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Other result</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1,514</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4,065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1,598</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Operating loss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€(183,548)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€(55,659)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€(65,326)</w:t>
            </w:r>
          </w:p>
        </w:tc>
      </w:tr>
    </w:tbl>
    <w:p>
      <w:pPr>
        <w:spacing w:after="0" w:line="200" w:lineRule="exact"/>
        <w:rPr>
          <w:sz w:val="20"/>
          <w:szCs w:val="20"/>
          <w:color w:val="auto"/>
        </w:rPr>
      </w:pPr>
    </w:p>
    <w:p>
      <w:pPr>
        <w:sectPr>
          <w:pgSz w:w="11900" w:h="16838" w:orient="portrait"/>
          <w:cols w:equalWidth="0" w:num="1">
            <w:col w:w="11280"/>
          </w:cols>
          <w:pgMar w:left="300" w:top="367" w:right="319" w:bottom="1440" w:gutter="0" w:footer="0" w:header="0"/>
        </w:sectPr>
      </w:pPr>
    </w:p>
    <w:p>
      <w:pPr>
        <w:spacing w:after="0" w:line="3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Comparison of the year ended December 31, 2019 and year ended December 31, 2018</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Revenue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summarizes the revenue of our biotech business unit by segment for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2320" w:type="dxa"/>
            <w:vAlign w:val="bottom"/>
            <w:gridSpan w:val="2"/>
          </w:tcPr>
          <w:p>
            <w:pPr>
              <w:jc w:val="center"/>
              <w:ind w:left="773"/>
              <w:spacing w:after="0"/>
              <w:rPr>
                <w:sz w:val="20"/>
                <w:szCs w:val="20"/>
                <w:color w:val="auto"/>
              </w:rPr>
            </w:pPr>
            <w:r>
              <w:rPr>
                <w:rFonts w:ascii="Arial" w:cs="Arial" w:eastAsia="Arial" w:hAnsi="Arial"/>
                <w:sz w:val="13"/>
                <w:szCs w:val="13"/>
                <w:b w:val="1"/>
                <w:bCs w:val="1"/>
                <w:color w:val="auto"/>
                <w:w w:val="87"/>
              </w:rPr>
              <w:t>Years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2320" w:type="dxa"/>
            <w:vAlign w:val="bottom"/>
            <w:gridSpan w:val="2"/>
          </w:tcPr>
          <w:p>
            <w:pPr>
              <w:jc w:val="center"/>
              <w:ind w:left="793"/>
              <w:spacing w:after="0"/>
              <w:rPr>
                <w:sz w:val="20"/>
                <w:szCs w:val="20"/>
                <w:color w:val="auto"/>
              </w:rPr>
            </w:pPr>
            <w:r>
              <w:rPr>
                <w:rFonts w:ascii="Arial" w:cs="Arial" w:eastAsia="Arial" w:hAnsi="Arial"/>
                <w:sz w:val="13"/>
                <w:szCs w:val="13"/>
                <w:b w:val="1"/>
                <w:bCs w:val="1"/>
                <w:color w:val="auto"/>
                <w:w w:val="92"/>
              </w:rPr>
              <w:t>December 31,</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7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720" w:type="dxa"/>
            <w:vAlign w:val="bottom"/>
            <w:tcBorders>
              <w:bottom w:val="single" w:sz="8" w:color="70AD47"/>
            </w:tcBorders>
          </w:tcPr>
          <w:p>
            <w:pPr>
              <w:spacing w:after="0"/>
              <w:rPr>
                <w:sz w:val="14"/>
                <w:szCs w:val="14"/>
                <w:color w:val="auto"/>
              </w:rPr>
            </w:pPr>
          </w:p>
        </w:tc>
        <w:tc>
          <w:tcPr>
            <w:tcW w:w="86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Revenues</w:t>
            </w:r>
          </w:p>
        </w:tc>
        <w:tc>
          <w:tcPr>
            <w:tcW w:w="1600" w:type="dxa"/>
            <w:vAlign w:val="bottom"/>
            <w:tcBorders>
              <w:right w:val="single" w:sz="8" w:color="70AD47"/>
            </w:tcBorders>
            <w:shd w:val="clear" w:color="auto" w:fill="C6E0B4"/>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Clinical</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€33,493</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€36,750</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Technology Platform</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2,839</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46,235</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Manufacturing</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48,790</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25,635</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Business Service</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70AD47"/>
            </w:tcBorders>
          </w:tcPr>
          <w:p>
            <w:pPr>
              <w:spacing w:after="0"/>
              <w:rPr>
                <w:sz w:val="14"/>
                <w:szCs w:val="14"/>
                <w:color w:val="auto"/>
              </w:rPr>
            </w:pPr>
          </w:p>
        </w:tc>
        <w:tc>
          <w:tcPr>
            <w:tcW w:w="8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unit revenues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€85,122</w:t>
            </w:r>
          </w:p>
        </w:tc>
        <w:tc>
          <w:tcPr>
            <w:tcW w:w="720" w:type="dxa"/>
            <w:vAlign w:val="bottom"/>
            <w:tcBorders>
              <w:bottom w:val="single" w:sz="8" w:color="70AD47"/>
            </w:tcBorders>
          </w:tcPr>
          <w:p>
            <w:pPr>
              <w:spacing w:after="0"/>
              <w:rPr>
                <w:sz w:val="13"/>
                <w:szCs w:val="13"/>
                <w:color w:val="auto"/>
              </w:rPr>
            </w:pPr>
          </w:p>
        </w:tc>
        <w:tc>
          <w:tcPr>
            <w:tcW w:w="8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€108,662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Change</w:t>
      </w:r>
    </w:p>
    <w:p>
      <w:pPr>
        <w:spacing w:after="0" w:line="23" w:lineRule="exact"/>
        <w:rPr>
          <w:sz w:val="20"/>
          <w:szCs w:val="20"/>
          <w:color w:val="auto"/>
        </w:rPr>
      </w:pPr>
    </w:p>
    <w:p>
      <w:pPr>
        <w:ind w:left="760" w:hanging="710"/>
        <w:spacing w:after="0"/>
        <w:tabs>
          <w:tab w:leader="none" w:pos="760" w:val="left"/>
        </w:tabs>
        <w:numPr>
          <w:ilvl w:val="0"/>
          <w:numId w:val="234"/>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120650</wp:posOffset>
            </wp:positionV>
            <wp:extent cx="94615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352"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3"/>
          <w:szCs w:val="13"/>
          <w:color w:val="auto"/>
        </w:rPr>
        <w:t>€(3,257)</w:t>
      </w:r>
      <w:r>
        <w:rPr>
          <w:sz w:val="20"/>
          <w:szCs w:val="20"/>
          <w:color w:val="auto"/>
        </w:rPr>
        <w:tab/>
      </w:r>
      <w:r>
        <w:rPr>
          <w:rFonts w:ascii="Arial" w:cs="Arial" w:eastAsia="Arial" w:hAnsi="Arial"/>
          <w:sz w:val="13"/>
          <w:szCs w:val="13"/>
          <w:color w:val="auto"/>
        </w:rPr>
        <w:t>(9)</w:t>
      </w:r>
    </w:p>
    <w:p>
      <w:pPr>
        <w:spacing w:after="0" w:line="20"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2"/>
          <w:szCs w:val="12"/>
          <w:color w:val="auto"/>
        </w:rPr>
        <w:t>(43,396)</w:t>
      </w:r>
      <w:r>
        <w:rPr>
          <w:sz w:val="20"/>
          <w:szCs w:val="20"/>
          <w:color w:val="auto"/>
        </w:rPr>
        <w:tab/>
      </w:r>
      <w:r>
        <w:rPr>
          <w:rFonts w:ascii="Arial" w:cs="Arial" w:eastAsia="Arial" w:hAnsi="Arial"/>
          <w:sz w:val="12"/>
          <w:szCs w:val="12"/>
          <w:color w:val="auto"/>
        </w:rPr>
        <w:t>(94)</w:t>
      </w:r>
    </w:p>
    <w:p>
      <w:pPr>
        <w:spacing w:after="0" w:line="32"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2"/>
          <w:szCs w:val="12"/>
          <w:color w:val="auto"/>
        </w:rPr>
        <w:t>23,155</w:t>
      </w:r>
      <w:r>
        <w:rPr>
          <w:sz w:val="20"/>
          <w:szCs w:val="20"/>
          <w:color w:val="auto"/>
        </w:rPr>
        <w:tab/>
      </w:r>
      <w:r>
        <w:rPr>
          <w:rFonts w:ascii="Arial" w:cs="Arial" w:eastAsia="Arial" w:hAnsi="Arial"/>
          <w:sz w:val="12"/>
          <w:szCs w:val="12"/>
          <w:color w:val="auto"/>
        </w:rPr>
        <w:t>90</w:t>
      </w:r>
    </w:p>
    <w:p>
      <w:pPr>
        <w:spacing w:after="0" w:line="32" w:lineRule="exact"/>
        <w:rPr>
          <w:sz w:val="20"/>
          <w:szCs w:val="20"/>
          <w:color w:val="auto"/>
        </w:rPr>
      </w:pPr>
    </w:p>
    <w:p>
      <w:pPr>
        <w:ind w:left="820" w:hanging="514"/>
        <w:spacing w:after="0"/>
        <w:tabs>
          <w:tab w:leader="none" w:pos="82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(100)</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€(23,540)</w:t>
      </w: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14605</wp:posOffset>
            </wp:positionV>
            <wp:extent cx="94615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46150" cy="6350"/>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-99060</wp:posOffset>
            </wp:positionV>
            <wp:extent cx="94615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680" w:space="480"/>
            <w:col w:w="1120"/>
          </w:cols>
          <w:pgMar w:left="300" w:top="367" w:right="319" w:bottom="1440" w:gutter="0" w:footer="0" w:header="0"/>
          <w:type w:val="continuous"/>
        </w:sectPr>
      </w:pPr>
    </w:p>
    <w:p>
      <w:pPr>
        <w:spacing w:after="0" w:line="31" w:lineRule="exact"/>
        <w:rPr>
          <w:sz w:val="20"/>
          <w:szCs w:val="20"/>
          <w:color w:val="auto"/>
        </w:rPr>
      </w:pPr>
    </w:p>
    <w:p>
      <w:pPr>
        <w:jc w:val="both"/>
        <w:ind w:right="460" w:firstLine="554"/>
        <w:spacing w:after="0" w:line="331" w:lineRule="auto"/>
        <w:rPr>
          <w:sz w:val="20"/>
          <w:szCs w:val="20"/>
          <w:color w:val="auto"/>
        </w:rPr>
      </w:pPr>
      <w:r>
        <w:rPr>
          <w:rFonts w:ascii="Arial" w:cs="Arial" w:eastAsia="Arial" w:hAnsi="Arial"/>
          <w:sz w:val="12"/>
          <w:szCs w:val="12"/>
          <w:color w:val="auto"/>
        </w:rPr>
        <w:t>Revenue of our biotech business unit decreased by €23.5 million, or 22%, to €85.1 million in the year ended December 31, 2019 from €108.7 million in the year ended December 31, 2018. The decrease was primarily driven by the decline of revenues of the Technology Platform segment which was partially offset by the increase in collaboration revenue generated in the Manufacturing segment.</w:t>
      </w:r>
    </w:p>
    <w:p>
      <w:pPr>
        <w:spacing w:after="0" w:line="99" w:lineRule="exact"/>
        <w:rPr>
          <w:sz w:val="20"/>
          <w:szCs w:val="20"/>
          <w:color w:val="auto"/>
        </w:rPr>
      </w:pPr>
    </w:p>
    <w:p>
      <w:pPr>
        <w:ind w:right="100" w:firstLine="556"/>
        <w:spacing w:after="0" w:line="285" w:lineRule="auto"/>
        <w:rPr>
          <w:sz w:val="20"/>
          <w:szCs w:val="20"/>
          <w:color w:val="auto"/>
        </w:rPr>
      </w:pPr>
      <w:r>
        <w:rPr>
          <w:rFonts w:ascii="Arial" w:cs="Arial" w:eastAsia="Arial" w:hAnsi="Arial"/>
          <w:sz w:val="12"/>
          <w:szCs w:val="12"/>
          <w:color w:val="auto"/>
        </w:rPr>
        <w:t>The decrease in revenue in our Clinical segment of €3.3 million from €36.8 million in the year ended December 31, 2018, to €33.5 million in the year ended December 31, 2019, was due to decreased collaboration revenue with Genmab due to the fact that the remaining upfront payments received were completely recognized as revenue during the year ended December 31, 2018 with an amount of</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3"/>
          <w:szCs w:val="13"/>
          <w:color w:val="auto"/>
        </w:rPr>
        <w:t>€2.7 million. The collaboration revenue generated from the Pfizer agreement increased by €7.2 million in the year ended December 31, 2019 compared to the year ended December 31, 2018 given that twelve months compared to six months straight-line allocation of revenue were generated from the upfront payment received under this collaboration. Nevertheless, this increase was offset by a decrease in collaboration revenue generated with Genentech of €8.7 million.</w:t>
      </w:r>
    </w:p>
    <w:p>
      <w:pPr>
        <w:spacing w:after="0" w:line="136" w:lineRule="exact"/>
        <w:rPr>
          <w:sz w:val="20"/>
          <w:szCs w:val="20"/>
          <w:color w:val="auto"/>
        </w:rPr>
      </w:pPr>
    </w:p>
    <w:p>
      <w:pPr>
        <w:ind w:right="100" w:firstLine="556"/>
        <w:spacing w:after="0" w:line="304" w:lineRule="auto"/>
        <w:rPr>
          <w:sz w:val="20"/>
          <w:szCs w:val="20"/>
          <w:color w:val="auto"/>
        </w:rPr>
      </w:pPr>
      <w:r>
        <w:rPr>
          <w:rFonts w:ascii="Arial" w:cs="Arial" w:eastAsia="Arial" w:hAnsi="Arial"/>
          <w:sz w:val="12"/>
          <w:szCs w:val="12"/>
          <w:color w:val="auto"/>
        </w:rPr>
        <w:t>The decrease in revenue in our Technology Platform segment of €43.4 million from €46.2 million in the year ended December 31, 2018, to €2.8 million in the year ended December 31, 2019, was primarily due to a reimbursement of 50% of CellScript sublicense costs in 2018 (€33.2 million) pursuant to a separate sub-sublicense agreement dated December 22, 2018 and the occurrence of the Transfer and License Agreement with Ganymed for Bispecific Antibodies in the year ended December 31, 2018 (€3.9 million), which both did not reoccur in the year ended December 31, 2019.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67" w:right="319" w:bottom="1440" w:gutter="0" w:footer="0" w:header="0"/>
          <w:type w:val="continuous"/>
        </w:sectPr>
      </w:pPr>
    </w:p>
    <w:bookmarkStart w:id="201" w:name="page202"/>
    <w:bookmarkEnd w:id="201"/>
    <w:p>
      <w:pPr>
        <w:ind w:right="80" w:firstLine="556"/>
        <w:spacing w:after="0" w:line="272" w:lineRule="auto"/>
        <w:rPr>
          <w:sz w:val="20"/>
          <w:szCs w:val="20"/>
          <w:color w:val="auto"/>
        </w:rPr>
      </w:pPr>
      <w:r>
        <w:rPr>
          <w:rFonts w:ascii="Arial" w:cs="Arial" w:eastAsia="Arial" w:hAnsi="Arial"/>
          <w:sz w:val="13"/>
          <w:szCs w:val="13"/>
          <w:color w:val="auto"/>
        </w:rPr>
        <w:t>The increase in revenue in our Manufacturing segment of €23.2 million from €25.6 million in the year ended December 31, 2018, to €48.8 million in the year ended December 31, 2019, was driven by our collaboration agreement with Genentech. Given that the respective revenues are recognized based on costs the increase is due to higher manufacturing costs of the investigational medicinal product that correlate with higher patient enrollment in the ongoing clinical trials.</w:t>
      </w:r>
    </w:p>
    <w:p>
      <w:pPr>
        <w:sectPr>
          <w:pgSz w:w="11900" w:h="16838" w:orient="portrait"/>
          <w:cols w:equalWidth="0" w:num="1">
            <w:col w:w="11280"/>
          </w:cols>
          <w:pgMar w:left="300" w:top="291" w:right="319" w:bottom="1440" w:gutter="0" w:footer="0" w:header="0"/>
        </w:sectPr>
      </w:pP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summarizes the research and development expenses of our biotech business unit by segment for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2320" w:type="dxa"/>
            <w:vAlign w:val="bottom"/>
            <w:gridSpan w:val="2"/>
          </w:tcPr>
          <w:p>
            <w:pPr>
              <w:jc w:val="center"/>
              <w:ind w:left="773"/>
              <w:spacing w:after="0"/>
              <w:rPr>
                <w:sz w:val="20"/>
                <w:szCs w:val="20"/>
                <w:color w:val="auto"/>
              </w:rPr>
            </w:pPr>
            <w:r>
              <w:rPr>
                <w:rFonts w:ascii="Arial" w:cs="Arial" w:eastAsia="Arial" w:hAnsi="Arial"/>
                <w:sz w:val="13"/>
                <w:szCs w:val="13"/>
                <w:b w:val="1"/>
                <w:bCs w:val="1"/>
                <w:color w:val="auto"/>
                <w:w w:val="87"/>
              </w:rPr>
              <w:t>Years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2320" w:type="dxa"/>
            <w:vAlign w:val="bottom"/>
            <w:gridSpan w:val="2"/>
          </w:tcPr>
          <w:p>
            <w:pPr>
              <w:jc w:val="center"/>
              <w:ind w:left="793"/>
              <w:spacing w:after="0"/>
              <w:rPr>
                <w:sz w:val="20"/>
                <w:szCs w:val="20"/>
                <w:color w:val="auto"/>
              </w:rPr>
            </w:pPr>
            <w:r>
              <w:rPr>
                <w:rFonts w:ascii="Arial" w:cs="Arial" w:eastAsia="Arial" w:hAnsi="Arial"/>
                <w:sz w:val="13"/>
                <w:szCs w:val="13"/>
                <w:b w:val="1"/>
                <w:bCs w:val="1"/>
                <w:color w:val="auto"/>
                <w:w w:val="92"/>
              </w:rPr>
              <w:t>December 31,</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7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720" w:type="dxa"/>
            <w:vAlign w:val="bottom"/>
            <w:tcBorders>
              <w:bottom w:val="single" w:sz="8" w:color="70AD47"/>
            </w:tcBorders>
          </w:tcPr>
          <w:p>
            <w:pPr>
              <w:spacing w:after="0"/>
              <w:rPr>
                <w:sz w:val="14"/>
                <w:szCs w:val="14"/>
                <w:color w:val="auto"/>
              </w:rPr>
            </w:pPr>
          </w:p>
        </w:tc>
        <w:tc>
          <w:tcPr>
            <w:tcW w:w="86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Research and development expenses</w:t>
            </w:r>
          </w:p>
        </w:tc>
        <w:tc>
          <w:tcPr>
            <w:tcW w:w="1600" w:type="dxa"/>
            <w:vAlign w:val="bottom"/>
            <w:tcBorders>
              <w:right w:val="single" w:sz="8" w:color="70AD47"/>
            </w:tcBorders>
            <w:shd w:val="clear" w:color="auto" w:fill="C6E0B4"/>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Clinical</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€91,516</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€48,641</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Technology Platform</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79,119</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60,320</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Manufacturing</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50,478</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31,508</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Business Service</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5,192</w:t>
            </w:r>
          </w:p>
        </w:tc>
        <w:tc>
          <w:tcPr>
            <w:tcW w:w="720" w:type="dxa"/>
            <w:vAlign w:val="bottom"/>
            <w:tcBorders>
              <w:bottom w:val="single" w:sz="8" w:color="70AD47"/>
            </w:tcBorders>
          </w:tcPr>
          <w:p>
            <w:pPr>
              <w:spacing w:after="0"/>
              <w:rPr>
                <w:sz w:val="14"/>
                <w:szCs w:val="14"/>
                <w:color w:val="auto"/>
              </w:rPr>
            </w:pPr>
          </w:p>
        </w:tc>
        <w:tc>
          <w:tcPr>
            <w:tcW w:w="8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1,979</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unit research and development expenses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€226,305</w:t>
            </w:r>
          </w:p>
        </w:tc>
        <w:tc>
          <w:tcPr>
            <w:tcW w:w="720" w:type="dxa"/>
            <w:vAlign w:val="bottom"/>
            <w:tcBorders>
              <w:bottom w:val="single" w:sz="8" w:color="70AD47"/>
            </w:tcBorders>
          </w:tcPr>
          <w:p>
            <w:pPr>
              <w:spacing w:after="0"/>
              <w:rPr>
                <w:sz w:val="13"/>
                <w:szCs w:val="13"/>
                <w:color w:val="auto"/>
              </w:rPr>
            </w:pPr>
          </w:p>
        </w:tc>
        <w:tc>
          <w:tcPr>
            <w:tcW w:w="8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€142,448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0"/>
        <w:spacing w:after="0"/>
        <w:rPr>
          <w:sz w:val="20"/>
          <w:szCs w:val="20"/>
          <w:color w:val="auto"/>
        </w:rPr>
      </w:pPr>
      <w:r>
        <w:rPr>
          <w:rFonts w:ascii="Arial" w:cs="Arial" w:eastAsia="Arial" w:hAnsi="Arial"/>
          <w:sz w:val="13"/>
          <w:szCs w:val="13"/>
          <w:b w:val="1"/>
          <w:bCs w:val="1"/>
          <w:color w:val="auto"/>
        </w:rPr>
        <w:t>Change</w:t>
      </w:r>
    </w:p>
    <w:p>
      <w:pPr>
        <w:spacing w:after="0" w:line="23" w:lineRule="exact"/>
        <w:rPr>
          <w:sz w:val="20"/>
          <w:szCs w:val="20"/>
          <w:color w:val="auto"/>
        </w:rPr>
      </w:pPr>
    </w:p>
    <w:p>
      <w:pPr>
        <w:ind w:left="710" w:hanging="710"/>
        <w:spacing w:after="0"/>
        <w:tabs>
          <w:tab w:leader="none" w:pos="710" w:val="left"/>
        </w:tabs>
        <w:numPr>
          <w:ilvl w:val="0"/>
          <w:numId w:val="236"/>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120650</wp:posOffset>
            </wp:positionV>
            <wp:extent cx="94615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352" w:lineRule="exact"/>
        <w:rPr>
          <w:sz w:val="20"/>
          <w:szCs w:val="20"/>
          <w:color w:val="auto"/>
        </w:rPr>
      </w:pPr>
    </w:p>
    <w:p>
      <w:pPr>
        <w:ind w:left="50"/>
        <w:spacing w:after="0"/>
        <w:tabs>
          <w:tab w:leader="none" w:pos="910" w:val="left"/>
        </w:tabs>
        <w:rPr>
          <w:sz w:val="20"/>
          <w:szCs w:val="20"/>
          <w:color w:val="auto"/>
        </w:rPr>
      </w:pPr>
      <w:r>
        <w:rPr>
          <w:rFonts w:ascii="Arial" w:cs="Arial" w:eastAsia="Arial" w:hAnsi="Arial"/>
          <w:sz w:val="13"/>
          <w:szCs w:val="13"/>
          <w:color w:val="auto"/>
        </w:rPr>
        <w:t>€42,875</w:t>
      </w:r>
      <w:r>
        <w:rPr>
          <w:sz w:val="20"/>
          <w:szCs w:val="20"/>
          <w:color w:val="auto"/>
        </w:rPr>
        <w:tab/>
      </w:r>
      <w:r>
        <w:rPr>
          <w:rFonts w:ascii="Arial" w:cs="Arial" w:eastAsia="Arial" w:hAnsi="Arial"/>
          <w:sz w:val="12"/>
          <w:szCs w:val="12"/>
          <w:color w:val="auto"/>
        </w:rPr>
        <w:t>88</w:t>
      </w:r>
    </w:p>
    <w:p>
      <w:pPr>
        <w:spacing w:after="0" w:line="20" w:lineRule="exact"/>
        <w:rPr>
          <w:sz w:val="20"/>
          <w:szCs w:val="20"/>
          <w:color w:val="auto"/>
        </w:rPr>
      </w:pPr>
    </w:p>
    <w:p>
      <w:pPr>
        <w:ind w:left="110"/>
        <w:spacing w:after="0"/>
        <w:tabs>
          <w:tab w:leader="none" w:pos="910" w:val="left"/>
        </w:tabs>
        <w:rPr>
          <w:sz w:val="20"/>
          <w:szCs w:val="20"/>
          <w:color w:val="auto"/>
        </w:rPr>
      </w:pPr>
      <w:r>
        <w:rPr>
          <w:rFonts w:ascii="Arial" w:cs="Arial" w:eastAsia="Arial" w:hAnsi="Arial"/>
          <w:sz w:val="12"/>
          <w:szCs w:val="12"/>
          <w:color w:val="auto"/>
        </w:rPr>
        <w:t>18,799</w:t>
      </w:r>
      <w:r>
        <w:rPr>
          <w:sz w:val="20"/>
          <w:szCs w:val="20"/>
          <w:color w:val="auto"/>
        </w:rPr>
        <w:tab/>
      </w:r>
      <w:r>
        <w:rPr>
          <w:rFonts w:ascii="Arial" w:cs="Arial" w:eastAsia="Arial" w:hAnsi="Arial"/>
          <w:sz w:val="12"/>
          <w:szCs w:val="12"/>
          <w:color w:val="auto"/>
        </w:rPr>
        <w:t>31</w:t>
      </w:r>
    </w:p>
    <w:p>
      <w:pPr>
        <w:spacing w:after="0" w:line="32" w:lineRule="exact"/>
        <w:rPr>
          <w:sz w:val="20"/>
          <w:szCs w:val="20"/>
          <w:color w:val="auto"/>
        </w:rPr>
      </w:pPr>
    </w:p>
    <w:p>
      <w:pPr>
        <w:ind w:left="110"/>
        <w:spacing w:after="0"/>
        <w:tabs>
          <w:tab w:leader="none" w:pos="910" w:val="left"/>
        </w:tabs>
        <w:rPr>
          <w:sz w:val="20"/>
          <w:szCs w:val="20"/>
          <w:color w:val="auto"/>
        </w:rPr>
      </w:pPr>
      <w:r>
        <w:rPr>
          <w:rFonts w:ascii="Arial" w:cs="Arial" w:eastAsia="Arial" w:hAnsi="Arial"/>
          <w:sz w:val="12"/>
          <w:szCs w:val="12"/>
          <w:color w:val="auto"/>
        </w:rPr>
        <w:t>18,970</w:t>
      </w:r>
      <w:r>
        <w:rPr>
          <w:sz w:val="20"/>
          <w:szCs w:val="20"/>
          <w:color w:val="auto"/>
        </w:rPr>
        <w:tab/>
      </w:r>
      <w:r>
        <w:rPr>
          <w:rFonts w:ascii="Arial" w:cs="Arial" w:eastAsia="Arial" w:hAnsi="Arial"/>
          <w:sz w:val="12"/>
          <w:szCs w:val="12"/>
          <w:color w:val="auto"/>
        </w:rPr>
        <w:t>60</w:t>
      </w:r>
    </w:p>
    <w:p>
      <w:pPr>
        <w:spacing w:after="0" w:line="32" w:lineRule="exact"/>
        <w:rPr>
          <w:sz w:val="20"/>
          <w:szCs w:val="20"/>
          <w:color w:val="auto"/>
        </w:rPr>
      </w:pPr>
    </w:p>
    <w:p>
      <w:pPr>
        <w:jc w:val="both"/>
        <w:ind w:left="170"/>
        <w:spacing w:after="0"/>
        <w:tabs>
          <w:tab w:leader="none" w:pos="850" w:val="left"/>
        </w:tabs>
        <w:rPr>
          <w:sz w:val="20"/>
          <w:szCs w:val="20"/>
          <w:color w:val="auto"/>
        </w:rPr>
      </w:pPr>
      <w:r>
        <w:rPr>
          <w:rFonts w:ascii="Arial" w:cs="Arial" w:eastAsia="Arial" w:hAnsi="Arial"/>
          <w:sz w:val="13"/>
          <w:szCs w:val="13"/>
          <w:color w:val="auto"/>
        </w:rPr>
        <w:t>3,213</w:t>
      </w:r>
      <w:r>
        <w:rPr>
          <w:sz w:val="20"/>
          <w:szCs w:val="20"/>
          <w:color w:val="auto"/>
        </w:rPr>
        <w:tab/>
      </w:r>
      <w:r>
        <w:rPr>
          <w:rFonts w:ascii="Arial" w:cs="Arial" w:eastAsia="Arial" w:hAnsi="Arial"/>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12065</wp:posOffset>
            </wp:positionV>
            <wp:extent cx="94615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6" w:lineRule="exact"/>
        <w:rPr>
          <w:sz w:val="20"/>
          <w:szCs w:val="20"/>
          <w:color w:val="auto"/>
        </w:rPr>
      </w:pPr>
    </w:p>
    <w:p>
      <w:pPr>
        <w:ind w:left="50"/>
        <w:spacing w:after="0"/>
        <w:tabs>
          <w:tab w:leader="none" w:pos="910" w:val="left"/>
        </w:tabs>
        <w:rPr>
          <w:sz w:val="20"/>
          <w:szCs w:val="20"/>
          <w:color w:val="auto"/>
        </w:rPr>
      </w:pPr>
      <w:r>
        <w:rPr>
          <w:rFonts w:ascii="Arial" w:cs="Arial" w:eastAsia="Arial" w:hAnsi="Arial"/>
          <w:sz w:val="13"/>
          <w:szCs w:val="13"/>
          <w:b w:val="1"/>
          <w:bCs w:val="1"/>
          <w:color w:val="auto"/>
        </w:rPr>
        <w:t>€83,857</w:t>
      </w:r>
      <w:r>
        <w:rPr>
          <w:sz w:val="20"/>
          <w:szCs w:val="20"/>
          <w:color w:val="auto"/>
        </w:rPr>
        <w:tab/>
      </w: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94615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680" w:space="530"/>
            <w:col w:w="1070"/>
          </w:cols>
          <w:pgMar w:left="300" w:top="291" w:right="319" w:bottom="1440" w:gutter="0" w:footer="0" w:header="0"/>
          <w:type w:val="continuous"/>
        </w:sectPr>
      </w:pPr>
    </w:p>
    <w:p>
      <w:pPr>
        <w:spacing w:after="0" w:line="31" w:lineRule="exact"/>
        <w:rPr>
          <w:sz w:val="20"/>
          <w:szCs w:val="20"/>
          <w:color w:val="auto"/>
        </w:rPr>
      </w:pPr>
    </w:p>
    <w:p>
      <w:pPr>
        <w:ind w:right="280" w:firstLine="554"/>
        <w:spacing w:after="0" w:line="331" w:lineRule="auto"/>
        <w:rPr>
          <w:sz w:val="20"/>
          <w:szCs w:val="20"/>
          <w:color w:val="auto"/>
        </w:rPr>
      </w:pPr>
      <w:r>
        <w:rPr>
          <w:rFonts w:ascii="Arial" w:cs="Arial" w:eastAsia="Arial" w:hAnsi="Arial"/>
          <w:sz w:val="12"/>
          <w:szCs w:val="12"/>
          <w:color w:val="auto"/>
        </w:rPr>
        <w:t>Research and development expenses of our biotech business unit increased by €83.9 million, or 59%, to €226.3 million in the year ended December 31, 2019 from €142.4 million in the year ended December 31, 2018. This increase was due to an increase in headcount, the full-year reflection of the ESOP program and higher expenses incurred in our collaboration agreements.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summarizes our clinical research and development expenses, broken down by drug class and selected platforms, for each period presented:</w:t>
      </w:r>
    </w:p>
    <w:p>
      <w:pPr>
        <w:sectPr>
          <w:pgSz w:w="11900" w:h="16838" w:orient="portrait"/>
          <w:cols w:equalWidth="0" w:num="1">
            <w:col w:w="11280"/>
          </w:cols>
          <w:pgMar w:left="300" w:top="291" w:right="319" w:bottom="144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2360" w:type="dxa"/>
            <w:vAlign w:val="bottom"/>
            <w:gridSpan w:val="2"/>
          </w:tcPr>
          <w:p>
            <w:pPr>
              <w:jc w:val="center"/>
              <w:ind w:left="733"/>
              <w:spacing w:after="0"/>
              <w:rPr>
                <w:sz w:val="20"/>
                <w:szCs w:val="20"/>
                <w:color w:val="auto"/>
              </w:rPr>
            </w:pPr>
            <w:r>
              <w:rPr>
                <w:rFonts w:ascii="Arial" w:cs="Arial" w:eastAsia="Arial" w:hAnsi="Arial"/>
                <w:sz w:val="13"/>
                <w:szCs w:val="13"/>
                <w:b w:val="1"/>
                <w:bCs w:val="1"/>
                <w:color w:val="auto"/>
                <w:w w:val="87"/>
              </w:rPr>
              <w:t>Years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2360" w:type="dxa"/>
            <w:vAlign w:val="bottom"/>
            <w:gridSpan w:val="2"/>
          </w:tcPr>
          <w:p>
            <w:pPr>
              <w:jc w:val="center"/>
              <w:ind w:left="753"/>
              <w:spacing w:after="0"/>
              <w:rPr>
                <w:sz w:val="20"/>
                <w:szCs w:val="20"/>
                <w:color w:val="auto"/>
              </w:rPr>
            </w:pPr>
            <w:r>
              <w:rPr>
                <w:rFonts w:ascii="Arial" w:cs="Arial" w:eastAsia="Arial" w:hAnsi="Arial"/>
                <w:sz w:val="13"/>
                <w:szCs w:val="13"/>
                <w:b w:val="1"/>
                <w:bCs w:val="1"/>
                <w:color w:val="auto"/>
                <w:w w:val="92"/>
              </w:rPr>
              <w:t>December 31,</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7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760" w:type="dxa"/>
            <w:vAlign w:val="bottom"/>
            <w:tcBorders>
              <w:bottom w:val="single" w:sz="8" w:color="70AD47"/>
            </w:tcBorders>
          </w:tcPr>
          <w:p>
            <w:pPr>
              <w:spacing w:after="0"/>
              <w:rPr>
                <w:sz w:val="14"/>
                <w:szCs w:val="14"/>
                <w:color w:val="auto"/>
              </w:rPr>
            </w:pPr>
          </w:p>
        </w:tc>
        <w:tc>
          <w:tcPr>
            <w:tcW w:w="82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Clinical research and development expenses</w:t>
            </w:r>
          </w:p>
        </w:tc>
        <w:tc>
          <w:tcPr>
            <w:tcW w:w="1600" w:type="dxa"/>
            <w:vAlign w:val="bottom"/>
            <w:tcBorders>
              <w:right w:val="single" w:sz="8" w:color="70AD47"/>
            </w:tcBorders>
            <w:shd w:val="clear" w:color="auto" w:fill="C6E0B4"/>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mRNA</w:t>
            </w:r>
          </w:p>
        </w:tc>
        <w:tc>
          <w:tcPr>
            <w:tcW w:w="1600" w:type="dxa"/>
            <w:vAlign w:val="bottom"/>
            <w:tcBorders>
              <w:right w:val="single" w:sz="8" w:color="70AD47"/>
            </w:tcBorders>
            <w:shd w:val="clear" w:color="auto" w:fill="C6E0B4"/>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80"/>
              <w:spacing w:after="0"/>
              <w:rPr>
                <w:sz w:val="20"/>
                <w:szCs w:val="20"/>
                <w:color w:val="auto"/>
              </w:rPr>
            </w:pPr>
            <w:r>
              <w:rPr>
                <w:rFonts w:ascii="Arial" w:cs="Arial" w:eastAsia="Arial" w:hAnsi="Arial"/>
                <w:sz w:val="13"/>
                <w:szCs w:val="13"/>
                <w:color w:val="auto"/>
              </w:rPr>
              <w:t>FixVac</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€11,025</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€3,018</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80"/>
              <w:spacing w:after="0"/>
              <w:rPr>
                <w:sz w:val="20"/>
                <w:szCs w:val="20"/>
                <w:color w:val="auto"/>
              </w:rPr>
            </w:pPr>
            <w:r>
              <w:rPr>
                <w:rFonts w:ascii="Arial" w:cs="Arial" w:eastAsia="Arial" w:hAnsi="Arial"/>
                <w:sz w:val="13"/>
                <w:szCs w:val="13"/>
                <w:color w:val="auto"/>
              </w:rPr>
              <w:t>iNeST</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23,730</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13,335</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80"/>
              <w:spacing w:after="0"/>
              <w:rPr>
                <w:sz w:val="20"/>
                <w:szCs w:val="20"/>
                <w:color w:val="auto"/>
              </w:rPr>
            </w:pPr>
            <w:r>
              <w:rPr>
                <w:rFonts w:ascii="Arial" w:cs="Arial" w:eastAsia="Arial" w:hAnsi="Arial"/>
                <w:sz w:val="13"/>
                <w:szCs w:val="13"/>
                <w:color w:val="auto"/>
              </w:rPr>
              <w:t>Other mRNA</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25,110</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9,441</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Total mRNA</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59,865</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25,794</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Engineered Cell Therapies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1,616</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Antibodies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18,010</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14,353</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Small Molecule Immunomodulators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2,303</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1,497</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Other</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9,722</w:t>
            </w:r>
          </w:p>
        </w:tc>
        <w:tc>
          <w:tcPr>
            <w:tcW w:w="760" w:type="dxa"/>
            <w:vAlign w:val="bottom"/>
            <w:tcBorders>
              <w:bottom w:val="single" w:sz="8" w:color="70AD47"/>
            </w:tcBorders>
          </w:tcPr>
          <w:p>
            <w:pPr>
              <w:spacing w:after="0"/>
              <w:rPr>
                <w:sz w:val="14"/>
                <w:szCs w:val="14"/>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6,344</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clinical research and development expenses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€91,516</w:t>
            </w:r>
          </w:p>
        </w:tc>
        <w:tc>
          <w:tcPr>
            <w:tcW w:w="760" w:type="dxa"/>
            <w:vAlign w:val="bottom"/>
            <w:tcBorders>
              <w:bottom w:val="single" w:sz="8" w:color="70AD47"/>
            </w:tcBorders>
          </w:tcPr>
          <w:p>
            <w:pPr>
              <w:spacing w:after="0"/>
              <w:rPr>
                <w:sz w:val="13"/>
                <w:szCs w:val="13"/>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€48,641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10"/>
        <w:spacing w:after="0"/>
        <w:rPr>
          <w:sz w:val="20"/>
          <w:szCs w:val="20"/>
          <w:color w:val="auto"/>
        </w:rPr>
      </w:pPr>
      <w:r>
        <w:rPr>
          <w:rFonts w:ascii="Arial" w:cs="Arial" w:eastAsia="Arial" w:hAnsi="Arial"/>
          <w:sz w:val="13"/>
          <w:szCs w:val="13"/>
          <w:b w:val="1"/>
          <w:bCs w:val="1"/>
          <w:color w:val="auto"/>
        </w:rPr>
        <w:t>Change</w:t>
      </w:r>
    </w:p>
    <w:p>
      <w:pPr>
        <w:spacing w:after="0" w:line="23" w:lineRule="exact"/>
        <w:rPr>
          <w:sz w:val="20"/>
          <w:szCs w:val="20"/>
          <w:color w:val="auto"/>
        </w:rPr>
      </w:pPr>
    </w:p>
    <w:p>
      <w:pPr>
        <w:ind w:left="710" w:hanging="710"/>
        <w:spacing w:after="0"/>
        <w:tabs>
          <w:tab w:leader="none" w:pos="710" w:val="left"/>
        </w:tabs>
        <w:numPr>
          <w:ilvl w:val="0"/>
          <w:numId w:val="237"/>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120650</wp:posOffset>
            </wp:positionV>
            <wp:extent cx="94615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auto"/>
        </w:rPr>
        <w:t>€8,007</w:t>
      </w:r>
      <w:r>
        <w:rPr>
          <w:sz w:val="20"/>
          <w:szCs w:val="20"/>
          <w:color w:val="auto"/>
        </w:rPr>
        <w:tab/>
      </w:r>
      <w:r>
        <w:rPr>
          <w:rFonts w:ascii="Arial" w:cs="Arial" w:eastAsia="Arial" w:hAnsi="Arial"/>
          <w:sz w:val="11"/>
          <w:szCs w:val="11"/>
          <w:color w:val="auto"/>
        </w:rPr>
        <w:t>265</w:t>
      </w:r>
    </w:p>
    <w:p>
      <w:pPr>
        <w:spacing w:after="0" w:line="20" w:lineRule="exact"/>
        <w:rPr>
          <w:sz w:val="20"/>
          <w:szCs w:val="20"/>
          <w:color w:val="auto"/>
        </w:rPr>
      </w:pPr>
    </w:p>
    <w:p>
      <w:pPr>
        <w:ind w:left="110"/>
        <w:spacing w:after="0"/>
        <w:tabs>
          <w:tab w:leader="none" w:pos="910" w:val="left"/>
        </w:tabs>
        <w:rPr>
          <w:sz w:val="20"/>
          <w:szCs w:val="20"/>
          <w:color w:val="auto"/>
        </w:rPr>
      </w:pPr>
      <w:r>
        <w:rPr>
          <w:rFonts w:ascii="Arial" w:cs="Arial" w:eastAsia="Arial" w:hAnsi="Arial"/>
          <w:sz w:val="12"/>
          <w:szCs w:val="12"/>
          <w:color w:val="auto"/>
        </w:rPr>
        <w:t>10,395</w:t>
      </w:r>
      <w:r>
        <w:rPr>
          <w:sz w:val="20"/>
          <w:szCs w:val="20"/>
          <w:color w:val="auto"/>
        </w:rPr>
        <w:tab/>
      </w:r>
      <w:r>
        <w:rPr>
          <w:rFonts w:ascii="Arial" w:cs="Arial" w:eastAsia="Arial" w:hAnsi="Arial"/>
          <w:sz w:val="12"/>
          <w:szCs w:val="12"/>
          <w:color w:val="auto"/>
        </w:rPr>
        <w:t>78</w:t>
      </w:r>
    </w:p>
    <w:p>
      <w:pPr>
        <w:spacing w:after="0" w:line="32" w:lineRule="exact"/>
        <w:rPr>
          <w:sz w:val="20"/>
          <w:szCs w:val="20"/>
          <w:color w:val="auto"/>
        </w:rPr>
      </w:pPr>
    </w:p>
    <w:p>
      <w:pPr>
        <w:jc w:val="both"/>
        <w:ind w:left="110"/>
        <w:spacing w:after="0"/>
        <w:tabs>
          <w:tab w:leader="none" w:pos="850" w:val="left"/>
        </w:tabs>
        <w:rPr>
          <w:sz w:val="20"/>
          <w:szCs w:val="20"/>
          <w:color w:val="auto"/>
        </w:rPr>
      </w:pPr>
      <w:r>
        <w:rPr>
          <w:rFonts w:ascii="Arial" w:cs="Arial" w:eastAsia="Arial" w:hAnsi="Arial"/>
          <w:sz w:val="13"/>
          <w:szCs w:val="13"/>
          <w:color w:val="auto"/>
        </w:rPr>
        <w:t>15,669</w:t>
      </w:r>
      <w:r>
        <w:rPr>
          <w:sz w:val="20"/>
          <w:szCs w:val="20"/>
          <w:color w:val="auto"/>
        </w:rPr>
        <w:tab/>
      </w:r>
      <w:r>
        <w:rPr>
          <w:rFonts w:ascii="Arial" w:cs="Arial" w:eastAsia="Arial" w:hAnsi="Arial"/>
          <w:sz w:val="13"/>
          <w:szCs w:val="13"/>
          <w:color w:val="auto"/>
        </w:rPr>
        <w:t>166</w:t>
      </w:r>
    </w:p>
    <w:p>
      <w:pPr>
        <w:spacing w:after="0" w:line="20" w:lineRule="exact"/>
        <w:rPr>
          <w:sz w:val="20"/>
          <w:szCs w:val="20"/>
          <w:color w:val="auto"/>
        </w:rPr>
      </w:pPr>
    </w:p>
    <w:p>
      <w:pPr>
        <w:jc w:val="both"/>
        <w:ind w:left="110"/>
        <w:spacing w:after="0"/>
        <w:tabs>
          <w:tab w:leader="none" w:pos="850" w:val="left"/>
        </w:tabs>
        <w:rPr>
          <w:sz w:val="20"/>
          <w:szCs w:val="20"/>
          <w:color w:val="auto"/>
        </w:rPr>
      </w:pPr>
      <w:r>
        <w:rPr>
          <w:rFonts w:ascii="Arial" w:cs="Arial" w:eastAsia="Arial" w:hAnsi="Arial"/>
          <w:sz w:val="13"/>
          <w:szCs w:val="13"/>
          <w:color w:val="auto"/>
        </w:rPr>
        <w:t>34,071</w:t>
      </w:r>
      <w:r>
        <w:rPr>
          <w:sz w:val="20"/>
          <w:szCs w:val="20"/>
          <w:color w:val="auto"/>
        </w:rPr>
        <w:tab/>
      </w:r>
      <w:r>
        <w:rPr>
          <w:rFonts w:ascii="Arial" w:cs="Arial" w:eastAsia="Arial" w:hAnsi="Arial"/>
          <w:sz w:val="13"/>
          <w:szCs w:val="13"/>
          <w:color w:val="auto"/>
        </w:rPr>
        <w:t>132</w:t>
      </w:r>
    </w:p>
    <w:p>
      <w:pPr>
        <w:spacing w:after="0" w:line="20" w:lineRule="exact"/>
        <w:rPr>
          <w:sz w:val="20"/>
          <w:szCs w:val="20"/>
          <w:color w:val="auto"/>
        </w:rPr>
      </w:pPr>
    </w:p>
    <w:p>
      <w:pPr>
        <w:ind w:left="870" w:hanging="592"/>
        <w:spacing w:after="0"/>
        <w:tabs>
          <w:tab w:leader="none" w:pos="870" w:val="left"/>
        </w:tabs>
        <w:numPr>
          <w:ilvl w:val="0"/>
          <w:numId w:val="238"/>
        </w:numPr>
        <w:rPr>
          <w:rFonts w:ascii="Arial" w:cs="Arial" w:eastAsia="Arial" w:hAnsi="Arial"/>
          <w:sz w:val="11"/>
          <w:szCs w:val="11"/>
          <w:color w:val="auto"/>
        </w:rPr>
      </w:pPr>
      <w:r>
        <w:rPr>
          <w:rFonts w:ascii="Arial" w:cs="Arial" w:eastAsia="Arial" w:hAnsi="Arial"/>
          <w:sz w:val="11"/>
          <w:szCs w:val="11"/>
          <w:color w:val="auto"/>
        </w:rPr>
        <w:t>147</w:t>
      </w:r>
    </w:p>
    <w:p>
      <w:pPr>
        <w:spacing w:after="0" w:line="43" w:lineRule="exact"/>
        <w:rPr>
          <w:rFonts w:ascii="Arial" w:cs="Arial" w:eastAsia="Arial" w:hAnsi="Arial"/>
          <w:sz w:val="11"/>
          <w:szCs w:val="11"/>
          <w:color w:val="auto"/>
        </w:rPr>
      </w:pPr>
    </w:p>
    <w:p>
      <w:pPr>
        <w:ind w:left="170"/>
        <w:spacing w:after="0"/>
        <w:rPr>
          <w:rFonts w:ascii="Arial" w:cs="Arial" w:eastAsia="Arial" w:hAnsi="Arial"/>
          <w:sz w:val="11"/>
          <w:szCs w:val="11"/>
          <w:color w:val="auto"/>
        </w:rPr>
      </w:pPr>
      <w:r>
        <w:rPr>
          <w:rFonts w:ascii="Arial" w:cs="Arial" w:eastAsia="Arial" w:hAnsi="Arial"/>
          <w:sz w:val="13"/>
          <w:szCs w:val="13"/>
          <w:color w:val="auto"/>
        </w:rPr>
        <w:t>3,657</w:t>
      </w:r>
      <w:r>
        <w:rPr>
          <w:rFonts w:ascii="Arial" w:cs="Arial" w:eastAsia="Arial" w:hAnsi="Arial"/>
          <w:sz w:val="12"/>
          <w:szCs w:val="12"/>
          <w:color w:val="auto"/>
        </w:rPr>
        <w:t>25</w:t>
      </w:r>
    </w:p>
    <w:p>
      <w:pPr>
        <w:spacing w:after="0" w:line="20" w:lineRule="exact"/>
        <w:rPr>
          <w:rFonts w:ascii="Arial" w:cs="Arial" w:eastAsia="Arial" w:hAnsi="Arial"/>
          <w:sz w:val="11"/>
          <w:szCs w:val="11"/>
          <w:color w:val="auto"/>
        </w:rPr>
      </w:pPr>
    </w:p>
    <w:p>
      <w:pPr>
        <w:ind w:left="930" w:hanging="652"/>
        <w:spacing w:after="0"/>
        <w:tabs>
          <w:tab w:leader="none" w:pos="93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54</w:t>
      </w:r>
    </w:p>
    <w:p>
      <w:pPr>
        <w:spacing w:after="0" w:line="31" w:lineRule="exact"/>
        <w:rPr>
          <w:rFonts w:ascii="Arial" w:cs="Arial" w:eastAsia="Arial" w:hAnsi="Arial"/>
          <w:sz w:val="12"/>
          <w:szCs w:val="12"/>
          <w:color w:val="auto"/>
        </w:rPr>
      </w:pPr>
    </w:p>
    <w:p>
      <w:pPr>
        <w:ind w:left="170"/>
        <w:spacing w:after="0"/>
        <w:rPr>
          <w:rFonts w:ascii="Arial" w:cs="Arial" w:eastAsia="Arial" w:hAnsi="Arial"/>
          <w:sz w:val="12"/>
          <w:szCs w:val="12"/>
          <w:color w:val="auto"/>
        </w:rPr>
      </w:pPr>
      <w:r>
        <w:rPr>
          <w:rFonts w:ascii="Arial" w:cs="Arial" w:eastAsia="Arial" w:hAnsi="Arial"/>
          <w:sz w:val="13"/>
          <w:szCs w:val="13"/>
          <w:color w:val="auto"/>
        </w:rPr>
        <w:t>3,378</w:t>
      </w: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12065</wp:posOffset>
            </wp:positionV>
            <wp:extent cx="94615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6" w:lineRule="exact"/>
        <w:rPr>
          <w:sz w:val="20"/>
          <w:szCs w:val="20"/>
          <w:color w:val="auto"/>
        </w:rPr>
      </w:pPr>
    </w:p>
    <w:p>
      <w:pPr>
        <w:ind w:left="50"/>
        <w:spacing w:after="0"/>
        <w:tabs>
          <w:tab w:leader="none" w:pos="910" w:val="left"/>
        </w:tabs>
        <w:rPr>
          <w:sz w:val="20"/>
          <w:szCs w:val="20"/>
          <w:color w:val="auto"/>
        </w:rPr>
      </w:pPr>
      <w:r>
        <w:rPr>
          <w:rFonts w:ascii="Arial" w:cs="Arial" w:eastAsia="Arial" w:hAnsi="Arial"/>
          <w:sz w:val="13"/>
          <w:szCs w:val="13"/>
          <w:b w:val="1"/>
          <w:bCs w:val="1"/>
          <w:color w:val="auto"/>
        </w:rPr>
        <w:t>€42,875</w:t>
      </w:r>
      <w:r>
        <w:rPr>
          <w:sz w:val="20"/>
          <w:szCs w:val="20"/>
          <w:color w:val="auto"/>
        </w:rPr>
        <w:tab/>
      </w:r>
      <w:r>
        <w:rPr>
          <w:rFonts w:ascii="Arial" w:cs="Arial" w:eastAsia="Arial" w:hAnsi="Arial"/>
          <w:sz w:val="12"/>
          <w:szCs w:val="12"/>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94615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680" w:space="530"/>
            <w:col w:w="1070"/>
          </w:cols>
          <w:pgMar w:left="300" w:top="291" w:right="319" w:bottom="1440" w:gutter="0" w:footer="0" w:header="0"/>
          <w:type w:val="continuous"/>
        </w:sectPr>
      </w:pPr>
    </w:p>
    <w:p>
      <w:pPr>
        <w:spacing w:after="0" w:line="31" w:lineRule="exact"/>
        <w:rPr>
          <w:sz w:val="20"/>
          <w:szCs w:val="20"/>
          <w:color w:val="auto"/>
        </w:rPr>
      </w:pPr>
    </w:p>
    <w:p>
      <w:pPr>
        <w:ind w:right="60" w:firstLine="554"/>
        <w:spacing w:after="0" w:line="264" w:lineRule="auto"/>
        <w:rPr>
          <w:sz w:val="20"/>
          <w:szCs w:val="20"/>
          <w:color w:val="auto"/>
        </w:rPr>
      </w:pPr>
      <w:r>
        <w:rPr>
          <w:rFonts w:ascii="Arial" w:cs="Arial" w:eastAsia="Arial" w:hAnsi="Arial"/>
          <w:sz w:val="13"/>
          <w:szCs w:val="13"/>
          <w:color w:val="auto"/>
        </w:rPr>
        <w:t>The €15.7 million increase in other mRNA clinical research and development expenses mainly relates to collaboration agreements and license programs with partners that were initiated in the fourth quarter of 2018 and therefore affected the year ended December 31, 2019 for twelve months compared to three months in the year ended December 31, 2018. Other mRNA expenses for the year ended December 31, 2019 was primarily comprised of €7.0 million RiboCytokines project costs, €4.8 million Infectious Disease Vaccines costs, €4.7 million Intratumoral Immunotherapy costs, €3.5 million RiboMabs platforms costs and €2.0 million Protein Replacement Therapy costs. Other mRNA expenses for the year ended December 31, 2018 was primarily comprised of €2.8 million Intratumoral Immunotherapy costs, €2.6 million RiboCytokines project costs, €2.1 million RiboMabs platforms costs.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type w:val="continuous"/>
        </w:sectPr>
      </w:pPr>
    </w:p>
    <w:bookmarkStart w:id="202" w:name="page203"/>
    <w:bookmarkEnd w:id="202"/>
    <w:p>
      <w:pPr>
        <w:ind w:left="560"/>
        <w:spacing w:after="0"/>
        <w:rPr>
          <w:sz w:val="20"/>
          <w:szCs w:val="20"/>
          <w:color w:val="auto"/>
        </w:rPr>
      </w:pPr>
      <w:r>
        <w:rPr>
          <w:rFonts w:ascii="Arial" w:cs="Arial" w:eastAsia="Arial" w:hAnsi="Arial"/>
          <w:sz w:val="13"/>
          <w:szCs w:val="13"/>
          <w:color w:val="auto"/>
        </w:rPr>
        <w:t>Other clinical research and development expenses primarily consist of share-based compensation, which is not directly related to individual drug classes and platforms.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Sales and Marketing Expenses</w:t>
      </w:r>
    </w:p>
    <w:p>
      <w:pPr>
        <w:spacing w:after="0" w:line="90"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auto"/>
        </w:rPr>
        <w:t>Sales and marketing expenses of our biotech business unit decreased by €0.8 million, or 38%, to €1.3 million in the year ended December 31, 2019 from €2.1 million in the year ended December 31, 2018. This decrease was primarily due to a reduction of purchased sales and marketing services.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General and Administrative Expenses</w:t>
      </w:r>
    </w:p>
    <w:p>
      <w:pPr>
        <w:spacing w:after="0" w:line="90"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auto"/>
        </w:rPr>
        <w:t>General and administrative expenses of our biotech business unit increased by €18.8 million, or 79%, to €42.6 million in the year ended December 31, 2019 from €23.8 million in the year ended December 31, 2018. This increase was due to an increase in headcount, the full-year reflection of expenses recognized from the granting of options under the ESOP program, expense for withholding tax related to prior years, increased purchased administrative services and insurance premiums as well as increased depreciation.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Other Result</w:t>
      </w:r>
    </w:p>
    <w:p>
      <w:pPr>
        <w:spacing w:after="0" w:line="90" w:lineRule="exact"/>
        <w:rPr>
          <w:sz w:val="20"/>
          <w:szCs w:val="20"/>
          <w:color w:val="auto"/>
        </w:rPr>
      </w:pPr>
    </w:p>
    <w:p>
      <w:pPr>
        <w:ind w:right="320" w:firstLine="556"/>
        <w:spacing w:after="0" w:line="287" w:lineRule="auto"/>
        <w:rPr>
          <w:sz w:val="20"/>
          <w:szCs w:val="20"/>
          <w:color w:val="auto"/>
        </w:rPr>
      </w:pPr>
      <w:r>
        <w:rPr>
          <w:rFonts w:ascii="Arial" w:cs="Arial" w:eastAsia="Arial" w:hAnsi="Arial"/>
          <w:sz w:val="13"/>
          <w:szCs w:val="13"/>
          <w:color w:val="auto"/>
        </w:rPr>
        <w:t>The other result of our biotech business unit decreased by €2.6 million, or 63%, to €1.5 million in the year ended December 31, 2019 from €4.1 million in the year ended December 31, 2018. This decrease was primarily attributable to a decrease in government grants.</w:t>
      </w:r>
    </w:p>
    <w:p>
      <w:pPr>
        <w:sectPr>
          <w:pgSz w:w="11900" w:h="16838" w:orient="portrait"/>
          <w:cols w:equalWidth="0" w:num="1">
            <w:col w:w="11280"/>
          </w:cols>
          <w:pgMar w:left="300" w:top="291" w:right="319" w:bottom="1440" w:gutter="0" w:footer="0" w:header="0"/>
        </w:sectPr>
      </w:pP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Comparison of the year ended December 31, 2018 and December 31, 2017</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Revenue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summarizes the revenue of our biotech business unit by segment for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2360" w:type="dxa"/>
            <w:vAlign w:val="bottom"/>
            <w:gridSpan w:val="2"/>
          </w:tcPr>
          <w:p>
            <w:pPr>
              <w:jc w:val="center"/>
              <w:ind w:left="733"/>
              <w:spacing w:after="0"/>
              <w:rPr>
                <w:sz w:val="20"/>
                <w:szCs w:val="20"/>
                <w:color w:val="auto"/>
              </w:rPr>
            </w:pPr>
            <w:r>
              <w:rPr>
                <w:rFonts w:ascii="Arial" w:cs="Arial" w:eastAsia="Arial" w:hAnsi="Arial"/>
                <w:sz w:val="13"/>
                <w:szCs w:val="13"/>
                <w:b w:val="1"/>
                <w:bCs w:val="1"/>
                <w:color w:val="auto"/>
                <w:w w:val="87"/>
              </w:rPr>
              <w:t>Years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2360" w:type="dxa"/>
            <w:vAlign w:val="bottom"/>
            <w:gridSpan w:val="2"/>
          </w:tcPr>
          <w:p>
            <w:pPr>
              <w:jc w:val="center"/>
              <w:ind w:left="753"/>
              <w:spacing w:after="0"/>
              <w:rPr>
                <w:sz w:val="20"/>
                <w:szCs w:val="20"/>
                <w:color w:val="auto"/>
              </w:rPr>
            </w:pPr>
            <w:r>
              <w:rPr>
                <w:rFonts w:ascii="Arial" w:cs="Arial" w:eastAsia="Arial" w:hAnsi="Arial"/>
                <w:sz w:val="13"/>
                <w:szCs w:val="13"/>
                <w:b w:val="1"/>
                <w:bCs w:val="1"/>
                <w:color w:val="auto"/>
                <w:w w:val="92"/>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500" w:type="dxa"/>
            <w:vAlign w:val="bottom"/>
            <w:tcBorders>
              <w:right w:val="single" w:sz="8" w:color="70AD47"/>
            </w:tcBorders>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7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67"/>
        </w:trPr>
        <w:tc>
          <w:tcPr>
            <w:tcW w:w="6500" w:type="dxa"/>
            <w:vAlign w:val="bottom"/>
            <w:tcBorders>
              <w:bottom w:val="single" w:sz="8" w:color="70AD47"/>
              <w:right w:val="single" w:sz="8" w:color="70AD47"/>
            </w:tcBorders>
            <w:vMerge w:val="continue"/>
          </w:tcPr>
          <w:p>
            <w:pPr>
              <w:spacing w:after="0"/>
              <w:rPr>
                <w:sz w:val="14"/>
                <w:szCs w:val="14"/>
                <w:color w:val="auto"/>
              </w:rPr>
            </w:pPr>
          </w:p>
        </w:tc>
        <w:tc>
          <w:tcPr>
            <w:tcW w:w="1600" w:type="dxa"/>
            <w:vAlign w:val="bottom"/>
            <w:tcBorders>
              <w:bottom w:val="single" w:sz="8" w:color="70AD47"/>
              <w:right w:val="single" w:sz="8" w:color="70AD47"/>
            </w:tcBorders>
          </w:tcPr>
          <w:p>
            <w:pPr>
              <w:spacing w:after="0"/>
              <w:rPr>
                <w:sz w:val="14"/>
                <w:szCs w:val="14"/>
                <w:color w:val="auto"/>
              </w:rPr>
            </w:pPr>
          </w:p>
        </w:tc>
        <w:tc>
          <w:tcPr>
            <w:tcW w:w="760" w:type="dxa"/>
            <w:vAlign w:val="bottom"/>
            <w:tcBorders>
              <w:bottom w:val="single" w:sz="8" w:color="70AD47"/>
            </w:tcBorders>
          </w:tcPr>
          <w:p>
            <w:pPr>
              <w:spacing w:after="0"/>
              <w:rPr>
                <w:sz w:val="14"/>
                <w:szCs w:val="14"/>
                <w:color w:val="auto"/>
              </w:rPr>
            </w:pPr>
          </w:p>
        </w:tc>
        <w:tc>
          <w:tcPr>
            <w:tcW w:w="82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Revenues</w:t>
            </w:r>
          </w:p>
        </w:tc>
        <w:tc>
          <w:tcPr>
            <w:tcW w:w="1600" w:type="dxa"/>
            <w:vAlign w:val="bottom"/>
            <w:tcBorders>
              <w:right w:val="single" w:sz="8" w:color="70AD47"/>
            </w:tcBorders>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Clinical</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€36,750</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€25,721</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Technology Platform</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46,235</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14,828</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Manufacturing</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25,635</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2,108</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Business Service</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42</w:t>
            </w:r>
          </w:p>
        </w:tc>
        <w:tc>
          <w:tcPr>
            <w:tcW w:w="760" w:type="dxa"/>
            <w:vAlign w:val="bottom"/>
            <w:tcBorders>
              <w:bottom w:val="single" w:sz="8" w:color="70AD47"/>
            </w:tcBorders>
          </w:tcPr>
          <w:p>
            <w:pPr>
              <w:spacing w:after="0"/>
              <w:rPr>
                <w:sz w:val="14"/>
                <w:szCs w:val="14"/>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unit revenues</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€108,662</w:t>
            </w:r>
          </w:p>
        </w:tc>
        <w:tc>
          <w:tcPr>
            <w:tcW w:w="760" w:type="dxa"/>
            <w:vAlign w:val="bottom"/>
            <w:tcBorders>
              <w:bottom w:val="single" w:sz="8" w:color="70AD47"/>
            </w:tcBorders>
          </w:tcPr>
          <w:p>
            <w:pPr>
              <w:spacing w:after="0"/>
              <w:rPr>
                <w:sz w:val="13"/>
                <w:szCs w:val="13"/>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€42,657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0"/>
        <w:spacing w:after="0"/>
        <w:rPr>
          <w:sz w:val="20"/>
          <w:szCs w:val="20"/>
          <w:color w:val="auto"/>
        </w:rPr>
      </w:pPr>
      <w:r>
        <w:rPr>
          <w:rFonts w:ascii="Arial" w:cs="Arial" w:eastAsia="Arial" w:hAnsi="Arial"/>
          <w:sz w:val="13"/>
          <w:szCs w:val="13"/>
          <w:b w:val="1"/>
          <w:bCs w:val="1"/>
          <w:color w:val="auto"/>
        </w:rPr>
        <w:t>Change</w:t>
      </w:r>
    </w:p>
    <w:p>
      <w:pPr>
        <w:spacing w:after="0" w:line="23" w:lineRule="exact"/>
        <w:rPr>
          <w:sz w:val="20"/>
          <w:szCs w:val="20"/>
          <w:color w:val="auto"/>
        </w:rPr>
      </w:pPr>
    </w:p>
    <w:p>
      <w:pPr>
        <w:ind w:left="710" w:hanging="710"/>
        <w:spacing w:after="0"/>
        <w:tabs>
          <w:tab w:leader="none" w:pos="710" w:val="left"/>
        </w:tabs>
        <w:numPr>
          <w:ilvl w:val="0"/>
          <w:numId w:val="240"/>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120650</wp:posOffset>
            </wp:positionV>
            <wp:extent cx="94615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352" w:lineRule="exact"/>
        <w:rPr>
          <w:sz w:val="20"/>
          <w:szCs w:val="20"/>
          <w:color w:val="auto"/>
        </w:rPr>
      </w:pPr>
    </w:p>
    <w:p>
      <w:pPr>
        <w:ind w:left="50"/>
        <w:spacing w:after="0"/>
        <w:tabs>
          <w:tab w:leader="none" w:pos="910" w:val="left"/>
        </w:tabs>
        <w:rPr>
          <w:sz w:val="20"/>
          <w:szCs w:val="20"/>
          <w:color w:val="auto"/>
        </w:rPr>
      </w:pPr>
      <w:r>
        <w:rPr>
          <w:rFonts w:ascii="Arial" w:cs="Arial" w:eastAsia="Arial" w:hAnsi="Arial"/>
          <w:sz w:val="13"/>
          <w:szCs w:val="13"/>
          <w:color w:val="auto"/>
        </w:rPr>
        <w:t>€11,029</w:t>
      </w:r>
      <w:r>
        <w:rPr>
          <w:sz w:val="20"/>
          <w:szCs w:val="20"/>
          <w:color w:val="auto"/>
        </w:rPr>
        <w:tab/>
      </w:r>
      <w:r>
        <w:rPr>
          <w:rFonts w:ascii="Arial" w:cs="Arial" w:eastAsia="Arial" w:hAnsi="Arial"/>
          <w:sz w:val="12"/>
          <w:szCs w:val="12"/>
          <w:color w:val="auto"/>
        </w:rPr>
        <w:t>43</w:t>
      </w:r>
    </w:p>
    <w:p>
      <w:pPr>
        <w:spacing w:after="0" w:line="20" w:lineRule="exact"/>
        <w:rPr>
          <w:sz w:val="20"/>
          <w:szCs w:val="20"/>
          <w:color w:val="auto"/>
        </w:rPr>
      </w:pPr>
    </w:p>
    <w:p>
      <w:pPr>
        <w:jc w:val="both"/>
        <w:ind w:left="110"/>
        <w:spacing w:after="0"/>
        <w:tabs>
          <w:tab w:leader="none" w:pos="850" w:val="left"/>
        </w:tabs>
        <w:rPr>
          <w:sz w:val="20"/>
          <w:szCs w:val="20"/>
          <w:color w:val="auto"/>
        </w:rPr>
      </w:pPr>
      <w:r>
        <w:rPr>
          <w:rFonts w:ascii="Arial" w:cs="Arial" w:eastAsia="Arial" w:hAnsi="Arial"/>
          <w:sz w:val="13"/>
          <w:szCs w:val="13"/>
          <w:color w:val="auto"/>
        </w:rPr>
        <w:t>31,407</w:t>
      </w:r>
      <w:r>
        <w:rPr>
          <w:sz w:val="20"/>
          <w:szCs w:val="20"/>
          <w:color w:val="auto"/>
        </w:rPr>
        <w:tab/>
      </w:r>
      <w:r>
        <w:rPr>
          <w:rFonts w:ascii="Arial" w:cs="Arial" w:eastAsia="Arial" w:hAnsi="Arial"/>
          <w:sz w:val="13"/>
          <w:szCs w:val="13"/>
          <w:color w:val="auto"/>
        </w:rPr>
        <w:t>212</w:t>
      </w:r>
    </w:p>
    <w:p>
      <w:pPr>
        <w:spacing w:after="0" w:line="20" w:lineRule="exact"/>
        <w:rPr>
          <w:sz w:val="20"/>
          <w:szCs w:val="20"/>
          <w:color w:val="auto"/>
        </w:rPr>
      </w:pPr>
    </w:p>
    <w:p>
      <w:pPr>
        <w:jc w:val="both"/>
        <w:ind w:left="110"/>
        <w:spacing w:after="0"/>
        <w:tabs>
          <w:tab w:leader="none" w:pos="750" w:val="left"/>
        </w:tabs>
        <w:rPr>
          <w:sz w:val="20"/>
          <w:szCs w:val="20"/>
          <w:color w:val="auto"/>
        </w:rPr>
      </w:pPr>
      <w:r>
        <w:rPr>
          <w:rFonts w:ascii="Arial" w:cs="Arial" w:eastAsia="Arial" w:hAnsi="Arial"/>
          <w:sz w:val="13"/>
          <w:szCs w:val="13"/>
          <w:color w:val="auto"/>
        </w:rPr>
        <w:t>23,527</w:t>
      </w:r>
      <w:r>
        <w:rPr>
          <w:sz w:val="20"/>
          <w:szCs w:val="20"/>
          <w:color w:val="auto"/>
        </w:rPr>
        <w:tab/>
      </w:r>
      <w:r>
        <w:rPr>
          <w:rFonts w:ascii="Arial" w:cs="Arial" w:eastAsia="Arial" w:hAnsi="Arial"/>
          <w:sz w:val="13"/>
          <w:szCs w:val="13"/>
          <w:color w:val="auto"/>
        </w:rPr>
        <w:t>1,116</w:t>
      </w:r>
    </w:p>
    <w:p>
      <w:pPr>
        <w:spacing w:after="0" w:line="20" w:lineRule="exact"/>
        <w:rPr>
          <w:sz w:val="20"/>
          <w:szCs w:val="20"/>
          <w:color w:val="auto"/>
        </w:rPr>
      </w:pPr>
    </w:p>
    <w:p>
      <w:pPr>
        <w:ind w:left="1030" w:hanging="685"/>
        <w:spacing w:after="0"/>
        <w:tabs>
          <w:tab w:leader="none" w:pos="1030" w:val="left"/>
        </w:tabs>
        <w:numPr>
          <w:ilvl w:val="0"/>
          <w:numId w:val="241"/>
        </w:numPr>
        <w:rPr>
          <w:rFonts w:ascii="Arial" w:cs="Arial" w:eastAsia="Arial" w:hAnsi="Arial"/>
          <w:sz w:val="12"/>
          <w:szCs w:val="12"/>
          <w:color w:val="auto"/>
        </w:rPr>
      </w:pPr>
      <w:r>
        <w:rPr>
          <w:rFonts w:ascii="Arial" w:cs="Arial" w:eastAsia="Arial" w:hAnsi="Arial"/>
          <w:sz w:val="12"/>
          <w:szCs w:val="12"/>
          <w:color w:val="auto"/>
        </w:rPr>
        <w:t>-</w:t>
      </w:r>
    </w:p>
    <w:p>
      <w:pPr>
        <w:spacing w:after="0" w:line="37" w:lineRule="exact"/>
        <w:rPr>
          <w:rFonts w:ascii="Arial" w:cs="Arial" w:eastAsia="Arial" w:hAnsi="Arial"/>
          <w:sz w:val="12"/>
          <w:szCs w:val="12"/>
          <w:color w:val="auto"/>
        </w:rPr>
      </w:pPr>
    </w:p>
    <w:p>
      <w:pPr>
        <w:ind w:left="50"/>
        <w:spacing w:after="0"/>
        <w:rPr>
          <w:rFonts w:ascii="Arial" w:cs="Arial" w:eastAsia="Arial" w:hAnsi="Arial"/>
          <w:sz w:val="12"/>
          <w:szCs w:val="12"/>
          <w:color w:val="auto"/>
        </w:rPr>
      </w:pPr>
      <w:r>
        <w:rPr>
          <w:rFonts w:ascii="Arial" w:cs="Arial" w:eastAsia="Arial" w:hAnsi="Arial"/>
          <w:sz w:val="13"/>
          <w:szCs w:val="13"/>
          <w:b w:val="1"/>
          <w:bCs w:val="1"/>
          <w:color w:val="auto"/>
        </w:rPr>
        <w:t>€66,005</w:t>
      </w:r>
      <w:r>
        <w:rPr>
          <w:rFonts w:ascii="Arial" w:cs="Arial" w:eastAsia="Arial" w:hAnsi="Arial"/>
          <w:sz w:val="11"/>
          <w:szCs w:val="11"/>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94615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0" cy="635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-99060</wp:posOffset>
            </wp:positionV>
            <wp:extent cx="94615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680" w:space="530"/>
            <w:col w:w="1070"/>
          </w:cols>
          <w:pgMar w:left="300" w:top="291" w:right="319" w:bottom="1440" w:gutter="0" w:footer="0" w:header="0"/>
          <w:type w:val="continuous"/>
        </w:sectPr>
      </w:pPr>
    </w:p>
    <w:p>
      <w:pPr>
        <w:spacing w:after="0" w:line="31" w:lineRule="exact"/>
        <w:rPr>
          <w:sz w:val="20"/>
          <w:szCs w:val="20"/>
          <w:color w:val="auto"/>
        </w:rPr>
      </w:pPr>
    </w:p>
    <w:p>
      <w:pPr>
        <w:ind w:right="60" w:firstLine="554"/>
        <w:spacing w:after="0" w:line="267" w:lineRule="auto"/>
        <w:rPr>
          <w:sz w:val="20"/>
          <w:szCs w:val="20"/>
          <w:color w:val="auto"/>
        </w:rPr>
      </w:pPr>
      <w:r>
        <w:rPr>
          <w:rFonts w:ascii="Arial" w:cs="Arial" w:eastAsia="Arial" w:hAnsi="Arial"/>
          <w:sz w:val="13"/>
          <w:szCs w:val="13"/>
          <w:color w:val="auto"/>
        </w:rPr>
        <w:t>Revenue of our biotech business unit increased by €66.0 million, or 155%, to €108.7 million in the year ended December 31, 2018 from €42.7 million in the year ended December 31, 2017. This increase was due to a significant increase in the revenue recognition of our collaboration revenue, particularly with respect to our collaborations with Genentech (in the Clinical and Manufacturing segments) and Sanofi, as well as revenue from our collaboration with Pfizer, which was entered into in 2018. In the Technology Platform segment, the revenue recorded during the year ended December 31, 2018 included €3.9 million for outlicensing patents and know-how to a third party. No further payments are due.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type w:val="continuous"/>
        </w:sectPr>
      </w:pPr>
    </w:p>
    <w:bookmarkStart w:id="203" w:name="page204"/>
    <w:bookmarkEnd w:id="203"/>
    <w:p>
      <w:pPr>
        <w:ind w:left="56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summarizes the research and development expenses of our biotech business unit by segment for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2360" w:type="dxa"/>
            <w:vAlign w:val="bottom"/>
            <w:gridSpan w:val="2"/>
          </w:tcPr>
          <w:p>
            <w:pPr>
              <w:jc w:val="center"/>
              <w:ind w:left="733"/>
              <w:spacing w:after="0"/>
              <w:rPr>
                <w:sz w:val="20"/>
                <w:szCs w:val="20"/>
                <w:color w:val="auto"/>
              </w:rPr>
            </w:pPr>
            <w:r>
              <w:rPr>
                <w:rFonts w:ascii="Arial" w:cs="Arial" w:eastAsia="Arial" w:hAnsi="Arial"/>
                <w:sz w:val="13"/>
                <w:szCs w:val="13"/>
                <w:b w:val="1"/>
                <w:bCs w:val="1"/>
                <w:color w:val="auto"/>
                <w:w w:val="87"/>
              </w:rPr>
              <w:t>Years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2360" w:type="dxa"/>
            <w:vAlign w:val="bottom"/>
            <w:gridSpan w:val="2"/>
          </w:tcPr>
          <w:p>
            <w:pPr>
              <w:jc w:val="center"/>
              <w:ind w:left="753"/>
              <w:spacing w:after="0"/>
              <w:rPr>
                <w:sz w:val="20"/>
                <w:szCs w:val="20"/>
                <w:color w:val="auto"/>
              </w:rPr>
            </w:pPr>
            <w:r>
              <w:rPr>
                <w:rFonts w:ascii="Arial" w:cs="Arial" w:eastAsia="Arial" w:hAnsi="Arial"/>
                <w:sz w:val="13"/>
                <w:szCs w:val="13"/>
                <w:b w:val="1"/>
                <w:bCs w:val="1"/>
                <w:color w:val="auto"/>
                <w:w w:val="92"/>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500" w:type="dxa"/>
            <w:vAlign w:val="bottom"/>
            <w:tcBorders>
              <w:right w:val="single" w:sz="8" w:color="70AD47"/>
            </w:tcBorders>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7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67"/>
        </w:trPr>
        <w:tc>
          <w:tcPr>
            <w:tcW w:w="6500" w:type="dxa"/>
            <w:vAlign w:val="bottom"/>
            <w:tcBorders>
              <w:bottom w:val="single" w:sz="8" w:color="70AD47"/>
              <w:right w:val="single" w:sz="8" w:color="70AD47"/>
            </w:tcBorders>
            <w:vMerge w:val="continue"/>
          </w:tcPr>
          <w:p>
            <w:pPr>
              <w:spacing w:after="0"/>
              <w:rPr>
                <w:sz w:val="14"/>
                <w:szCs w:val="14"/>
                <w:color w:val="auto"/>
              </w:rPr>
            </w:pPr>
          </w:p>
        </w:tc>
        <w:tc>
          <w:tcPr>
            <w:tcW w:w="1600" w:type="dxa"/>
            <w:vAlign w:val="bottom"/>
            <w:tcBorders>
              <w:bottom w:val="single" w:sz="8" w:color="70AD47"/>
              <w:right w:val="single" w:sz="8" w:color="70AD47"/>
            </w:tcBorders>
          </w:tcPr>
          <w:p>
            <w:pPr>
              <w:spacing w:after="0"/>
              <w:rPr>
                <w:sz w:val="14"/>
                <w:szCs w:val="14"/>
                <w:color w:val="auto"/>
              </w:rPr>
            </w:pPr>
          </w:p>
        </w:tc>
        <w:tc>
          <w:tcPr>
            <w:tcW w:w="760" w:type="dxa"/>
            <w:vAlign w:val="bottom"/>
            <w:tcBorders>
              <w:bottom w:val="single" w:sz="8" w:color="70AD47"/>
            </w:tcBorders>
          </w:tcPr>
          <w:p>
            <w:pPr>
              <w:spacing w:after="0"/>
              <w:rPr>
                <w:sz w:val="14"/>
                <w:szCs w:val="14"/>
                <w:color w:val="auto"/>
              </w:rPr>
            </w:pPr>
          </w:p>
        </w:tc>
        <w:tc>
          <w:tcPr>
            <w:tcW w:w="82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Research and development expenses</w:t>
            </w:r>
          </w:p>
        </w:tc>
        <w:tc>
          <w:tcPr>
            <w:tcW w:w="1600" w:type="dxa"/>
            <w:vAlign w:val="bottom"/>
            <w:tcBorders>
              <w:right w:val="single" w:sz="8" w:color="70AD47"/>
            </w:tcBorders>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Clinical</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€48,641</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€25,099</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Technology Platform</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60,320</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37,019</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Manufacturing</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31,508</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14,764</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Business Service</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1,979</w:t>
            </w:r>
          </w:p>
        </w:tc>
        <w:tc>
          <w:tcPr>
            <w:tcW w:w="760" w:type="dxa"/>
            <w:vAlign w:val="bottom"/>
            <w:tcBorders>
              <w:bottom w:val="single" w:sz="8" w:color="70AD47"/>
            </w:tcBorders>
          </w:tcPr>
          <w:p>
            <w:pPr>
              <w:spacing w:after="0"/>
              <w:rPr>
                <w:sz w:val="14"/>
                <w:szCs w:val="14"/>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6,701</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unit research and development expenses</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€142,448</w:t>
            </w:r>
          </w:p>
        </w:tc>
        <w:tc>
          <w:tcPr>
            <w:tcW w:w="760" w:type="dxa"/>
            <w:vAlign w:val="bottom"/>
            <w:tcBorders>
              <w:bottom w:val="single" w:sz="8" w:color="70AD47"/>
            </w:tcBorders>
          </w:tcPr>
          <w:p>
            <w:pPr>
              <w:spacing w:after="0"/>
              <w:rPr>
                <w:sz w:val="13"/>
                <w:szCs w:val="13"/>
                <w:color w:val="auto"/>
              </w:rPr>
            </w:pPr>
          </w:p>
        </w:tc>
        <w:tc>
          <w:tcPr>
            <w:tcW w:w="82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€83,583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0"/>
        <w:spacing w:after="0"/>
        <w:rPr>
          <w:sz w:val="20"/>
          <w:szCs w:val="20"/>
          <w:color w:val="auto"/>
        </w:rPr>
      </w:pPr>
      <w:r>
        <w:rPr>
          <w:rFonts w:ascii="Arial" w:cs="Arial" w:eastAsia="Arial" w:hAnsi="Arial"/>
          <w:sz w:val="13"/>
          <w:szCs w:val="13"/>
          <w:b w:val="1"/>
          <w:bCs w:val="1"/>
          <w:color w:val="auto"/>
        </w:rPr>
        <w:t>Change</w:t>
      </w:r>
    </w:p>
    <w:p>
      <w:pPr>
        <w:spacing w:after="0" w:line="23" w:lineRule="exact"/>
        <w:rPr>
          <w:sz w:val="20"/>
          <w:szCs w:val="20"/>
          <w:color w:val="auto"/>
        </w:rPr>
      </w:pPr>
    </w:p>
    <w:p>
      <w:pPr>
        <w:ind w:left="710" w:hanging="710"/>
        <w:spacing w:after="0"/>
        <w:tabs>
          <w:tab w:leader="none" w:pos="710" w:val="left"/>
        </w:tabs>
        <w:numPr>
          <w:ilvl w:val="0"/>
          <w:numId w:val="242"/>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120650</wp:posOffset>
            </wp:positionV>
            <wp:extent cx="94615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352" w:lineRule="exact"/>
        <w:rPr>
          <w:sz w:val="20"/>
          <w:szCs w:val="20"/>
          <w:color w:val="auto"/>
        </w:rPr>
      </w:pPr>
    </w:p>
    <w:p>
      <w:pPr>
        <w:ind w:left="50"/>
        <w:spacing w:after="0"/>
        <w:tabs>
          <w:tab w:leader="none" w:pos="910" w:val="left"/>
        </w:tabs>
        <w:rPr>
          <w:sz w:val="20"/>
          <w:szCs w:val="20"/>
          <w:color w:val="auto"/>
        </w:rPr>
      </w:pPr>
      <w:r>
        <w:rPr>
          <w:rFonts w:ascii="Arial" w:cs="Arial" w:eastAsia="Arial" w:hAnsi="Arial"/>
          <w:sz w:val="13"/>
          <w:szCs w:val="13"/>
          <w:color w:val="auto"/>
        </w:rPr>
        <w:t>€23,542</w:t>
      </w:r>
      <w:r>
        <w:rPr>
          <w:sz w:val="20"/>
          <w:szCs w:val="20"/>
          <w:color w:val="auto"/>
        </w:rPr>
        <w:tab/>
      </w:r>
      <w:r>
        <w:rPr>
          <w:rFonts w:ascii="Arial" w:cs="Arial" w:eastAsia="Arial" w:hAnsi="Arial"/>
          <w:sz w:val="12"/>
          <w:szCs w:val="12"/>
          <w:color w:val="auto"/>
        </w:rPr>
        <w:t>94</w:t>
      </w:r>
    </w:p>
    <w:p>
      <w:pPr>
        <w:spacing w:after="0" w:line="20" w:lineRule="exact"/>
        <w:rPr>
          <w:sz w:val="20"/>
          <w:szCs w:val="20"/>
          <w:color w:val="auto"/>
        </w:rPr>
      </w:pPr>
    </w:p>
    <w:p>
      <w:pPr>
        <w:ind w:left="110"/>
        <w:spacing w:after="0"/>
        <w:tabs>
          <w:tab w:leader="none" w:pos="910" w:val="left"/>
        </w:tabs>
        <w:rPr>
          <w:sz w:val="20"/>
          <w:szCs w:val="20"/>
          <w:color w:val="auto"/>
        </w:rPr>
      </w:pPr>
      <w:r>
        <w:rPr>
          <w:rFonts w:ascii="Arial" w:cs="Arial" w:eastAsia="Arial" w:hAnsi="Arial"/>
          <w:sz w:val="12"/>
          <w:szCs w:val="12"/>
          <w:color w:val="auto"/>
        </w:rPr>
        <w:t>23,301</w:t>
      </w:r>
      <w:r>
        <w:rPr>
          <w:sz w:val="20"/>
          <w:szCs w:val="20"/>
          <w:color w:val="auto"/>
        </w:rPr>
        <w:tab/>
      </w:r>
      <w:r>
        <w:rPr>
          <w:rFonts w:ascii="Arial" w:cs="Arial" w:eastAsia="Arial" w:hAnsi="Arial"/>
          <w:sz w:val="12"/>
          <w:szCs w:val="12"/>
          <w:color w:val="auto"/>
        </w:rPr>
        <w:t>63</w:t>
      </w:r>
    </w:p>
    <w:p>
      <w:pPr>
        <w:spacing w:after="0" w:line="32" w:lineRule="exact"/>
        <w:rPr>
          <w:sz w:val="20"/>
          <w:szCs w:val="20"/>
          <w:color w:val="auto"/>
        </w:rPr>
      </w:pPr>
    </w:p>
    <w:p>
      <w:pPr>
        <w:jc w:val="both"/>
        <w:ind w:left="110"/>
        <w:spacing w:after="0"/>
        <w:tabs>
          <w:tab w:leader="none" w:pos="850" w:val="left"/>
        </w:tabs>
        <w:rPr>
          <w:sz w:val="20"/>
          <w:szCs w:val="20"/>
          <w:color w:val="auto"/>
        </w:rPr>
      </w:pPr>
      <w:r>
        <w:rPr>
          <w:rFonts w:ascii="Arial" w:cs="Arial" w:eastAsia="Arial" w:hAnsi="Arial"/>
          <w:sz w:val="13"/>
          <w:szCs w:val="13"/>
          <w:color w:val="auto"/>
        </w:rPr>
        <w:t>16,744</w:t>
      </w:r>
      <w:r>
        <w:rPr>
          <w:sz w:val="20"/>
          <w:szCs w:val="20"/>
          <w:color w:val="auto"/>
        </w:rPr>
        <w:tab/>
      </w:r>
      <w:r>
        <w:rPr>
          <w:rFonts w:ascii="Arial" w:cs="Arial" w:eastAsia="Arial" w:hAnsi="Arial"/>
          <w:sz w:val="13"/>
          <w:szCs w:val="13"/>
          <w:color w:val="auto"/>
        </w:rPr>
        <w:t>113</w:t>
      </w:r>
    </w:p>
    <w:p>
      <w:pPr>
        <w:spacing w:after="0" w:line="20" w:lineRule="exact"/>
        <w:rPr>
          <w:sz w:val="20"/>
          <w:szCs w:val="20"/>
          <w:color w:val="auto"/>
        </w:rPr>
      </w:pPr>
    </w:p>
    <w:p>
      <w:pPr>
        <w:ind w:left="90"/>
        <w:spacing w:after="0"/>
        <w:tabs>
          <w:tab w:leader="none" w:pos="830" w:val="left"/>
        </w:tabs>
        <w:rPr>
          <w:sz w:val="20"/>
          <w:szCs w:val="20"/>
          <w:color w:val="auto"/>
        </w:rPr>
      </w:pPr>
      <w:r>
        <w:rPr>
          <w:rFonts w:ascii="Arial" w:cs="Arial" w:eastAsia="Arial" w:hAnsi="Arial"/>
          <w:sz w:val="12"/>
          <w:szCs w:val="12"/>
          <w:color w:val="auto"/>
        </w:rPr>
        <w:t>(4,722)</w:t>
      </w:r>
      <w:r>
        <w:rPr>
          <w:sz w:val="20"/>
          <w:szCs w:val="20"/>
          <w:color w:val="auto"/>
        </w:rPr>
        <w:tab/>
      </w: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19685</wp:posOffset>
            </wp:positionV>
            <wp:extent cx="94615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18" w:lineRule="exact"/>
        <w:rPr>
          <w:sz w:val="20"/>
          <w:szCs w:val="20"/>
          <w:color w:val="auto"/>
        </w:rPr>
      </w:pPr>
    </w:p>
    <w:p>
      <w:pPr>
        <w:ind w:left="50"/>
        <w:spacing w:after="0"/>
        <w:tabs>
          <w:tab w:leader="none" w:pos="910" w:val="left"/>
        </w:tabs>
        <w:rPr>
          <w:sz w:val="20"/>
          <w:szCs w:val="20"/>
          <w:color w:val="auto"/>
        </w:rPr>
      </w:pPr>
      <w:r>
        <w:rPr>
          <w:rFonts w:ascii="Arial" w:cs="Arial" w:eastAsia="Arial" w:hAnsi="Arial"/>
          <w:sz w:val="13"/>
          <w:szCs w:val="13"/>
          <w:b w:val="1"/>
          <w:bCs w:val="1"/>
          <w:color w:val="auto"/>
        </w:rPr>
        <w:t>€58,865</w:t>
      </w:r>
      <w:r>
        <w:rPr>
          <w:sz w:val="20"/>
          <w:szCs w:val="20"/>
          <w:color w:val="auto"/>
        </w:rPr>
        <w:tab/>
      </w:r>
      <w:r>
        <w:rPr>
          <w:rFonts w:ascii="Arial" w:cs="Arial" w:eastAsia="Arial" w:hAnsi="Arial"/>
          <w:sz w:val="12"/>
          <w:szCs w:val="12"/>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94615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46150" cy="63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680" w:space="530"/>
            <w:col w:w="1070"/>
          </w:cols>
          <w:pgMar w:left="300" w:top="371" w:right="319" w:bottom="1440" w:gutter="0" w:footer="0" w:header="0"/>
        </w:sectPr>
      </w:pPr>
    </w:p>
    <w:p>
      <w:pPr>
        <w:spacing w:after="0" w:line="31" w:lineRule="exact"/>
        <w:rPr>
          <w:sz w:val="20"/>
          <w:szCs w:val="20"/>
          <w:color w:val="auto"/>
        </w:rPr>
      </w:pPr>
    </w:p>
    <w:p>
      <w:pPr>
        <w:ind w:right="360" w:firstLine="554"/>
        <w:spacing w:after="0" w:line="287" w:lineRule="auto"/>
        <w:rPr>
          <w:sz w:val="20"/>
          <w:szCs w:val="20"/>
          <w:color w:val="auto"/>
        </w:rPr>
      </w:pPr>
      <w:r>
        <w:rPr>
          <w:rFonts w:ascii="Arial" w:cs="Arial" w:eastAsia="Arial" w:hAnsi="Arial"/>
          <w:sz w:val="13"/>
          <w:szCs w:val="13"/>
          <w:color w:val="auto"/>
        </w:rPr>
        <w:t>Research and development expenses of our biotech business unit increased by €58.9 million, or 70%, to €142.4 million in the year ended December 31, 2018 from €83.6 million in the year ended December 31, 2017. This increase was primarily due to increase in clinical development activities, manufacturing for the iNeST clinical study supply and increased headcount.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summarizes our clinical research and development expenses, broken down by drug class and selected platforms, for each period presented:</w:t>
      </w:r>
    </w:p>
    <w:p>
      <w:pPr>
        <w:sectPr>
          <w:pgSz w:w="11900" w:h="16838" w:orient="portrait"/>
          <w:cols w:equalWidth="0" w:num="1">
            <w:col w:w="11280"/>
          </w:cols>
          <w:pgMar w:left="300" w:top="371" w:right="319" w:bottom="144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2360" w:type="dxa"/>
            <w:vAlign w:val="bottom"/>
            <w:gridSpan w:val="2"/>
          </w:tcPr>
          <w:p>
            <w:pPr>
              <w:jc w:val="center"/>
              <w:ind w:left="753"/>
              <w:spacing w:after="0"/>
              <w:rPr>
                <w:sz w:val="20"/>
                <w:szCs w:val="20"/>
                <w:color w:val="auto"/>
              </w:rPr>
            </w:pPr>
            <w:r>
              <w:rPr>
                <w:rFonts w:ascii="Arial" w:cs="Arial" w:eastAsia="Arial" w:hAnsi="Arial"/>
                <w:sz w:val="13"/>
                <w:szCs w:val="13"/>
                <w:b w:val="1"/>
                <w:bCs w:val="1"/>
                <w:color w:val="auto"/>
                <w:w w:val="90"/>
              </w:rPr>
              <w:t>Years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2360" w:type="dxa"/>
            <w:vAlign w:val="bottom"/>
            <w:gridSpan w:val="2"/>
          </w:tcPr>
          <w:p>
            <w:pPr>
              <w:jc w:val="center"/>
              <w:ind w:left="753"/>
              <w:spacing w:after="0"/>
              <w:rPr>
                <w:sz w:val="20"/>
                <w:szCs w:val="20"/>
                <w:color w:val="auto"/>
              </w:rPr>
            </w:pPr>
            <w:r>
              <w:rPr>
                <w:rFonts w:ascii="Arial" w:cs="Arial" w:eastAsia="Arial" w:hAnsi="Arial"/>
                <w:sz w:val="13"/>
                <w:szCs w:val="13"/>
                <w:b w:val="1"/>
                <w:bCs w:val="1"/>
                <w:color w:val="auto"/>
                <w:w w:val="92"/>
              </w:rPr>
              <w:t>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500" w:type="dxa"/>
            <w:vAlign w:val="bottom"/>
            <w:tcBorders>
              <w:right w:val="single" w:sz="8" w:color="70AD47"/>
            </w:tcBorders>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67"/>
        </w:trPr>
        <w:tc>
          <w:tcPr>
            <w:tcW w:w="6500" w:type="dxa"/>
            <w:vAlign w:val="bottom"/>
            <w:tcBorders>
              <w:bottom w:val="single" w:sz="8" w:color="70AD47"/>
              <w:right w:val="single" w:sz="8" w:color="70AD47"/>
            </w:tcBorders>
            <w:vMerge w:val="continue"/>
          </w:tcPr>
          <w:p>
            <w:pPr>
              <w:spacing w:after="0"/>
              <w:rPr>
                <w:sz w:val="14"/>
                <w:szCs w:val="14"/>
                <w:color w:val="auto"/>
              </w:rPr>
            </w:pPr>
          </w:p>
        </w:tc>
        <w:tc>
          <w:tcPr>
            <w:tcW w:w="1620" w:type="dxa"/>
            <w:vAlign w:val="bottom"/>
            <w:tcBorders>
              <w:bottom w:val="single" w:sz="8" w:color="70AD47"/>
              <w:right w:val="single" w:sz="8" w:color="70AD47"/>
            </w:tcBorders>
          </w:tcPr>
          <w:p>
            <w:pPr>
              <w:spacing w:after="0"/>
              <w:rPr>
                <w:sz w:val="14"/>
                <w:szCs w:val="14"/>
                <w:color w:val="auto"/>
              </w:rPr>
            </w:pPr>
          </w:p>
        </w:tc>
        <w:tc>
          <w:tcPr>
            <w:tcW w:w="740" w:type="dxa"/>
            <w:vAlign w:val="bottom"/>
            <w:tcBorders>
              <w:bottom w:val="single" w:sz="8" w:color="70AD47"/>
            </w:tcBorders>
          </w:tcPr>
          <w:p>
            <w:pPr>
              <w:spacing w:after="0"/>
              <w:rPr>
                <w:sz w:val="14"/>
                <w:szCs w:val="14"/>
                <w:color w:val="auto"/>
              </w:rPr>
            </w:pPr>
          </w:p>
        </w:tc>
        <w:tc>
          <w:tcPr>
            <w:tcW w:w="84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Clinical research and development expenses</w:t>
            </w:r>
          </w:p>
        </w:tc>
        <w:tc>
          <w:tcPr>
            <w:tcW w:w="1620" w:type="dxa"/>
            <w:vAlign w:val="bottom"/>
            <w:tcBorders>
              <w:right w:val="single" w:sz="8" w:color="70AD47"/>
            </w:tcBorders>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mRNA</w:t>
            </w:r>
          </w:p>
        </w:tc>
        <w:tc>
          <w:tcPr>
            <w:tcW w:w="1620" w:type="dxa"/>
            <w:vAlign w:val="bottom"/>
            <w:tcBorders>
              <w:right w:val="single" w:sz="8" w:color="70AD47"/>
            </w:tcBorders>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80"/>
              <w:spacing w:after="0"/>
              <w:rPr>
                <w:sz w:val="20"/>
                <w:szCs w:val="20"/>
                <w:color w:val="auto"/>
              </w:rPr>
            </w:pPr>
            <w:r>
              <w:rPr>
                <w:rFonts w:ascii="Arial" w:cs="Arial" w:eastAsia="Arial" w:hAnsi="Arial"/>
                <w:sz w:val="13"/>
                <w:szCs w:val="13"/>
                <w:color w:val="auto"/>
              </w:rPr>
              <w:t>FixVac</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€3,018</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€2,539</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80"/>
              <w:spacing w:after="0"/>
              <w:rPr>
                <w:sz w:val="20"/>
                <w:szCs w:val="20"/>
                <w:color w:val="auto"/>
              </w:rPr>
            </w:pPr>
            <w:r>
              <w:rPr>
                <w:rFonts w:ascii="Arial" w:cs="Arial" w:eastAsia="Arial" w:hAnsi="Arial"/>
                <w:sz w:val="13"/>
                <w:szCs w:val="13"/>
                <w:color w:val="auto"/>
              </w:rPr>
              <w:t>iNeST</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13,335</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17,223</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80"/>
              <w:spacing w:after="0"/>
              <w:rPr>
                <w:sz w:val="20"/>
                <w:szCs w:val="20"/>
                <w:color w:val="auto"/>
              </w:rPr>
            </w:pPr>
            <w:r>
              <w:rPr>
                <w:rFonts w:ascii="Arial" w:cs="Arial" w:eastAsia="Arial" w:hAnsi="Arial"/>
                <w:sz w:val="13"/>
                <w:szCs w:val="13"/>
                <w:color w:val="auto"/>
              </w:rPr>
              <w:t>Other mRNA</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9,441</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3,124</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Total mRNA</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25,794</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22,886</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Engineered Cell Therapies</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653</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2,213</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Antibodies</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14,353</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Small Molecule Immunomodulators</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1,497</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6,344</w:t>
            </w:r>
          </w:p>
        </w:tc>
        <w:tc>
          <w:tcPr>
            <w:tcW w:w="740" w:type="dxa"/>
            <w:vAlign w:val="bottom"/>
            <w:tcBorders>
              <w:bottom w:val="single" w:sz="8" w:color="70AD47"/>
            </w:tcBorders>
          </w:tcPr>
          <w:p>
            <w:pPr>
              <w:spacing w:after="0"/>
              <w:rPr>
                <w:sz w:val="14"/>
                <w:szCs w:val="14"/>
                <w:color w:val="auto"/>
              </w:rPr>
            </w:pPr>
          </w:p>
        </w:tc>
        <w:tc>
          <w:tcPr>
            <w:tcW w:w="8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clinical research and development expenses</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€48,641</w:t>
            </w:r>
          </w:p>
        </w:tc>
        <w:tc>
          <w:tcPr>
            <w:tcW w:w="740" w:type="dxa"/>
            <w:vAlign w:val="bottom"/>
            <w:tcBorders>
              <w:bottom w:val="single" w:sz="8" w:color="70AD47"/>
            </w:tcBorders>
          </w:tcPr>
          <w:p>
            <w:pPr>
              <w:spacing w:after="0"/>
              <w:rPr>
                <w:sz w:val="13"/>
                <w:szCs w:val="13"/>
                <w:color w:val="auto"/>
              </w:rPr>
            </w:pPr>
          </w:p>
        </w:tc>
        <w:tc>
          <w:tcPr>
            <w:tcW w:w="8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€25,099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Change</w:t>
      </w:r>
    </w:p>
    <w:p>
      <w:pPr>
        <w:spacing w:after="0" w:line="23" w:lineRule="exact"/>
        <w:rPr>
          <w:sz w:val="20"/>
          <w:szCs w:val="20"/>
          <w:color w:val="auto"/>
        </w:rPr>
      </w:pPr>
    </w:p>
    <w:p>
      <w:pPr>
        <w:ind w:left="700" w:hanging="700"/>
        <w:spacing w:after="0"/>
        <w:tabs>
          <w:tab w:leader="none" w:pos="700" w:val="left"/>
        </w:tabs>
        <w:numPr>
          <w:ilvl w:val="0"/>
          <w:numId w:val="243"/>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120650</wp:posOffset>
            </wp:positionV>
            <wp:extent cx="93980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0" cy="635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3"/>
          <w:szCs w:val="13"/>
          <w:color w:val="auto"/>
        </w:rPr>
        <w:t>€479</w:t>
      </w:r>
      <w:r>
        <w:rPr>
          <w:sz w:val="20"/>
          <w:szCs w:val="20"/>
          <w:color w:val="auto"/>
        </w:rPr>
        <w:tab/>
      </w:r>
      <w:r>
        <w:rPr>
          <w:rFonts w:ascii="Arial" w:cs="Arial" w:eastAsia="Arial" w:hAnsi="Arial"/>
          <w:sz w:val="12"/>
          <w:szCs w:val="12"/>
          <w:color w:val="auto"/>
        </w:rPr>
        <w:t>19</w:t>
      </w:r>
    </w:p>
    <w:p>
      <w:pPr>
        <w:spacing w:after="0" w:line="20"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2"/>
          <w:szCs w:val="12"/>
          <w:color w:val="auto"/>
        </w:rPr>
        <w:t>(3,888)</w:t>
      </w:r>
      <w:r>
        <w:rPr>
          <w:sz w:val="20"/>
          <w:szCs w:val="20"/>
          <w:color w:val="auto"/>
        </w:rPr>
        <w:tab/>
      </w:r>
      <w:r>
        <w:rPr>
          <w:rFonts w:ascii="Arial" w:cs="Arial" w:eastAsia="Arial" w:hAnsi="Arial"/>
          <w:sz w:val="12"/>
          <w:szCs w:val="12"/>
          <w:color w:val="auto"/>
        </w:rPr>
        <w:t>(23)</w:t>
      </w:r>
    </w:p>
    <w:p>
      <w:pPr>
        <w:spacing w:after="0" w:line="32" w:lineRule="exact"/>
        <w:rPr>
          <w:sz w:val="20"/>
          <w:szCs w:val="20"/>
          <w:color w:val="auto"/>
        </w:rPr>
      </w:pPr>
    </w:p>
    <w:p>
      <w:pPr>
        <w:jc w:val="both"/>
        <w:ind w:left="180"/>
        <w:spacing w:after="0"/>
        <w:tabs>
          <w:tab w:leader="none" w:pos="840" w:val="left"/>
        </w:tabs>
        <w:rPr>
          <w:sz w:val="20"/>
          <w:szCs w:val="20"/>
          <w:color w:val="auto"/>
        </w:rPr>
      </w:pPr>
      <w:r>
        <w:rPr>
          <w:rFonts w:ascii="Arial" w:cs="Arial" w:eastAsia="Arial" w:hAnsi="Arial"/>
          <w:sz w:val="13"/>
          <w:szCs w:val="13"/>
          <w:color w:val="auto"/>
        </w:rPr>
        <w:t>6,317</w:t>
      </w:r>
      <w:r>
        <w:rPr>
          <w:sz w:val="20"/>
          <w:szCs w:val="20"/>
          <w:color w:val="auto"/>
        </w:rPr>
        <w:tab/>
      </w:r>
      <w:r>
        <w:rPr>
          <w:rFonts w:ascii="Arial" w:cs="Arial" w:eastAsia="Arial" w:hAnsi="Arial"/>
          <w:sz w:val="13"/>
          <w:szCs w:val="13"/>
          <w:color w:val="auto"/>
        </w:rPr>
        <w:t>202</w:t>
      </w:r>
    </w:p>
    <w:p>
      <w:pPr>
        <w:spacing w:after="0" w:line="20"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2"/>
          <w:szCs w:val="12"/>
          <w:color w:val="auto"/>
        </w:rPr>
        <w:t>2,908</w:t>
      </w:r>
      <w:r>
        <w:rPr>
          <w:sz w:val="20"/>
          <w:szCs w:val="20"/>
          <w:color w:val="auto"/>
        </w:rPr>
        <w:tab/>
      </w:r>
      <w:r>
        <w:rPr>
          <w:rFonts w:ascii="Arial" w:cs="Arial" w:eastAsia="Arial" w:hAnsi="Arial"/>
          <w:sz w:val="12"/>
          <w:szCs w:val="12"/>
          <w:color w:val="auto"/>
        </w:rPr>
        <w:t>13</w:t>
      </w:r>
    </w:p>
    <w:p>
      <w:pPr>
        <w:spacing w:after="0" w:line="32"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2"/>
          <w:szCs w:val="12"/>
          <w:color w:val="auto"/>
        </w:rPr>
        <w:t>(1,560)</w:t>
      </w:r>
      <w:r>
        <w:rPr>
          <w:sz w:val="20"/>
          <w:szCs w:val="20"/>
          <w:color w:val="auto"/>
        </w:rPr>
        <w:tab/>
      </w:r>
      <w:r>
        <w:rPr>
          <w:rFonts w:ascii="Arial" w:cs="Arial" w:eastAsia="Arial" w:hAnsi="Arial"/>
          <w:sz w:val="12"/>
          <w:szCs w:val="12"/>
          <w:color w:val="auto"/>
        </w:rPr>
        <w:t>(70)</w:t>
      </w:r>
    </w:p>
    <w:p>
      <w:pPr>
        <w:spacing w:after="0" w:line="32"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2"/>
          <w:szCs w:val="12"/>
          <w:color w:val="auto"/>
        </w:rPr>
        <w:t>14,353</w:t>
      </w:r>
      <w:r>
        <w:rPr>
          <w:sz w:val="20"/>
          <w:szCs w:val="20"/>
          <w:color w:val="auto"/>
        </w:rPr>
        <w:tab/>
      </w:r>
      <w:r>
        <w:rPr>
          <w:rFonts w:ascii="Arial" w:cs="Arial" w:eastAsia="Arial" w:hAnsi="Arial"/>
          <w:sz w:val="12"/>
          <w:szCs w:val="12"/>
          <w:color w:val="auto"/>
        </w:rPr>
        <w:t>-</w:t>
      </w:r>
    </w:p>
    <w:p>
      <w:pPr>
        <w:spacing w:after="0" w:line="32"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2"/>
          <w:szCs w:val="12"/>
          <w:color w:val="auto"/>
        </w:rPr>
        <w:t>1,497</w:t>
      </w:r>
      <w:r>
        <w:rPr>
          <w:sz w:val="20"/>
          <w:szCs w:val="20"/>
          <w:color w:val="auto"/>
        </w:rPr>
        <w:tab/>
      </w:r>
      <w:r>
        <w:rPr>
          <w:rFonts w:ascii="Arial" w:cs="Arial" w:eastAsia="Arial" w:hAnsi="Arial"/>
          <w:sz w:val="12"/>
          <w:szCs w:val="12"/>
          <w:color w:val="auto"/>
        </w:rPr>
        <w:t>-</w:t>
      </w:r>
    </w:p>
    <w:p>
      <w:pPr>
        <w:spacing w:after="0" w:line="32"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2"/>
          <w:szCs w:val="12"/>
          <w:color w:val="auto"/>
        </w:rPr>
        <w:t>6,344</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19685</wp:posOffset>
            </wp:positionV>
            <wp:extent cx="93980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0" cy="6350"/>
                    </a:xfrm>
                    <a:prstGeom prst="rect">
                      <a:avLst/>
                    </a:prstGeom>
                    <a:noFill/>
                  </pic:spPr>
                </pic:pic>
              </a:graphicData>
            </a:graphic>
          </wp:anchor>
        </w:drawing>
      </w:r>
    </w:p>
    <w:p>
      <w:pPr>
        <w:spacing w:after="0" w:line="18"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3"/>
          <w:szCs w:val="13"/>
          <w:b w:val="1"/>
          <w:bCs w:val="1"/>
          <w:color w:val="auto"/>
        </w:rPr>
        <w:t>€23,542</w:t>
      </w:r>
      <w:r>
        <w:rPr>
          <w:sz w:val="20"/>
          <w:szCs w:val="20"/>
          <w:color w:val="auto"/>
        </w:rPr>
        <w:tab/>
      </w:r>
      <w:r>
        <w:rPr>
          <w:rFonts w:ascii="Arial" w:cs="Arial" w:eastAsia="Arial" w:hAnsi="Arial"/>
          <w:sz w:val="12"/>
          <w:szCs w:val="12"/>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93980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0" cy="63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700" w:space="520"/>
            <w:col w:w="1060"/>
          </w:cols>
          <w:pgMar w:left="300" w:top="371" w:right="319" w:bottom="1440" w:gutter="0" w:footer="0" w:header="0"/>
          <w:type w:val="continuous"/>
        </w:sectPr>
      </w:pPr>
    </w:p>
    <w:p>
      <w:pPr>
        <w:spacing w:after="0" w:line="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Other clinical research and development expenses primarily consist of share-based compensation, which is not directly related to individual drug classes and platforms.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Sales and Marketing Expenses</w:t>
      </w:r>
    </w:p>
    <w:p>
      <w:pPr>
        <w:spacing w:after="0" w:line="90"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auto"/>
        </w:rPr>
        <w:t>Sales and marketing expenses of our biotech business unit decreased by €2.8 million, or 57%, to €2.1 million in the year ended December 31, 2018 from €4.9 million in the year ended December 31, 2017. This decrease was primarily due to a reduction of purchased sales and marketing services.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General and Administrative Expenses</w:t>
      </w:r>
    </w:p>
    <w:p>
      <w:pPr>
        <w:spacing w:after="0" w:line="90" w:lineRule="exact"/>
        <w:rPr>
          <w:sz w:val="20"/>
          <w:szCs w:val="20"/>
          <w:color w:val="auto"/>
        </w:rPr>
      </w:pPr>
    </w:p>
    <w:p>
      <w:pPr>
        <w:ind w:right="480" w:firstLine="556"/>
        <w:spacing w:after="0" w:line="331" w:lineRule="auto"/>
        <w:rPr>
          <w:sz w:val="20"/>
          <w:szCs w:val="20"/>
          <w:color w:val="auto"/>
        </w:rPr>
      </w:pPr>
      <w:r>
        <w:rPr>
          <w:rFonts w:ascii="Arial" w:cs="Arial" w:eastAsia="Arial" w:hAnsi="Arial"/>
          <w:sz w:val="12"/>
          <w:szCs w:val="12"/>
          <w:color w:val="auto"/>
        </w:rPr>
        <w:t>General and administrative expenses of our biotech business unit increased by €2.7 million, or 13%, to €23.8 million in the year ended December 31, 2018 from €21.1 million in the year ended December 31, 2017. This increase was primarily due to increased purchased administrative services, information technology and office equipment as well as increased depreciation.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type w:val="continuous"/>
        </w:sectPr>
      </w:pPr>
    </w:p>
    <w:bookmarkStart w:id="204" w:name="page205"/>
    <w:bookmarkEnd w:id="204"/>
    <w:p>
      <w:pPr>
        <w:ind w:left="560"/>
        <w:spacing w:after="0"/>
        <w:rPr>
          <w:sz w:val="20"/>
          <w:szCs w:val="20"/>
          <w:color w:val="auto"/>
        </w:rPr>
      </w:pPr>
      <w:r>
        <w:rPr>
          <w:rFonts w:ascii="Arial" w:cs="Arial" w:eastAsia="Arial" w:hAnsi="Arial"/>
          <w:sz w:val="13"/>
          <w:szCs w:val="13"/>
          <w:b w:val="1"/>
          <w:bCs w:val="1"/>
          <w:i w:val="1"/>
          <w:iCs w:val="1"/>
          <w:color w:val="auto"/>
        </w:rPr>
        <w:t>Other Result</w:t>
      </w:r>
    </w:p>
    <w:p>
      <w:pPr>
        <w:spacing w:after="0" w:line="90" w:lineRule="exact"/>
        <w:rPr>
          <w:sz w:val="20"/>
          <w:szCs w:val="20"/>
          <w:color w:val="auto"/>
        </w:rPr>
      </w:pPr>
    </w:p>
    <w:p>
      <w:pPr>
        <w:ind w:right="280" w:firstLine="556"/>
        <w:spacing w:after="0" w:line="287" w:lineRule="auto"/>
        <w:rPr>
          <w:sz w:val="20"/>
          <w:szCs w:val="20"/>
          <w:color w:val="auto"/>
        </w:rPr>
      </w:pPr>
      <w:r>
        <w:rPr>
          <w:rFonts w:ascii="Arial" w:cs="Arial" w:eastAsia="Arial" w:hAnsi="Arial"/>
          <w:sz w:val="13"/>
          <w:szCs w:val="13"/>
          <w:color w:val="auto"/>
        </w:rPr>
        <w:t>The other result of our biotech business unit increased by €2.5 million, or 154%, to €4.1 million in the year ended December 31, 2018 from €1.6 million in the year ended December 31, 2017. This increase was primarily attributable to an increase in government grants.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External Services Business Unit</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summarizes the statements of operations of our external services business unit for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13"/>
                <w:szCs w:val="13"/>
                <w:color w:val="auto"/>
              </w:rPr>
            </w:pPr>
          </w:p>
        </w:tc>
      </w:tr>
      <w:tr>
        <w:trPr>
          <w:trHeight w:val="173"/>
        </w:trPr>
        <w:tc>
          <w:tcPr>
            <w:tcW w:w="6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65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1600" w:type="dxa"/>
            <w:vAlign w:val="bottom"/>
            <w:tcBorders>
              <w:bottom w:val="single" w:sz="8" w:color="70AD47"/>
              <w:right w:val="single" w:sz="8" w:color="70AD47"/>
            </w:tcBorders>
          </w:tcPr>
          <w:p>
            <w:pPr>
              <w:spacing w:after="0"/>
              <w:rPr>
                <w:sz w:val="14"/>
                <w:szCs w:val="14"/>
                <w:color w:val="auto"/>
              </w:rPr>
            </w:pPr>
          </w:p>
        </w:tc>
        <w:tc>
          <w:tcPr>
            <w:tcW w:w="1580" w:type="dxa"/>
            <w:vAlign w:val="bottom"/>
            <w:tcBorders>
              <w:bottom w:val="single" w:sz="8" w:color="70AD47"/>
            </w:tcBorders>
          </w:tcPr>
          <w:p>
            <w:pPr>
              <w:spacing w:after="0"/>
              <w:rPr>
                <w:sz w:val="14"/>
                <w:szCs w:val="14"/>
                <w:color w:val="auto"/>
              </w:rPr>
            </w:pPr>
          </w:p>
        </w:tc>
      </w:tr>
      <w:tr>
        <w:trPr>
          <w:trHeight w:val="33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Revenues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€23,467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€18,914</w:t>
            </w:r>
          </w:p>
        </w:tc>
        <w:tc>
          <w:tcPr>
            <w:tcW w:w="1580" w:type="dxa"/>
            <w:vAlign w:val="bottom"/>
          </w:tcPr>
          <w:p>
            <w:pPr>
              <w:jc w:val="right"/>
              <w:spacing w:after="0"/>
              <w:rPr>
                <w:sz w:val="20"/>
                <w:szCs w:val="20"/>
                <w:color w:val="auto"/>
              </w:rPr>
            </w:pPr>
            <w:r>
              <w:rPr>
                <w:rFonts w:ascii="Arial" w:cs="Arial" w:eastAsia="Arial" w:hAnsi="Arial"/>
                <w:sz w:val="13"/>
                <w:szCs w:val="13"/>
                <w:color w:val="auto"/>
              </w:rPr>
              <w:t>€18,941</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Cost of sales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(16,923)</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(13,358)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(9,318)</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Gross profit</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€6,544</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€5,556</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€9,623</w:t>
            </w:r>
          </w:p>
        </w:tc>
      </w:tr>
      <w:tr>
        <w:trPr>
          <w:trHeight w:val="33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Research and development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(600)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(884)</w:t>
            </w:r>
          </w:p>
        </w:tc>
        <w:tc>
          <w:tcPr>
            <w:tcW w:w="1580" w:type="dxa"/>
            <w:vAlign w:val="bottom"/>
          </w:tcPr>
          <w:p>
            <w:pPr>
              <w:jc w:val="right"/>
              <w:spacing w:after="0"/>
              <w:rPr>
                <w:sz w:val="20"/>
                <w:szCs w:val="20"/>
                <w:color w:val="auto"/>
              </w:rPr>
            </w:pPr>
            <w:r>
              <w:rPr>
                <w:rFonts w:ascii="Arial" w:cs="Arial" w:eastAsia="Arial" w:hAnsi="Arial"/>
                <w:sz w:val="13"/>
                <w:szCs w:val="13"/>
                <w:color w:val="auto"/>
              </w:rPr>
              <w:t>(1,912)</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Sales and marketing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(1,415)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(935)</w:t>
            </w:r>
          </w:p>
        </w:tc>
        <w:tc>
          <w:tcPr>
            <w:tcW w:w="1580" w:type="dxa"/>
            <w:vAlign w:val="bottom"/>
          </w:tcPr>
          <w:p>
            <w:pPr>
              <w:jc w:val="right"/>
              <w:spacing w:after="0"/>
              <w:rPr>
                <w:sz w:val="20"/>
                <w:szCs w:val="20"/>
                <w:color w:val="auto"/>
              </w:rPr>
            </w:pPr>
            <w:r>
              <w:rPr>
                <w:rFonts w:ascii="Arial" w:cs="Arial" w:eastAsia="Arial" w:hAnsi="Arial"/>
                <w:sz w:val="13"/>
                <w:szCs w:val="13"/>
                <w:color w:val="auto"/>
              </w:rPr>
              <w:t>(1,698)</w:t>
            </w: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General and administrative expenses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(2,970)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(2,542)</w:t>
            </w:r>
          </w:p>
        </w:tc>
        <w:tc>
          <w:tcPr>
            <w:tcW w:w="1580" w:type="dxa"/>
            <w:vAlign w:val="bottom"/>
          </w:tcPr>
          <w:p>
            <w:pPr>
              <w:jc w:val="right"/>
              <w:spacing w:after="0"/>
              <w:rPr>
                <w:sz w:val="20"/>
                <w:szCs w:val="20"/>
                <w:color w:val="auto"/>
              </w:rPr>
            </w:pPr>
            <w:r>
              <w:rPr>
                <w:rFonts w:ascii="Arial" w:cs="Arial" w:eastAsia="Arial" w:hAnsi="Arial"/>
                <w:sz w:val="13"/>
                <w:szCs w:val="13"/>
                <w:color w:val="auto"/>
              </w:rPr>
              <w:t>(2,427)</w:t>
            </w: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Other result</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559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463</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Operating income</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€2,027</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€1,753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€4,049</w:t>
            </w:r>
          </w:p>
        </w:tc>
      </w:tr>
    </w:tbl>
    <w:p>
      <w:pPr>
        <w:spacing w:after="0" w:line="231" w:lineRule="exact"/>
        <w:rPr>
          <w:sz w:val="20"/>
          <w:szCs w:val="20"/>
          <w:color w:val="auto"/>
        </w:rPr>
      </w:pPr>
    </w:p>
    <w:p>
      <w:pPr>
        <w:ind w:right="20" w:firstLine="554"/>
        <w:spacing w:after="0" w:line="267" w:lineRule="auto"/>
        <w:rPr>
          <w:sz w:val="20"/>
          <w:szCs w:val="20"/>
          <w:color w:val="auto"/>
        </w:rPr>
      </w:pPr>
      <w:r>
        <w:rPr>
          <w:rFonts w:ascii="Arial" w:cs="Arial" w:eastAsia="Arial" w:hAnsi="Arial"/>
          <w:sz w:val="13"/>
          <w:szCs w:val="13"/>
          <w:color w:val="auto"/>
        </w:rPr>
        <w:t>Our external services business unit's operating income increased by €0.2 million, or 11%, to €2 million in the year ended December 31, 2019 from €1.8 million in the year ended December 31, 2018. This increase was mainly due to an increase in revenues. Our external services business unit's operating income decreased by €2.2 million, or 55%, to €1.8 million in the year ended December 31, 2018 from €4.0 million in the year ended December 31, 2017. The decrease in operating income was primarily attributable to an increase in cost of sales by €4.1 million, or 44%, partially offset by a decrease in research and development and sales and marketing expenses in 2018 by €1.8 million, or 50%.</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Related Party Transactions</w:t>
      </w:r>
    </w:p>
    <w:p>
      <w:pPr>
        <w:spacing w:after="0" w:line="94" w:lineRule="exact"/>
        <w:rPr>
          <w:sz w:val="20"/>
          <w:szCs w:val="20"/>
          <w:color w:val="auto"/>
        </w:rPr>
      </w:pPr>
    </w:p>
    <w:p>
      <w:pPr>
        <w:ind w:right="320" w:firstLine="556"/>
        <w:spacing w:after="0" w:line="287" w:lineRule="auto"/>
        <w:rPr>
          <w:sz w:val="20"/>
          <w:szCs w:val="20"/>
          <w:color w:val="auto"/>
        </w:rPr>
      </w:pPr>
      <w:r>
        <w:rPr>
          <w:rFonts w:ascii="Arial" w:cs="Arial" w:eastAsia="Arial" w:hAnsi="Arial"/>
          <w:sz w:val="13"/>
          <w:szCs w:val="13"/>
          <w:color w:val="auto"/>
        </w:rPr>
        <w:t>Related party transactions that occurred during the years ended December 31, 2019 and December 31, 2018 are explained in Item 7 of this Annual Report as well as in Note 21 of our consolidated financial statements included elsewhere in this Annual Report.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Definitive Merger Agreement with Neon Therapeutics, Inc.</w:t>
      </w:r>
    </w:p>
    <w:p>
      <w:pPr>
        <w:spacing w:after="0" w:line="94"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auto"/>
        </w:rPr>
        <w:t>On January 16, 2020, BioNTech and Neon Therapeutics, Inc. (listed on the Nasdaq) have entered into a definitive merger agreement, under which BioNTech will acquire Neon in an all-stock transaction valued at approximately $67.0 million (also referred to as “Merger”). Neon is a biotechnology company developing novel neoantigen-based T cell therapies. The transaction will combine two organizations with a common culture of pioneering translational science and a shared vision for the future of cancer immunotherapy. The Merger is conditioned upon, among other things, the approval of the Merger Agreement by the shareholders of Neon and other customary closing conditions. At closing, BioNTech will issue, and Neon shareholders will receive, 0.063 of BioNTech’s American Depositary Shares, or ADSs, in exchange for each of their shares of Neon. This exchange ratio will not be adjusted for changes in the market price of either our ADSs or Neon common stock between the date the Merger Agreement was signed and completion of the Merger. As a result, changes in the price of our ADSs prior to the completion of the Merger will affect the value of our ADSs delivered upon completion of the Merger.</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Impact of COVID-19</w:t>
      </w:r>
    </w:p>
    <w:p>
      <w:pPr>
        <w:spacing w:after="0" w:line="94"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auto"/>
        </w:rPr>
        <w:t>We are closely monitoring the potential impact of COVID-19 on our business. The COVID-19 pandemic could affect our ability to enroll patients in clinical studies and complete clinical trials on the timelines we currently anticipate. In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205" w:name="page206"/>
    <w:bookmarkEnd w:id="205"/>
    <w:p>
      <w:pPr>
        <w:ind w:right="180"/>
        <w:spacing w:after="0" w:line="272" w:lineRule="auto"/>
        <w:rPr>
          <w:sz w:val="20"/>
          <w:szCs w:val="20"/>
          <w:color w:val="auto"/>
        </w:rPr>
      </w:pPr>
      <w:r>
        <w:rPr>
          <w:rFonts w:ascii="Arial" w:cs="Arial" w:eastAsia="Arial" w:hAnsi="Arial"/>
          <w:sz w:val="13"/>
          <w:szCs w:val="13"/>
          <w:color w:val="auto"/>
        </w:rPr>
        <w:t>addition, our suppliers, licensors, CROs and collaborators could also be disrupted by conditions related to COVID-19, possibly resulting in disruption to our supply chain, clinical trials, partnerships or operations. Our operations, including research and manufacturing, could also be disrupted due to the potential of the impact of staff absences as a result of self-isolation procedures or extended illness. It is not possible at this time to predict the likelihood, timing or severity of the aforementioned direct and indirect impacts of COVID-19 on our business.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Critical Accounting Policies and Use of Estimates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consolidated financial statements for the years ended December 31, 2019 and December 31, 2018have been prepared in accordance with IFRS, as issued by the IASB.</w:t>
      </w:r>
    </w:p>
    <w:p>
      <w:pPr>
        <w:spacing w:after="0" w:line="17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auto"/>
        </w:rPr>
        <w:t>The preparation of the consolidated financial statements in accordance with IFRS required the use of estimates and assumptions by the management that affect the value of assets and liabilities—as well as contingent assets and liabilities—as reported on the balance sheet date, and revenues and expenses arising during the fiscal year. The main areas in which assumptions, estimates and the exercising of a degree of discretion are appropriate relate to the determination of the useful lives of non-current assets and the formation of provisions, as well as income taxes. We based our assumptions and estimates on parameters available when the consolidated financial statements were prepared. Existing circumstances and assumptions about future developments, however, may change due to market changes or circumstances arising that are beyond our control. Hence, our estimates may vary from the actual values.</w:t>
      </w:r>
    </w:p>
    <w:p>
      <w:pPr>
        <w:spacing w:after="0" w:line="138"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We believe that the following accounting policies are critical to the process of making significant judgments and estimates in the preparation of our consolidated financial statements. We have reviewed these critical accounting policies and estimates with the audit committee of our Supervisory Board.</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recognize revenue through collaboration and license agreements, rendering of services and sales of products.</w:t>
      </w:r>
    </w:p>
    <w:p>
      <w:pPr>
        <w:spacing w:after="0" w:line="170"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auto"/>
        </w:rPr>
        <w:t>Under our collaboration and license agreements, described in more detail in “Business—XIV. Third-Party Collaborations”, we receive milestone payments, up-front licensing payments and reimbursement of development expenses, for committing to collaborate with the respective collaborator to research and develop certain pharmaceutical products. Such collaboration agreements also include licenses of certain of our intellectual property to the respective collaborators. As these agreements comprise several promises, it must be assessed whether these promises are capable of being distinct within the context of the contract. For some agreements, this results in us accounting for all goods and services promised in a collaboration and license agreement as a single performance obligation with a single measure of progress. We determined that the grant of the license is the predominant promise within the (combined) performance obligation and the promise to grant a license is accounted for as a performance obligation satisfied over time as our customer simultaneously receives and consumes the benefits from our performance. Up-front licensing payments and reimbursement for research expenses are initially deferred on our statement of financial position and subsequently recognized as revenue over time, either as costs are incurred or over the length of the agreement, as above. Milestone payments are included in the transaction price at the amount stipulated in the respective agreement and recognized as revenue if the occurrence of reaching the future milestone is highly probable.</w:t>
      </w:r>
    </w:p>
    <w:p>
      <w:pPr>
        <w:spacing w:after="0" w:line="129"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color w:val="auto"/>
        </w:rPr>
        <w:t>The collaboration and license agreements may also provide for additional profit-sharing or royalty income, to the extent a pharmaceutical product is successfully commercialized. To date, no such income has been recognized.</w:t>
      </w:r>
    </w:p>
    <w:p>
      <w:pPr>
        <w:spacing w:after="0" w:line="122" w:lineRule="exact"/>
        <w:rPr>
          <w:sz w:val="20"/>
          <w:szCs w:val="20"/>
          <w:color w:val="auto"/>
        </w:rPr>
      </w:pPr>
    </w:p>
    <w:p>
      <w:pPr>
        <w:ind w:right="400" w:firstLine="556"/>
        <w:spacing w:after="0" w:line="331" w:lineRule="auto"/>
        <w:rPr>
          <w:sz w:val="20"/>
          <w:szCs w:val="20"/>
          <w:color w:val="auto"/>
        </w:rPr>
      </w:pPr>
      <w:r>
        <w:rPr>
          <w:rFonts w:ascii="Arial" w:cs="Arial" w:eastAsia="Arial" w:hAnsi="Arial"/>
          <w:sz w:val="12"/>
          <w:szCs w:val="12"/>
          <w:color w:val="auto"/>
        </w:rPr>
        <w:t>We provide development and manufacturing services to customers and recognize revenue over time using an input-based method to measure progress toward complete satisfaction of the service because the customer simultaneously receives and consumes the benefits provided. We recognize such revenue based on a fixed agreed amount and therefore it is not subject to estimation.</w:t>
      </w:r>
    </w:p>
    <w:p>
      <w:pPr>
        <w:spacing w:after="0" w:line="99"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color w:val="auto"/>
        </w:rPr>
        <w:t>We recognize revenue from the sale of medical products (</w:t>
      </w:r>
      <w:r>
        <w:rPr>
          <w:rFonts w:ascii="Arial" w:cs="Arial" w:eastAsia="Arial" w:hAnsi="Arial"/>
          <w:sz w:val="13"/>
          <w:szCs w:val="13"/>
          <w:i w:val="1"/>
          <w:iCs w:val="1"/>
          <w:color w:val="auto"/>
        </w:rPr>
        <w:t>e.g.</w:t>
      </w:r>
      <w:r>
        <w:rPr>
          <w:rFonts w:ascii="Arial" w:cs="Arial" w:eastAsia="Arial" w:hAnsi="Arial"/>
          <w:sz w:val="13"/>
          <w:szCs w:val="13"/>
          <w:color w:val="auto"/>
        </w:rPr>
        <w:t>, peptides and retroviral vectors for clinical supply) when control has been transferred. The transaction price is quoted in the relevant price lists in force at the date of the customer placing the respective order for such products, and is not subject to significant discounts or rebates.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further information regarding our revenue recognition policy, please refer to Note 2.3.4 of our consolidated financial statements included elsewhere in this Annual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206" w:name="page207"/>
    <w:bookmarkEnd w:id="206"/>
    <w:p>
      <w:pPr>
        <w:ind w:left="560"/>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Employees (and others providing similar services) receive remuneration in the form of share-based payments which are settled in equity instruments (equity-settled transactions). In addition, in the past, employees and others providing similar services were granted share appreciation rights which were settled in equity instruments (equity-settled transactions).</w:t>
      </w:r>
    </w:p>
    <w:p>
      <w:pPr>
        <w:spacing w:after="0" w:line="122" w:lineRule="exact"/>
        <w:rPr>
          <w:sz w:val="20"/>
          <w:szCs w:val="20"/>
          <w:color w:val="auto"/>
        </w:rPr>
      </w:pPr>
    </w:p>
    <w:p>
      <w:pPr>
        <w:ind w:firstLine="556"/>
        <w:spacing w:after="0" w:line="296" w:lineRule="auto"/>
        <w:rPr>
          <w:sz w:val="20"/>
          <w:szCs w:val="20"/>
          <w:color w:val="auto"/>
        </w:rPr>
      </w:pPr>
      <w:r>
        <w:rPr>
          <w:rFonts w:ascii="Arial" w:cs="Arial" w:eastAsia="Arial" w:hAnsi="Arial"/>
          <w:sz w:val="12"/>
          <w:szCs w:val="12"/>
          <w:color w:val="auto"/>
        </w:rPr>
        <w:t>The cost of equity-settled transactions is determined by the fair value at the grant date. These costs are recognized in cost of sales, research and development expenses, sales and marketing expenses or general and administrative expenses, together with a corresponding increase in equity (other reserves), over the period in which the service is provided (the vesting period). The cumulative expense recognized for equity-settled transactions at each reporting date until the vesting date reflects the extent to which the vesting period has expired and our best estimate of the number of equity instruments that will ultimately vest. The expenses or credits in the statement of operations for a period represent the movement in cumulative expense recognized as at the beginning and end of that period.</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Fair Value of Share-Based Awards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Employee Stock Ownership Plan</w:t>
      </w:r>
    </w:p>
    <w:p>
      <w:pPr>
        <w:spacing w:after="0" w:line="90"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auto"/>
        </w:rPr>
        <w:t>On November 15, 2018, we established a share option program that grants selected employees options to receive shares in the Company. The program is designed as an Employee Stock Ownership Plan and option grants are classified as share-based equity-settled remuneration. As at December 31, 2019, we had options outstanding representing 11,796,894 ordinary shares with a weighted-average exercise price of €10.23.</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share options outstanding as per December 31, 2019 have been issued to the management board: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220" w:type="dxa"/>
            <w:vAlign w:val="bottom"/>
            <w:tcBorders>
              <w:right w:val="single" w:sz="8" w:color="70AD47"/>
            </w:tcBorders>
          </w:tcPr>
          <w:p>
            <w:pPr>
              <w:spacing w:after="0"/>
              <w:rPr>
                <w:sz w:val="13"/>
                <w:szCs w:val="13"/>
                <w:color w:val="auto"/>
              </w:rPr>
            </w:pPr>
          </w:p>
        </w:tc>
        <w:tc>
          <w:tcPr>
            <w:tcW w:w="1700" w:type="dxa"/>
            <w:vAlign w:val="bottom"/>
            <w:tcBorders>
              <w:right w:val="single" w:sz="8" w:color="70AD47"/>
            </w:tcBorders>
            <w:shd w:val="clear" w:color="auto" w:fill="C6E0B4"/>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Number of</w:t>
            </w:r>
          </w:p>
        </w:tc>
        <w:tc>
          <w:tcPr>
            <w:tcW w:w="1700" w:type="dxa"/>
            <w:vAlign w:val="bottom"/>
            <w:tcBorders>
              <w:right w:val="single" w:sz="8" w:color="70AD47"/>
            </w:tcBorders>
            <w:shd w:val="clear" w:color="auto" w:fill="C6E0B4"/>
          </w:tcPr>
          <w:p>
            <w:pPr>
              <w:spacing w:after="0"/>
              <w:rPr>
                <w:sz w:val="13"/>
                <w:szCs w:val="13"/>
                <w:color w:val="auto"/>
              </w:rPr>
            </w:pPr>
          </w:p>
        </w:tc>
      </w:tr>
      <w:tr>
        <w:trPr>
          <w:trHeight w:val="160"/>
        </w:trPr>
        <w:tc>
          <w:tcPr>
            <w:tcW w:w="6220" w:type="dxa"/>
            <w:vAlign w:val="bottom"/>
            <w:tcBorders>
              <w:right w:val="single" w:sz="8" w:color="70AD47"/>
            </w:tcBorders>
          </w:tcPr>
          <w:p>
            <w:pPr>
              <w:spacing w:after="0"/>
              <w:rPr>
                <w:sz w:val="13"/>
                <w:szCs w:val="13"/>
                <w:color w:val="auto"/>
              </w:rPr>
            </w:pP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Share options</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Ordinary Shares</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w w:val="98"/>
              </w:rPr>
              <w:t>Weighted average exercise</w:t>
            </w:r>
          </w:p>
        </w:tc>
      </w:tr>
      <w:tr>
        <w:trPr>
          <w:trHeight w:val="160"/>
        </w:trPr>
        <w:tc>
          <w:tcPr>
            <w:tcW w:w="6220" w:type="dxa"/>
            <w:vAlign w:val="bottom"/>
            <w:tcBorders>
              <w:right w:val="single" w:sz="8" w:color="70AD47"/>
            </w:tcBorders>
          </w:tcPr>
          <w:p>
            <w:pPr>
              <w:spacing w:after="0"/>
              <w:rPr>
                <w:sz w:val="13"/>
                <w:szCs w:val="13"/>
                <w:color w:val="auto"/>
              </w:rPr>
            </w:pP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outstanding</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underlying</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price (€)</w:t>
            </w:r>
          </w:p>
        </w:tc>
      </w:tr>
      <w:tr>
        <w:trPr>
          <w:trHeight w:val="173"/>
        </w:trPr>
        <w:tc>
          <w:tcPr>
            <w:tcW w:w="6220" w:type="dxa"/>
            <w:vAlign w:val="bottom"/>
            <w:tcBorders>
              <w:bottom w:val="single" w:sz="8" w:color="70AD47"/>
              <w:right w:val="single" w:sz="8" w:color="70AD47"/>
            </w:tcBorders>
          </w:tcPr>
          <w:p>
            <w:pPr>
              <w:spacing w:after="0"/>
              <w:rPr>
                <w:sz w:val="15"/>
                <w:szCs w:val="15"/>
                <w:color w:val="auto"/>
              </w:rPr>
            </w:pPr>
          </w:p>
        </w:tc>
        <w:tc>
          <w:tcPr>
            <w:tcW w:w="1700" w:type="dxa"/>
            <w:vAlign w:val="bottom"/>
            <w:tcBorders>
              <w:bottom w:val="single" w:sz="8" w:color="70AD47"/>
              <w:right w:val="single" w:sz="8" w:color="70AD47"/>
            </w:tcBorders>
            <w:shd w:val="clear" w:color="auto" w:fill="C6E0B4"/>
          </w:tcPr>
          <w:p>
            <w:pPr>
              <w:spacing w:after="0"/>
              <w:rPr>
                <w:sz w:val="15"/>
                <w:szCs w:val="15"/>
                <w:color w:val="auto"/>
              </w:rPr>
            </w:pP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options</w:t>
            </w:r>
          </w:p>
        </w:tc>
        <w:tc>
          <w:tcPr>
            <w:tcW w:w="1700" w:type="dxa"/>
            <w:vAlign w:val="bottom"/>
            <w:tcBorders>
              <w:bottom w:val="single" w:sz="8" w:color="70AD47"/>
              <w:right w:val="single" w:sz="8" w:color="70AD47"/>
            </w:tcBorders>
            <w:shd w:val="clear" w:color="auto" w:fill="C6E0B4"/>
          </w:tcPr>
          <w:p>
            <w:pPr>
              <w:spacing w:after="0"/>
              <w:rPr>
                <w:sz w:val="15"/>
                <w:szCs w:val="15"/>
                <w:color w:val="auto"/>
              </w:rPr>
            </w:pPr>
          </w:p>
        </w:tc>
      </w:tr>
      <w:tr>
        <w:trPr>
          <w:trHeight w:val="160"/>
        </w:trPr>
        <w:tc>
          <w:tcPr>
            <w:tcW w:w="62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Prof. Dr. Ugur Sahin, M.D.</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101,686</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1,830,348</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10.14</w:t>
            </w:r>
          </w:p>
        </w:tc>
      </w:tr>
      <w:tr>
        <w:trPr>
          <w:trHeight w:val="170"/>
        </w:trPr>
        <w:tc>
          <w:tcPr>
            <w:tcW w:w="62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Sean Marett</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33,895</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610,110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10.14</w:t>
            </w:r>
          </w:p>
        </w:tc>
      </w:tr>
      <w:tr>
        <w:trPr>
          <w:trHeight w:val="170"/>
        </w:trPr>
        <w:tc>
          <w:tcPr>
            <w:tcW w:w="62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Dr. Sierk Poetting, Ph.D.</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33,895</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610,110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10.14</w:t>
            </w:r>
          </w:p>
        </w:tc>
      </w:tr>
      <w:tr>
        <w:trPr>
          <w:trHeight w:val="170"/>
        </w:trPr>
        <w:tc>
          <w:tcPr>
            <w:tcW w:w="62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Dr. Özlem Türeci, M.D.</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108,463</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1,952,334</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10.14</w:t>
            </w:r>
          </w:p>
        </w:tc>
      </w:tr>
    </w:tbl>
    <w:p>
      <w:pPr>
        <w:spacing w:after="0" w:line="2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fair value of the employee share options has been measured using a binomial model. Service conditions were not taken into account in measuring the fair value.</w:t>
      </w:r>
    </w:p>
    <w:p>
      <w:pPr>
        <w:spacing w:after="0" w:line="170" w:lineRule="exact"/>
        <w:rPr>
          <w:sz w:val="20"/>
          <w:szCs w:val="20"/>
          <w:color w:val="auto"/>
        </w:rPr>
      </w:pPr>
    </w:p>
    <w:p>
      <w:pPr>
        <w:ind w:right="200" w:firstLine="556"/>
        <w:spacing w:after="0" w:line="264" w:lineRule="auto"/>
        <w:rPr>
          <w:sz w:val="20"/>
          <w:szCs w:val="20"/>
          <w:color w:val="auto"/>
        </w:rPr>
      </w:pPr>
      <w:r>
        <w:rPr>
          <w:rFonts w:ascii="Arial" w:cs="Arial" w:eastAsia="Arial" w:hAnsi="Arial"/>
          <w:sz w:val="13"/>
          <w:szCs w:val="13"/>
          <w:color w:val="auto"/>
        </w:rPr>
        <w:t>The option rights generally fully vest after four years (except that Dr. Türeci’s option vested on March 16, 2019 and except for one similar arrangement in the case of one other senior employee) and can only be exercised if: (i) the waiting period of four years has elapsed; and (ii) at the time of exercise, the average closing price of the shares of the Company or the average closing price of the right or certificate to be converted into an amount per share in the ten trading days preceding the exercise of the option right exceeds the strike price by a minimum of 32%, with this percentage increasing by eight percentage points as of the fifth anniversary of the respective issue date and as of each subsequent anniversary date. The option rights will be forfeited without compensation if not exercised within eight years after the allocation date. Both of these conditions have been incorporated into the fair value at grant date.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207" w:name="page208"/>
    <w:bookmarkEnd w:id="207"/>
    <w:p>
      <w:pPr>
        <w:ind w:left="560"/>
        <w:spacing w:after="0"/>
        <w:rPr>
          <w:sz w:val="20"/>
          <w:szCs w:val="20"/>
          <w:color w:val="auto"/>
        </w:rPr>
      </w:pPr>
      <w:r>
        <w:rPr>
          <w:rFonts w:ascii="Arial" w:cs="Arial" w:eastAsia="Arial" w:hAnsi="Arial"/>
          <w:sz w:val="13"/>
          <w:szCs w:val="13"/>
          <w:color w:val="auto"/>
        </w:rPr>
        <w:t>The inputs used in the measurement of the fair values at grant date of the Employee Stock Ownership Plan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4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spacing w:after="0"/>
              <w:rPr>
                <w:sz w:val="13"/>
                <w:szCs w:val="13"/>
                <w:color w:val="auto"/>
              </w:rPr>
            </w:pP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Grant dates</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Grant dates</w:t>
            </w:r>
          </w:p>
        </w:tc>
        <w:tc>
          <w:tcPr>
            <w:tcW w:w="1700" w:type="dxa"/>
            <w:vAlign w:val="bottom"/>
            <w:tcBorders>
              <w:right w:val="single" w:sz="8" w:color="70AD47"/>
            </w:tcBorders>
            <w:shd w:val="clear" w:color="auto" w:fill="C6E0B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4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Grant date</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between</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between</w:t>
            </w:r>
          </w:p>
        </w:tc>
        <w:tc>
          <w:tcPr>
            <w:tcW w:w="17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w w:val="91"/>
              </w:rPr>
              <w:t>Grant date December 1, 2019</w:t>
            </w:r>
          </w:p>
        </w:tc>
        <w:tc>
          <w:tcPr>
            <w:tcW w:w="0" w:type="dxa"/>
            <w:vAlign w:val="bottom"/>
          </w:tcPr>
          <w:p>
            <w:pPr>
              <w:spacing w:after="0"/>
              <w:rPr>
                <w:sz w:val="1"/>
                <w:szCs w:val="1"/>
                <w:color w:val="auto"/>
              </w:rPr>
            </w:pPr>
          </w:p>
        </w:tc>
      </w:tr>
      <w:tr>
        <w:trPr>
          <w:trHeight w:val="160"/>
        </w:trPr>
        <w:tc>
          <w:tcPr>
            <w:tcW w:w="454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15 November 2018</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February 21 -</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April 29 -</w:t>
            </w:r>
          </w:p>
        </w:tc>
        <w:tc>
          <w:tcPr>
            <w:tcW w:w="1700" w:type="dxa"/>
            <w:vAlign w:val="bottom"/>
            <w:tcBorders>
              <w:right w:val="single" w:sz="8" w:color="70AD47"/>
            </w:tcBorders>
            <w:vMerge w:val="continue"/>
            <w:shd w:val="clear" w:color="auto" w:fill="C6E0B4"/>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70AD47"/>
              <w:right w:val="single" w:sz="8" w:color="70AD47"/>
            </w:tcBorders>
          </w:tcPr>
          <w:p>
            <w:pPr>
              <w:spacing w:after="0"/>
              <w:rPr>
                <w:sz w:val="15"/>
                <w:szCs w:val="15"/>
                <w:color w:val="auto"/>
              </w:rPr>
            </w:pPr>
          </w:p>
        </w:tc>
        <w:tc>
          <w:tcPr>
            <w:tcW w:w="1680" w:type="dxa"/>
            <w:vAlign w:val="bottom"/>
            <w:tcBorders>
              <w:bottom w:val="single" w:sz="8" w:color="70AD47"/>
              <w:right w:val="single" w:sz="8" w:color="70AD47"/>
            </w:tcBorders>
            <w:shd w:val="clear" w:color="auto" w:fill="C6E0B4"/>
          </w:tcPr>
          <w:p>
            <w:pPr>
              <w:spacing w:after="0"/>
              <w:rPr>
                <w:sz w:val="15"/>
                <w:szCs w:val="15"/>
                <w:color w:val="auto"/>
              </w:rPr>
            </w:pP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April 3, 2019</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May 31, 2019</w:t>
            </w:r>
          </w:p>
        </w:tc>
        <w:tc>
          <w:tcPr>
            <w:tcW w:w="1700" w:type="dxa"/>
            <w:vAlign w:val="bottom"/>
            <w:tcBorders>
              <w:bottom w:val="single" w:sz="8" w:color="70AD47"/>
              <w:right w:val="single" w:sz="8" w:color="70AD47"/>
            </w:tcBorders>
            <w:shd w:val="clear" w:color="auto" w:fill="C6E0B4"/>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Weighted average fair value</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€7.41</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€6.93</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€7.04</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17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Weighted average share price</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€14.40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€15.72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€16.03</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€19.84</w:t>
            </w:r>
          </w:p>
        </w:tc>
        <w:tc>
          <w:tcPr>
            <w:tcW w:w="0" w:type="dxa"/>
            <w:vAlign w:val="bottom"/>
          </w:tcPr>
          <w:p>
            <w:pPr>
              <w:spacing w:after="0"/>
              <w:rPr>
                <w:sz w:val="1"/>
                <w:szCs w:val="1"/>
                <w:color w:val="auto"/>
              </w:rPr>
            </w:pPr>
          </w:p>
        </w:tc>
      </w:tr>
      <w:tr>
        <w:trPr>
          <w:trHeight w:val="17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Exercise price</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€10.14</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€15.03</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€15.39</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€15.82</w:t>
            </w:r>
          </w:p>
        </w:tc>
        <w:tc>
          <w:tcPr>
            <w:tcW w:w="0" w:type="dxa"/>
            <w:vAlign w:val="bottom"/>
          </w:tcPr>
          <w:p>
            <w:pPr>
              <w:spacing w:after="0"/>
              <w:rPr>
                <w:sz w:val="1"/>
                <w:szCs w:val="1"/>
                <w:color w:val="auto"/>
              </w:rPr>
            </w:pPr>
          </w:p>
        </w:tc>
      </w:tr>
      <w:tr>
        <w:trPr>
          <w:trHeight w:val="17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Expected volatility (%)</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46.0%</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7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Expected life (years)</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5.84</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6.00</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6.00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7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Risk-free interest rate (%)</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0.05%</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0.05%</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0.05%</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3"/>
          <w:szCs w:val="13"/>
          <w:color w:val="auto"/>
        </w:rPr>
        <w:t>The share price at grant date was determined by reference to an observable transaction. We involved an independent third-party appraiser to confirm that the transaction selected was appropriate for the purposes of determining fair value. Expected volatility was based on an evaluation of the historical and the implied volatilities of comparable companies over the historical period commensurate with the expected term. The expected term was based on general option holder behavior for employee options.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2019 Chief Executive Officer Grant</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September 2019, we agreed to grant Prof. Ugur Sahin, M.D. an option to purchase 4,374,963 of our ordinary shares, subject to Prof. Sahin’s continuous employment with us.</w:t>
      </w:r>
    </w:p>
    <w:p>
      <w:pPr>
        <w:spacing w:after="0" w:line="170" w:lineRule="exact"/>
        <w:rPr>
          <w:sz w:val="20"/>
          <w:szCs w:val="20"/>
          <w:color w:val="auto"/>
        </w:rPr>
      </w:pPr>
    </w:p>
    <w:p>
      <w:pPr>
        <w:ind w:right="20" w:firstLine="556"/>
        <w:spacing w:after="0" w:line="284" w:lineRule="auto"/>
        <w:rPr>
          <w:sz w:val="20"/>
          <w:szCs w:val="20"/>
          <w:color w:val="auto"/>
        </w:rPr>
      </w:pPr>
      <w:r>
        <w:rPr>
          <w:rFonts w:ascii="Arial" w:cs="Arial" w:eastAsia="Arial" w:hAnsi="Arial"/>
          <w:sz w:val="12"/>
          <w:szCs w:val="12"/>
          <w:color w:val="auto"/>
        </w:rPr>
        <w:t>The options’ per share exercise price is the Euro translation of the public offering price from our initial public offering, €13.60 ($15.00). The option will vest annually in equal installments after four years commencing on the first anniversary of our initial public offering and will be exercisable four years after our initial public offering. The option will be subject to the terms, conditions, definitions and provisions of our ESOP and the applicable option agreement thereunder. The vested option rights can only be exercised if and to the extent that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shares outstanding immediately following the initial public offering (other than shares owned by us),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 at least the same percentage by which the Nasdaq Biotechnology Index or a comparable successor index as of such time is higher than such index was as of the last trading day before the allocation date. The Option Rights can be exercised at the latest ten years after the Allocation Date. If they have not been exercised by that date, they will lapse without compensation.</w:t>
      </w:r>
    </w:p>
    <w:p>
      <w:pPr>
        <w:spacing w:after="0" w:line="130" w:lineRule="exact"/>
        <w:rPr>
          <w:sz w:val="20"/>
          <w:szCs w:val="20"/>
          <w:color w:val="auto"/>
        </w:rPr>
      </w:pPr>
    </w:p>
    <w:p>
      <w:pPr>
        <w:jc w:val="both"/>
        <w:ind w:right="240" w:firstLine="556"/>
        <w:spacing w:after="0" w:line="272" w:lineRule="auto"/>
        <w:rPr>
          <w:sz w:val="20"/>
          <w:szCs w:val="20"/>
          <w:color w:val="auto"/>
        </w:rPr>
      </w:pPr>
      <w:r>
        <w:rPr>
          <w:rFonts w:ascii="Arial" w:cs="Arial" w:eastAsia="Arial" w:hAnsi="Arial"/>
          <w:sz w:val="13"/>
          <w:szCs w:val="13"/>
          <w:color w:val="auto"/>
        </w:rPr>
        <w:t>A Monte-Carlo simulation model has been used to measure the fair value at grant date of the 2019 Employee Stock Ownership Plan. This model incorporates the impact of the performance criteria regarding share price and index development described above in the calculation of the award’s fair value at grant date. The inputs used in the measurement of the fair value at grant date of the 2019 Employee Stock Ownership Plan were as follows:</w:t>
      </w:r>
    </w:p>
    <w:p>
      <w:pPr>
        <w:sectPr>
          <w:pgSz w:w="11900" w:h="16838" w:orient="portrait"/>
          <w:cols w:equalWidth="0" w:num="1">
            <w:col w:w="11280"/>
          </w:cols>
          <w:pgMar w:left="300" w:top="291" w:right="319" w:bottom="1440"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Weighted average share price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Exercise price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Expected volatility (%)</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Expected life (years)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Risk-free interest rate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Grant date October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-6120765</wp:posOffset>
            </wp:positionH>
            <wp:positionV relativeFrom="paragraph">
              <wp:posOffset>-85090</wp:posOffset>
            </wp:positionV>
            <wp:extent cx="7167880" cy="7620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7880" cy="762000"/>
                    </a:xfrm>
                    <a:prstGeom prst="rect">
                      <a:avLst/>
                    </a:prstGeom>
                    <a:noFill/>
                  </pic:spPr>
                </pic:pic>
              </a:graphicData>
            </a:graphic>
          </wp:anchor>
        </w:drawing>
      </w:r>
    </w:p>
    <w:p>
      <w:pPr>
        <w:spacing w:after="0" w:line="26" w:lineRule="exact"/>
        <w:rPr>
          <w:sz w:val="20"/>
          <w:szCs w:val="20"/>
          <w:color w:val="auto"/>
        </w:rPr>
      </w:pPr>
    </w:p>
    <w:p>
      <w:pPr>
        <w:jc w:val="center"/>
        <w:ind w:left="-979"/>
        <w:spacing w:after="0"/>
        <w:rPr>
          <w:sz w:val="20"/>
          <w:szCs w:val="20"/>
          <w:color w:val="auto"/>
        </w:rPr>
      </w:pPr>
      <w:r>
        <w:rPr>
          <w:rFonts w:ascii="Arial" w:cs="Arial" w:eastAsia="Arial" w:hAnsi="Arial"/>
          <w:sz w:val="11"/>
          <w:szCs w:val="11"/>
          <w:color w:val="auto"/>
        </w:rPr>
        <w:t>€5.63</w:t>
      </w:r>
    </w:p>
    <w:p>
      <w:pPr>
        <w:spacing w:after="0" w:line="43" w:lineRule="exact"/>
        <w:rPr>
          <w:sz w:val="20"/>
          <w:szCs w:val="20"/>
          <w:color w:val="auto"/>
        </w:rPr>
      </w:pPr>
    </w:p>
    <w:p>
      <w:pPr>
        <w:jc w:val="center"/>
        <w:ind w:left="-919"/>
        <w:spacing w:after="0"/>
        <w:rPr>
          <w:sz w:val="20"/>
          <w:szCs w:val="20"/>
          <w:color w:val="auto"/>
        </w:rPr>
      </w:pPr>
      <w:r>
        <w:rPr>
          <w:rFonts w:ascii="Arial" w:cs="Arial" w:eastAsia="Arial" w:hAnsi="Arial"/>
          <w:sz w:val="11"/>
          <w:szCs w:val="11"/>
          <w:color w:val="auto"/>
        </w:rPr>
        <w:t>€13.60</w:t>
      </w:r>
    </w:p>
    <w:p>
      <w:pPr>
        <w:spacing w:after="0" w:line="43" w:lineRule="exact"/>
        <w:rPr>
          <w:sz w:val="20"/>
          <w:szCs w:val="20"/>
          <w:color w:val="auto"/>
        </w:rPr>
      </w:pPr>
    </w:p>
    <w:p>
      <w:pPr>
        <w:jc w:val="center"/>
        <w:ind w:left="-919"/>
        <w:spacing w:after="0"/>
        <w:rPr>
          <w:sz w:val="20"/>
          <w:szCs w:val="20"/>
          <w:color w:val="auto"/>
        </w:rPr>
      </w:pPr>
      <w:r>
        <w:rPr>
          <w:rFonts w:ascii="Arial" w:cs="Arial" w:eastAsia="Arial" w:hAnsi="Arial"/>
          <w:sz w:val="11"/>
          <w:szCs w:val="11"/>
          <w:color w:val="auto"/>
        </w:rPr>
        <w:t>€13.60</w:t>
      </w:r>
    </w:p>
    <w:p>
      <w:pPr>
        <w:spacing w:after="0" w:line="43" w:lineRule="exact"/>
        <w:rPr>
          <w:sz w:val="20"/>
          <w:szCs w:val="20"/>
          <w:color w:val="auto"/>
        </w:rPr>
      </w:pPr>
    </w:p>
    <w:p>
      <w:pPr>
        <w:jc w:val="center"/>
        <w:ind w:left="-939"/>
        <w:spacing w:after="0"/>
        <w:rPr>
          <w:sz w:val="20"/>
          <w:szCs w:val="20"/>
          <w:color w:val="auto"/>
        </w:rPr>
      </w:pPr>
      <w:r>
        <w:rPr>
          <w:rFonts w:ascii="Arial" w:cs="Arial" w:eastAsia="Arial" w:hAnsi="Arial"/>
          <w:sz w:val="11"/>
          <w:szCs w:val="11"/>
          <w:color w:val="auto"/>
        </w:rPr>
        <w:t>41.4%</w:t>
      </w:r>
    </w:p>
    <w:p>
      <w:pPr>
        <w:spacing w:after="0" w:line="43" w:lineRule="exact"/>
        <w:rPr>
          <w:sz w:val="20"/>
          <w:szCs w:val="20"/>
          <w:color w:val="auto"/>
        </w:rPr>
      </w:pPr>
    </w:p>
    <w:p>
      <w:pPr>
        <w:jc w:val="center"/>
        <w:ind w:left="-1059"/>
        <w:spacing w:after="0"/>
        <w:rPr>
          <w:sz w:val="20"/>
          <w:szCs w:val="20"/>
          <w:color w:val="auto"/>
        </w:rPr>
      </w:pPr>
      <w:r>
        <w:rPr>
          <w:rFonts w:ascii="Arial" w:cs="Arial" w:eastAsia="Arial" w:hAnsi="Arial"/>
          <w:sz w:val="11"/>
          <w:szCs w:val="11"/>
          <w:color w:val="auto"/>
        </w:rPr>
        <w:t>5.37</w:t>
      </w:r>
    </w:p>
    <w:p>
      <w:pPr>
        <w:spacing w:after="0" w:line="43" w:lineRule="exact"/>
        <w:rPr>
          <w:sz w:val="20"/>
          <w:szCs w:val="20"/>
          <w:color w:val="auto"/>
        </w:rPr>
      </w:pPr>
    </w:p>
    <w:p>
      <w:pPr>
        <w:jc w:val="center"/>
        <w:ind w:left="-919"/>
        <w:spacing w:after="0"/>
        <w:rPr>
          <w:sz w:val="20"/>
          <w:szCs w:val="20"/>
          <w:color w:val="auto"/>
        </w:rPr>
      </w:pPr>
      <w:r>
        <w:rPr>
          <w:rFonts w:ascii="Arial" w:cs="Arial" w:eastAsia="Arial" w:hAnsi="Arial"/>
          <w:sz w:val="11"/>
          <w:szCs w:val="11"/>
          <w:color w:val="auto"/>
        </w:rPr>
        <w:t>1.52 %</w:t>
      </w:r>
    </w:p>
    <w:p>
      <w:pPr>
        <w:spacing w:after="0" w:line="223" w:lineRule="exact"/>
        <w:rPr>
          <w:sz w:val="20"/>
          <w:szCs w:val="20"/>
          <w:color w:val="auto"/>
        </w:rPr>
      </w:pPr>
    </w:p>
    <w:p>
      <w:pPr>
        <w:sectPr>
          <w:pgSz w:w="11900" w:h="16838" w:orient="portrait"/>
          <w:cols w:equalWidth="0" w:num="2">
            <w:col w:w="8920" w:space="720"/>
            <w:col w:w="1640"/>
          </w:cols>
          <w:pgMar w:left="300" w:top="291" w:right="319" w:bottom="1440" w:gutter="0" w:footer="0" w:header="0"/>
          <w:type w:val="continuous"/>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80580"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type w:val="continuous"/>
        </w:sectPr>
      </w:pPr>
    </w:p>
    <w:bookmarkStart w:id="208" w:name="page209"/>
    <w:bookmarkEnd w:id="208"/>
    <w:p>
      <w:pPr>
        <w:ind w:right="100" w:firstLine="554"/>
        <w:spacing w:after="0" w:line="331" w:lineRule="auto"/>
        <w:rPr>
          <w:sz w:val="20"/>
          <w:szCs w:val="20"/>
          <w:color w:val="auto"/>
        </w:rPr>
      </w:pPr>
      <w:r>
        <w:rPr>
          <w:rFonts w:ascii="Arial" w:cs="Arial" w:eastAsia="Arial" w:hAnsi="Arial"/>
          <w:sz w:val="12"/>
          <w:szCs w:val="12"/>
          <w:color w:val="auto"/>
        </w:rPr>
        <w:t>The options’ per share exercise price is the Euro translation of the public offering price from BioNTech’s initial public offering on October 10, 2019. Expected volatility was based on an evaluation of the historical volatilities of comparable companies over the historical period commensurate with the expected term. The expected term was based on general option holder behavior for employee options.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Taxes</w:t>
      </w:r>
    </w:p>
    <w:p>
      <w:pPr>
        <w:spacing w:after="0" w:line="90" w:lineRule="exact"/>
        <w:rPr>
          <w:sz w:val="20"/>
          <w:szCs w:val="20"/>
          <w:color w:val="auto"/>
        </w:rPr>
      </w:pPr>
    </w:p>
    <w:p>
      <w:pPr>
        <w:jc w:val="both"/>
        <w:ind w:right="400" w:firstLine="556"/>
        <w:spacing w:after="0" w:line="331" w:lineRule="auto"/>
        <w:rPr>
          <w:sz w:val="20"/>
          <w:szCs w:val="20"/>
          <w:color w:val="auto"/>
        </w:rPr>
      </w:pPr>
      <w:r>
        <w:rPr>
          <w:rFonts w:ascii="Arial" w:cs="Arial" w:eastAsia="Arial" w:hAnsi="Arial"/>
          <w:sz w:val="12"/>
          <w:szCs w:val="12"/>
          <w:color w:val="auto"/>
        </w:rPr>
        <w:t>Deferred tax assets are recognized for unused tax losses only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w:t>
      </w:r>
    </w:p>
    <w:p>
      <w:pPr>
        <w:spacing w:after="0" w:line="99" w:lineRule="exact"/>
        <w:rPr>
          <w:sz w:val="20"/>
          <w:szCs w:val="20"/>
          <w:color w:val="auto"/>
        </w:rPr>
      </w:pPr>
    </w:p>
    <w:p>
      <w:pPr>
        <w:ind w:right="420" w:firstLine="556"/>
        <w:spacing w:after="0" w:line="287" w:lineRule="auto"/>
        <w:rPr>
          <w:sz w:val="20"/>
          <w:szCs w:val="20"/>
          <w:color w:val="auto"/>
        </w:rPr>
      </w:pPr>
      <w:r>
        <w:rPr>
          <w:rFonts w:ascii="Arial" w:cs="Arial" w:eastAsia="Arial" w:hAnsi="Arial"/>
          <w:sz w:val="13"/>
          <w:szCs w:val="13"/>
          <w:color w:val="auto"/>
        </w:rPr>
        <w:t>The Group has tax losses carried forward and these losses relate to subsidiaries that have a history of losses. The subsidiaries neither have any taxable temporary difference nor any tax planning opportunities available that could partly support the recognition of these losses as deferred tax assets.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On this basis, the Group has determined that it cannot recognize deferred tax assets on the tax losses carried forward.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further disclosures relating to deferred taxes, see Note 8 of our consolidated financial statements included elsewhere in this Annual Report.</w:t>
      </w:r>
    </w:p>
    <w:p>
      <w:pPr>
        <w:spacing w:after="0" w:line="246" w:lineRule="exact"/>
        <w:rPr>
          <w:sz w:val="20"/>
          <w:szCs w:val="20"/>
          <w:color w:val="auto"/>
        </w:rPr>
      </w:pPr>
    </w:p>
    <w:p>
      <w:pPr>
        <w:ind w:left="1100" w:hanging="550"/>
        <w:spacing w:after="0"/>
        <w:tabs>
          <w:tab w:leader="none" w:pos="1100" w:val="left"/>
        </w:tabs>
        <w:numPr>
          <w:ilvl w:val="0"/>
          <w:numId w:val="244"/>
        </w:numPr>
        <w:rPr>
          <w:rFonts w:ascii="Arial" w:cs="Arial" w:eastAsia="Arial" w:hAnsi="Arial"/>
          <w:sz w:val="13"/>
          <w:szCs w:val="13"/>
          <w:b w:val="1"/>
          <w:bCs w:val="1"/>
          <w:color w:val="auto"/>
        </w:rPr>
      </w:pPr>
      <w:r>
        <w:rPr>
          <w:rFonts w:ascii="Arial" w:cs="Arial" w:eastAsia="Arial" w:hAnsi="Arial"/>
          <w:sz w:val="13"/>
          <w:szCs w:val="13"/>
          <w:b w:val="1"/>
          <w:bCs w:val="1"/>
          <w:color w:val="auto"/>
        </w:rPr>
        <w:t>Research and Development, Patents and Licenses, etc.</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Full details of our research and development activities and expenditures are given in Item 4 and under the description of the “Operating Results” in this Item 5 within this Annual Report.</w:t>
      </w:r>
    </w:p>
    <w:p>
      <w:pPr>
        <w:spacing w:after="0" w:line="246" w:lineRule="exact"/>
        <w:rPr>
          <w:sz w:val="20"/>
          <w:szCs w:val="20"/>
          <w:color w:val="auto"/>
        </w:rPr>
      </w:pPr>
    </w:p>
    <w:p>
      <w:pPr>
        <w:ind w:left="1100" w:hanging="550"/>
        <w:spacing w:after="0"/>
        <w:tabs>
          <w:tab w:leader="none" w:pos="1100" w:val="left"/>
        </w:tabs>
        <w:numPr>
          <w:ilvl w:val="0"/>
          <w:numId w:val="245"/>
        </w:numPr>
        <w:rPr>
          <w:rFonts w:ascii="Arial" w:cs="Arial" w:eastAsia="Arial" w:hAnsi="Arial"/>
          <w:sz w:val="13"/>
          <w:szCs w:val="13"/>
          <w:b w:val="1"/>
          <w:bCs w:val="1"/>
          <w:color w:val="auto"/>
        </w:rPr>
      </w:pPr>
      <w:r>
        <w:rPr>
          <w:rFonts w:ascii="Arial" w:cs="Arial" w:eastAsia="Arial" w:hAnsi="Arial"/>
          <w:sz w:val="13"/>
          <w:szCs w:val="13"/>
          <w:b w:val="1"/>
          <w:bCs w:val="1"/>
          <w:color w:val="auto"/>
        </w:rPr>
        <w:t>Trend Information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See the description of “Operating Results” in this Item 5 within this Annual Report.</w:t>
      </w:r>
    </w:p>
    <w:p>
      <w:pPr>
        <w:spacing w:after="0" w:line="246" w:lineRule="exact"/>
        <w:rPr>
          <w:sz w:val="20"/>
          <w:szCs w:val="20"/>
          <w:color w:val="auto"/>
        </w:rPr>
      </w:pPr>
    </w:p>
    <w:p>
      <w:pPr>
        <w:ind w:left="1100" w:hanging="550"/>
        <w:spacing w:after="0"/>
        <w:tabs>
          <w:tab w:leader="none" w:pos="1100" w:val="left"/>
        </w:tabs>
        <w:numPr>
          <w:ilvl w:val="0"/>
          <w:numId w:val="246"/>
        </w:numPr>
        <w:rPr>
          <w:rFonts w:ascii="Arial" w:cs="Arial" w:eastAsia="Arial" w:hAnsi="Arial"/>
          <w:sz w:val="13"/>
          <w:szCs w:val="13"/>
          <w:b w:val="1"/>
          <w:bCs w:val="1"/>
          <w:color w:val="auto"/>
        </w:rPr>
      </w:pPr>
      <w:r>
        <w:rPr>
          <w:rFonts w:ascii="Arial" w:cs="Arial" w:eastAsia="Arial" w:hAnsi="Arial"/>
          <w:sz w:val="13"/>
          <w:szCs w:val="13"/>
          <w:b w:val="1"/>
          <w:bCs w:val="1"/>
          <w:color w:val="auto"/>
        </w:rPr>
        <w:t>Liquidity and Capital Resources</w:t>
      </w:r>
    </w:p>
    <w:p>
      <w:pPr>
        <w:spacing w:after="0" w:line="94" w:lineRule="exact"/>
        <w:rPr>
          <w:sz w:val="20"/>
          <w:szCs w:val="20"/>
          <w:color w:val="auto"/>
        </w:rPr>
      </w:pPr>
    </w:p>
    <w:p>
      <w:pPr>
        <w:ind w:right="580" w:firstLine="556"/>
        <w:spacing w:after="0" w:line="304" w:lineRule="auto"/>
        <w:rPr>
          <w:sz w:val="20"/>
          <w:szCs w:val="20"/>
          <w:color w:val="auto"/>
        </w:rPr>
      </w:pPr>
      <w:r>
        <w:rPr>
          <w:rFonts w:ascii="Arial" w:cs="Arial" w:eastAsia="Arial" w:hAnsi="Arial"/>
          <w:sz w:val="12"/>
          <w:szCs w:val="12"/>
          <w:color w:val="auto"/>
        </w:rPr>
        <w:t>We have historically funded our operations primarily from private placements of our ordinary shares, proceeds from collaborators and services and proceeds from secured bank loans. As of December 31, 2019, we had cash and cash equivalents of €519.1 million. Cash and cash equivalents are invested in accordance with our investment policy, primarily with a view to liquidity and capital preservation, and consist primarily of cash in banks and on hand and short-term deposits with an original maturity of three months or less, which are stated at fair value.</w:t>
      </w:r>
    </w:p>
    <w:p>
      <w:pPr>
        <w:spacing w:after="0" w:line="116"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auto"/>
        </w:rPr>
        <w:t>We maintain two secured loans with Deutsche Bank AG, or Deutsche Bank, to finance the buildout of our JPT Peptide Technologies GmbH facility and Innovative Manufacturing Services GmbH (IMFS) facility. Our €10.0 million secured credit facility, entered into with Deutsche Bank by our subsidiary BioNTech Innovative Manufacturing Services GmbH, bears interest at a rate of 2.15% and matures on December 30, 2027. We have drawn €9.0 million under this facility as of December 31, 2019. The loan is repayable in equal quarterly installments of €312.5 thousand commencing on March 31, 2020. Our €9.45 million secured credit facility, entered into with Deutsche Bank by our subsidiary JPT Peptide Technologies GmbH, bears interest at a rate of 2.08% and matures on September 30, 2028. We have drawn €7.6 million as of December 31, 2019. The loan is repayable by quarterly installments of €286.4 thousand commencing on September 30, 2020. The loan is drawn on predetermined dates. Each of these facilities is secured by liens over our property.</w:t>
      </w:r>
    </w:p>
    <w:p>
      <w:pPr>
        <w:spacing w:after="0" w:line="137" w:lineRule="exact"/>
        <w:rPr>
          <w:sz w:val="20"/>
          <w:szCs w:val="20"/>
          <w:color w:val="auto"/>
        </w:rPr>
      </w:pPr>
    </w:p>
    <w:p>
      <w:pPr>
        <w:ind w:right="140" w:firstLine="556"/>
        <w:spacing w:after="0" w:line="285" w:lineRule="auto"/>
        <w:rPr>
          <w:sz w:val="20"/>
          <w:szCs w:val="20"/>
          <w:color w:val="auto"/>
        </w:rPr>
      </w:pPr>
      <w:r>
        <w:rPr>
          <w:rFonts w:ascii="Arial" w:cs="Arial" w:eastAsia="Arial" w:hAnsi="Arial"/>
          <w:sz w:val="12"/>
          <w:szCs w:val="12"/>
          <w:color w:val="auto"/>
        </w:rPr>
        <w:t>In December 2019, we have signed a financing arrangement with The European Investment Bank, or the EIB, to partially support the implementation of certain technical aspects of our investment in the development of patient-tailored therapeutic vaccines for cancer in Germany, or the Investment. Under this arrangement, the EIB has agreed to provide BioNTech with a credit in an amount of up to</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2"/>
          <w:szCs w:val="12"/>
          <w:color w:val="auto"/>
        </w:rPr>
        <w:t>€50 million to partially finance the Investment, provided that the amount of credit does not exceed 50% of the cost of the Investment. The credit consists of (i) a term loan in the amount of €25 million that may be drawn in a single tranche upon the achievement of certain milestone events, not all of which have been achieved (Credit A), and (ii) a term loan in the amount of €25 million that may be drawn in a maximum of four tranches each of which must be for a minimum of €5 million or the balance of the remaining facility (Credit B). Tranches under Credit B may only be drawn after Credit A has been drawn down and upon the achievement of certain milestone events. Each tranche under Credit A and Credit B must be repaid within six years from the date on which the tranche is disbursed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209" w:name="page210"/>
    <w:bookmarkEnd w:id="209"/>
    <w:p>
      <w:pPr>
        <w:ind w:right="260"/>
        <w:spacing w:after="0" w:line="267" w:lineRule="auto"/>
        <w:rPr>
          <w:sz w:val="20"/>
          <w:szCs w:val="20"/>
          <w:color w:val="auto"/>
        </w:rPr>
      </w:pPr>
      <w:r>
        <w:rPr>
          <w:rFonts w:ascii="Arial" w:cs="Arial" w:eastAsia="Arial" w:hAnsi="Arial"/>
          <w:sz w:val="13"/>
          <w:szCs w:val="13"/>
          <w:color w:val="auto"/>
        </w:rPr>
        <w:t>to us. Interest is payable on the outstanding balance of Credit A at the cash interest fixed rate of 1% per annum quarterly in arrears, plus deferred interest at fixed rate of 5% per annum. We pay interest on the outstanding balance of Credit B at the cash interest fixed rate of 2% per annum quarterly in arrears. In addition, we are obligated to pay the EIB a tiered proportion of drug product revenues received by us ranging from less than single-digit to low single-digit percentages. The profit participation right will end at the end of a six-year period beginning in 2023 or when the EIB has received €15 million in profit participation payments, whichever occurs first. The financing arrangement is to be secured by way of liens over certain of our property.</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Cash Flow</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summarizes the primary sources and uses of cash for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2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680" w:type="dxa"/>
            <w:vAlign w:val="bottom"/>
          </w:tcPr>
          <w:p>
            <w:pPr>
              <w:spacing w:after="0"/>
              <w:rPr>
                <w:sz w:val="13"/>
                <w:szCs w:val="13"/>
                <w:color w:val="auto"/>
              </w:rPr>
            </w:pPr>
          </w:p>
        </w:tc>
      </w:tr>
      <w:tr>
        <w:trPr>
          <w:trHeight w:val="173"/>
        </w:trPr>
        <w:tc>
          <w:tcPr>
            <w:tcW w:w="6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2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680" w:type="dxa"/>
            <w:vAlign w:val="bottom"/>
          </w:tcPr>
          <w:p>
            <w:pPr>
              <w:spacing w:after="0"/>
              <w:rPr>
                <w:sz w:val="15"/>
                <w:szCs w:val="15"/>
                <w:color w:val="auto"/>
              </w:rPr>
            </w:pPr>
          </w:p>
        </w:tc>
      </w:tr>
      <w:tr>
        <w:trPr>
          <w:trHeight w:val="170"/>
        </w:trPr>
        <w:tc>
          <w:tcPr>
            <w:tcW w:w="62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70"/>
        </w:trPr>
        <w:tc>
          <w:tcPr>
            <w:tcW w:w="62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4"/>
                <w:szCs w:val="14"/>
                <w:color w:val="auto"/>
              </w:rPr>
            </w:pPr>
          </w:p>
        </w:tc>
        <w:tc>
          <w:tcPr>
            <w:tcW w:w="1720" w:type="dxa"/>
            <w:vAlign w:val="bottom"/>
            <w:tcBorders>
              <w:bottom w:val="single" w:sz="8" w:color="70AD47"/>
              <w:right w:val="single" w:sz="8" w:color="70AD47"/>
            </w:tcBorders>
          </w:tcPr>
          <w:p>
            <w:pPr>
              <w:spacing w:after="0"/>
              <w:rPr>
                <w:sz w:val="14"/>
                <w:szCs w:val="14"/>
                <w:color w:val="auto"/>
              </w:rPr>
            </w:pPr>
          </w:p>
        </w:tc>
        <w:tc>
          <w:tcPr>
            <w:tcW w:w="1680" w:type="dxa"/>
            <w:vAlign w:val="bottom"/>
            <w:tcBorders>
              <w:bottom w:val="single" w:sz="8" w:color="70AD47"/>
            </w:tcBorders>
          </w:tcPr>
          <w:p>
            <w:pPr>
              <w:spacing w:after="0"/>
              <w:rPr>
                <w:sz w:val="14"/>
                <w:szCs w:val="14"/>
                <w:color w:val="auto"/>
              </w:rPr>
            </w:pPr>
          </w:p>
        </w:tc>
      </w:tr>
      <w:tr>
        <w:trPr>
          <w:trHeight w:val="161"/>
        </w:trPr>
        <w:tc>
          <w:tcPr>
            <w:tcW w:w="628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Net cash flows from (used in):</w:t>
            </w:r>
          </w:p>
        </w:tc>
        <w:tc>
          <w:tcPr>
            <w:tcW w:w="1600" w:type="dxa"/>
            <w:vAlign w:val="bottom"/>
            <w:tcBorders>
              <w:right w:val="single" w:sz="8" w:color="70AD47"/>
            </w:tcBorders>
            <w:shd w:val="clear" w:color="auto" w:fill="C6E0B4"/>
          </w:tcPr>
          <w:p>
            <w:pPr>
              <w:spacing w:after="0"/>
              <w:rPr>
                <w:sz w:val="14"/>
                <w:szCs w:val="14"/>
                <w:color w:val="auto"/>
              </w:rPr>
            </w:pPr>
          </w:p>
        </w:tc>
        <w:tc>
          <w:tcPr>
            <w:tcW w:w="1720" w:type="dxa"/>
            <w:vAlign w:val="bottom"/>
            <w:tcBorders>
              <w:right w:val="single" w:sz="8" w:color="70AD47"/>
            </w:tcBorders>
          </w:tcPr>
          <w:p>
            <w:pPr>
              <w:spacing w:after="0"/>
              <w:rPr>
                <w:sz w:val="14"/>
                <w:szCs w:val="14"/>
                <w:color w:val="auto"/>
              </w:rPr>
            </w:pPr>
          </w:p>
        </w:tc>
        <w:tc>
          <w:tcPr>
            <w:tcW w:w="1680" w:type="dxa"/>
            <w:vAlign w:val="bottom"/>
          </w:tcPr>
          <w:p>
            <w:pPr>
              <w:spacing w:after="0"/>
              <w:rPr>
                <w:sz w:val="14"/>
                <w:szCs w:val="14"/>
                <w:color w:val="auto"/>
              </w:rPr>
            </w:pPr>
          </w:p>
        </w:tc>
      </w:tr>
      <w:tr>
        <w:trPr>
          <w:trHeight w:val="169"/>
        </w:trPr>
        <w:tc>
          <w:tcPr>
            <w:tcW w:w="628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Operating activities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€(198,537)</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€(58,877)</w:t>
            </w:r>
          </w:p>
        </w:tc>
        <w:tc>
          <w:tcPr>
            <w:tcW w:w="1680" w:type="dxa"/>
            <w:vAlign w:val="bottom"/>
          </w:tcPr>
          <w:p>
            <w:pPr>
              <w:jc w:val="right"/>
              <w:spacing w:after="0"/>
              <w:rPr>
                <w:sz w:val="20"/>
                <w:szCs w:val="20"/>
                <w:color w:val="auto"/>
              </w:rPr>
            </w:pPr>
            <w:r>
              <w:rPr>
                <w:rFonts w:ascii="Arial" w:cs="Arial" w:eastAsia="Arial" w:hAnsi="Arial"/>
                <w:sz w:val="13"/>
                <w:szCs w:val="13"/>
                <w:color w:val="auto"/>
              </w:rPr>
              <w:t>€(52,562)</w:t>
            </w:r>
          </w:p>
        </w:tc>
      </w:tr>
      <w:tr>
        <w:trPr>
          <w:trHeight w:val="170"/>
        </w:trPr>
        <w:tc>
          <w:tcPr>
            <w:tcW w:w="628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Investing activities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(77,115)</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(66,452)</w:t>
            </w:r>
          </w:p>
        </w:tc>
        <w:tc>
          <w:tcPr>
            <w:tcW w:w="1680" w:type="dxa"/>
            <w:vAlign w:val="bottom"/>
          </w:tcPr>
          <w:p>
            <w:pPr>
              <w:jc w:val="right"/>
              <w:spacing w:after="0"/>
              <w:rPr>
                <w:sz w:val="20"/>
                <w:szCs w:val="20"/>
                <w:color w:val="auto"/>
              </w:rPr>
            </w:pPr>
            <w:r>
              <w:rPr>
                <w:rFonts w:ascii="Arial" w:cs="Arial" w:eastAsia="Arial" w:hAnsi="Arial"/>
                <w:sz w:val="13"/>
                <w:szCs w:val="13"/>
                <w:color w:val="auto"/>
              </w:rPr>
              <w:t>(52,549)</w:t>
            </w:r>
          </w:p>
        </w:tc>
      </w:tr>
      <w:tr>
        <w:trPr>
          <w:trHeight w:val="170"/>
        </w:trPr>
        <w:tc>
          <w:tcPr>
            <w:tcW w:w="628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Financing activities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383,290</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365,177</w:t>
            </w:r>
          </w:p>
        </w:tc>
        <w:tc>
          <w:tcPr>
            <w:tcW w:w="1680" w:type="dxa"/>
            <w:vAlign w:val="bottom"/>
          </w:tcPr>
          <w:p>
            <w:pPr>
              <w:jc w:val="right"/>
              <w:spacing w:after="0"/>
              <w:rPr>
                <w:sz w:val="20"/>
                <w:szCs w:val="20"/>
                <w:color w:val="auto"/>
              </w:rPr>
            </w:pPr>
            <w:r>
              <w:rPr>
                <w:rFonts w:ascii="Arial" w:cs="Arial" w:eastAsia="Arial" w:hAnsi="Arial"/>
                <w:sz w:val="13"/>
                <w:szCs w:val="13"/>
                <w:color w:val="auto"/>
              </w:rPr>
              <w:t>(1,643)</w:t>
            </w:r>
          </w:p>
        </w:tc>
      </w:tr>
      <w:tr>
        <w:trPr>
          <w:trHeight w:val="170"/>
        </w:trPr>
        <w:tc>
          <w:tcPr>
            <w:tcW w:w="628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Exchange rate differences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16</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(459)</w:t>
            </w: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(24,820)</w:t>
            </w:r>
          </w:p>
        </w:tc>
      </w:tr>
      <w:tr>
        <w:trPr>
          <w:trHeight w:val="160"/>
        </w:trPr>
        <w:tc>
          <w:tcPr>
            <w:tcW w:w="62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cash inflow</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€107,654</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€239,389</w:t>
            </w: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€(131,574)</w:t>
            </w:r>
          </w:p>
        </w:tc>
      </w:tr>
    </w:tbl>
    <w:p>
      <w:pPr>
        <w:spacing w:after="0" w:line="31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0" w:lineRule="exact"/>
        <w:rPr>
          <w:sz w:val="20"/>
          <w:szCs w:val="20"/>
          <w:color w:val="auto"/>
        </w:rPr>
      </w:pPr>
    </w:p>
    <w:p>
      <w:pPr>
        <w:jc w:val="both"/>
        <w:ind w:right="40" w:firstLine="556"/>
        <w:spacing w:after="0" w:line="272" w:lineRule="auto"/>
        <w:rPr>
          <w:sz w:val="20"/>
          <w:szCs w:val="20"/>
          <w:color w:val="auto"/>
        </w:rPr>
      </w:pPr>
      <w:r>
        <w:rPr>
          <w:rFonts w:ascii="Arial" w:cs="Arial" w:eastAsia="Arial" w:hAnsi="Arial"/>
          <w:sz w:val="13"/>
          <w:szCs w:val="13"/>
          <w:color w:val="auto"/>
        </w:rPr>
        <w:t>We derive cash flows from operations primarily from collaborations, the sale of products and services rendered. Our cash flows from operating activities are significantly influenced by our use of cash for operating expenses and working capital to support the business. We have historically experienced negative cash flows from operating activities as we have invested in the development of our technologies and manufacturing capabilities, as well as for clinical and preclinical development of our product candidates.</w:t>
      </w:r>
    </w:p>
    <w:p>
      <w:pPr>
        <w:spacing w:after="0" w:line="132" w:lineRule="exact"/>
        <w:rPr>
          <w:sz w:val="20"/>
          <w:szCs w:val="20"/>
          <w:color w:val="auto"/>
        </w:rPr>
      </w:pPr>
    </w:p>
    <w:p>
      <w:pPr>
        <w:ind w:right="160" w:firstLine="556"/>
        <w:spacing w:after="0" w:line="272" w:lineRule="auto"/>
        <w:rPr>
          <w:sz w:val="20"/>
          <w:szCs w:val="20"/>
          <w:color w:val="auto"/>
        </w:rPr>
      </w:pPr>
      <w:r>
        <w:rPr>
          <w:rFonts w:ascii="Arial" w:cs="Arial" w:eastAsia="Arial" w:hAnsi="Arial"/>
          <w:sz w:val="13"/>
          <w:szCs w:val="13"/>
          <w:color w:val="auto"/>
        </w:rPr>
        <w:t>Net cash used in operating activities for the year ended December 31, 2019 was €198.5 million, comprising a loss before tax of €179.4 million, non-cash adjustments of €65.0 million, and a net negative change in assets and liabilities of €83.4 million. Non-cash items primarily included depreciation and amortization as well as share-based compensation expenses. The net negative change in assets and liabilities was primarily due to a decrease in contract liabilities and trade payables.</w:t>
      </w:r>
    </w:p>
    <w:p>
      <w:pPr>
        <w:spacing w:after="0" w:line="132" w:lineRule="exact"/>
        <w:rPr>
          <w:sz w:val="20"/>
          <w:szCs w:val="20"/>
          <w:color w:val="auto"/>
        </w:rPr>
      </w:pPr>
    </w:p>
    <w:p>
      <w:pPr>
        <w:jc w:val="both"/>
        <w:ind w:right="120" w:firstLine="556"/>
        <w:spacing w:after="0" w:line="272" w:lineRule="auto"/>
        <w:rPr>
          <w:sz w:val="20"/>
          <w:szCs w:val="20"/>
          <w:color w:val="auto"/>
        </w:rPr>
      </w:pPr>
      <w:r>
        <w:rPr>
          <w:rFonts w:ascii="Arial" w:cs="Arial" w:eastAsia="Arial" w:hAnsi="Arial"/>
          <w:sz w:val="13"/>
          <w:szCs w:val="13"/>
          <w:color w:val="auto"/>
        </w:rPr>
        <w:t>Net cash used in operating activities for the year ended December 31, 2018 was €58.9 million, comprising a loss before tax of €47.7 million, non-cash adjustments of €29.9 million, and a net negative change in assets and liabilities of €41.1 million. Non-cash items primarily included depreciation and amortization as well as share-based compensation expenses. The net negative change in assets and liabilities was primarily due to an increase in trade receivables and a decrease in payables and liabilities.</w:t>
      </w:r>
    </w:p>
    <w:p>
      <w:pPr>
        <w:spacing w:after="0" w:line="132"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auto"/>
        </w:rPr>
        <w:t>The increase in net cash used in operating activities from the year ended December 31, 2018 to the year ended December 31, 2019 was primarily due to an increase in amounts spent for wages, benefits and social security expenses as headcount increases and higher research and development expenditures.</w:t>
      </w:r>
    </w:p>
    <w:p>
      <w:pPr>
        <w:spacing w:after="0" w:line="122"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auto"/>
        </w:rPr>
        <w:t>Net cash used in operating activities for the year ended December 31, 2017 was €52.6 million, comprising a loss before tax of €85.9 million, non-cash adjustments of €39.9 million, and a net negative change in assets and liabilities of €8.0 million. Non-cash items primarily included depreciation and amortization as well as share-based compensation expenses. The net negative change in assets and liabilities was primarily due to a decrease in payables and liabilities.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Net cash used in investing activities for the year ended December 31, 2019 was €77.1 million, of which €32.5 million was attributable to the purchase of intangible assets, including the final installment payment for the license agreement for the CellScript patent, €38.6 million was attributable to the purchase of property, plant and equipment, partially offset by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10" w:name="page211"/>
    <w:bookmarkEnd w:id="210"/>
    <w:p>
      <w:pPr>
        <w:ind w:right="260"/>
        <w:spacing w:after="0" w:line="287" w:lineRule="auto"/>
        <w:rPr>
          <w:sz w:val="20"/>
          <w:szCs w:val="20"/>
          <w:color w:val="auto"/>
        </w:rPr>
      </w:pPr>
      <w:r>
        <w:rPr>
          <w:rFonts w:ascii="Arial" w:cs="Arial" w:eastAsia="Arial" w:hAnsi="Arial"/>
          <w:sz w:val="13"/>
          <w:szCs w:val="13"/>
          <w:color w:val="auto"/>
        </w:rPr>
        <w:t>proceeds from the sale of property, plant and equipment amounting to k€21and €6.1 million were attributable to the acquisition of MAB Discovery GmbH’s operational antibody generation unit based near Munich, Germany.</w:t>
      </w:r>
    </w:p>
    <w:p>
      <w:pPr>
        <w:spacing w:after="0" w:line="122"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auto"/>
        </w:rPr>
        <w:t>Net cash used in investing activities for the year ended December 31, 2018 was €66.5 million, of which €37.3 million was attributable to the purchase of intangible assets, including payment for the license agreement for the CellScript patent, and €29.9 million was attributable to the purchase of property, plant and equipment, partially offset by proceeds from the sale of property, plant and equipment amounting to k€705.</w:t>
      </w:r>
    </w:p>
    <w:p>
      <w:pPr>
        <w:spacing w:after="0" w:line="132"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auto"/>
        </w:rPr>
        <w:t>Net cash used in investing activities for the year ended December 31, 2017 was €52.5 million, of which €33.4 million was attributable to the purchase of intangible assets, including payment for the license agreement for the CellScript patent, and €24.3 million was attributable to the purchase of property, plant and equipment, partially offset by proceeds from the sale of property, plant and equipment amounting to €5.2 million.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primary financing activities consist of issuances of share capital, proceeds from bank loans and payments of finance lease liabilities.</w:t>
      </w:r>
    </w:p>
    <w:p>
      <w:pPr>
        <w:spacing w:after="0" w:line="170" w:lineRule="exact"/>
        <w:rPr>
          <w:sz w:val="20"/>
          <w:szCs w:val="20"/>
          <w:color w:val="auto"/>
        </w:rPr>
      </w:pPr>
    </w:p>
    <w:p>
      <w:pPr>
        <w:ind w:right="200" w:firstLine="556"/>
        <w:spacing w:after="0" w:line="287" w:lineRule="auto"/>
        <w:rPr>
          <w:sz w:val="20"/>
          <w:szCs w:val="20"/>
          <w:color w:val="auto"/>
        </w:rPr>
      </w:pPr>
      <w:r>
        <w:rPr>
          <w:rFonts w:ascii="Arial" w:cs="Arial" w:eastAsia="Arial" w:hAnsi="Arial"/>
          <w:sz w:val="13"/>
          <w:szCs w:val="13"/>
          <w:color w:val="auto"/>
        </w:rPr>
        <w:t>During the year ended December 31, 2019, we generated cash from financing activities of €383.3 million, primarily from proceeds from the issuance of shares in the amount of €375.4 million and proceeds from loans and borrowings in the amount of €11.0 million, partially offset by the payment of finance lease liabilities in the amount of €3.1 million.</w:t>
      </w:r>
    </w:p>
    <w:p>
      <w:pPr>
        <w:spacing w:after="0" w:line="122" w:lineRule="exact"/>
        <w:rPr>
          <w:sz w:val="20"/>
          <w:szCs w:val="20"/>
          <w:color w:val="auto"/>
        </w:rPr>
      </w:pPr>
    </w:p>
    <w:p>
      <w:pPr>
        <w:ind w:right="200" w:firstLine="556"/>
        <w:spacing w:after="0" w:line="287" w:lineRule="auto"/>
        <w:rPr>
          <w:sz w:val="20"/>
          <w:szCs w:val="20"/>
          <w:color w:val="auto"/>
        </w:rPr>
      </w:pPr>
      <w:r>
        <w:rPr>
          <w:rFonts w:ascii="Arial" w:cs="Arial" w:eastAsia="Arial" w:hAnsi="Arial"/>
          <w:sz w:val="13"/>
          <w:szCs w:val="13"/>
          <w:color w:val="auto"/>
        </w:rPr>
        <w:t>During the year ended December 31, 2018, we generated cash from financing activities of €365.2 million, primarily from proceeds from the issuance of shares in the amount of €361.7 million and proceeds from loans and borrowings in the amount of €5.6 million, partially offset by the payment of finance lease liabilities in the amount of €2.1 million.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had insignificant financing activities during the year ended December 31, 2017.</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Operation and Funding Requirements</w:t>
      </w:r>
    </w:p>
    <w:p>
      <w:pPr>
        <w:spacing w:after="0" w:line="90"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Since our inception, we have incurred significant losses and negative cash flows from operations due to our significant research and development expenses and our investment in our manufacturing capabilities. We have accumulated losses of €424.8 million as of December 31, 2019 and €245.8 million as of December 31, 2018. We expect to continue to incur significant losses in the foreseeable future and expect our expenses to increase in connection with our ongoing activities, particularly as we continue research and development and clinical activities for our product candidates. Our expenses will also increase if, and as, we:</w:t>
      </w:r>
    </w:p>
    <w:p>
      <w:pPr>
        <w:spacing w:after="0" w:line="45" w:lineRule="exact"/>
        <w:rPr>
          <w:sz w:val="20"/>
          <w:szCs w:val="20"/>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continue or expand our research or development of our programs in preclinical development;</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continue or expand the scope of our clinical trials for our product candidates;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initiate additional preclinical studies or clinical or other trials for our product candidates, including under our collaboration agreements;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continue to invest in our immunotherapy platforms to conduct research to identify novel technologies;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change or add to internal manufacturing capacity or capability;</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change or add additional suppliers;</w:t>
      </w:r>
    </w:p>
    <w:p>
      <w:pPr>
        <w:spacing w:after="0" w:line="80" w:lineRule="exact"/>
        <w:rPr>
          <w:rFonts w:ascii="Arial" w:cs="Arial" w:eastAsia="Arial" w:hAnsi="Arial"/>
          <w:sz w:val="13"/>
          <w:szCs w:val="13"/>
          <w:color w:val="auto"/>
        </w:rPr>
      </w:pPr>
    </w:p>
    <w:p>
      <w:pPr>
        <w:ind w:left="1020" w:right="720" w:hanging="340"/>
        <w:spacing w:after="0" w:line="287" w:lineRule="auto"/>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add additional infrastructure to our quality control, quality assurance, legal, compliance and other groups to support our operations as we progress our product candidates toward commercialization;</w:t>
      </w:r>
    </w:p>
    <w:p>
      <w:pPr>
        <w:spacing w:after="0" w:line="32" w:lineRule="exact"/>
        <w:rPr>
          <w:rFonts w:ascii="Arial" w:cs="Arial" w:eastAsia="Arial" w:hAnsi="Arial"/>
          <w:sz w:val="13"/>
          <w:szCs w:val="13"/>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attract and retain skilled personnel;</w:t>
      </w:r>
    </w:p>
    <w:p>
      <w:pPr>
        <w:spacing w:after="0" w:line="80" w:lineRule="exact"/>
        <w:rPr>
          <w:rFonts w:ascii="Arial" w:cs="Arial" w:eastAsia="Arial" w:hAnsi="Arial"/>
          <w:sz w:val="13"/>
          <w:szCs w:val="13"/>
          <w:color w:val="auto"/>
        </w:rPr>
      </w:pPr>
    </w:p>
    <w:p>
      <w:pPr>
        <w:ind w:left="1020" w:right="300" w:hanging="340"/>
        <w:spacing w:after="0" w:line="287" w:lineRule="auto"/>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32" w:lineRule="exact"/>
        <w:rPr>
          <w:rFonts w:ascii="Arial" w:cs="Arial" w:eastAsia="Arial" w:hAnsi="Arial"/>
          <w:sz w:val="13"/>
          <w:szCs w:val="13"/>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seek marketing approvals and reimbursement for our product candidates;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establish a sales, marketing and distribution infrastructure to commercialize any products for which we may obtain marketing approval;</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180"/>
          </w:cols>
          <w:pgMar w:left="300" w:top="211" w:right="419" w:bottom="1440" w:gutter="0" w:footer="0" w:header="0"/>
        </w:sectPr>
      </w:pPr>
    </w:p>
    <w:bookmarkStart w:id="211" w:name="page212"/>
    <w:bookmarkEnd w:id="211"/>
    <w:p>
      <w:pPr>
        <w:ind w:left="1020" w:hanging="340"/>
        <w:spacing w:after="0"/>
        <w:tabs>
          <w:tab w:leader="none" w:pos="102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seek to identify and validate additional product candidates;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acquire or in-license other product candidates and technologies;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make milestone or other payments under any in-license agreements;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maintain, protect, defend, enforce and expand our intellectual property portfolio;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experience any delays or encounter issues with any of the above.</w:t>
      </w:r>
    </w:p>
    <w:p>
      <w:pPr>
        <w:spacing w:after="0" w:line="17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auto"/>
        </w:rPr>
        <w:t xml:space="preserve">We are subject to all of the risks related to the development and commercialization of pharmaceutical products, and we may encounter unforeseen expenses, difficulties, complications, delays and other unknown factors that may adversely affect our business.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We believe that our existing cash and cash equivalents will be sufficient to fund our operating expenses and capital expenditure requirements </w:t>
      </w:r>
      <w:r>
        <w:rPr>
          <w:rFonts w:ascii="Arial" w:cs="Arial" w:eastAsia="Arial" w:hAnsi="Arial"/>
          <w:sz w:val="13"/>
          <w:szCs w:val="13"/>
          <w:color w:val="231F20"/>
        </w:rPr>
        <w:t>into the third quarter of</w:t>
      </w:r>
      <w:r>
        <w:rPr>
          <w:rFonts w:ascii="Arial" w:cs="Arial" w:eastAsia="Arial" w:hAnsi="Arial"/>
          <w:sz w:val="13"/>
          <w:szCs w:val="13"/>
          <w:color w:val="auto"/>
        </w:rPr>
        <w:t xml:space="preserve"> </w:t>
      </w:r>
      <w:r>
        <w:rPr>
          <w:rFonts w:ascii="Arial" w:cs="Arial" w:eastAsia="Arial" w:hAnsi="Arial"/>
          <w:sz w:val="13"/>
          <w:szCs w:val="13"/>
          <w:color w:val="231F20"/>
        </w:rPr>
        <w:t>2021</w:t>
      </w:r>
      <w:r>
        <w:rPr>
          <w:rFonts w:ascii="Arial" w:cs="Arial" w:eastAsia="Arial" w:hAnsi="Arial"/>
          <w:sz w:val="13"/>
          <w:szCs w:val="13"/>
          <w:color w:val="000000"/>
        </w:rPr>
        <w:t>.</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future funding requirements will depend on many factors, including, but not limited to:</w:t>
      </w:r>
    </w:p>
    <w:p>
      <w:pPr>
        <w:spacing w:after="0" w:line="80" w:lineRule="exact"/>
        <w:rPr>
          <w:sz w:val="20"/>
          <w:szCs w:val="20"/>
          <w:color w:val="auto"/>
        </w:rPr>
      </w:pPr>
    </w:p>
    <w:p>
      <w:pPr>
        <w:ind w:left="1020" w:hanging="340"/>
        <w:spacing w:after="0"/>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initiation, progress, timing, costs and results of preclinical or nonclinical studies and clinical trials for our product candidates;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results of research and our other platform activities;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clinical development plans we establish for our product candidates;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terms of any agreements with our current or future collaborators;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number and characteristics of product candidates that we develop or may in-license;</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outcome, timing and cost of meeting regulatory requirements established by the FDA, EMA and other comparable regulatory authorities;</w:t>
      </w:r>
    </w:p>
    <w:p>
      <w:pPr>
        <w:spacing w:after="0" w:line="80" w:lineRule="exact"/>
        <w:rPr>
          <w:rFonts w:ascii="Arial" w:cs="Arial" w:eastAsia="Arial" w:hAnsi="Arial"/>
          <w:sz w:val="13"/>
          <w:szCs w:val="13"/>
          <w:color w:val="auto"/>
        </w:rPr>
      </w:pPr>
    </w:p>
    <w:p>
      <w:pPr>
        <w:ind w:left="1020" w:right="420" w:hanging="340"/>
        <w:spacing w:after="0" w:line="272" w:lineRule="auto"/>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41" w:lineRule="exact"/>
        <w:rPr>
          <w:rFonts w:ascii="Arial" w:cs="Arial" w:eastAsia="Arial" w:hAnsi="Arial"/>
          <w:sz w:val="13"/>
          <w:szCs w:val="13"/>
          <w:color w:val="auto"/>
        </w:rPr>
      </w:pPr>
    </w:p>
    <w:p>
      <w:pPr>
        <w:ind w:left="1020" w:hanging="340"/>
        <w:spacing w:after="0"/>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effect of competing technological and market developments, including other products that may compete with one or more of our product candidates;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cost and timing of completion and further expansion of clinical and commercial scale manufacturing activities sufficient to support all of our current and future programs; and</w:t>
      </w:r>
    </w:p>
    <w:p>
      <w:pPr>
        <w:spacing w:after="0" w:line="80" w:lineRule="exact"/>
        <w:rPr>
          <w:rFonts w:ascii="Arial" w:cs="Arial" w:eastAsia="Arial" w:hAnsi="Arial"/>
          <w:sz w:val="13"/>
          <w:szCs w:val="13"/>
          <w:color w:val="auto"/>
        </w:rPr>
      </w:pPr>
    </w:p>
    <w:p>
      <w:pPr>
        <w:ind w:left="1020" w:right="60" w:hanging="340"/>
        <w:spacing w:after="0" w:line="287" w:lineRule="auto"/>
        <w:tabs>
          <w:tab w:leader="none" w:pos="102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198" w:lineRule="exact"/>
        <w:rPr>
          <w:rFonts w:ascii="Arial" w:cs="Arial" w:eastAsia="Arial" w:hAnsi="Arial"/>
          <w:sz w:val="13"/>
          <w:szCs w:val="13"/>
          <w:color w:val="auto"/>
        </w:rPr>
      </w:pPr>
    </w:p>
    <w:p>
      <w:pPr>
        <w:ind w:left="1100" w:hanging="550"/>
        <w:spacing w:after="0"/>
        <w:tabs>
          <w:tab w:leader="none" w:pos="1100" w:val="left"/>
        </w:tabs>
        <w:numPr>
          <w:ilvl w:val="0"/>
          <w:numId w:val="249"/>
        </w:numPr>
        <w:rPr>
          <w:rFonts w:ascii="Arial" w:cs="Arial" w:eastAsia="Arial" w:hAnsi="Arial"/>
          <w:sz w:val="13"/>
          <w:szCs w:val="13"/>
          <w:b w:val="1"/>
          <w:bCs w:val="1"/>
          <w:color w:val="auto"/>
        </w:rPr>
      </w:pPr>
      <w:r>
        <w:rPr>
          <w:rFonts w:ascii="Arial" w:cs="Arial" w:eastAsia="Arial" w:hAnsi="Arial"/>
          <w:sz w:val="13"/>
          <w:szCs w:val="13"/>
          <w:b w:val="1"/>
          <w:bCs w:val="1"/>
          <w:color w:val="auto"/>
        </w:rPr>
        <w:t>Off-Balance Sheet Arrangements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do not have any off-balance sheet arrangements.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01" w:right="359" w:bottom="1440" w:gutter="0" w:footer="0" w:header="0"/>
        </w:sectPr>
      </w:pPr>
    </w:p>
    <w:bookmarkStart w:id="212" w:name="page213"/>
    <w:bookmarkEnd w:id="212"/>
    <w:p>
      <w:pPr>
        <w:ind w:left="1100" w:hanging="550"/>
        <w:spacing w:after="0"/>
        <w:tabs>
          <w:tab w:leader="none" w:pos="1100" w:val="left"/>
        </w:tabs>
        <w:numPr>
          <w:ilvl w:val="0"/>
          <w:numId w:val="250"/>
        </w:numPr>
        <w:rPr>
          <w:rFonts w:ascii="Arial" w:cs="Arial" w:eastAsia="Arial" w:hAnsi="Arial"/>
          <w:sz w:val="13"/>
          <w:szCs w:val="13"/>
          <w:b w:val="1"/>
          <w:bCs w:val="1"/>
          <w:color w:val="auto"/>
        </w:rPr>
      </w:pPr>
      <w:r>
        <w:rPr>
          <w:rFonts w:ascii="Arial" w:cs="Arial" w:eastAsia="Arial" w:hAnsi="Arial"/>
          <w:sz w:val="13"/>
          <w:szCs w:val="13"/>
          <w:b w:val="1"/>
          <w:bCs w:val="1"/>
          <w:color w:val="auto"/>
        </w:rPr>
        <w:t>Tabular Disclosure of Contractual Obligations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following table summarizes our contractual obligations as of December 31, 2019 and the effects that such obligations are expected to have on our liquidity and cash flows in future periods: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Arial" w:cs="Arial" w:eastAsia="Arial" w:hAnsi="Arial"/>
                <w:sz w:val="13"/>
                <w:szCs w:val="13"/>
                <w:b w:val="1"/>
                <w:bCs w:val="1"/>
                <w:color w:val="auto"/>
              </w:rPr>
              <w:t>Year ended December 31, 2019</w:t>
            </w:r>
          </w:p>
        </w:tc>
        <w:tc>
          <w:tcPr>
            <w:tcW w:w="14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 to 3 years</w:t>
            </w:r>
          </w:p>
        </w:tc>
        <w:tc>
          <w:tcPr>
            <w:tcW w:w="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 to 5 years</w:t>
            </w:r>
          </w:p>
        </w:tc>
        <w:tc>
          <w:tcPr>
            <w:tcW w:w="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More than 5 years</w:t>
            </w:r>
          </w:p>
        </w:tc>
        <w:tc>
          <w:tcPr>
            <w:tcW w:w="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4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Less than 1 year</w:t>
            </w:r>
          </w:p>
        </w:tc>
        <w:tc>
          <w:tcPr>
            <w:tcW w:w="1460" w:type="dxa"/>
            <w:vAlign w:val="bottom"/>
            <w:tcBorders>
              <w:bottom w:val="single" w:sz="8" w:color="70AD47"/>
            </w:tcBorders>
            <w:vMerge w:val="continue"/>
          </w:tcPr>
          <w:p>
            <w:pPr>
              <w:spacing w:after="0"/>
              <w:rPr>
                <w:sz w:val="14"/>
                <w:szCs w:val="14"/>
                <w:color w:val="auto"/>
              </w:rPr>
            </w:pPr>
          </w:p>
        </w:tc>
        <w:tc>
          <w:tcPr>
            <w:tcW w:w="20" w:type="dxa"/>
            <w:vAlign w:val="bottom"/>
            <w:tcBorders>
              <w:bottom w:val="single" w:sz="8" w:color="70AD47"/>
            </w:tcBorders>
            <w:shd w:val="clear" w:color="auto" w:fill="70AD47"/>
          </w:tcPr>
          <w:p>
            <w:pPr>
              <w:spacing w:after="0"/>
              <w:rPr>
                <w:sz w:val="14"/>
                <w:szCs w:val="14"/>
                <w:color w:val="auto"/>
              </w:rPr>
            </w:pPr>
          </w:p>
        </w:tc>
        <w:tc>
          <w:tcPr>
            <w:tcW w:w="1440" w:type="dxa"/>
            <w:vAlign w:val="bottom"/>
            <w:tcBorders>
              <w:bottom w:val="single" w:sz="8" w:color="70AD47"/>
            </w:tcBorders>
            <w:vMerge w:val="continue"/>
          </w:tcPr>
          <w:p>
            <w:pPr>
              <w:spacing w:after="0"/>
              <w:rPr>
                <w:sz w:val="14"/>
                <w:szCs w:val="14"/>
                <w:color w:val="auto"/>
              </w:rPr>
            </w:pPr>
          </w:p>
        </w:tc>
        <w:tc>
          <w:tcPr>
            <w:tcW w:w="20" w:type="dxa"/>
            <w:vAlign w:val="bottom"/>
            <w:tcBorders>
              <w:bottom w:val="single" w:sz="8" w:color="70AD47"/>
            </w:tcBorders>
            <w:shd w:val="clear" w:color="auto" w:fill="70AD47"/>
          </w:tcPr>
          <w:p>
            <w:pPr>
              <w:spacing w:after="0"/>
              <w:rPr>
                <w:sz w:val="14"/>
                <w:szCs w:val="14"/>
                <w:color w:val="auto"/>
              </w:rPr>
            </w:pPr>
          </w:p>
        </w:tc>
        <w:tc>
          <w:tcPr>
            <w:tcW w:w="1440" w:type="dxa"/>
            <w:vAlign w:val="bottom"/>
            <w:tcBorders>
              <w:bottom w:val="single" w:sz="8" w:color="70AD47"/>
            </w:tcBorders>
            <w:vMerge w:val="continue"/>
          </w:tcPr>
          <w:p>
            <w:pPr>
              <w:spacing w:after="0"/>
              <w:rPr>
                <w:sz w:val="14"/>
                <w:szCs w:val="14"/>
                <w:color w:val="auto"/>
              </w:rPr>
            </w:pPr>
          </w:p>
        </w:tc>
        <w:tc>
          <w:tcPr>
            <w:tcW w:w="20" w:type="dxa"/>
            <w:vAlign w:val="bottom"/>
            <w:tcBorders>
              <w:bottom w:val="single" w:sz="8" w:color="70AD47"/>
            </w:tcBorders>
            <w:shd w:val="clear" w:color="auto" w:fill="70AD47"/>
          </w:tcPr>
          <w:p>
            <w:pPr>
              <w:spacing w:after="0"/>
              <w:rPr>
                <w:sz w:val="14"/>
                <w:szCs w:val="14"/>
                <w:color w:val="auto"/>
              </w:rPr>
            </w:pPr>
          </w:p>
        </w:tc>
        <w:tc>
          <w:tcPr>
            <w:tcW w:w="1440" w:type="dxa"/>
            <w:vAlign w:val="bottom"/>
            <w:tcBorders>
              <w:bottom w:val="single" w:sz="8" w:color="70AD47"/>
            </w:tcBorders>
            <w:vMerge w:val="continue"/>
          </w:tcPr>
          <w:p>
            <w:pPr>
              <w:spacing w:after="0"/>
              <w:rPr>
                <w:sz w:val="14"/>
                <w:szCs w:val="14"/>
                <w:color w:val="auto"/>
              </w:rPr>
            </w:pPr>
          </w:p>
        </w:tc>
        <w:tc>
          <w:tcPr>
            <w:tcW w:w="20" w:type="dxa"/>
            <w:vAlign w:val="bottom"/>
            <w:tcBorders>
              <w:bottom w:val="single" w:sz="8" w:color="70AD47"/>
            </w:tcBorders>
            <w:shd w:val="clear" w:color="auto" w:fill="70AD47"/>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8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Interest bearing loans and borrowings</w:t>
            </w:r>
          </w:p>
        </w:tc>
        <w:tc>
          <w:tcPr>
            <w:tcW w:w="14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€2,220</w:t>
            </w:r>
          </w:p>
        </w:tc>
        <w:tc>
          <w:tcPr>
            <w:tcW w:w="1460" w:type="dxa"/>
            <w:vAlign w:val="bottom"/>
          </w:tcPr>
          <w:p>
            <w:pPr>
              <w:jc w:val="right"/>
              <w:spacing w:after="0"/>
              <w:rPr>
                <w:sz w:val="20"/>
                <w:szCs w:val="20"/>
                <w:color w:val="auto"/>
              </w:rPr>
            </w:pPr>
            <w:r>
              <w:rPr>
                <w:rFonts w:ascii="Arial" w:cs="Arial" w:eastAsia="Arial" w:hAnsi="Arial"/>
                <w:sz w:val="13"/>
                <w:szCs w:val="13"/>
                <w:color w:val="auto"/>
              </w:rPr>
              <w:t>€5,448</w:t>
            </w:r>
          </w:p>
        </w:tc>
        <w:tc>
          <w:tcPr>
            <w:tcW w:w="20" w:type="dxa"/>
            <w:vAlign w:val="bottom"/>
            <w:shd w:val="clear" w:color="auto" w:fill="70AD47"/>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€5,245</w:t>
            </w:r>
          </w:p>
        </w:tc>
        <w:tc>
          <w:tcPr>
            <w:tcW w:w="20" w:type="dxa"/>
            <w:vAlign w:val="bottom"/>
            <w:shd w:val="clear" w:color="auto" w:fill="70AD47"/>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€8,355</w:t>
            </w:r>
          </w:p>
        </w:tc>
        <w:tc>
          <w:tcPr>
            <w:tcW w:w="20" w:type="dxa"/>
            <w:vAlign w:val="bottom"/>
            <w:shd w:val="clear" w:color="auto" w:fill="70AD47"/>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€21,268</w:t>
            </w:r>
          </w:p>
        </w:tc>
        <w:tc>
          <w:tcPr>
            <w:tcW w:w="20" w:type="dxa"/>
            <w:vAlign w:val="bottom"/>
            <w:shd w:val="clear" w:color="auto" w:fill="70AD47"/>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Lease liabilities</w:t>
            </w:r>
          </w:p>
        </w:tc>
        <w:tc>
          <w:tcPr>
            <w:tcW w:w="14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5,176</w:t>
            </w:r>
          </w:p>
        </w:tc>
        <w:tc>
          <w:tcPr>
            <w:tcW w:w="14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9,712</w:t>
            </w:r>
          </w:p>
        </w:tc>
        <w:tc>
          <w:tcPr>
            <w:tcW w:w="20" w:type="dxa"/>
            <w:vAlign w:val="bottom"/>
            <w:tcBorders>
              <w:bottom w:val="single" w:sz="8" w:color="70AD47"/>
            </w:tcBorders>
            <w:shd w:val="clear" w:color="auto" w:fill="70AD47"/>
          </w:tcPr>
          <w:p>
            <w:pPr>
              <w:spacing w:after="0"/>
              <w:rPr>
                <w:sz w:val="14"/>
                <w:szCs w:val="14"/>
                <w:color w:val="auto"/>
              </w:rPr>
            </w:pPr>
          </w:p>
        </w:tc>
        <w:tc>
          <w:tcPr>
            <w:tcW w:w="14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8,170</w:t>
            </w:r>
          </w:p>
        </w:tc>
        <w:tc>
          <w:tcPr>
            <w:tcW w:w="20" w:type="dxa"/>
            <w:vAlign w:val="bottom"/>
            <w:tcBorders>
              <w:bottom w:val="single" w:sz="8" w:color="70AD47"/>
            </w:tcBorders>
            <w:shd w:val="clear" w:color="auto" w:fill="70AD47"/>
          </w:tcPr>
          <w:p>
            <w:pPr>
              <w:spacing w:after="0"/>
              <w:rPr>
                <w:sz w:val="14"/>
                <w:szCs w:val="14"/>
                <w:color w:val="auto"/>
              </w:rPr>
            </w:pPr>
          </w:p>
        </w:tc>
        <w:tc>
          <w:tcPr>
            <w:tcW w:w="14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55,852</w:t>
            </w:r>
          </w:p>
        </w:tc>
        <w:tc>
          <w:tcPr>
            <w:tcW w:w="20" w:type="dxa"/>
            <w:vAlign w:val="bottom"/>
            <w:tcBorders>
              <w:bottom w:val="single" w:sz="8" w:color="70AD47"/>
            </w:tcBorders>
            <w:shd w:val="clear" w:color="auto" w:fill="70AD47"/>
          </w:tcPr>
          <w:p>
            <w:pPr>
              <w:spacing w:after="0"/>
              <w:rPr>
                <w:sz w:val="14"/>
                <w:szCs w:val="14"/>
                <w:color w:val="auto"/>
              </w:rPr>
            </w:pPr>
          </w:p>
        </w:tc>
        <w:tc>
          <w:tcPr>
            <w:tcW w:w="14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78,910</w:t>
            </w:r>
          </w:p>
        </w:tc>
        <w:tc>
          <w:tcPr>
            <w:tcW w:w="20" w:type="dxa"/>
            <w:vAlign w:val="bottom"/>
            <w:tcBorders>
              <w:bottom w:val="single" w:sz="8" w:color="70AD47"/>
            </w:tcBorders>
            <w:shd w:val="clear" w:color="auto" w:fill="70AD47"/>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8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14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€7,396</w:t>
            </w:r>
          </w:p>
        </w:tc>
        <w:tc>
          <w:tcPr>
            <w:tcW w:w="14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€15,160</w:t>
            </w:r>
          </w:p>
        </w:tc>
        <w:tc>
          <w:tcPr>
            <w:tcW w:w="20" w:type="dxa"/>
            <w:vAlign w:val="bottom"/>
            <w:tcBorders>
              <w:bottom w:val="single" w:sz="8" w:color="70AD47"/>
            </w:tcBorders>
            <w:shd w:val="clear" w:color="auto" w:fill="70AD47"/>
          </w:tcPr>
          <w:p>
            <w:pPr>
              <w:spacing w:after="0"/>
              <w:rPr>
                <w:sz w:val="13"/>
                <w:szCs w:val="13"/>
                <w:color w:val="auto"/>
              </w:rPr>
            </w:pPr>
          </w:p>
        </w:tc>
        <w:tc>
          <w:tcPr>
            <w:tcW w:w="14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€13,415</w:t>
            </w:r>
          </w:p>
        </w:tc>
        <w:tc>
          <w:tcPr>
            <w:tcW w:w="20" w:type="dxa"/>
            <w:vAlign w:val="bottom"/>
            <w:tcBorders>
              <w:bottom w:val="single" w:sz="8" w:color="70AD47"/>
            </w:tcBorders>
            <w:shd w:val="clear" w:color="auto" w:fill="70AD47"/>
          </w:tcPr>
          <w:p>
            <w:pPr>
              <w:spacing w:after="0"/>
              <w:rPr>
                <w:sz w:val="13"/>
                <w:szCs w:val="13"/>
                <w:color w:val="auto"/>
              </w:rPr>
            </w:pPr>
          </w:p>
        </w:tc>
        <w:tc>
          <w:tcPr>
            <w:tcW w:w="14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€64,207</w:t>
            </w:r>
          </w:p>
        </w:tc>
        <w:tc>
          <w:tcPr>
            <w:tcW w:w="20" w:type="dxa"/>
            <w:vAlign w:val="bottom"/>
            <w:tcBorders>
              <w:bottom w:val="single" w:sz="8" w:color="70AD47"/>
            </w:tcBorders>
            <w:shd w:val="clear" w:color="auto" w:fill="70AD47"/>
          </w:tcPr>
          <w:p>
            <w:pPr>
              <w:spacing w:after="0"/>
              <w:rPr>
                <w:sz w:val="13"/>
                <w:szCs w:val="13"/>
                <w:color w:val="auto"/>
              </w:rPr>
            </w:pPr>
          </w:p>
        </w:tc>
        <w:tc>
          <w:tcPr>
            <w:tcW w:w="14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€100,178</w:t>
            </w:r>
          </w:p>
        </w:tc>
        <w:tc>
          <w:tcPr>
            <w:tcW w:w="20" w:type="dxa"/>
            <w:vAlign w:val="bottom"/>
            <w:tcBorders>
              <w:bottom w:val="single" w:sz="8" w:color="70AD47"/>
            </w:tcBorders>
            <w:shd w:val="clear" w:color="auto" w:fill="70AD47"/>
          </w:tcPr>
          <w:p>
            <w:pPr>
              <w:spacing w:after="0"/>
              <w:rPr>
                <w:sz w:val="13"/>
                <w:szCs w:val="13"/>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60" w:firstLine="554"/>
        <w:spacing w:after="0" w:line="287" w:lineRule="auto"/>
        <w:rPr>
          <w:sz w:val="20"/>
          <w:szCs w:val="20"/>
          <w:color w:val="auto"/>
        </w:rPr>
      </w:pPr>
      <w:r>
        <w:rPr>
          <w:rFonts w:ascii="Arial" w:cs="Arial" w:eastAsia="Arial" w:hAnsi="Arial"/>
          <w:sz w:val="13"/>
          <w:szCs w:val="13"/>
          <w:color w:val="auto"/>
        </w:rPr>
        <w:t>We have lease agreements for land and buildings in all of our locations, which will expire from 2021 to 2042. In addition, we have various leases for equipment and cars which will expire from 2020 to 2022. The amounts in the table above represent our fixed undiscounted contractual lease obligations and do not include the optional extensions.</w:t>
      </w:r>
    </w:p>
    <w:p>
      <w:pPr>
        <w:spacing w:after="0" w:line="198" w:lineRule="exact"/>
        <w:rPr>
          <w:sz w:val="20"/>
          <w:szCs w:val="20"/>
          <w:color w:val="auto"/>
        </w:rPr>
      </w:pPr>
    </w:p>
    <w:p>
      <w:pPr>
        <w:ind w:left="1100" w:hanging="550"/>
        <w:spacing w:after="0"/>
        <w:tabs>
          <w:tab w:leader="none" w:pos="1100" w:val="left"/>
        </w:tabs>
        <w:numPr>
          <w:ilvl w:val="0"/>
          <w:numId w:val="251"/>
        </w:numPr>
        <w:rPr>
          <w:rFonts w:ascii="Arial" w:cs="Arial" w:eastAsia="Arial" w:hAnsi="Arial"/>
          <w:sz w:val="13"/>
          <w:szCs w:val="13"/>
          <w:b w:val="1"/>
          <w:bCs w:val="1"/>
          <w:color w:val="auto"/>
        </w:rPr>
      </w:pPr>
      <w:r>
        <w:rPr>
          <w:rFonts w:ascii="Arial" w:cs="Arial" w:eastAsia="Arial" w:hAnsi="Arial"/>
          <w:sz w:val="13"/>
          <w:szCs w:val="13"/>
          <w:b w:val="1"/>
          <w:bCs w:val="1"/>
          <w:color w:val="auto"/>
        </w:rPr>
        <w:t>Safe Harbor</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See the beginning of this Item as well as also see “Cautionary Statement Regarding Forward-Looking Statements” included elsewhere in this Annual Report.</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13" w:name="page214"/>
    <w:bookmarkEnd w:id="213"/>
    <w:p>
      <w:pPr>
        <w:spacing w:after="0"/>
        <w:rPr>
          <w:sz w:val="20"/>
          <w:szCs w:val="20"/>
          <w:color w:val="auto"/>
        </w:rPr>
      </w:pPr>
      <w:r>
        <w:rPr>
          <w:rFonts w:ascii="Arial" w:cs="Arial" w:eastAsia="Arial" w:hAnsi="Arial"/>
          <w:sz w:val="13"/>
          <w:szCs w:val="13"/>
          <w:b w:val="1"/>
          <w:bCs w:val="1"/>
          <w:color w:val="auto"/>
        </w:rPr>
        <w:t>Item 6. Directors, Senior Management and Employees</w:t>
      </w:r>
    </w:p>
    <w:p>
      <w:pPr>
        <w:spacing w:after="0" w:line="90" w:lineRule="exact"/>
        <w:rPr>
          <w:sz w:val="20"/>
          <w:szCs w:val="20"/>
          <w:color w:val="auto"/>
        </w:rPr>
      </w:pPr>
    </w:p>
    <w:p>
      <w:pPr>
        <w:jc w:val="both"/>
        <w:ind w:left="560" w:right="8220" w:hanging="10"/>
        <w:spacing w:after="0" w:line="419" w:lineRule="auto"/>
        <w:tabs>
          <w:tab w:leader="none" w:pos="1093" w:val="left"/>
        </w:tabs>
        <w:numPr>
          <w:ilvl w:val="0"/>
          <w:numId w:val="252"/>
        </w:numPr>
        <w:rPr>
          <w:rFonts w:ascii="Arial" w:cs="Arial" w:eastAsia="Arial" w:hAnsi="Arial"/>
          <w:sz w:val="12"/>
          <w:szCs w:val="12"/>
          <w:b w:val="1"/>
          <w:bCs w:val="1"/>
          <w:color w:val="auto"/>
        </w:rPr>
      </w:pPr>
      <w:r>
        <w:rPr>
          <w:rFonts w:ascii="Arial" w:cs="Arial" w:eastAsia="Arial" w:hAnsi="Arial"/>
          <w:sz w:val="12"/>
          <w:szCs w:val="12"/>
          <w:b w:val="1"/>
          <w:bCs w:val="1"/>
          <w:color w:val="auto"/>
        </w:rPr>
        <w:t>Directors and Senior Management Management Board and Supervisory Board Management Board (</w:t>
      </w:r>
      <w:r>
        <w:rPr>
          <w:rFonts w:ascii="Arial" w:cs="Arial" w:eastAsia="Arial" w:hAnsi="Arial"/>
          <w:sz w:val="12"/>
          <w:szCs w:val="12"/>
          <w:b w:val="1"/>
          <w:bCs w:val="1"/>
          <w:i w:val="1"/>
          <w:iCs w:val="1"/>
          <w:color w:val="auto"/>
        </w:rPr>
        <w:t>Vorstand</w:t>
      </w:r>
      <w:r>
        <w:rPr>
          <w:rFonts w:ascii="Arial" w:cs="Arial" w:eastAsia="Arial" w:hAnsi="Arial"/>
          <w:sz w:val="12"/>
          <w:szCs w:val="12"/>
          <w:b w:val="1"/>
          <w:bCs w:val="1"/>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 xml:space="preserve">The following table sets forth the names and functions of the current members of our Management Board, their </w:t>
      </w:r>
      <w:r>
        <w:rPr>
          <w:rFonts w:ascii="Arial" w:cs="Arial" w:eastAsia="Arial" w:hAnsi="Arial"/>
          <w:sz w:val="12"/>
          <w:szCs w:val="12"/>
          <w:color w:val="000000"/>
        </w:rPr>
        <w:t>ages</w:t>
      </w:r>
      <w:r>
        <w:rPr>
          <w:rFonts w:ascii="Arial" w:cs="Arial" w:eastAsia="Arial" w:hAnsi="Arial"/>
          <w:sz w:val="12"/>
          <w:szCs w:val="12"/>
          <w:color w:val="231F20"/>
        </w:rPr>
        <w:t xml:space="preserve"> as of January 12, 2020 and their terms:</w:t>
      </w:r>
    </w:p>
    <w:p>
      <w:pPr>
        <w:sectPr>
          <w:pgSz w:w="11900" w:h="16838" w:orient="portrait"/>
          <w:cols w:equalWidth="0" w:num="1">
            <w:col w:w="11280"/>
          </w:cols>
          <w:pgMar w:left="300" w:top="367" w:right="3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Prof. Ugur Sahin, M.D.</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Sean Marett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Dr. Sierk Poetting</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Dr. Özlem Türeci</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Ryan Richardson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Borders>
              <w:right w:val="single" w:sz="8" w:color="70AD47"/>
            </w:tcBorders>
          </w:tcPr>
          <w:p>
            <w:pPr>
              <w:jc w:val="center"/>
              <w:ind w:right="373"/>
              <w:spacing w:after="0"/>
              <w:rPr>
                <w:sz w:val="20"/>
                <w:szCs w:val="20"/>
                <w:color w:val="auto"/>
              </w:rPr>
            </w:pPr>
            <w:r>
              <w:rPr>
                <w:rFonts w:ascii="Arial" w:cs="Arial" w:eastAsia="Arial" w:hAnsi="Arial"/>
                <w:sz w:val="13"/>
                <w:szCs w:val="13"/>
                <w:b w:val="1"/>
                <w:bCs w:val="1"/>
                <w:color w:val="auto"/>
                <w:w w:val="89"/>
              </w:rPr>
              <w:t>Age</w:t>
            </w:r>
          </w:p>
        </w:tc>
        <w:tc>
          <w:tcPr>
            <w:tcW w:w="900" w:type="dxa"/>
            <w:vAlign w:val="bottom"/>
            <w:tcBorders>
              <w:right w:val="single" w:sz="8" w:color="70AD47"/>
            </w:tcBorders>
          </w:tcPr>
          <w:p>
            <w:pPr>
              <w:jc w:val="center"/>
              <w:spacing w:after="0"/>
              <w:rPr>
                <w:sz w:val="20"/>
                <w:szCs w:val="20"/>
                <w:color w:val="auto"/>
              </w:rPr>
            </w:pPr>
            <w:r>
              <w:rPr>
                <w:rFonts w:ascii="Arial" w:cs="Arial" w:eastAsia="Arial" w:hAnsi="Arial"/>
                <w:sz w:val="13"/>
                <w:szCs w:val="13"/>
                <w:b w:val="1"/>
                <w:bCs w:val="1"/>
                <w:color w:val="auto"/>
                <w:w w:val="92"/>
              </w:rPr>
              <w:t>Term Expires</w:t>
            </w:r>
          </w:p>
        </w:tc>
        <w:tc>
          <w:tcPr>
            <w:tcW w:w="3000" w:type="dxa"/>
            <w:vAlign w:val="bottom"/>
          </w:tcPr>
          <w:p>
            <w:pPr>
              <w:ind w:left="120"/>
              <w:spacing w:after="0"/>
              <w:rPr>
                <w:sz w:val="20"/>
                <w:szCs w:val="20"/>
                <w:color w:val="auto"/>
              </w:rPr>
            </w:pPr>
            <w:r>
              <w:rPr>
                <w:rFonts w:ascii="Arial" w:cs="Arial" w:eastAsia="Arial" w:hAnsi="Arial"/>
                <w:sz w:val="13"/>
                <w:szCs w:val="13"/>
                <w:b w:val="1"/>
                <w:bCs w:val="1"/>
                <w:color w:val="auto"/>
              </w:rPr>
              <w:t>Position</w:t>
            </w:r>
          </w:p>
        </w:tc>
      </w:tr>
      <w:tr>
        <w:trPr>
          <w:trHeight w:val="169"/>
        </w:trPr>
        <w:tc>
          <w:tcPr>
            <w:tcW w:w="660" w:type="dxa"/>
            <w:vAlign w:val="bottom"/>
            <w:tcBorders>
              <w:right w:val="single" w:sz="8" w:color="70AD47"/>
            </w:tcBorders>
          </w:tcPr>
          <w:p>
            <w:pPr>
              <w:jc w:val="center"/>
              <w:ind w:right="373"/>
              <w:spacing w:after="0"/>
              <w:rPr>
                <w:sz w:val="20"/>
                <w:szCs w:val="20"/>
                <w:color w:val="auto"/>
              </w:rPr>
            </w:pPr>
            <w:r>
              <w:rPr>
                <w:rFonts w:ascii="Arial" w:cs="Arial" w:eastAsia="Arial" w:hAnsi="Arial"/>
                <w:sz w:val="13"/>
                <w:szCs w:val="13"/>
                <w:color w:val="auto"/>
                <w:w w:val="96"/>
              </w:rPr>
              <w:t>54</w:t>
            </w:r>
          </w:p>
        </w:tc>
        <w:tc>
          <w:tcPr>
            <w:tcW w:w="90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96"/>
              </w:rPr>
              <w:t>2022</w:t>
            </w:r>
          </w:p>
        </w:tc>
        <w:tc>
          <w:tcPr>
            <w:tcW w:w="3000" w:type="dxa"/>
            <w:vAlign w:val="bottom"/>
          </w:tcPr>
          <w:p>
            <w:pPr>
              <w:ind w:left="120"/>
              <w:spacing w:after="0"/>
              <w:rPr>
                <w:sz w:val="20"/>
                <w:szCs w:val="20"/>
                <w:color w:val="auto"/>
              </w:rPr>
            </w:pPr>
            <w:r>
              <w:rPr>
                <w:rFonts w:ascii="Arial" w:cs="Arial" w:eastAsia="Arial" w:hAnsi="Arial"/>
                <w:sz w:val="13"/>
                <w:szCs w:val="13"/>
                <w:color w:val="auto"/>
              </w:rPr>
              <w:t>Chief Executive Officer</w:t>
            </w:r>
          </w:p>
        </w:tc>
      </w:tr>
      <w:tr>
        <w:trPr>
          <w:trHeight w:val="210"/>
        </w:trPr>
        <w:tc>
          <w:tcPr>
            <w:tcW w:w="660" w:type="dxa"/>
            <w:vAlign w:val="bottom"/>
            <w:tcBorders>
              <w:right w:val="single" w:sz="8" w:color="70AD47"/>
            </w:tcBorders>
          </w:tcPr>
          <w:p>
            <w:pPr>
              <w:jc w:val="center"/>
              <w:ind w:right="373"/>
              <w:spacing w:after="0"/>
              <w:rPr>
                <w:sz w:val="20"/>
                <w:szCs w:val="20"/>
                <w:color w:val="auto"/>
              </w:rPr>
            </w:pPr>
            <w:r>
              <w:rPr>
                <w:rFonts w:ascii="Arial" w:cs="Arial" w:eastAsia="Arial" w:hAnsi="Arial"/>
                <w:sz w:val="13"/>
                <w:szCs w:val="13"/>
                <w:color w:val="auto"/>
                <w:w w:val="96"/>
              </w:rPr>
              <w:t>54</w:t>
            </w:r>
          </w:p>
        </w:tc>
        <w:tc>
          <w:tcPr>
            <w:tcW w:w="90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96"/>
              </w:rPr>
              <w:t>2022</w:t>
            </w:r>
          </w:p>
        </w:tc>
        <w:tc>
          <w:tcPr>
            <w:tcW w:w="3000" w:type="dxa"/>
            <w:vAlign w:val="bottom"/>
          </w:tcPr>
          <w:p>
            <w:pPr>
              <w:ind w:left="120"/>
              <w:spacing w:after="0"/>
              <w:rPr>
                <w:sz w:val="20"/>
                <w:szCs w:val="20"/>
                <w:color w:val="auto"/>
              </w:rPr>
            </w:pPr>
            <w:r>
              <w:rPr>
                <w:rFonts w:ascii="Arial" w:cs="Arial" w:eastAsia="Arial" w:hAnsi="Arial"/>
                <w:sz w:val="13"/>
                <w:szCs w:val="13"/>
                <w:color w:val="auto"/>
                <w:w w:val="94"/>
              </w:rPr>
              <w:t>Chief Business Officer and Chief Commercial Officer</w:t>
            </w:r>
          </w:p>
        </w:tc>
      </w:tr>
      <w:tr>
        <w:trPr>
          <w:trHeight w:val="210"/>
        </w:trPr>
        <w:tc>
          <w:tcPr>
            <w:tcW w:w="660" w:type="dxa"/>
            <w:vAlign w:val="bottom"/>
            <w:tcBorders>
              <w:right w:val="single" w:sz="8" w:color="70AD47"/>
            </w:tcBorders>
          </w:tcPr>
          <w:p>
            <w:pPr>
              <w:jc w:val="center"/>
              <w:ind w:right="373"/>
              <w:spacing w:after="0"/>
              <w:rPr>
                <w:sz w:val="20"/>
                <w:szCs w:val="20"/>
                <w:color w:val="auto"/>
              </w:rPr>
            </w:pPr>
            <w:r>
              <w:rPr>
                <w:rFonts w:ascii="Arial" w:cs="Arial" w:eastAsia="Arial" w:hAnsi="Arial"/>
                <w:sz w:val="13"/>
                <w:szCs w:val="13"/>
                <w:color w:val="auto"/>
                <w:w w:val="96"/>
              </w:rPr>
              <w:t>46</w:t>
            </w:r>
          </w:p>
        </w:tc>
        <w:tc>
          <w:tcPr>
            <w:tcW w:w="90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96"/>
              </w:rPr>
              <w:t>2022</w:t>
            </w:r>
          </w:p>
        </w:tc>
        <w:tc>
          <w:tcPr>
            <w:tcW w:w="3000" w:type="dxa"/>
            <w:vAlign w:val="bottom"/>
          </w:tcPr>
          <w:p>
            <w:pPr>
              <w:ind w:left="120"/>
              <w:spacing w:after="0"/>
              <w:rPr>
                <w:sz w:val="20"/>
                <w:szCs w:val="20"/>
                <w:color w:val="auto"/>
              </w:rPr>
            </w:pPr>
            <w:r>
              <w:rPr>
                <w:rFonts w:ascii="Arial" w:cs="Arial" w:eastAsia="Arial" w:hAnsi="Arial"/>
                <w:sz w:val="13"/>
                <w:szCs w:val="13"/>
                <w:color w:val="auto"/>
                <w:w w:val="98"/>
              </w:rPr>
              <w:t>Chief Financial Officer and Chief Operating Officer</w:t>
            </w:r>
          </w:p>
        </w:tc>
      </w:tr>
      <w:tr>
        <w:trPr>
          <w:trHeight w:val="210"/>
        </w:trPr>
        <w:tc>
          <w:tcPr>
            <w:tcW w:w="660" w:type="dxa"/>
            <w:vAlign w:val="bottom"/>
            <w:tcBorders>
              <w:right w:val="single" w:sz="8" w:color="70AD47"/>
            </w:tcBorders>
          </w:tcPr>
          <w:p>
            <w:pPr>
              <w:jc w:val="center"/>
              <w:ind w:right="373"/>
              <w:spacing w:after="0"/>
              <w:rPr>
                <w:sz w:val="20"/>
                <w:szCs w:val="20"/>
                <w:color w:val="auto"/>
              </w:rPr>
            </w:pPr>
            <w:r>
              <w:rPr>
                <w:rFonts w:ascii="Arial" w:cs="Arial" w:eastAsia="Arial" w:hAnsi="Arial"/>
                <w:sz w:val="13"/>
                <w:szCs w:val="13"/>
                <w:color w:val="auto"/>
                <w:w w:val="96"/>
              </w:rPr>
              <w:t>52</w:t>
            </w:r>
          </w:p>
        </w:tc>
        <w:tc>
          <w:tcPr>
            <w:tcW w:w="90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96"/>
              </w:rPr>
              <w:t>2022</w:t>
            </w:r>
          </w:p>
        </w:tc>
        <w:tc>
          <w:tcPr>
            <w:tcW w:w="3000" w:type="dxa"/>
            <w:vAlign w:val="bottom"/>
          </w:tcPr>
          <w:p>
            <w:pPr>
              <w:ind w:left="120"/>
              <w:spacing w:after="0"/>
              <w:rPr>
                <w:sz w:val="20"/>
                <w:szCs w:val="20"/>
                <w:color w:val="auto"/>
              </w:rPr>
            </w:pPr>
            <w:r>
              <w:rPr>
                <w:rFonts w:ascii="Arial" w:cs="Arial" w:eastAsia="Arial" w:hAnsi="Arial"/>
                <w:sz w:val="13"/>
                <w:szCs w:val="13"/>
                <w:color w:val="auto"/>
              </w:rPr>
              <w:t>Chief Medical Officer</w:t>
            </w:r>
          </w:p>
        </w:tc>
      </w:tr>
      <w:tr>
        <w:trPr>
          <w:trHeight w:val="210"/>
        </w:trPr>
        <w:tc>
          <w:tcPr>
            <w:tcW w:w="660" w:type="dxa"/>
            <w:vAlign w:val="bottom"/>
            <w:tcBorders>
              <w:right w:val="single" w:sz="8" w:color="70AD47"/>
            </w:tcBorders>
          </w:tcPr>
          <w:p>
            <w:pPr>
              <w:jc w:val="center"/>
              <w:ind w:right="373"/>
              <w:spacing w:after="0"/>
              <w:rPr>
                <w:sz w:val="20"/>
                <w:szCs w:val="20"/>
                <w:color w:val="auto"/>
              </w:rPr>
            </w:pPr>
            <w:r>
              <w:rPr>
                <w:rFonts w:ascii="Arial" w:cs="Arial" w:eastAsia="Arial" w:hAnsi="Arial"/>
                <w:sz w:val="13"/>
                <w:szCs w:val="13"/>
                <w:color w:val="auto"/>
                <w:w w:val="96"/>
              </w:rPr>
              <w:t>40</w:t>
            </w:r>
          </w:p>
        </w:tc>
        <w:tc>
          <w:tcPr>
            <w:tcW w:w="900" w:type="dxa"/>
            <w:vAlign w:val="bottom"/>
            <w:tcBorders>
              <w:right w:val="single" w:sz="8" w:color="70AD47"/>
            </w:tcBorders>
          </w:tcPr>
          <w:p>
            <w:pPr>
              <w:jc w:val="center"/>
              <w:spacing w:after="0"/>
              <w:rPr>
                <w:sz w:val="20"/>
                <w:szCs w:val="20"/>
                <w:color w:val="auto"/>
              </w:rPr>
            </w:pPr>
            <w:r>
              <w:rPr>
                <w:rFonts w:ascii="Arial" w:cs="Arial" w:eastAsia="Arial" w:hAnsi="Arial"/>
                <w:sz w:val="13"/>
                <w:szCs w:val="13"/>
                <w:color w:val="auto"/>
                <w:w w:val="96"/>
              </w:rPr>
              <w:t>2022</w:t>
            </w:r>
          </w:p>
        </w:tc>
        <w:tc>
          <w:tcPr>
            <w:tcW w:w="3000" w:type="dxa"/>
            <w:vAlign w:val="bottom"/>
          </w:tcPr>
          <w:p>
            <w:pPr>
              <w:ind w:left="120"/>
              <w:spacing w:after="0"/>
              <w:rPr>
                <w:sz w:val="20"/>
                <w:szCs w:val="20"/>
                <w:color w:val="auto"/>
              </w:rPr>
            </w:pPr>
            <w:r>
              <w:rPr>
                <w:rFonts w:ascii="Arial" w:cs="Arial" w:eastAsia="Arial" w:hAnsi="Arial"/>
                <w:sz w:val="13"/>
                <w:szCs w:val="13"/>
                <w:color w:val="auto"/>
              </w:rPr>
              <w:t>Chief Strategy Officer</w:t>
            </w:r>
          </w:p>
        </w:tc>
      </w:tr>
      <w:tr>
        <w:trPr>
          <w:trHeight w:val="40"/>
        </w:trPr>
        <w:tc>
          <w:tcPr>
            <w:tcW w:w="660" w:type="dxa"/>
            <w:vAlign w:val="bottom"/>
            <w:tcBorders>
              <w:right w:val="single" w:sz="8" w:color="70AD47"/>
            </w:tcBorders>
          </w:tcPr>
          <w:p>
            <w:pPr>
              <w:spacing w:after="0"/>
              <w:rPr>
                <w:sz w:val="3"/>
                <w:szCs w:val="3"/>
                <w:color w:val="auto"/>
              </w:rPr>
            </w:pPr>
          </w:p>
        </w:tc>
        <w:tc>
          <w:tcPr>
            <w:tcW w:w="900" w:type="dxa"/>
            <w:vAlign w:val="bottom"/>
            <w:tcBorders>
              <w:right w:val="single" w:sz="8" w:color="70AD47"/>
            </w:tcBorders>
          </w:tcPr>
          <w:p>
            <w:pPr>
              <w:spacing w:after="0"/>
              <w:rPr>
                <w:sz w:val="3"/>
                <w:szCs w:val="3"/>
                <w:color w:val="auto"/>
              </w:rPr>
            </w:pPr>
          </w:p>
        </w:tc>
        <w:tc>
          <w:tcPr>
            <w:tcW w:w="30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-780415</wp:posOffset>
            </wp:positionV>
            <wp:extent cx="7167880" cy="781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7880" cy="781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400"/>
          </w:cols>
          <w:pgMar w:left="300" w:top="367" w:right="319" w:bottom="1440" w:gutter="0" w:footer="0" w:header="0"/>
          <w:type w:val="continuous"/>
        </w:sectPr>
      </w:pPr>
    </w:p>
    <w:p>
      <w:pPr>
        <w:spacing w:after="0" w:line="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The business </w:t>
      </w:r>
      <w:r>
        <w:rPr>
          <w:rFonts w:ascii="Arial" w:cs="Arial" w:eastAsia="Arial" w:hAnsi="Arial"/>
          <w:sz w:val="13"/>
          <w:szCs w:val="13"/>
          <w:color w:val="231F20"/>
        </w:rPr>
        <w:t>address of the members of our Management Board is the same as our business address: An der Goldgrube 12, D-55131 Mainz,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 xml:space="preserve">The </w:t>
      </w:r>
      <w:r>
        <w:rPr>
          <w:rFonts w:ascii="Arial" w:cs="Arial" w:eastAsia="Arial" w:hAnsi="Arial"/>
          <w:sz w:val="13"/>
          <w:szCs w:val="13"/>
          <w:color w:val="000000"/>
        </w:rPr>
        <w:t>following</w:t>
      </w:r>
      <w:r>
        <w:rPr>
          <w:rFonts w:ascii="Arial" w:cs="Arial" w:eastAsia="Arial" w:hAnsi="Arial"/>
          <w:sz w:val="13"/>
          <w:szCs w:val="13"/>
          <w:color w:val="231F20"/>
        </w:rPr>
        <w:t xml:space="preserve"> is a brief summary of the business experience of the members of our Management Board:</w:t>
      </w:r>
    </w:p>
    <w:p>
      <w:pPr>
        <w:spacing w:after="0" w:line="166" w:lineRule="exact"/>
        <w:rPr>
          <w:sz w:val="20"/>
          <w:szCs w:val="20"/>
          <w:color w:val="auto"/>
        </w:rPr>
      </w:pPr>
    </w:p>
    <w:p>
      <w:pPr>
        <w:ind w:right="40" w:firstLine="556"/>
        <w:spacing w:after="0" w:line="269" w:lineRule="auto"/>
        <w:rPr>
          <w:sz w:val="20"/>
          <w:szCs w:val="20"/>
          <w:color w:val="auto"/>
        </w:rPr>
      </w:pPr>
      <w:r>
        <w:rPr>
          <w:rFonts w:ascii="Arial" w:cs="Arial" w:eastAsia="Arial" w:hAnsi="Arial"/>
          <w:sz w:val="13"/>
          <w:szCs w:val="13"/>
          <w:b w:val="1"/>
          <w:bCs w:val="1"/>
          <w:color w:val="231F20"/>
        </w:rPr>
        <w:t xml:space="preserve">Prof. Ugur Sahin, M.D. </w:t>
      </w:r>
      <w:r>
        <w:rPr>
          <w:rFonts w:ascii="Arial" w:cs="Arial" w:eastAsia="Arial" w:hAnsi="Arial"/>
          <w:sz w:val="13"/>
          <w:szCs w:val="13"/>
          <w:color w:val="231F20"/>
        </w:rPr>
        <w:t>co-founded BioNTech in 2008 and has served as our Chief Executive Officer since that time. Prof. Sahin also served as the head of the Scientific Advisory Board of Ganymed</w:t>
      </w:r>
      <w:r>
        <w:rPr>
          <w:rFonts w:ascii="Arial" w:cs="Arial" w:eastAsia="Arial" w:hAnsi="Arial"/>
          <w:sz w:val="13"/>
          <w:szCs w:val="13"/>
          <w:b w:val="1"/>
          <w:bCs w:val="1"/>
          <w:color w:val="231F20"/>
        </w:rPr>
        <w:t xml:space="preserve"> </w:t>
      </w:r>
      <w:r>
        <w:rPr>
          <w:rFonts w:ascii="Arial" w:cs="Arial" w:eastAsia="Arial" w:hAnsi="Arial"/>
          <w:sz w:val="13"/>
          <w:szCs w:val="13"/>
          <w:color w:val="231F20"/>
        </w:rPr>
        <w:t xml:space="preserve">Pharmaceuticals AG from 2008 until the company was acquired by </w:t>
      </w:r>
      <w:r>
        <w:rPr>
          <w:rFonts w:ascii="Arial" w:cs="Arial" w:eastAsia="Arial" w:hAnsi="Arial"/>
          <w:sz w:val="13"/>
          <w:szCs w:val="13"/>
          <w:color w:val="000000"/>
        </w:rPr>
        <w:t>Astellas</w:t>
      </w:r>
      <w:r>
        <w:rPr>
          <w:rFonts w:ascii="Arial" w:cs="Arial" w:eastAsia="Arial" w:hAnsi="Arial"/>
          <w:sz w:val="13"/>
          <w:szCs w:val="13"/>
          <w:color w:val="231F20"/>
        </w:rPr>
        <w:t xml:space="preserve"> Pharma Inc., or Astellas, in 2016. In 2010, Prof. Sahin co-founded TRON, and served as a Managing Director from 2010 until 2019. Prof. Sahin has also been a professor (W3) at the Mainz </w:t>
      </w:r>
      <w:r>
        <w:rPr>
          <w:rFonts w:ascii="Arial" w:cs="Arial" w:eastAsia="Arial" w:hAnsi="Arial"/>
          <w:sz w:val="13"/>
          <w:szCs w:val="13"/>
          <w:color w:val="000000"/>
        </w:rPr>
        <w:t>University</w:t>
      </w:r>
      <w:r>
        <w:rPr>
          <w:rFonts w:ascii="Arial" w:cs="Arial" w:eastAsia="Arial" w:hAnsi="Arial"/>
          <w:sz w:val="13"/>
          <w:szCs w:val="13"/>
          <w:color w:val="231F20"/>
        </w:rPr>
        <w:t xml:space="preserve"> Medical Center since 2014. Prof. Sahin co-founded the Ci3, the German Cluster Initiative of Individualized ImmunIntervention (Ci3), a non-profit organization. Prof. Sahin earned an M.D. in 1990 from the University of Cologne. Prof. Sahin is married to Dr. Özlem Türeci.</w:t>
      </w:r>
    </w:p>
    <w:p>
      <w:pPr>
        <w:spacing w:after="0" w:line="130" w:lineRule="exact"/>
        <w:rPr>
          <w:sz w:val="20"/>
          <w:szCs w:val="20"/>
          <w:color w:val="auto"/>
        </w:rPr>
      </w:pPr>
    </w:p>
    <w:p>
      <w:pPr>
        <w:ind w:right="100" w:firstLine="556"/>
        <w:spacing w:after="0" w:line="263" w:lineRule="auto"/>
        <w:rPr>
          <w:sz w:val="20"/>
          <w:szCs w:val="20"/>
          <w:color w:val="auto"/>
        </w:rPr>
      </w:pPr>
      <w:r>
        <w:rPr>
          <w:rFonts w:ascii="Arial" w:cs="Arial" w:eastAsia="Arial" w:hAnsi="Arial"/>
          <w:sz w:val="13"/>
          <w:szCs w:val="13"/>
          <w:b w:val="1"/>
          <w:bCs w:val="1"/>
          <w:color w:val="231F20"/>
        </w:rPr>
        <w:t xml:space="preserve">Sean Marett </w:t>
      </w:r>
      <w:r>
        <w:rPr>
          <w:rFonts w:ascii="Arial" w:cs="Arial" w:eastAsia="Arial" w:hAnsi="Arial"/>
          <w:sz w:val="13"/>
          <w:szCs w:val="13"/>
          <w:color w:val="231F20"/>
        </w:rPr>
        <w:t>joined BioNTech in 2012. Prior to joining BioNTech, he worked in global strategic and regional marketing and sales roles at GlaxoSmithKline in the United States and Pfizer in Europe</w:t>
      </w:r>
      <w:r>
        <w:rPr>
          <w:rFonts w:ascii="Arial" w:cs="Arial" w:eastAsia="Arial" w:hAnsi="Arial"/>
          <w:sz w:val="13"/>
          <w:szCs w:val="13"/>
          <w:b w:val="1"/>
          <w:bCs w:val="1"/>
          <w:color w:val="231F20"/>
        </w:rPr>
        <w:t xml:space="preserve"> </w:t>
      </w:r>
      <w:r>
        <w:rPr>
          <w:rFonts w:ascii="Arial" w:cs="Arial" w:eastAsia="Arial" w:hAnsi="Arial"/>
          <w:sz w:val="13"/>
          <w:szCs w:val="13"/>
          <w:color w:val="231F20"/>
        </w:rPr>
        <w:t xml:space="preserve">before taking business </w:t>
      </w:r>
      <w:r>
        <w:rPr>
          <w:rFonts w:ascii="Arial" w:cs="Arial" w:eastAsia="Arial" w:hAnsi="Arial"/>
          <w:sz w:val="13"/>
          <w:szCs w:val="13"/>
          <w:color w:val="000000"/>
        </w:rPr>
        <w:t>development</w:t>
      </w:r>
      <w:r>
        <w:rPr>
          <w:rFonts w:ascii="Arial" w:cs="Arial" w:eastAsia="Arial" w:hAnsi="Arial"/>
          <w:sz w:val="13"/>
          <w:szCs w:val="13"/>
          <w:color w:val="231F20"/>
        </w:rPr>
        <w:t xml:space="preserve"> executive roles at Evotec and Lorantis, the latter of which he helped to successfully sell to Celldex </w:t>
      </w:r>
      <w:r>
        <w:rPr>
          <w:rFonts w:ascii="Arial" w:cs="Arial" w:eastAsia="Arial" w:hAnsi="Arial"/>
          <w:sz w:val="13"/>
          <w:szCs w:val="13"/>
          <w:color w:val="000000"/>
        </w:rPr>
        <w:t>Therapeutics</w:t>
      </w:r>
      <w:r>
        <w:rPr>
          <w:rFonts w:ascii="Arial" w:cs="Arial" w:eastAsia="Arial" w:hAnsi="Arial"/>
          <w:sz w:val="13"/>
          <w:szCs w:val="13"/>
          <w:color w:val="231F20"/>
        </w:rPr>
        <w:t>, Inc. He has successfully executed complex licensing transactions with large pharmaceutical companies, negotiated M&amp;A transactions and raised finance from investors. Mr. Marett built and ran a contract clinical manufacturing organization with operations across Europe and the United States for over half a decade for the contract manufacturer, NextPharma. Mr. Marett has been Chairman of PHMR Ltd, a company specializing in market access and pharmaceutical reimbursement, since 2017. He previously held non-executive directorship of KWS BioTest Ltd (successfully sold to Charles River) from 2011 until 2018 and was a member of the investment committee of Mann BioInvest Ltd, a fund dedicated to biotechnology and pharmaceutical company investments from 2013 until 2016. He holds a BSc (Hons) in Biochemistry from Kings College London and an MBA from Manchester Business School.</w:t>
      </w:r>
    </w:p>
    <w:p>
      <w:pPr>
        <w:spacing w:after="0" w:line="133" w:lineRule="exact"/>
        <w:rPr>
          <w:sz w:val="20"/>
          <w:szCs w:val="20"/>
          <w:color w:val="auto"/>
        </w:rPr>
      </w:pPr>
    </w:p>
    <w:p>
      <w:pPr>
        <w:ind w:firstLine="556"/>
        <w:spacing w:after="0" w:line="275" w:lineRule="auto"/>
        <w:rPr>
          <w:sz w:val="20"/>
          <w:szCs w:val="20"/>
          <w:color w:val="auto"/>
        </w:rPr>
      </w:pPr>
      <w:r>
        <w:rPr>
          <w:rFonts w:ascii="Arial" w:cs="Arial" w:eastAsia="Arial" w:hAnsi="Arial"/>
          <w:sz w:val="13"/>
          <w:szCs w:val="13"/>
          <w:b w:val="1"/>
          <w:bCs w:val="1"/>
          <w:color w:val="231F20"/>
        </w:rPr>
        <w:t xml:space="preserve">Dr. Sierk Poetting </w:t>
      </w:r>
      <w:r>
        <w:rPr>
          <w:rFonts w:ascii="Arial" w:cs="Arial" w:eastAsia="Arial" w:hAnsi="Arial"/>
          <w:sz w:val="13"/>
          <w:szCs w:val="13"/>
          <w:color w:val="231F20"/>
        </w:rPr>
        <w:t>is our Chief Financial Officer and Chief Operating Officer. Dr. Poetting joined BioNTech in September 2014 from Novartis, where he served from May 2012 to August 2014 as Vice</w:t>
      </w:r>
      <w:r>
        <w:rPr>
          <w:rFonts w:ascii="Arial" w:cs="Arial" w:eastAsia="Arial" w:hAnsi="Arial"/>
          <w:sz w:val="13"/>
          <w:szCs w:val="13"/>
          <w:b w:val="1"/>
          <w:bCs w:val="1"/>
          <w:color w:val="231F20"/>
        </w:rPr>
        <w:t xml:space="preserve"> </w:t>
      </w:r>
      <w:r>
        <w:rPr>
          <w:rFonts w:ascii="Arial" w:cs="Arial" w:eastAsia="Arial" w:hAnsi="Arial"/>
          <w:sz w:val="13"/>
          <w:szCs w:val="13"/>
          <w:color w:val="231F20"/>
        </w:rPr>
        <w:t xml:space="preserve">President and Chief Financial </w:t>
      </w:r>
      <w:r>
        <w:rPr>
          <w:rFonts w:ascii="Arial" w:cs="Arial" w:eastAsia="Arial" w:hAnsi="Arial"/>
          <w:sz w:val="13"/>
          <w:szCs w:val="13"/>
          <w:color w:val="000000"/>
        </w:rPr>
        <w:t>Officer</w:t>
      </w:r>
      <w:r>
        <w:rPr>
          <w:rFonts w:ascii="Arial" w:cs="Arial" w:eastAsia="Arial" w:hAnsi="Arial"/>
          <w:sz w:val="13"/>
          <w:szCs w:val="13"/>
          <w:color w:val="231F20"/>
        </w:rPr>
        <w:t xml:space="preserve"> for the Sandoz Division in </w:t>
      </w:r>
      <w:r>
        <w:rPr>
          <w:rFonts w:ascii="Arial" w:cs="Arial" w:eastAsia="Arial" w:hAnsi="Arial"/>
          <w:sz w:val="13"/>
          <w:szCs w:val="13"/>
          <w:color w:val="000000"/>
        </w:rPr>
        <w:t>North</w:t>
      </w:r>
      <w:r>
        <w:rPr>
          <w:rFonts w:ascii="Arial" w:cs="Arial" w:eastAsia="Arial" w:hAnsi="Arial"/>
          <w:sz w:val="13"/>
          <w:szCs w:val="13"/>
          <w:color w:val="231F20"/>
        </w:rPr>
        <w:t xml:space="preserve"> America. Dr. Poetting started his career as a consultant with McKinsey &amp; Company. A German citizen, Dr. Poetting holds a Master of Science in Optical Sciences from the University of Arizona and a Ph.D. in Physics from the Ludwig-Maximilians University in Munich.</w:t>
      </w:r>
    </w:p>
    <w:p>
      <w:pPr>
        <w:spacing w:after="0" w:line="126" w:lineRule="exact"/>
        <w:rPr>
          <w:sz w:val="20"/>
          <w:szCs w:val="20"/>
          <w:color w:val="auto"/>
        </w:rPr>
      </w:pPr>
    </w:p>
    <w:p>
      <w:pPr>
        <w:jc w:val="both"/>
        <w:ind w:right="40" w:firstLine="556"/>
        <w:spacing w:after="0" w:line="308" w:lineRule="auto"/>
        <w:rPr>
          <w:sz w:val="20"/>
          <w:szCs w:val="20"/>
          <w:color w:val="auto"/>
        </w:rPr>
      </w:pPr>
      <w:r>
        <w:rPr>
          <w:rFonts w:ascii="Arial" w:cs="Arial" w:eastAsia="Arial" w:hAnsi="Arial"/>
          <w:sz w:val="12"/>
          <w:szCs w:val="12"/>
          <w:b w:val="1"/>
          <w:bCs w:val="1"/>
          <w:color w:val="231F20"/>
        </w:rPr>
        <w:t xml:space="preserve">Dr. Özlem Türeci </w:t>
      </w:r>
      <w:r>
        <w:rPr>
          <w:rFonts w:ascii="Arial" w:cs="Arial" w:eastAsia="Arial" w:hAnsi="Arial"/>
          <w:sz w:val="12"/>
          <w:szCs w:val="12"/>
          <w:color w:val="231F20"/>
        </w:rPr>
        <w:t>is our Chief Medical Officer. Dr. Türeci joined BioNTech in 2008 as a clinical and scientific</w:t>
      </w:r>
      <w:r>
        <w:rPr>
          <w:rFonts w:ascii="Arial" w:cs="Arial" w:eastAsia="Arial" w:hAnsi="Arial"/>
          <w:sz w:val="12"/>
          <w:szCs w:val="12"/>
          <w:b w:val="1"/>
          <w:bCs w:val="1"/>
          <w:color w:val="231F20"/>
        </w:rPr>
        <w:t xml:space="preserve"> </w:t>
      </w:r>
      <w:r>
        <w:rPr>
          <w:rFonts w:ascii="Arial" w:cs="Arial" w:eastAsia="Arial" w:hAnsi="Arial"/>
          <w:sz w:val="12"/>
          <w:szCs w:val="12"/>
          <w:color w:val="000000"/>
        </w:rPr>
        <w:t>advisory</w:t>
      </w:r>
      <w:r>
        <w:rPr>
          <w:rFonts w:ascii="Arial" w:cs="Arial" w:eastAsia="Arial" w:hAnsi="Arial"/>
          <w:sz w:val="12"/>
          <w:szCs w:val="12"/>
          <w:b w:val="1"/>
          <w:bCs w:val="1"/>
          <w:color w:val="231F20"/>
        </w:rPr>
        <w:t xml:space="preserve"> </w:t>
      </w:r>
      <w:r>
        <w:rPr>
          <w:rFonts w:ascii="Arial" w:cs="Arial" w:eastAsia="Arial" w:hAnsi="Arial"/>
          <w:sz w:val="12"/>
          <w:szCs w:val="12"/>
          <w:color w:val="231F20"/>
        </w:rPr>
        <w:t>board member, before becoming our Chief Medical Officer in 2018. Dr. Türeci</w:t>
      </w:r>
      <w:r>
        <w:rPr>
          <w:rFonts w:ascii="Arial" w:cs="Arial" w:eastAsia="Arial" w:hAnsi="Arial"/>
          <w:sz w:val="12"/>
          <w:szCs w:val="12"/>
          <w:b w:val="1"/>
          <w:bCs w:val="1"/>
          <w:color w:val="231F20"/>
        </w:rPr>
        <w:t xml:space="preserve"> </w:t>
      </w:r>
      <w:r>
        <w:rPr>
          <w:rFonts w:ascii="Arial" w:cs="Arial" w:eastAsia="Arial" w:hAnsi="Arial"/>
          <w:sz w:val="12"/>
          <w:szCs w:val="12"/>
          <w:color w:val="231F20"/>
        </w:rPr>
        <w:t xml:space="preserve">co-founded Ganymed Pharmaceuticals, now a subsidiary of Astellas, in 2001 as Chief Scientific Officer and became its Chief Executive Officer in 2008. Dr. Türeci is chairman and co-initiator of Ci3. Dr. Türeci is also President of the Association for </w:t>
      </w:r>
      <w:r>
        <w:rPr>
          <w:rFonts w:ascii="Arial" w:cs="Arial" w:eastAsia="Arial" w:hAnsi="Arial"/>
          <w:sz w:val="12"/>
          <w:szCs w:val="12"/>
          <w:color w:val="000000"/>
        </w:rPr>
        <w:t>Cancer</w:t>
      </w:r>
      <w:r>
        <w:rPr>
          <w:rFonts w:ascii="Arial" w:cs="Arial" w:eastAsia="Arial" w:hAnsi="Arial"/>
          <w:sz w:val="12"/>
          <w:szCs w:val="12"/>
          <w:color w:val="231F20"/>
        </w:rPr>
        <w:t xml:space="preserve"> Immunotherapy (CIMT). Dr. Türeci earned her M.D. from Saarland University Faculty of Medicine, Homburg. Dr. Türeci is married to Prof. Ugur Sahin, M.D.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67" w:right="319" w:bottom="1440" w:gutter="0" w:footer="0" w:header="0"/>
          <w:type w:val="continuous"/>
        </w:sectPr>
      </w:pPr>
    </w:p>
    <w:bookmarkStart w:id="214" w:name="page215"/>
    <w:bookmarkEnd w:id="214"/>
    <w:p>
      <w:pPr>
        <w:ind w:right="80" w:firstLine="556"/>
        <w:spacing w:after="0" w:line="269" w:lineRule="auto"/>
        <w:rPr>
          <w:sz w:val="20"/>
          <w:szCs w:val="20"/>
          <w:color w:val="auto"/>
        </w:rPr>
      </w:pPr>
      <w:r>
        <w:rPr>
          <w:rFonts w:ascii="Arial" w:cs="Arial" w:eastAsia="Arial" w:hAnsi="Arial"/>
          <w:sz w:val="13"/>
          <w:szCs w:val="13"/>
          <w:b w:val="1"/>
          <w:bCs w:val="1"/>
          <w:color w:val="231F20"/>
        </w:rPr>
        <w:t xml:space="preserve">Ryan Richardson </w:t>
      </w:r>
      <w:r>
        <w:rPr>
          <w:rFonts w:ascii="Arial" w:cs="Arial" w:eastAsia="Arial" w:hAnsi="Arial"/>
          <w:sz w:val="13"/>
          <w:szCs w:val="13"/>
          <w:color w:val="231F20"/>
        </w:rPr>
        <w:t>is our Chief Strategy Officer. Mr. Richardson joined BioNTech in September 2018 from J.P. Morgan Securities LLC, where he served from June 2010 to September 2018 in various</w:t>
      </w:r>
      <w:r>
        <w:rPr>
          <w:rFonts w:ascii="Arial" w:cs="Arial" w:eastAsia="Arial" w:hAnsi="Arial"/>
          <w:sz w:val="13"/>
          <w:szCs w:val="13"/>
          <w:b w:val="1"/>
          <w:bCs w:val="1"/>
          <w:color w:val="231F20"/>
        </w:rPr>
        <w:t xml:space="preserve"> </w:t>
      </w:r>
      <w:r>
        <w:rPr>
          <w:rFonts w:ascii="Arial" w:cs="Arial" w:eastAsia="Arial" w:hAnsi="Arial"/>
          <w:sz w:val="13"/>
          <w:szCs w:val="13"/>
          <w:color w:val="231F20"/>
        </w:rPr>
        <w:t xml:space="preserve">roles, including as Executive Director, Healthcare Investment Banking. </w:t>
      </w:r>
      <w:r>
        <w:rPr>
          <w:rFonts w:ascii="Arial" w:cs="Arial" w:eastAsia="Arial" w:hAnsi="Arial"/>
          <w:sz w:val="13"/>
          <w:szCs w:val="13"/>
          <w:color w:val="000000"/>
        </w:rPr>
        <w:t>Prior</w:t>
      </w:r>
      <w:r>
        <w:rPr>
          <w:rFonts w:ascii="Arial" w:cs="Arial" w:eastAsia="Arial" w:hAnsi="Arial"/>
          <w:sz w:val="13"/>
          <w:szCs w:val="13"/>
          <w:color w:val="231F20"/>
        </w:rPr>
        <w:t xml:space="preserve"> to his time at J.P. Morgan Securities LLC, Mr. Richardson served in various roles in the healthcare economics and consulting field, including as co-founder of Quantitative Insights. Mr. Richardson earned an MBA from the University of Chicago Booth School of Business, a MSc from the London School of Economics and Political Science and a B.S. in Biology from the University of Kansas.</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Supervisory Board (</w:t>
      </w:r>
      <w:r>
        <w:rPr>
          <w:rFonts w:ascii="Arial" w:cs="Arial" w:eastAsia="Arial" w:hAnsi="Arial"/>
          <w:sz w:val="13"/>
          <w:szCs w:val="13"/>
          <w:b w:val="1"/>
          <w:bCs w:val="1"/>
          <w:i w:val="1"/>
          <w:iCs w:val="1"/>
          <w:color w:val="auto"/>
        </w:rPr>
        <w:t>Aufsichtsrat</w:t>
      </w:r>
      <w:r>
        <w:rPr>
          <w:rFonts w:ascii="Arial" w:cs="Arial" w:eastAsia="Arial" w:hAnsi="Arial"/>
          <w:sz w:val="13"/>
          <w:szCs w:val="13"/>
          <w:b w:val="1"/>
          <w:bCs w:val="1"/>
          <w:color w:val="auto"/>
        </w:rPr>
        <w:t>)</w:t>
      </w:r>
    </w:p>
    <w:p>
      <w:pPr>
        <w:spacing w:after="0" w:line="94"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231F20"/>
        </w:rPr>
        <w:t>The following table sets forth the names and functions of the current members of our Supervisory Board, their ages as of December 31, 2019, their terms (which expire on the date of the relevant year’s general shareholders’ meeting) and their principal occupations outside of our Company:</w:t>
      </w:r>
    </w:p>
    <w:p>
      <w:pPr>
        <w:sectPr>
          <w:pgSz w:w="11900" w:h="16838" w:orient="portrait"/>
          <w:cols w:equalWidth="0" w:num="1">
            <w:col w:w="11280"/>
          </w:cols>
          <w:pgMar w:left="300" w:top="287" w:right="31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Helmut Jeggle</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Michael Motschmann</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Prof. Christoph Huber, M.D.</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Dr. Ulrich Wandschneider</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jc w:val="center"/>
              <w:ind w:right="173"/>
              <w:spacing w:after="0"/>
              <w:rPr>
                <w:sz w:val="20"/>
                <w:szCs w:val="20"/>
                <w:color w:val="auto"/>
              </w:rPr>
            </w:pPr>
            <w:r>
              <w:rPr>
                <w:rFonts w:ascii="Arial" w:cs="Arial" w:eastAsia="Arial" w:hAnsi="Arial"/>
                <w:sz w:val="13"/>
                <w:szCs w:val="13"/>
                <w:b w:val="1"/>
                <w:bCs w:val="1"/>
                <w:color w:val="auto"/>
                <w:w w:val="89"/>
              </w:rPr>
              <w:t>Age</w:t>
            </w:r>
          </w:p>
        </w:tc>
        <w:tc>
          <w:tcPr>
            <w:tcW w:w="1120" w:type="dxa"/>
            <w:vAlign w:val="bottom"/>
          </w:tcPr>
          <w:p>
            <w:pPr>
              <w:jc w:val="center"/>
              <w:ind w:left="93"/>
              <w:spacing w:after="0"/>
              <w:rPr>
                <w:sz w:val="20"/>
                <w:szCs w:val="20"/>
                <w:color w:val="auto"/>
              </w:rPr>
            </w:pPr>
            <w:r>
              <w:rPr>
                <w:rFonts w:ascii="Arial" w:cs="Arial" w:eastAsia="Arial" w:hAnsi="Arial"/>
                <w:sz w:val="13"/>
                <w:szCs w:val="13"/>
                <w:b w:val="1"/>
                <w:bCs w:val="1"/>
                <w:color w:val="auto"/>
                <w:w w:val="92"/>
              </w:rPr>
              <w:t>Term Expires</w:t>
            </w:r>
          </w:p>
        </w:tc>
        <w:tc>
          <w:tcPr>
            <w:tcW w:w="4340" w:type="dxa"/>
            <w:vAlign w:val="bottom"/>
          </w:tcPr>
          <w:p>
            <w:pPr>
              <w:ind w:left="100"/>
              <w:spacing w:after="0"/>
              <w:rPr>
                <w:sz w:val="20"/>
                <w:szCs w:val="20"/>
                <w:color w:val="auto"/>
              </w:rPr>
            </w:pPr>
            <w:r>
              <w:rPr>
                <w:rFonts w:ascii="Arial" w:cs="Arial" w:eastAsia="Arial" w:hAnsi="Arial"/>
                <w:sz w:val="13"/>
                <w:szCs w:val="13"/>
                <w:b w:val="1"/>
                <w:bCs w:val="1"/>
                <w:color w:val="auto"/>
              </w:rPr>
              <w:t>Principal Occupation</w:t>
            </w:r>
          </w:p>
        </w:tc>
      </w:tr>
      <w:tr>
        <w:trPr>
          <w:trHeight w:val="180"/>
        </w:trPr>
        <w:tc>
          <w:tcPr>
            <w:tcW w:w="460" w:type="dxa"/>
            <w:vAlign w:val="bottom"/>
          </w:tcPr>
          <w:p>
            <w:pPr>
              <w:jc w:val="right"/>
              <w:ind w:right="213"/>
              <w:spacing w:after="0"/>
              <w:rPr>
                <w:sz w:val="20"/>
                <w:szCs w:val="20"/>
                <w:color w:val="auto"/>
              </w:rPr>
            </w:pPr>
            <w:r>
              <w:rPr>
                <w:rFonts w:ascii="Arial" w:cs="Arial" w:eastAsia="Arial" w:hAnsi="Arial"/>
                <w:sz w:val="13"/>
                <w:szCs w:val="13"/>
                <w:color w:val="auto"/>
              </w:rPr>
              <w:t>49</w:t>
            </w:r>
          </w:p>
        </w:tc>
        <w:tc>
          <w:tcPr>
            <w:tcW w:w="1120" w:type="dxa"/>
            <w:vAlign w:val="bottom"/>
          </w:tcPr>
          <w:p>
            <w:pPr>
              <w:jc w:val="right"/>
              <w:ind w:right="273"/>
              <w:spacing w:after="0"/>
              <w:rPr>
                <w:sz w:val="20"/>
                <w:szCs w:val="20"/>
                <w:color w:val="auto"/>
              </w:rPr>
            </w:pPr>
            <w:r>
              <w:rPr>
                <w:rFonts w:ascii="Arial" w:cs="Arial" w:eastAsia="Arial" w:hAnsi="Arial"/>
                <w:sz w:val="13"/>
                <w:szCs w:val="13"/>
                <w:color w:val="auto"/>
              </w:rPr>
              <w:t>2023</w:t>
            </w:r>
          </w:p>
        </w:tc>
        <w:tc>
          <w:tcPr>
            <w:tcW w:w="4340" w:type="dxa"/>
            <w:vAlign w:val="bottom"/>
          </w:tcPr>
          <w:p>
            <w:pPr>
              <w:ind w:left="100"/>
              <w:spacing w:after="0"/>
              <w:rPr>
                <w:sz w:val="20"/>
                <w:szCs w:val="20"/>
                <w:color w:val="auto"/>
              </w:rPr>
            </w:pPr>
            <w:r>
              <w:rPr>
                <w:rFonts w:ascii="Arial" w:cs="Arial" w:eastAsia="Arial" w:hAnsi="Arial"/>
                <w:sz w:val="13"/>
                <w:szCs w:val="13"/>
                <w:color w:val="auto"/>
                <w:w w:val="94"/>
              </w:rPr>
              <w:t>Chief Executive Officer and Chief Operating Officer of ATHOS Service GmbH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-221615</wp:posOffset>
            </wp:positionV>
            <wp:extent cx="7167880" cy="7239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7880" cy="723900"/>
                    </a:xfrm>
                    <a:prstGeom prst="rect">
                      <a:avLst/>
                    </a:prstGeom>
                    <a:noFill/>
                  </pic:spPr>
                </pic:pic>
              </a:graphicData>
            </a:graphic>
          </wp:anchor>
        </w:drawing>
      </w:r>
    </w:p>
    <w:p>
      <w:pPr>
        <w:spacing w:after="0" w:line="21" w:lineRule="exact"/>
        <w:rPr>
          <w:sz w:val="20"/>
          <w:szCs w:val="20"/>
          <w:color w:val="auto"/>
        </w:rPr>
      </w:pPr>
    </w:p>
    <w:p>
      <w:pPr>
        <w:ind w:left="1680" w:right="500" w:hanging="1638"/>
        <w:spacing w:after="0" w:line="264" w:lineRule="auto"/>
        <w:tabs>
          <w:tab w:leader="none" w:pos="967" w:val="left"/>
        </w:tabs>
        <w:numPr>
          <w:ilvl w:val="0"/>
          <w:numId w:val="253"/>
        </w:numPr>
        <w:rPr>
          <w:rFonts w:ascii="Arial" w:cs="Arial" w:eastAsia="Arial" w:hAnsi="Arial"/>
          <w:sz w:val="13"/>
          <w:szCs w:val="13"/>
          <w:color w:val="auto"/>
        </w:rPr>
      </w:pPr>
      <w:r>
        <w:rPr>
          <w:rFonts w:ascii="Arial" w:cs="Arial" w:eastAsia="Arial" w:hAnsi="Arial"/>
          <w:sz w:val="13"/>
          <w:szCs w:val="13"/>
          <w:color w:val="auto"/>
        </w:rPr>
        <w:t>2023Member of the Board of Management and Head of Equity Investments of MIG Verwaltungs AG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40" w:type="dxa"/>
            <w:vAlign w:val="bottom"/>
          </w:tcPr>
          <w:p>
            <w:pPr>
              <w:jc w:val="right"/>
              <w:ind w:right="333"/>
              <w:spacing w:after="0"/>
              <w:rPr>
                <w:sz w:val="20"/>
                <w:szCs w:val="20"/>
                <w:color w:val="auto"/>
              </w:rPr>
            </w:pPr>
            <w:r>
              <w:rPr>
                <w:rFonts w:ascii="Arial" w:cs="Arial" w:eastAsia="Arial" w:hAnsi="Arial"/>
                <w:sz w:val="13"/>
                <w:szCs w:val="13"/>
                <w:color w:val="auto"/>
                <w:w w:val="82"/>
              </w:rPr>
              <w:t>75</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2023</w:t>
            </w:r>
          </w:p>
        </w:tc>
        <w:tc>
          <w:tcPr>
            <w:tcW w:w="3680" w:type="dxa"/>
            <w:vAlign w:val="bottom"/>
          </w:tcPr>
          <w:p>
            <w:pPr>
              <w:ind w:left="220"/>
              <w:spacing w:after="0"/>
              <w:rPr>
                <w:sz w:val="20"/>
                <w:szCs w:val="20"/>
                <w:color w:val="auto"/>
              </w:rPr>
            </w:pPr>
            <w:r>
              <w:rPr>
                <w:rFonts w:ascii="Arial" w:cs="Arial" w:eastAsia="Arial" w:hAnsi="Arial"/>
                <w:sz w:val="13"/>
                <w:szCs w:val="13"/>
                <w:color w:val="auto"/>
                <w:w w:val="92"/>
              </w:rPr>
              <w:t>Chairman Emeritus at the Johannes-Gutenberg University Mainz</w:t>
            </w:r>
          </w:p>
        </w:tc>
      </w:tr>
      <w:tr>
        <w:trPr>
          <w:trHeight w:val="210"/>
        </w:trPr>
        <w:tc>
          <w:tcPr>
            <w:tcW w:w="540" w:type="dxa"/>
            <w:vAlign w:val="bottom"/>
          </w:tcPr>
          <w:p>
            <w:pPr>
              <w:jc w:val="right"/>
              <w:ind w:right="333"/>
              <w:spacing w:after="0"/>
              <w:rPr>
                <w:sz w:val="20"/>
                <w:szCs w:val="20"/>
                <w:color w:val="auto"/>
              </w:rPr>
            </w:pPr>
            <w:r>
              <w:rPr>
                <w:rFonts w:ascii="Arial" w:cs="Arial" w:eastAsia="Arial" w:hAnsi="Arial"/>
                <w:sz w:val="13"/>
                <w:szCs w:val="13"/>
                <w:color w:val="auto"/>
                <w:w w:val="82"/>
              </w:rPr>
              <w:t>58</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2023</w:t>
            </w:r>
          </w:p>
        </w:tc>
        <w:tc>
          <w:tcPr>
            <w:tcW w:w="3680" w:type="dxa"/>
            <w:vAlign w:val="bottom"/>
          </w:tcPr>
          <w:p>
            <w:pPr>
              <w:ind w:left="220"/>
              <w:spacing w:after="0"/>
              <w:rPr>
                <w:sz w:val="20"/>
                <w:szCs w:val="20"/>
                <w:color w:val="auto"/>
              </w:rPr>
            </w:pPr>
            <w:r>
              <w:rPr>
                <w:rFonts w:ascii="Arial" w:cs="Arial" w:eastAsia="Arial" w:hAnsi="Arial"/>
                <w:sz w:val="13"/>
                <w:szCs w:val="13"/>
                <w:color w:val="auto"/>
              </w:rPr>
              <w:t>Independent consultant to life sciences companies</w:t>
            </w:r>
          </w:p>
        </w:tc>
      </w:tr>
    </w:tbl>
    <w:p>
      <w:pPr>
        <w:spacing w:after="0" w:line="191" w:lineRule="exact"/>
        <w:rPr>
          <w:sz w:val="20"/>
          <w:szCs w:val="20"/>
          <w:color w:val="auto"/>
        </w:rPr>
      </w:pPr>
    </w:p>
    <w:p>
      <w:pPr>
        <w:sectPr>
          <w:pgSz w:w="11900" w:h="16838" w:orient="portrait"/>
          <w:cols w:equalWidth="0" w:num="2">
            <w:col w:w="4160" w:space="720"/>
            <w:col w:w="6400"/>
          </w:cols>
          <w:pgMar w:left="300" w:top="287" w:right="319" w:bottom="1440" w:gutter="0" w:footer="0" w:header="0"/>
          <w:type w:val="continuous"/>
        </w:sectPr>
      </w:pPr>
    </w:p>
    <w:p>
      <w:pPr>
        <w:ind w:left="560"/>
        <w:spacing w:after="0"/>
        <w:rPr>
          <w:sz w:val="20"/>
          <w:szCs w:val="20"/>
          <w:color w:val="auto"/>
        </w:rPr>
      </w:pPr>
      <w:r>
        <w:rPr>
          <w:rFonts w:ascii="Arial" w:cs="Arial" w:eastAsia="Arial" w:hAnsi="Arial"/>
          <w:sz w:val="13"/>
          <w:szCs w:val="13"/>
          <w:color w:val="231F20"/>
        </w:rPr>
        <w:t>Th</w:t>
      </w:r>
      <w:r>
        <w:rPr>
          <w:rFonts w:ascii="Arial" w:cs="Arial" w:eastAsia="Arial" w:hAnsi="Arial"/>
          <w:sz w:val="13"/>
          <w:szCs w:val="13"/>
          <w:color w:val="000000"/>
        </w:rPr>
        <w:t>e business address of the members of our Supervisory Board is the same as our business address: An der Goldgrube 12, D-55131 Mainz,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is a brief summary of the prior business experience of the members of our Supervisory Board:</w:t>
      </w:r>
    </w:p>
    <w:p>
      <w:pPr>
        <w:spacing w:after="0" w:line="166" w:lineRule="exact"/>
        <w:rPr>
          <w:sz w:val="20"/>
          <w:szCs w:val="20"/>
          <w:color w:val="auto"/>
        </w:rPr>
      </w:pPr>
    </w:p>
    <w:p>
      <w:pPr>
        <w:ind w:right="40" w:firstLine="556"/>
        <w:spacing w:after="0" w:line="266" w:lineRule="auto"/>
        <w:rPr>
          <w:sz w:val="20"/>
          <w:szCs w:val="20"/>
          <w:color w:val="auto"/>
        </w:rPr>
      </w:pPr>
      <w:r>
        <w:rPr>
          <w:rFonts w:ascii="Arial" w:cs="Arial" w:eastAsia="Arial" w:hAnsi="Arial"/>
          <w:sz w:val="13"/>
          <w:szCs w:val="13"/>
          <w:b w:val="1"/>
          <w:bCs w:val="1"/>
          <w:color w:val="231F20"/>
        </w:rPr>
        <w:t xml:space="preserve">Helmut Jeggle </w:t>
      </w:r>
      <w:r>
        <w:rPr>
          <w:rFonts w:ascii="Arial" w:cs="Arial" w:eastAsia="Arial" w:hAnsi="Arial"/>
          <w:sz w:val="13"/>
          <w:szCs w:val="13"/>
          <w:color w:val="231F20"/>
        </w:rPr>
        <w:t>has served as the Chairman of our</w:t>
      </w:r>
      <w:r>
        <w:rPr>
          <w:rFonts w:ascii="Arial" w:cs="Arial" w:eastAsia="Arial" w:hAnsi="Arial"/>
          <w:sz w:val="13"/>
          <w:szCs w:val="13"/>
          <w:b w:val="1"/>
          <w:bCs w:val="1"/>
          <w:color w:val="231F20"/>
        </w:rPr>
        <w:t xml:space="preserve"> </w:t>
      </w:r>
      <w:r>
        <w:rPr>
          <w:rFonts w:ascii="Arial" w:cs="Arial" w:eastAsia="Arial" w:hAnsi="Arial"/>
          <w:sz w:val="13"/>
          <w:szCs w:val="13"/>
          <w:color w:val="000000"/>
        </w:rPr>
        <w:t>Supervisory</w:t>
      </w:r>
      <w:r>
        <w:rPr>
          <w:rFonts w:ascii="Arial" w:cs="Arial" w:eastAsia="Arial" w:hAnsi="Arial"/>
          <w:sz w:val="13"/>
          <w:szCs w:val="13"/>
          <w:b w:val="1"/>
          <w:bCs w:val="1"/>
          <w:color w:val="231F20"/>
        </w:rPr>
        <w:t xml:space="preserve"> </w:t>
      </w:r>
      <w:r>
        <w:rPr>
          <w:rFonts w:ascii="Arial" w:cs="Arial" w:eastAsia="Arial" w:hAnsi="Arial"/>
          <w:sz w:val="13"/>
          <w:szCs w:val="13"/>
          <w:color w:val="231F20"/>
        </w:rPr>
        <w:t>Board since 2008. Mr. Jeggle has served as the Chief Executive Officer and Chief</w:t>
      </w:r>
      <w:r>
        <w:rPr>
          <w:rFonts w:ascii="Arial" w:cs="Arial" w:eastAsia="Arial" w:hAnsi="Arial"/>
          <w:sz w:val="13"/>
          <w:szCs w:val="13"/>
          <w:b w:val="1"/>
          <w:bCs w:val="1"/>
          <w:color w:val="231F20"/>
        </w:rPr>
        <w:t xml:space="preserve"> </w:t>
      </w:r>
      <w:r>
        <w:rPr>
          <w:rFonts w:ascii="Arial" w:cs="Arial" w:eastAsia="Arial" w:hAnsi="Arial"/>
          <w:sz w:val="13"/>
          <w:szCs w:val="13"/>
          <w:color w:val="000000"/>
        </w:rPr>
        <w:t>Operating</w:t>
      </w:r>
      <w:r>
        <w:rPr>
          <w:rFonts w:ascii="Arial" w:cs="Arial" w:eastAsia="Arial" w:hAnsi="Arial"/>
          <w:sz w:val="13"/>
          <w:szCs w:val="13"/>
          <w:b w:val="1"/>
          <w:bCs w:val="1"/>
          <w:color w:val="231F20"/>
        </w:rPr>
        <w:t xml:space="preserve"> </w:t>
      </w:r>
      <w:r>
        <w:rPr>
          <w:rFonts w:ascii="Arial" w:cs="Arial" w:eastAsia="Arial" w:hAnsi="Arial"/>
          <w:sz w:val="13"/>
          <w:szCs w:val="13"/>
          <w:color w:val="231F20"/>
        </w:rPr>
        <w:t>Officer of ATHOS Service GmbH since</w:t>
      </w:r>
      <w:r>
        <w:rPr>
          <w:rFonts w:ascii="Arial" w:cs="Arial" w:eastAsia="Arial" w:hAnsi="Arial"/>
          <w:sz w:val="13"/>
          <w:szCs w:val="13"/>
          <w:b w:val="1"/>
          <w:bCs w:val="1"/>
          <w:color w:val="231F20"/>
        </w:rPr>
        <w:t xml:space="preserve"> </w:t>
      </w:r>
      <w:r>
        <w:rPr>
          <w:rFonts w:ascii="Arial" w:cs="Arial" w:eastAsia="Arial" w:hAnsi="Arial"/>
          <w:sz w:val="13"/>
          <w:szCs w:val="13"/>
          <w:color w:val="231F20"/>
        </w:rPr>
        <w:t xml:space="preserve">2015. From 2007 until 2015, Mr. Jeggle served as the Head of Direct Investments of ATHOS Service GmbH. From 2002 until 2007, Mr. Jeggle held various positions with Hexal AG, </w:t>
      </w:r>
      <w:r>
        <w:rPr>
          <w:rFonts w:ascii="Arial" w:cs="Arial" w:eastAsia="Arial" w:hAnsi="Arial"/>
          <w:sz w:val="13"/>
          <w:szCs w:val="13"/>
          <w:color w:val="000000"/>
        </w:rPr>
        <w:t>including</w:t>
      </w:r>
      <w:r>
        <w:rPr>
          <w:rFonts w:ascii="Arial" w:cs="Arial" w:eastAsia="Arial" w:hAnsi="Arial"/>
          <w:sz w:val="13"/>
          <w:szCs w:val="13"/>
          <w:color w:val="231F20"/>
        </w:rPr>
        <w:t xml:space="preserve"> Head of Business Planning &amp; Analyses. Mr. Jeggle is currently the Chief </w:t>
      </w:r>
      <w:r>
        <w:rPr>
          <w:rFonts w:ascii="Arial" w:cs="Arial" w:eastAsia="Arial" w:hAnsi="Arial"/>
          <w:sz w:val="13"/>
          <w:szCs w:val="13"/>
          <w:color w:val="000000"/>
        </w:rPr>
        <w:t>Executive</w:t>
      </w:r>
      <w:r>
        <w:rPr>
          <w:rFonts w:ascii="Arial" w:cs="Arial" w:eastAsia="Arial" w:hAnsi="Arial"/>
          <w:sz w:val="13"/>
          <w:szCs w:val="13"/>
          <w:color w:val="231F20"/>
        </w:rPr>
        <w:t xml:space="preserve"> Officer of each of Salvia GmbH (since 2014), Neula Holding GmbH (since 2010) and AT-Gruppe (since 2008) and a manager of Santo Group (since 2011). Mr. Jeggle is a member of numerous supervisory boards, including 4SC </w:t>
      </w:r>
      <w:r>
        <w:rPr>
          <w:rFonts w:ascii="Arial" w:cs="Arial" w:eastAsia="Arial" w:hAnsi="Arial"/>
          <w:sz w:val="13"/>
          <w:szCs w:val="13"/>
          <w:color w:val="000000"/>
        </w:rPr>
        <w:t>AG</w:t>
      </w:r>
      <w:r>
        <w:rPr>
          <w:rFonts w:ascii="Arial" w:cs="Arial" w:eastAsia="Arial" w:hAnsi="Arial"/>
          <w:sz w:val="13"/>
          <w:szCs w:val="13"/>
          <w:color w:val="231F20"/>
        </w:rPr>
        <w:t xml:space="preserve">. Mr. Jeggle has a degree in business administration from the University of Applied Sciences Neu-Ulm </w:t>
      </w:r>
      <w:r>
        <w:rPr>
          <w:rFonts w:ascii="Arial" w:cs="Arial" w:eastAsia="Arial" w:hAnsi="Arial"/>
          <w:sz w:val="13"/>
          <w:szCs w:val="13"/>
          <w:color w:val="000000"/>
        </w:rPr>
        <w:t>and</w:t>
      </w:r>
      <w:r>
        <w:rPr>
          <w:rFonts w:ascii="Arial" w:cs="Arial" w:eastAsia="Arial" w:hAnsi="Arial"/>
          <w:sz w:val="13"/>
          <w:szCs w:val="13"/>
          <w:color w:val="231F20"/>
        </w:rPr>
        <w:t xml:space="preserve"> earned his Master of Business Administration from the Stuttgart Institute of Management and Technology.</w:t>
      </w:r>
    </w:p>
    <w:p>
      <w:pPr>
        <w:spacing w:after="0" w:line="131" w:lineRule="exact"/>
        <w:rPr>
          <w:sz w:val="20"/>
          <w:szCs w:val="20"/>
          <w:color w:val="auto"/>
        </w:rPr>
      </w:pPr>
    </w:p>
    <w:p>
      <w:pPr>
        <w:ind w:right="20" w:firstLine="556"/>
        <w:spacing w:after="0" w:line="294" w:lineRule="auto"/>
        <w:rPr>
          <w:sz w:val="20"/>
          <w:szCs w:val="20"/>
          <w:color w:val="auto"/>
        </w:rPr>
      </w:pPr>
      <w:r>
        <w:rPr>
          <w:rFonts w:ascii="Arial" w:cs="Arial" w:eastAsia="Arial" w:hAnsi="Arial"/>
          <w:sz w:val="13"/>
          <w:szCs w:val="13"/>
          <w:b w:val="1"/>
          <w:bCs w:val="1"/>
          <w:color w:val="231F20"/>
        </w:rPr>
        <w:t xml:space="preserve">Michael Motschmann </w:t>
      </w:r>
      <w:r>
        <w:rPr>
          <w:rFonts w:ascii="Arial" w:cs="Arial" w:eastAsia="Arial" w:hAnsi="Arial"/>
          <w:sz w:val="13"/>
          <w:szCs w:val="13"/>
          <w:color w:val="231F20"/>
        </w:rPr>
        <w:t>has served as a</w:t>
      </w:r>
      <w:r>
        <w:rPr>
          <w:rFonts w:ascii="Arial" w:cs="Arial" w:eastAsia="Arial" w:hAnsi="Arial"/>
          <w:sz w:val="13"/>
          <w:szCs w:val="13"/>
          <w:b w:val="1"/>
          <w:bCs w:val="1"/>
          <w:color w:val="231F20"/>
        </w:rPr>
        <w:t xml:space="preserve"> </w:t>
      </w:r>
      <w:r>
        <w:rPr>
          <w:rFonts w:ascii="Arial" w:cs="Arial" w:eastAsia="Arial" w:hAnsi="Arial"/>
          <w:sz w:val="13"/>
          <w:szCs w:val="13"/>
          <w:color w:val="000000"/>
        </w:rPr>
        <w:t>member</w:t>
      </w:r>
      <w:r>
        <w:rPr>
          <w:rFonts w:ascii="Arial" w:cs="Arial" w:eastAsia="Arial" w:hAnsi="Arial"/>
          <w:sz w:val="13"/>
          <w:szCs w:val="13"/>
          <w:b w:val="1"/>
          <w:bCs w:val="1"/>
          <w:color w:val="231F20"/>
        </w:rPr>
        <w:t xml:space="preserve"> </w:t>
      </w:r>
      <w:r>
        <w:rPr>
          <w:rFonts w:ascii="Arial" w:cs="Arial" w:eastAsia="Arial" w:hAnsi="Arial"/>
          <w:sz w:val="13"/>
          <w:szCs w:val="13"/>
          <w:color w:val="231F20"/>
        </w:rPr>
        <w:t>of our Supervisory Board since 2008. Mr. Motschmann co-founded MIG</w:t>
      </w:r>
      <w:r>
        <w:rPr>
          <w:rFonts w:ascii="Arial" w:cs="Arial" w:eastAsia="Arial" w:hAnsi="Arial"/>
          <w:sz w:val="13"/>
          <w:szCs w:val="13"/>
          <w:b w:val="1"/>
          <w:bCs w:val="1"/>
          <w:color w:val="231F20"/>
        </w:rPr>
        <w:t xml:space="preserve"> </w:t>
      </w:r>
      <w:r>
        <w:rPr>
          <w:rFonts w:ascii="Arial" w:cs="Arial" w:eastAsia="Arial" w:hAnsi="Arial"/>
          <w:sz w:val="13"/>
          <w:szCs w:val="13"/>
          <w:color w:val="000000"/>
        </w:rPr>
        <w:t>Verwaltungs</w:t>
      </w:r>
      <w:r>
        <w:rPr>
          <w:rFonts w:ascii="Arial" w:cs="Arial" w:eastAsia="Arial" w:hAnsi="Arial"/>
          <w:sz w:val="13"/>
          <w:szCs w:val="13"/>
          <w:b w:val="1"/>
          <w:bCs w:val="1"/>
          <w:color w:val="231F20"/>
        </w:rPr>
        <w:t xml:space="preserve"> </w:t>
      </w:r>
      <w:r>
        <w:rPr>
          <w:rFonts w:ascii="Arial" w:cs="Arial" w:eastAsia="Arial" w:hAnsi="Arial"/>
          <w:sz w:val="13"/>
          <w:szCs w:val="13"/>
          <w:color w:val="231F20"/>
        </w:rPr>
        <w:t>AG, or</w:t>
      </w:r>
      <w:r>
        <w:rPr>
          <w:rFonts w:ascii="Arial" w:cs="Arial" w:eastAsia="Arial" w:hAnsi="Arial"/>
          <w:sz w:val="13"/>
          <w:szCs w:val="13"/>
          <w:b w:val="1"/>
          <w:bCs w:val="1"/>
          <w:color w:val="231F20"/>
        </w:rPr>
        <w:t xml:space="preserve"> </w:t>
      </w:r>
      <w:r>
        <w:rPr>
          <w:rFonts w:ascii="Arial" w:cs="Arial" w:eastAsia="Arial" w:hAnsi="Arial"/>
          <w:sz w:val="13"/>
          <w:szCs w:val="13"/>
          <w:color w:val="000000"/>
        </w:rPr>
        <w:t>MIG</w:t>
      </w:r>
      <w:r>
        <w:rPr>
          <w:rFonts w:ascii="Arial" w:cs="Arial" w:eastAsia="Arial" w:hAnsi="Arial"/>
          <w:sz w:val="13"/>
          <w:szCs w:val="13"/>
          <w:color w:val="231F20"/>
        </w:rPr>
        <w:t>, in 2004, where he serves on the Management Board</w:t>
      </w:r>
      <w:r>
        <w:rPr>
          <w:rFonts w:ascii="Arial" w:cs="Arial" w:eastAsia="Arial" w:hAnsi="Arial"/>
          <w:sz w:val="13"/>
          <w:szCs w:val="13"/>
          <w:b w:val="1"/>
          <w:bCs w:val="1"/>
          <w:color w:val="231F20"/>
        </w:rPr>
        <w:t xml:space="preserve"> </w:t>
      </w:r>
      <w:r>
        <w:rPr>
          <w:rFonts w:ascii="Arial" w:cs="Arial" w:eastAsia="Arial" w:hAnsi="Arial"/>
          <w:sz w:val="13"/>
          <w:szCs w:val="13"/>
          <w:color w:val="231F20"/>
        </w:rPr>
        <w:t>and as Head of Equity Investments. In his role with MIG, Mr. Motschmann currently serves on the supervisory boards of several private portfolio companies.</w:t>
      </w:r>
    </w:p>
    <w:p>
      <w:pPr>
        <w:spacing w:after="0" w:line="114" w:lineRule="exact"/>
        <w:rPr>
          <w:sz w:val="20"/>
          <w:szCs w:val="20"/>
          <w:color w:val="auto"/>
        </w:rPr>
      </w:pPr>
    </w:p>
    <w:p>
      <w:pPr>
        <w:ind w:right="200" w:firstLine="556"/>
        <w:spacing w:after="0" w:line="269" w:lineRule="auto"/>
        <w:rPr>
          <w:sz w:val="20"/>
          <w:szCs w:val="20"/>
          <w:color w:val="auto"/>
        </w:rPr>
      </w:pPr>
      <w:r>
        <w:rPr>
          <w:rFonts w:ascii="Arial" w:cs="Arial" w:eastAsia="Arial" w:hAnsi="Arial"/>
          <w:sz w:val="13"/>
          <w:szCs w:val="13"/>
          <w:b w:val="1"/>
          <w:bCs w:val="1"/>
          <w:color w:val="231F20"/>
        </w:rPr>
        <w:t xml:space="preserve">Prof. Christoph Huber, M.D. </w:t>
      </w:r>
      <w:r>
        <w:rPr>
          <w:rFonts w:ascii="Arial" w:cs="Arial" w:eastAsia="Arial" w:hAnsi="Arial"/>
          <w:sz w:val="13"/>
          <w:szCs w:val="13"/>
          <w:color w:val="231F20"/>
        </w:rPr>
        <w:t>is a co-founder of BioNTech and has served as a member of our Supervisory Board since 2008. Prof. Huber has more than 50 years of professional experience in</w:t>
      </w:r>
      <w:r>
        <w:rPr>
          <w:rFonts w:ascii="Arial" w:cs="Arial" w:eastAsia="Arial" w:hAnsi="Arial"/>
          <w:sz w:val="13"/>
          <w:szCs w:val="13"/>
          <w:b w:val="1"/>
          <w:bCs w:val="1"/>
          <w:color w:val="231F20"/>
        </w:rPr>
        <w:t xml:space="preserve"> </w:t>
      </w:r>
      <w:r>
        <w:rPr>
          <w:rFonts w:ascii="Arial" w:cs="Arial" w:eastAsia="Arial" w:hAnsi="Arial"/>
          <w:sz w:val="13"/>
          <w:szCs w:val="13"/>
          <w:color w:val="231F20"/>
        </w:rPr>
        <w:t xml:space="preserve">hematology, oncology and translational immunology. Prof. Huber has since 2014 served as Chairman Emeritus of the Department of Hematology and Oncology at the Johannes-Gutenberg University Mainz. Prof. Huber was a co-founder of Ganymed, now a subsidiary of Astellas Pharma Inc. He is an </w:t>
      </w:r>
      <w:r>
        <w:rPr>
          <w:rFonts w:ascii="Arial" w:cs="Arial" w:eastAsia="Arial" w:hAnsi="Arial"/>
          <w:sz w:val="13"/>
          <w:szCs w:val="13"/>
          <w:color w:val="000000"/>
        </w:rPr>
        <w:t>executive</w:t>
      </w:r>
      <w:r>
        <w:rPr>
          <w:rFonts w:ascii="Arial" w:cs="Arial" w:eastAsia="Arial" w:hAnsi="Arial"/>
          <w:sz w:val="13"/>
          <w:szCs w:val="13"/>
          <w:color w:val="231F20"/>
        </w:rPr>
        <w:t xml:space="preserve"> board member of CIMT and a board member of Ci3. From 2018 to April 2019, Prof. Huber served as a member of the supervisory board of TRON. Prof. Huber earned his M.D. at the University of Innsbruck.</w:t>
      </w:r>
    </w:p>
    <w:p>
      <w:pPr>
        <w:spacing w:after="0" w:line="130" w:lineRule="exact"/>
        <w:rPr>
          <w:sz w:val="20"/>
          <w:szCs w:val="20"/>
          <w:color w:val="auto"/>
        </w:rPr>
      </w:pPr>
    </w:p>
    <w:p>
      <w:pPr>
        <w:ind w:firstLine="556"/>
        <w:spacing w:after="0" w:line="275" w:lineRule="auto"/>
        <w:rPr>
          <w:sz w:val="20"/>
          <w:szCs w:val="20"/>
          <w:color w:val="auto"/>
        </w:rPr>
      </w:pPr>
      <w:r>
        <w:rPr>
          <w:rFonts w:ascii="Arial" w:cs="Arial" w:eastAsia="Arial" w:hAnsi="Arial"/>
          <w:sz w:val="13"/>
          <w:szCs w:val="13"/>
          <w:b w:val="1"/>
          <w:bCs w:val="1"/>
          <w:color w:val="auto"/>
        </w:rPr>
        <w:t>Dr. Ulrich Wandschneider, Ph.D</w:t>
      </w:r>
      <w:r>
        <w:rPr>
          <w:rFonts w:ascii="Arial" w:cs="Arial" w:eastAsia="Arial" w:hAnsi="Arial"/>
          <w:sz w:val="13"/>
          <w:szCs w:val="13"/>
          <w:color w:val="auto"/>
        </w:rPr>
        <w:t>. has served as a member of our Supervisory Board since 2018. Dr. Wandschneider has more than 20 years of experience in the healthcare sector as a manager in the</w:t>
      </w:r>
      <w:r>
        <w:rPr>
          <w:rFonts w:ascii="Arial" w:cs="Arial" w:eastAsia="Arial" w:hAnsi="Arial"/>
          <w:sz w:val="13"/>
          <w:szCs w:val="13"/>
          <w:b w:val="1"/>
          <w:bCs w:val="1"/>
          <w:color w:val="auto"/>
        </w:rPr>
        <w:t xml:space="preserve"> </w:t>
      </w:r>
      <w:r>
        <w:rPr>
          <w:rFonts w:ascii="Arial" w:cs="Arial" w:eastAsia="Arial" w:hAnsi="Arial"/>
          <w:sz w:val="13"/>
          <w:szCs w:val="13"/>
          <w:color w:val="auto"/>
        </w:rPr>
        <w:t>operative business and as a member of boards and committees. From 2004 to 2016 Dr. Wandschneider served as Chief Executive Officer first of Mediclin AG later of Asklepios Kliniken GmbH &amp; Co. KGaA. Dr. Wandschneider currently serves on various supervisory and advisory boards.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215" w:name="page216"/>
    <w:bookmarkEnd w:id="215"/>
    <w:p>
      <w:pPr>
        <w:ind w:left="1080" w:hanging="530"/>
        <w:spacing w:after="0"/>
        <w:tabs>
          <w:tab w:leader="none" w:pos="1080" w:val="left"/>
        </w:tabs>
        <w:numPr>
          <w:ilvl w:val="0"/>
          <w:numId w:val="254"/>
        </w:numPr>
        <w:rPr>
          <w:rFonts w:ascii="Arial" w:cs="Arial" w:eastAsia="Arial" w:hAnsi="Arial"/>
          <w:sz w:val="13"/>
          <w:szCs w:val="13"/>
          <w:b w:val="1"/>
          <w:bCs w:val="1"/>
          <w:color w:val="auto"/>
        </w:rPr>
      </w:pPr>
      <w:r>
        <w:rPr>
          <w:rFonts w:ascii="Arial" w:cs="Arial" w:eastAsia="Arial" w:hAnsi="Arial"/>
          <w:sz w:val="13"/>
          <w:szCs w:val="13"/>
          <w:b w:val="1"/>
          <w:bCs w:val="1"/>
          <w:color w:val="auto"/>
        </w:rPr>
        <w:t>Compensation</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Remuneration of Supervisory Board Members</w:t>
      </w:r>
    </w:p>
    <w:p>
      <w:pPr>
        <w:spacing w:after="0" w:line="94" w:lineRule="exact"/>
        <w:rPr>
          <w:sz w:val="20"/>
          <w:szCs w:val="20"/>
          <w:color w:val="auto"/>
        </w:rPr>
      </w:pPr>
    </w:p>
    <w:p>
      <w:pPr>
        <w:ind w:right="60" w:firstLine="556"/>
        <w:spacing w:after="0" w:line="331" w:lineRule="auto"/>
        <w:rPr>
          <w:sz w:val="20"/>
          <w:szCs w:val="20"/>
          <w:color w:val="auto"/>
        </w:rPr>
      </w:pPr>
      <w:r>
        <w:rPr>
          <w:rFonts w:ascii="Arial" w:cs="Arial" w:eastAsia="Arial" w:hAnsi="Arial"/>
          <w:sz w:val="12"/>
          <w:szCs w:val="12"/>
          <w:color w:val="231F20"/>
        </w:rPr>
        <w:t>Our Articles of Association provide for a fixed annual remuneration for each member of the Supervisory Board of €50,000 per year. However, the chairman is entitled to receive €150,000 per year and the vice chairman €75,000 per year. In addition, the chairman of the audit committee is entitled to be paid €20,000 per year. All members of the Supervisory Board are reimbursed for their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67880" cy="6159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7880" cy="61595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thousands)</w:t>
      </w: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Borders>
              <w:right w:val="single" w:sz="8" w:color="70AD47"/>
            </w:tcBorders>
            <w:vMerge w:val="restart"/>
          </w:tcPr>
          <w:p>
            <w:pPr>
              <w:jc w:val="right"/>
              <w:ind w:right="393"/>
              <w:spacing w:after="0"/>
              <w:rPr>
                <w:sz w:val="20"/>
                <w:szCs w:val="20"/>
                <w:color w:val="auto"/>
              </w:rPr>
            </w:pPr>
            <w:r>
              <w:rPr>
                <w:rFonts w:ascii="Arial" w:cs="Arial" w:eastAsia="Arial" w:hAnsi="Arial"/>
                <w:sz w:val="13"/>
                <w:szCs w:val="13"/>
                <w:b w:val="1"/>
                <w:bCs w:val="1"/>
                <w:color w:val="auto"/>
              </w:rPr>
              <w:t>Helmut Jeggle</w:t>
            </w:r>
          </w:p>
        </w:tc>
        <w:tc>
          <w:tcPr>
            <w:tcW w:w="1680" w:type="dxa"/>
            <w:vAlign w:val="bottom"/>
            <w:tcBorders>
              <w:right w:val="single" w:sz="8" w:color="70AD47"/>
            </w:tcBorders>
            <w:vMerge w:val="restart"/>
          </w:tcPr>
          <w:p>
            <w:pPr>
              <w:ind w:left="200"/>
              <w:spacing w:after="0"/>
              <w:rPr>
                <w:sz w:val="20"/>
                <w:szCs w:val="20"/>
                <w:color w:val="auto"/>
              </w:rPr>
            </w:pPr>
            <w:r>
              <w:rPr>
                <w:rFonts w:ascii="Arial" w:cs="Arial" w:eastAsia="Arial" w:hAnsi="Arial"/>
                <w:sz w:val="13"/>
                <w:szCs w:val="13"/>
                <w:b w:val="1"/>
                <w:bCs w:val="1"/>
                <w:color w:val="auto"/>
              </w:rPr>
              <w:t>Michael Motschmann</w:t>
            </w:r>
          </w:p>
        </w:tc>
        <w:tc>
          <w:tcPr>
            <w:tcW w:w="1700" w:type="dxa"/>
            <w:vAlign w:val="bottom"/>
            <w:tcBorders>
              <w:right w:val="single" w:sz="8" w:color="70AD47"/>
            </w:tcBorders>
          </w:tcPr>
          <w:p>
            <w:pPr>
              <w:jc w:val="center"/>
              <w:spacing w:after="0"/>
              <w:rPr>
                <w:sz w:val="20"/>
                <w:szCs w:val="20"/>
                <w:color w:val="auto"/>
              </w:rPr>
            </w:pPr>
            <w:r>
              <w:rPr>
                <w:rFonts w:ascii="Arial" w:cs="Arial" w:eastAsia="Arial" w:hAnsi="Arial"/>
                <w:sz w:val="13"/>
                <w:szCs w:val="13"/>
                <w:b w:val="1"/>
                <w:bCs w:val="1"/>
                <w:color w:val="auto"/>
                <w:w w:val="96"/>
              </w:rPr>
              <w:t>Prof. Dr. Christian Huber,</w:t>
            </w:r>
          </w:p>
        </w:tc>
        <w:tc>
          <w:tcPr>
            <w:tcW w:w="16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98"/>
              </w:rPr>
              <w:t>Dr. Ulrich Wandschneider</w:t>
            </w:r>
          </w:p>
        </w:tc>
        <w:tc>
          <w:tcPr>
            <w:tcW w:w="0" w:type="dxa"/>
            <w:vAlign w:val="bottom"/>
          </w:tcPr>
          <w:p>
            <w:pPr>
              <w:spacing w:after="0"/>
              <w:rPr>
                <w:sz w:val="1"/>
                <w:szCs w:val="1"/>
                <w:color w:val="auto"/>
              </w:rPr>
            </w:pPr>
          </w:p>
        </w:tc>
      </w:tr>
      <w:tr>
        <w:trPr>
          <w:trHeight w:val="93"/>
        </w:trPr>
        <w:tc>
          <w:tcPr>
            <w:tcW w:w="1720" w:type="dxa"/>
            <w:vAlign w:val="bottom"/>
            <w:tcBorders>
              <w:right w:val="single" w:sz="8" w:color="70AD47"/>
            </w:tcBorders>
            <w:vMerge w:val="continue"/>
          </w:tcPr>
          <w:p>
            <w:pPr>
              <w:spacing w:after="0"/>
              <w:rPr>
                <w:sz w:val="8"/>
                <w:szCs w:val="8"/>
                <w:color w:val="auto"/>
              </w:rPr>
            </w:pPr>
          </w:p>
        </w:tc>
        <w:tc>
          <w:tcPr>
            <w:tcW w:w="1680" w:type="dxa"/>
            <w:vAlign w:val="bottom"/>
            <w:tcBorders>
              <w:right w:val="single" w:sz="8" w:color="70AD47"/>
            </w:tcBorders>
            <w:vMerge w:val="continue"/>
          </w:tcPr>
          <w:p>
            <w:pPr>
              <w:spacing w:after="0"/>
              <w:rPr>
                <w:sz w:val="8"/>
                <w:szCs w:val="8"/>
                <w:color w:val="auto"/>
              </w:rPr>
            </w:pPr>
          </w:p>
        </w:tc>
        <w:tc>
          <w:tcPr>
            <w:tcW w:w="170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3"/>
                <w:szCs w:val="13"/>
                <w:b w:val="1"/>
                <w:bCs w:val="1"/>
                <w:color w:val="auto"/>
              </w:rPr>
              <w:t>M.D.</w:t>
            </w: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720" w:type="dxa"/>
            <w:vAlign w:val="bottom"/>
            <w:tcBorders>
              <w:right w:val="single" w:sz="8" w:color="70AD47"/>
            </w:tcBorders>
          </w:tcPr>
          <w:p>
            <w:pPr>
              <w:spacing w:after="0"/>
              <w:rPr>
                <w:sz w:val="6"/>
                <w:szCs w:val="6"/>
                <w:color w:val="auto"/>
              </w:rPr>
            </w:pPr>
          </w:p>
        </w:tc>
        <w:tc>
          <w:tcPr>
            <w:tcW w:w="1680" w:type="dxa"/>
            <w:vAlign w:val="bottom"/>
            <w:tcBorders>
              <w:right w:val="single" w:sz="8" w:color="70AD47"/>
            </w:tcBorders>
          </w:tcPr>
          <w:p>
            <w:pPr>
              <w:spacing w:after="0"/>
              <w:rPr>
                <w:sz w:val="6"/>
                <w:szCs w:val="6"/>
                <w:color w:val="auto"/>
              </w:rPr>
            </w:pPr>
          </w:p>
        </w:tc>
        <w:tc>
          <w:tcPr>
            <w:tcW w:w="1700" w:type="dxa"/>
            <w:vAlign w:val="bottom"/>
            <w:tcBorders>
              <w:right w:val="single" w:sz="8" w:color="70AD47"/>
            </w:tcBorders>
            <w:vMerge w:val="continue"/>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720" w:type="dxa"/>
            <w:vAlign w:val="bottom"/>
            <w:tcBorders>
              <w:right w:val="single" w:sz="8" w:color="70AD47"/>
            </w:tcBorders>
          </w:tcPr>
          <w:p>
            <w:pPr>
              <w:spacing w:after="0"/>
              <w:rPr>
                <w:sz w:val="19"/>
                <w:szCs w:val="19"/>
                <w:color w:val="auto"/>
              </w:rPr>
            </w:pPr>
          </w:p>
        </w:tc>
        <w:tc>
          <w:tcPr>
            <w:tcW w:w="1680" w:type="dxa"/>
            <w:vAlign w:val="bottom"/>
            <w:tcBorders>
              <w:right w:val="single" w:sz="8" w:color="70AD47"/>
            </w:tcBorders>
          </w:tcPr>
          <w:p>
            <w:pPr>
              <w:spacing w:after="0"/>
              <w:rPr>
                <w:sz w:val="19"/>
                <w:szCs w:val="19"/>
                <w:color w:val="auto"/>
              </w:rPr>
            </w:pPr>
          </w:p>
        </w:tc>
        <w:tc>
          <w:tcPr>
            <w:tcW w:w="1700" w:type="dxa"/>
            <w:vAlign w:val="bottom"/>
            <w:tcBorders>
              <w:right w:val="single" w:sz="8" w:color="70AD47"/>
            </w:tcBorders>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€150</w:t>
            </w:r>
          </w:p>
        </w:tc>
        <w:tc>
          <w:tcPr>
            <w:tcW w:w="1680" w:type="dxa"/>
            <w:vAlign w:val="bottom"/>
            <w:tcBorders>
              <w:right w:val="single" w:sz="8" w:color="70AD47"/>
            </w:tcBorders>
            <w:shd w:val="clear" w:color="auto" w:fill="C6E0B4"/>
          </w:tcPr>
          <w:p>
            <w:pPr>
              <w:ind w:left="1460"/>
              <w:spacing w:after="0"/>
              <w:rPr>
                <w:sz w:val="20"/>
                <w:szCs w:val="20"/>
                <w:color w:val="auto"/>
              </w:rPr>
            </w:pPr>
            <w:r>
              <w:rPr>
                <w:rFonts w:ascii="Arial" w:cs="Arial" w:eastAsia="Arial" w:hAnsi="Arial"/>
                <w:sz w:val="13"/>
                <w:szCs w:val="13"/>
                <w:b w:val="1"/>
                <w:bCs w:val="1"/>
                <w:color w:val="auto"/>
                <w:w w:val="82"/>
              </w:rPr>
              <w:t>€50</w:t>
            </w:r>
          </w:p>
        </w:tc>
        <w:tc>
          <w:tcPr>
            <w:tcW w:w="1700" w:type="dxa"/>
            <w:vAlign w:val="bottom"/>
            <w:tcBorders>
              <w:right w:val="single" w:sz="8" w:color="70AD47"/>
            </w:tcBorders>
            <w:shd w:val="clear" w:color="auto" w:fill="C6E0B4"/>
          </w:tcPr>
          <w:p>
            <w:pPr>
              <w:ind w:left="1460"/>
              <w:spacing w:after="0"/>
              <w:rPr>
                <w:sz w:val="20"/>
                <w:szCs w:val="20"/>
                <w:color w:val="auto"/>
              </w:rPr>
            </w:pPr>
            <w:r>
              <w:rPr>
                <w:rFonts w:ascii="Arial" w:cs="Arial" w:eastAsia="Arial" w:hAnsi="Arial"/>
                <w:sz w:val="13"/>
                <w:szCs w:val="13"/>
                <w:b w:val="1"/>
                <w:bCs w:val="1"/>
                <w:color w:val="auto"/>
                <w:w w:val="92"/>
              </w:rPr>
              <w:t>€50</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€95</w:t>
            </w:r>
          </w:p>
        </w:tc>
        <w:tc>
          <w:tcPr>
            <w:tcW w:w="0" w:type="dxa"/>
            <w:vAlign w:val="bottom"/>
          </w:tcPr>
          <w:p>
            <w:pPr>
              <w:spacing w:after="0"/>
              <w:rPr>
                <w:sz w:val="1"/>
                <w:szCs w:val="1"/>
                <w:color w:val="auto"/>
              </w:rPr>
            </w:pPr>
          </w:p>
        </w:tc>
      </w:tr>
      <w:tr>
        <w:trPr>
          <w:trHeight w:val="210"/>
        </w:trPr>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€31</w:t>
            </w:r>
          </w:p>
        </w:tc>
        <w:tc>
          <w:tcPr>
            <w:tcW w:w="1680" w:type="dxa"/>
            <w:vAlign w:val="bottom"/>
            <w:tcBorders>
              <w:right w:val="single" w:sz="8" w:color="70AD47"/>
            </w:tcBorders>
          </w:tcPr>
          <w:p>
            <w:pPr>
              <w:ind w:left="1460"/>
              <w:spacing w:after="0"/>
              <w:rPr>
                <w:sz w:val="20"/>
                <w:szCs w:val="20"/>
                <w:color w:val="auto"/>
              </w:rPr>
            </w:pPr>
            <w:r>
              <w:rPr>
                <w:rFonts w:ascii="Arial" w:cs="Arial" w:eastAsia="Arial" w:hAnsi="Arial"/>
                <w:sz w:val="13"/>
                <w:szCs w:val="13"/>
                <w:b w:val="1"/>
                <w:bCs w:val="1"/>
                <w:color w:val="auto"/>
                <w:w w:val="82"/>
              </w:rPr>
              <w:t>€16</w:t>
            </w:r>
          </w:p>
        </w:tc>
        <w:tc>
          <w:tcPr>
            <w:tcW w:w="1700" w:type="dxa"/>
            <w:vAlign w:val="bottom"/>
            <w:tcBorders>
              <w:right w:val="single" w:sz="8" w:color="70AD47"/>
            </w:tcBorders>
          </w:tcPr>
          <w:p>
            <w:pPr>
              <w:ind w:left="1460"/>
              <w:spacing w:after="0"/>
              <w:rPr>
                <w:sz w:val="20"/>
                <w:szCs w:val="20"/>
                <w:color w:val="auto"/>
              </w:rPr>
            </w:pPr>
            <w:r>
              <w:rPr>
                <w:rFonts w:ascii="Arial" w:cs="Arial" w:eastAsia="Arial" w:hAnsi="Arial"/>
                <w:sz w:val="13"/>
                <w:szCs w:val="13"/>
                <w:b w:val="1"/>
                <w:bCs w:val="1"/>
                <w:color w:val="auto"/>
                <w:w w:val="92"/>
              </w:rPr>
              <w:t>€46</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00" w:space="720"/>
            <w:col w:w="6760"/>
          </w:cols>
          <w:pgMar w:left="300" w:top="127" w:right="319" w:bottom="1440" w:gutter="0" w:footer="0" w:header="0"/>
          <w:type w:val="continuous"/>
        </w:sectPr>
      </w:pPr>
    </w:p>
    <w:p>
      <w:pPr>
        <w:spacing w:after="0" w:line="31" w:lineRule="exact"/>
        <w:rPr>
          <w:sz w:val="20"/>
          <w:szCs w:val="20"/>
          <w:color w:val="auto"/>
        </w:rPr>
      </w:pPr>
    </w:p>
    <w:p>
      <w:pPr>
        <w:jc w:val="both"/>
        <w:ind w:right="120" w:firstLine="554"/>
        <w:spacing w:after="0" w:line="272" w:lineRule="auto"/>
        <w:rPr>
          <w:sz w:val="20"/>
          <w:szCs w:val="20"/>
          <w:color w:val="auto"/>
        </w:rPr>
      </w:pPr>
      <w:r>
        <w:rPr>
          <w:rFonts w:ascii="Arial" w:cs="Arial" w:eastAsia="Arial" w:hAnsi="Arial"/>
          <w:sz w:val="13"/>
          <w:szCs w:val="13"/>
          <w:color w:val="231F20"/>
        </w:rPr>
        <w:t>A member of the Supervisory Board who serves for only a portion of a given fiscal year or who holds the position of chairman or vice chairman of the Supervisory Board or of chairman of the Audit Committee for only a portion of a given fiscal year shall only be remunerated pro rata. The same is true if the clause of the Articles of Association regarding the remuneration of the members of the Supervisory Board becomes ineffective (e.g., because it is repealed) during the course of a year.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In case any remuneration or reimbursement of expenses is subject to value added tax, such amount shall be paid additionally by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There are no arrangements or understandings between us and any member of our Supervisory Board providing for benefits upon termination of their service as director.</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Remuneration of the Members of Our Management Board</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We have entered into agreements with all current members of our Management Board.</w:t>
      </w:r>
    </w:p>
    <w:p>
      <w:pPr>
        <w:spacing w:after="0" w:line="170" w:lineRule="exact"/>
        <w:rPr>
          <w:sz w:val="20"/>
          <w:szCs w:val="20"/>
          <w:color w:val="auto"/>
        </w:rPr>
      </w:pPr>
    </w:p>
    <w:p>
      <w:pPr>
        <w:jc w:val="both"/>
        <w:ind w:right="120" w:firstLine="556"/>
        <w:spacing w:after="0" w:line="287" w:lineRule="auto"/>
        <w:rPr>
          <w:sz w:val="20"/>
          <w:szCs w:val="20"/>
          <w:color w:val="auto"/>
        </w:rPr>
      </w:pPr>
      <w:r>
        <w:rPr>
          <w:rFonts w:ascii="Arial" w:cs="Arial" w:eastAsia="Arial" w:hAnsi="Arial"/>
          <w:sz w:val="13"/>
          <w:szCs w:val="13"/>
          <w:color w:val="231F20"/>
        </w:rPr>
        <w:t>We believe that the agreements between us and the members of our Management Board provide for payments and benefits (including upon termination of employment) that are in line with customary market practice.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The following sets forth the end dates of the current service agreements of our Management Board:</w:t>
      </w:r>
    </w:p>
    <w:p>
      <w:pPr>
        <w:spacing w:after="0" w:line="80" w:lineRule="exact"/>
        <w:rPr>
          <w:sz w:val="20"/>
          <w:szCs w:val="20"/>
          <w:color w:val="auto"/>
        </w:rPr>
      </w:pPr>
    </w:p>
    <w:p>
      <w:pPr>
        <w:ind w:left="1020" w:hanging="340"/>
        <w:spacing w:after="0"/>
        <w:tabs>
          <w:tab w:leader="none" w:pos="102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Prof. Ugur Sahin: December 31, 2022</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Sean Marett: September 30, 2022</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Dr. Sierk Poetting: September 30, 2022</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Dr. Özlem Türeci: May 31, 2022</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Ryan Richardson: December 31, 2022</w:t>
      </w:r>
    </w:p>
    <w:p>
      <w:pPr>
        <w:spacing w:after="0" w:line="170" w:lineRule="exact"/>
        <w:rPr>
          <w:sz w:val="20"/>
          <w:szCs w:val="20"/>
          <w:color w:val="auto"/>
        </w:rPr>
      </w:pPr>
    </w:p>
    <w:p>
      <w:pPr>
        <w:ind w:right="60" w:firstLine="556"/>
        <w:spacing w:after="0" w:line="267" w:lineRule="auto"/>
        <w:rPr>
          <w:sz w:val="20"/>
          <w:szCs w:val="20"/>
          <w:color w:val="auto"/>
        </w:rPr>
      </w:pPr>
      <w:r>
        <w:rPr>
          <w:rFonts w:ascii="Arial" w:cs="Arial" w:eastAsia="Arial" w:hAnsi="Arial"/>
          <w:sz w:val="13"/>
          <w:szCs w:val="13"/>
          <w:color w:val="231F20"/>
        </w:rPr>
        <w:t>From January 1, 2019 until August 31, 2019, the annual base salaries for our Management Board members, Prof. Ugur Sahin, Sean Marett, Dr. Sierk Poetting and Dr. Özlem Türeci, were €210,000, €360,000, €300,000 and €300,000, respectively. Effective September 1, 2019 the annual base salaries for Prof. Ugur Sahin, Sean Marett, Dr. Sierk Poetting and Dr. Özlem Türeci are €360,000, €400,000, €360,000 and €360,000, respectively. Effective January 1, 2020 the annual base salary for Ryan Richardson is €320,000. In December 2019, the Management Board members, Prof. Ugur Sahin, Sean Marett, Dr. Sierk Poetting and Dr. Özlem Türeci, were each awarded a cash bonus of €50,000, to be paid in 2020.</w:t>
      </w:r>
    </w:p>
    <w:p>
      <w:pPr>
        <w:spacing w:after="0" w:line="135" w:lineRule="exact"/>
        <w:rPr>
          <w:sz w:val="20"/>
          <w:szCs w:val="20"/>
          <w:color w:val="auto"/>
        </w:rPr>
      </w:pPr>
    </w:p>
    <w:p>
      <w:pPr>
        <w:ind w:right="240" w:firstLine="556"/>
        <w:spacing w:after="0" w:line="304" w:lineRule="auto"/>
        <w:rPr>
          <w:sz w:val="20"/>
          <w:szCs w:val="20"/>
          <w:color w:val="auto"/>
        </w:rPr>
      </w:pPr>
      <w:r>
        <w:rPr>
          <w:rFonts w:ascii="Arial" w:cs="Arial" w:eastAsia="Arial" w:hAnsi="Arial"/>
          <w:sz w:val="12"/>
          <w:szCs w:val="12"/>
          <w:color w:val="231F20"/>
        </w:rPr>
        <w:t>Our current service agreements with our Management Board provide for short-term incentive compensation of up to a maximum of 50% of the annual base salary. The amount of such short-term incentive compensation will depend on the achievement of certain company goals in a particular fiscal year, which goals will be set uniformly for all members of the Management Board. Half of the incentive compensation will be paid promptly upon achievement of the applicable company goals, with the remaining amount payable one year later, subject to adjustment relative to our share price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216" w:name="page217"/>
    <w:bookmarkEnd w:id="216"/>
    <w:p>
      <w:pPr>
        <w:ind w:right="300"/>
        <w:spacing w:after="0" w:line="287" w:lineRule="auto"/>
        <w:rPr>
          <w:sz w:val="20"/>
          <w:szCs w:val="20"/>
          <w:color w:val="auto"/>
        </w:rPr>
      </w:pPr>
      <w:r>
        <w:rPr>
          <w:rFonts w:ascii="Arial" w:cs="Arial" w:eastAsia="Arial" w:hAnsi="Arial"/>
          <w:sz w:val="13"/>
          <w:szCs w:val="13"/>
          <w:color w:val="231F20"/>
        </w:rPr>
        <w:t>performance during that year. The provisions in relation to the short-term incentive compensation will take effect from the beginning of the first year after the year in which BioNTech Shares or ADSs of the Company are listed on a stock exchange or other multilateral trading system, e.g., from the first year following the completion of our initial public offering.</w:t>
      </w:r>
    </w:p>
    <w:p>
      <w:pPr>
        <w:spacing w:after="0" w:line="122" w:lineRule="exact"/>
        <w:rPr>
          <w:sz w:val="20"/>
          <w:szCs w:val="20"/>
          <w:color w:val="auto"/>
        </w:rPr>
      </w:pPr>
    </w:p>
    <w:p>
      <w:pPr>
        <w:ind w:right="40" w:firstLine="556"/>
        <w:spacing w:after="0" w:line="264" w:lineRule="auto"/>
        <w:rPr>
          <w:sz w:val="20"/>
          <w:szCs w:val="20"/>
          <w:color w:val="auto"/>
        </w:rPr>
      </w:pPr>
      <w:r>
        <w:rPr>
          <w:rFonts w:ascii="Arial" w:cs="Arial" w:eastAsia="Arial" w:hAnsi="Arial"/>
          <w:sz w:val="13"/>
          <w:szCs w:val="13"/>
          <w:color w:val="231F20"/>
        </w:rPr>
        <w:t>The service agreements of our Management Board provide for long-term incentive compensation in terms of a yearly grant of options to purchase BioNTech Shares. The options granted each year will be subject to the terms, conditions, definitions and provisions of our ESOP and the applicable option agreement thereunder. The number of options to be granted each year to Prof. Ugur Sahin, Sean Marett, Dr. Sierk Poetting, Dr. Özlem Türeci and Ryan Richardson is to be calculated based on a value of €750,000, €300,000, €300,000, €300,000 and €260,000, respectively, in each case divided by the amount by which a certain target share price exceeds the exercise price (which in the case of each grant is equal to the stock price as of the time of that grant). These provisions in relation to the long-term incentive compensation took effect from January 1, 2020.</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There are no arrangements or understandings between us and any member of our Management Board providing for benefits upon termination of their service as director.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In the years ended December 31, 2019 and December 31, 2018, the members of our Management Board received aggregate remuneration of €19.6 million and €7.2 million,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700" w:type="dxa"/>
            <w:vAlign w:val="bottom"/>
            <w:tcBorders>
              <w:bottom w:val="single" w:sz="8" w:color="70AD47"/>
              <w:right w:val="single" w:sz="8" w:color="70AD47"/>
            </w:tcBorders>
          </w:tcPr>
          <w:p>
            <w:pPr>
              <w:jc w:val="right"/>
              <w:ind w:right="133"/>
              <w:spacing w:after="0"/>
              <w:rPr>
                <w:sz w:val="20"/>
                <w:szCs w:val="20"/>
                <w:color w:val="auto"/>
              </w:rPr>
            </w:pPr>
            <w:r>
              <w:rPr>
                <w:rFonts w:ascii="Arial" w:cs="Arial" w:eastAsia="Arial" w:hAnsi="Arial"/>
                <w:sz w:val="13"/>
                <w:szCs w:val="13"/>
                <w:b w:val="1"/>
                <w:bCs w:val="1"/>
                <w:color w:val="auto"/>
              </w:rPr>
              <w:t>Prof. Ugur Sahin, M.D.</w:t>
            </w:r>
          </w:p>
        </w:tc>
        <w:tc>
          <w:tcPr>
            <w:tcW w:w="1680" w:type="dxa"/>
            <w:vAlign w:val="bottom"/>
            <w:tcBorders>
              <w:bottom w:val="single" w:sz="8" w:color="70AD47"/>
              <w:right w:val="single" w:sz="8" w:color="70AD47"/>
            </w:tcBorders>
          </w:tcPr>
          <w:p>
            <w:pPr>
              <w:jc w:val="right"/>
              <w:ind w:right="433"/>
              <w:spacing w:after="0"/>
              <w:rPr>
                <w:sz w:val="20"/>
                <w:szCs w:val="20"/>
                <w:color w:val="auto"/>
              </w:rPr>
            </w:pPr>
            <w:r>
              <w:rPr>
                <w:rFonts w:ascii="Arial" w:cs="Arial" w:eastAsia="Arial" w:hAnsi="Arial"/>
                <w:sz w:val="13"/>
                <w:szCs w:val="13"/>
                <w:b w:val="1"/>
                <w:bCs w:val="1"/>
                <w:color w:val="auto"/>
              </w:rPr>
              <w:t>Sean Marett</w:t>
            </w:r>
          </w:p>
        </w:tc>
        <w:tc>
          <w:tcPr>
            <w:tcW w:w="1700" w:type="dxa"/>
            <w:vAlign w:val="bottom"/>
            <w:tcBorders>
              <w:bottom w:val="single" w:sz="8" w:color="70AD47"/>
              <w:right w:val="single" w:sz="8" w:color="70AD47"/>
            </w:tcBorders>
          </w:tcPr>
          <w:p>
            <w:pPr>
              <w:jc w:val="right"/>
              <w:ind w:right="293"/>
              <w:spacing w:after="0"/>
              <w:rPr>
                <w:sz w:val="20"/>
                <w:szCs w:val="20"/>
                <w:color w:val="auto"/>
              </w:rPr>
            </w:pPr>
            <w:r>
              <w:rPr>
                <w:rFonts w:ascii="Arial" w:cs="Arial" w:eastAsia="Arial" w:hAnsi="Arial"/>
                <w:sz w:val="13"/>
                <w:szCs w:val="13"/>
                <w:b w:val="1"/>
                <w:bCs w:val="1"/>
                <w:color w:val="auto"/>
              </w:rPr>
              <w:t>Dr. Sierk Poetting</w:t>
            </w:r>
          </w:p>
        </w:tc>
        <w:tc>
          <w:tcPr>
            <w:tcW w:w="1660" w:type="dxa"/>
            <w:vAlign w:val="bottom"/>
            <w:tcBorders>
              <w:bottom w:val="single" w:sz="8" w:color="70AD47"/>
            </w:tcBorders>
          </w:tcPr>
          <w:p>
            <w:pPr>
              <w:jc w:val="right"/>
              <w:ind w:right="213"/>
              <w:spacing w:after="0"/>
              <w:rPr>
                <w:sz w:val="20"/>
                <w:szCs w:val="20"/>
                <w:color w:val="auto"/>
              </w:rPr>
            </w:pPr>
            <w:r>
              <w:rPr>
                <w:rFonts w:ascii="Arial" w:cs="Arial" w:eastAsia="Arial" w:hAnsi="Arial"/>
                <w:sz w:val="13"/>
                <w:szCs w:val="13"/>
                <w:b w:val="1"/>
                <w:bCs w:val="1"/>
                <w:color w:val="auto"/>
              </w:rPr>
              <w:t xml:space="preserve">Dr. Özlem Türeci </w:t>
            </w:r>
            <w:r>
              <w:rPr>
                <w:rFonts w:ascii="Arial" w:cs="Arial" w:eastAsia="Arial" w:hAnsi="Arial"/>
                <w:sz w:val="18"/>
                <w:szCs w:val="18"/>
                <w:b w:val="1"/>
                <w:bCs w:val="1"/>
                <w:color w:val="auto"/>
                <w:vertAlign w:val="superscript"/>
              </w:rPr>
              <w:t>(1)</w:t>
            </w:r>
          </w:p>
        </w:tc>
      </w:tr>
      <w:tr>
        <w:trPr>
          <w:trHeight w:val="40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Fixed and Variable Compensation</w:t>
            </w:r>
          </w:p>
        </w:tc>
        <w:tc>
          <w:tcPr>
            <w:tcW w:w="1700" w:type="dxa"/>
            <w:vAlign w:val="bottom"/>
            <w:tcBorders>
              <w:right w:val="single" w:sz="8" w:color="70AD47"/>
            </w:tcBorders>
          </w:tcPr>
          <w:p>
            <w:pPr>
              <w:spacing w:after="0"/>
              <w:rPr>
                <w:sz w:val="24"/>
                <w:szCs w:val="24"/>
                <w:color w:val="auto"/>
              </w:rPr>
            </w:pPr>
          </w:p>
        </w:tc>
        <w:tc>
          <w:tcPr>
            <w:tcW w:w="1680" w:type="dxa"/>
            <w:vAlign w:val="bottom"/>
            <w:tcBorders>
              <w:right w:val="single" w:sz="8" w:color="70AD47"/>
            </w:tcBorders>
          </w:tcPr>
          <w:p>
            <w:pPr>
              <w:spacing w:after="0"/>
              <w:rPr>
                <w:sz w:val="24"/>
                <w:szCs w:val="24"/>
                <w:color w:val="auto"/>
              </w:rPr>
            </w:pPr>
          </w:p>
        </w:tc>
        <w:tc>
          <w:tcPr>
            <w:tcW w:w="1700" w:type="dxa"/>
            <w:vAlign w:val="bottom"/>
            <w:tcBorders>
              <w:right w:val="single" w:sz="8" w:color="70AD47"/>
            </w:tcBorders>
          </w:tcPr>
          <w:p>
            <w:pPr>
              <w:spacing w:after="0"/>
              <w:rPr>
                <w:sz w:val="24"/>
                <w:szCs w:val="24"/>
                <w:color w:val="auto"/>
              </w:rPr>
            </w:pPr>
          </w:p>
        </w:tc>
        <w:tc>
          <w:tcPr>
            <w:tcW w:w="1660" w:type="dxa"/>
            <w:vAlign w:val="bottom"/>
          </w:tcPr>
          <w:p>
            <w:pPr>
              <w:spacing w:after="0"/>
              <w:rPr>
                <w:sz w:val="24"/>
                <w:szCs w:val="24"/>
                <w:color w:val="auto"/>
              </w:rPr>
            </w:pPr>
          </w:p>
        </w:tc>
      </w:tr>
      <w:tr>
        <w:trPr>
          <w:trHeight w:val="22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2019</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€311</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€423</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€370</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€370</w:t>
            </w:r>
          </w:p>
        </w:tc>
      </w:tr>
      <w:tr>
        <w:trPr>
          <w:trHeight w:val="19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2018</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€210</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€315</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€283</w:t>
            </w:r>
          </w:p>
        </w:tc>
        <w:tc>
          <w:tcPr>
            <w:tcW w:w="1660" w:type="dxa"/>
            <w:vAlign w:val="bottom"/>
          </w:tcPr>
          <w:p>
            <w:pPr>
              <w:jc w:val="right"/>
              <w:spacing w:after="0"/>
              <w:rPr>
                <w:sz w:val="20"/>
                <w:szCs w:val="20"/>
                <w:color w:val="auto"/>
              </w:rPr>
            </w:pPr>
            <w:r>
              <w:rPr>
                <w:rFonts w:ascii="Arial" w:cs="Arial" w:eastAsia="Arial" w:hAnsi="Arial"/>
                <w:sz w:val="13"/>
                <w:szCs w:val="13"/>
                <w:color w:val="auto"/>
              </w:rPr>
              <w:t>€175</w:t>
            </w:r>
          </w:p>
        </w:tc>
      </w:tr>
      <w:tr>
        <w:trPr>
          <w:trHeight w:val="23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 xml:space="preserve">Fringe Benefits </w:t>
            </w:r>
            <w:r>
              <w:rPr>
                <w:rFonts w:ascii="Arial" w:cs="Arial" w:eastAsia="Arial" w:hAnsi="Arial"/>
                <w:sz w:val="18"/>
                <w:szCs w:val="18"/>
                <w:b w:val="1"/>
                <w:bCs w:val="1"/>
                <w:color w:val="auto"/>
                <w:vertAlign w:val="superscript"/>
              </w:rPr>
              <w:t>(2)</w:t>
            </w:r>
          </w:p>
        </w:tc>
        <w:tc>
          <w:tcPr>
            <w:tcW w:w="1700" w:type="dxa"/>
            <w:vAlign w:val="bottom"/>
            <w:tcBorders>
              <w:right w:val="single" w:sz="8" w:color="70AD47"/>
            </w:tcBorders>
          </w:tcPr>
          <w:p>
            <w:pPr>
              <w:spacing w:after="0"/>
              <w:rPr>
                <w:sz w:val="19"/>
                <w:szCs w:val="19"/>
                <w:color w:val="auto"/>
              </w:rPr>
            </w:pPr>
          </w:p>
        </w:tc>
        <w:tc>
          <w:tcPr>
            <w:tcW w:w="1680" w:type="dxa"/>
            <w:vAlign w:val="bottom"/>
            <w:tcBorders>
              <w:right w:val="single" w:sz="8" w:color="70AD47"/>
            </w:tcBorders>
          </w:tcPr>
          <w:p>
            <w:pPr>
              <w:spacing w:after="0"/>
              <w:rPr>
                <w:sz w:val="19"/>
                <w:szCs w:val="19"/>
                <w:color w:val="auto"/>
              </w:rPr>
            </w:pPr>
          </w:p>
        </w:tc>
        <w:tc>
          <w:tcPr>
            <w:tcW w:w="1700" w:type="dxa"/>
            <w:vAlign w:val="bottom"/>
            <w:tcBorders>
              <w:right w:val="single" w:sz="8" w:color="70AD47"/>
            </w:tcBorders>
          </w:tcPr>
          <w:p>
            <w:pPr>
              <w:spacing w:after="0"/>
              <w:rPr>
                <w:sz w:val="19"/>
                <w:szCs w:val="19"/>
                <w:color w:val="auto"/>
              </w:rPr>
            </w:pPr>
          </w:p>
        </w:tc>
        <w:tc>
          <w:tcPr>
            <w:tcW w:w="1660" w:type="dxa"/>
            <w:vAlign w:val="bottom"/>
          </w:tcPr>
          <w:p>
            <w:pPr>
              <w:spacing w:after="0"/>
              <w:rPr>
                <w:sz w:val="19"/>
                <w:szCs w:val="19"/>
                <w:color w:val="auto"/>
              </w:rPr>
            </w:pPr>
          </w:p>
        </w:tc>
      </w:tr>
      <w:tr>
        <w:trPr>
          <w:trHeight w:val="21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2019</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12</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2018</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w:t>
            </w: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3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 xml:space="preserve">ESOP Plan Granted </w:t>
            </w:r>
            <w:r>
              <w:rPr>
                <w:rFonts w:ascii="Arial" w:cs="Arial" w:eastAsia="Arial" w:hAnsi="Arial"/>
                <w:sz w:val="18"/>
                <w:szCs w:val="18"/>
                <w:b w:val="1"/>
                <w:bCs w:val="1"/>
                <w:color w:val="auto"/>
                <w:vertAlign w:val="superscript"/>
              </w:rPr>
              <w:t>(3)</w:t>
            </w:r>
          </w:p>
        </w:tc>
        <w:tc>
          <w:tcPr>
            <w:tcW w:w="1700" w:type="dxa"/>
            <w:vAlign w:val="bottom"/>
            <w:tcBorders>
              <w:right w:val="single" w:sz="8" w:color="70AD47"/>
            </w:tcBorders>
          </w:tcPr>
          <w:p>
            <w:pPr>
              <w:spacing w:after="0"/>
              <w:rPr>
                <w:sz w:val="19"/>
                <w:szCs w:val="19"/>
                <w:color w:val="auto"/>
              </w:rPr>
            </w:pPr>
          </w:p>
        </w:tc>
        <w:tc>
          <w:tcPr>
            <w:tcW w:w="1680" w:type="dxa"/>
            <w:vAlign w:val="bottom"/>
            <w:tcBorders>
              <w:right w:val="single" w:sz="8" w:color="70AD47"/>
            </w:tcBorders>
          </w:tcPr>
          <w:p>
            <w:pPr>
              <w:spacing w:after="0"/>
              <w:rPr>
                <w:sz w:val="19"/>
                <w:szCs w:val="19"/>
                <w:color w:val="auto"/>
              </w:rPr>
            </w:pPr>
          </w:p>
        </w:tc>
        <w:tc>
          <w:tcPr>
            <w:tcW w:w="1700" w:type="dxa"/>
            <w:vAlign w:val="bottom"/>
            <w:tcBorders>
              <w:right w:val="single" w:sz="8" w:color="70AD47"/>
            </w:tcBorders>
          </w:tcPr>
          <w:p>
            <w:pPr>
              <w:spacing w:after="0"/>
              <w:rPr>
                <w:sz w:val="19"/>
                <w:szCs w:val="19"/>
                <w:color w:val="auto"/>
              </w:rPr>
            </w:pPr>
          </w:p>
        </w:tc>
        <w:tc>
          <w:tcPr>
            <w:tcW w:w="1660" w:type="dxa"/>
            <w:vAlign w:val="bottom"/>
          </w:tcPr>
          <w:p>
            <w:pPr>
              <w:spacing w:after="0"/>
              <w:rPr>
                <w:sz w:val="19"/>
                <w:szCs w:val="19"/>
                <w:color w:val="auto"/>
              </w:rPr>
            </w:pPr>
          </w:p>
        </w:tc>
      </w:tr>
      <w:tr>
        <w:trPr>
          <w:trHeight w:val="21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2019</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6,748</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1,180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1,180</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9,043</w:t>
            </w:r>
          </w:p>
        </w:tc>
      </w:tr>
      <w:tr>
        <w:trPr>
          <w:trHeight w:val="19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2018</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442</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147</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147</w:t>
            </w:r>
          </w:p>
        </w:tc>
        <w:tc>
          <w:tcPr>
            <w:tcW w:w="1660" w:type="dxa"/>
            <w:vAlign w:val="bottom"/>
          </w:tcPr>
          <w:p>
            <w:pPr>
              <w:jc w:val="right"/>
              <w:spacing w:after="0"/>
              <w:rPr>
                <w:sz w:val="20"/>
                <w:szCs w:val="20"/>
                <w:color w:val="auto"/>
              </w:rPr>
            </w:pPr>
            <w:r>
              <w:rPr>
                <w:rFonts w:ascii="Arial" w:cs="Arial" w:eastAsia="Arial" w:hAnsi="Arial"/>
                <w:sz w:val="13"/>
                <w:szCs w:val="13"/>
                <w:color w:val="auto"/>
              </w:rPr>
              <w:t>5,426</w:t>
            </w:r>
          </w:p>
        </w:tc>
      </w:tr>
      <w:tr>
        <w:trPr>
          <w:trHeight w:val="22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1700" w:type="dxa"/>
            <w:vAlign w:val="bottom"/>
            <w:tcBorders>
              <w:right w:val="single" w:sz="8" w:color="70AD47"/>
            </w:tcBorders>
          </w:tcPr>
          <w:p>
            <w:pPr>
              <w:spacing w:after="0"/>
              <w:rPr>
                <w:sz w:val="19"/>
                <w:szCs w:val="19"/>
                <w:color w:val="auto"/>
              </w:rPr>
            </w:pPr>
          </w:p>
        </w:tc>
        <w:tc>
          <w:tcPr>
            <w:tcW w:w="1680" w:type="dxa"/>
            <w:vAlign w:val="bottom"/>
            <w:tcBorders>
              <w:right w:val="single" w:sz="8" w:color="70AD47"/>
            </w:tcBorders>
          </w:tcPr>
          <w:p>
            <w:pPr>
              <w:spacing w:after="0"/>
              <w:rPr>
                <w:sz w:val="19"/>
                <w:szCs w:val="19"/>
                <w:color w:val="auto"/>
              </w:rPr>
            </w:pPr>
          </w:p>
        </w:tc>
        <w:tc>
          <w:tcPr>
            <w:tcW w:w="1700" w:type="dxa"/>
            <w:vAlign w:val="bottom"/>
            <w:tcBorders>
              <w:right w:val="single" w:sz="8" w:color="70AD47"/>
            </w:tcBorders>
          </w:tcPr>
          <w:p>
            <w:pPr>
              <w:spacing w:after="0"/>
              <w:rPr>
                <w:sz w:val="19"/>
                <w:szCs w:val="19"/>
                <w:color w:val="auto"/>
              </w:rPr>
            </w:pPr>
          </w:p>
        </w:tc>
        <w:tc>
          <w:tcPr>
            <w:tcW w:w="1660" w:type="dxa"/>
            <w:vAlign w:val="bottom"/>
          </w:tcPr>
          <w:p>
            <w:pPr>
              <w:spacing w:after="0"/>
              <w:rPr>
                <w:sz w:val="19"/>
                <w:szCs w:val="19"/>
                <w:color w:val="auto"/>
              </w:rPr>
            </w:pPr>
          </w:p>
        </w:tc>
      </w:tr>
      <w:tr>
        <w:trPr>
          <w:trHeight w:val="22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2019</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€7,064</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€1,615</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€1,561</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€9,413</w:t>
            </w:r>
          </w:p>
        </w:tc>
      </w:tr>
      <w:tr>
        <w:trPr>
          <w:trHeight w:val="21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2018</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€653</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€474</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€441</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€5,601</w:t>
            </w:r>
          </w:p>
        </w:tc>
      </w:tr>
    </w:tbl>
    <w:p>
      <w:pPr>
        <w:spacing w:after="0" w:line="81" w:lineRule="exact"/>
        <w:rPr>
          <w:sz w:val="20"/>
          <w:szCs w:val="20"/>
          <w:color w:val="auto"/>
        </w:rPr>
      </w:pPr>
    </w:p>
    <w:p>
      <w:pPr>
        <w:ind w:left="1000" w:hanging="440"/>
        <w:spacing w:after="0"/>
        <w:tabs>
          <w:tab w:leader="none" w:pos="1000" w:val="left"/>
        </w:tabs>
        <w:numPr>
          <w:ilvl w:val="0"/>
          <w:numId w:val="256"/>
        </w:numPr>
        <w:rPr>
          <w:rFonts w:ascii="Arial" w:cs="Arial" w:eastAsia="Arial" w:hAnsi="Arial"/>
          <w:sz w:val="11"/>
          <w:szCs w:val="11"/>
          <w:color w:val="auto"/>
        </w:rPr>
      </w:pPr>
      <w:r>
        <w:rPr>
          <w:rFonts w:ascii="Arial" w:cs="Arial" w:eastAsia="Arial" w:hAnsi="Arial"/>
          <w:sz w:val="13"/>
          <w:szCs w:val="13"/>
          <w:color w:val="auto"/>
        </w:rPr>
        <w:t>Dr. Özlem Türeci commenced employment with us on June 1, 2018</w:t>
      </w:r>
    </w:p>
    <w:p>
      <w:pPr>
        <w:spacing w:after="0" w:line="100" w:lineRule="exact"/>
        <w:rPr>
          <w:rFonts w:ascii="Arial" w:cs="Arial" w:eastAsia="Arial" w:hAnsi="Arial"/>
          <w:sz w:val="11"/>
          <w:szCs w:val="11"/>
          <w:color w:val="auto"/>
        </w:rPr>
      </w:pPr>
    </w:p>
    <w:p>
      <w:pPr>
        <w:ind w:left="1000" w:hanging="440"/>
        <w:spacing w:after="0"/>
        <w:tabs>
          <w:tab w:leader="none" w:pos="1000" w:val="left"/>
        </w:tabs>
        <w:numPr>
          <w:ilvl w:val="0"/>
          <w:numId w:val="256"/>
        </w:numPr>
        <w:rPr>
          <w:rFonts w:ascii="Arial" w:cs="Arial" w:eastAsia="Arial" w:hAnsi="Arial"/>
          <w:sz w:val="11"/>
          <w:szCs w:val="11"/>
          <w:color w:val="auto"/>
        </w:rPr>
      </w:pPr>
      <w:r>
        <w:rPr>
          <w:rFonts w:ascii="Arial" w:cs="Arial" w:eastAsia="Arial" w:hAnsi="Arial"/>
          <w:sz w:val="13"/>
          <w:szCs w:val="13"/>
          <w:color w:val="auto"/>
        </w:rPr>
        <w:t>Includes social security, health and additional insurance, company bike and travel expenses.</w:t>
      </w:r>
    </w:p>
    <w:p>
      <w:pPr>
        <w:spacing w:after="0" w:line="100" w:lineRule="exact"/>
        <w:rPr>
          <w:rFonts w:ascii="Arial" w:cs="Arial" w:eastAsia="Arial" w:hAnsi="Arial"/>
          <w:sz w:val="11"/>
          <w:szCs w:val="11"/>
          <w:color w:val="auto"/>
        </w:rPr>
      </w:pPr>
    </w:p>
    <w:p>
      <w:pPr>
        <w:ind w:left="1000" w:right="700" w:hanging="440"/>
        <w:spacing w:after="0" w:line="287" w:lineRule="auto"/>
        <w:tabs>
          <w:tab w:leader="none" w:pos="1000" w:val="left"/>
        </w:tabs>
        <w:numPr>
          <w:ilvl w:val="0"/>
          <w:numId w:val="256"/>
        </w:numPr>
        <w:rPr>
          <w:rFonts w:ascii="Arial" w:cs="Arial" w:eastAsia="Arial" w:hAnsi="Arial"/>
          <w:sz w:val="11"/>
          <w:szCs w:val="11"/>
          <w:color w:val="auto"/>
        </w:rPr>
      </w:pPr>
      <w:r>
        <w:rPr>
          <w:rFonts w:ascii="Arial" w:cs="Arial" w:eastAsia="Arial" w:hAnsi="Arial"/>
          <w:sz w:val="13"/>
          <w:szCs w:val="13"/>
          <w:color w:val="auto"/>
        </w:rPr>
        <w:t>The fair value was determined pursuant to the regulations of IFRS 2 “Share-based Payments.” This table shows the pro-rata share of personnel expenses resulting from stock-based compensation for the respective financial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17" w:name="page218"/>
    <w:bookmarkEnd w:id="217"/>
    <w:p>
      <w:pPr>
        <w:ind w:left="560"/>
        <w:spacing w:after="0"/>
        <w:rPr>
          <w:sz w:val="20"/>
          <w:szCs w:val="20"/>
          <w:color w:val="auto"/>
        </w:rPr>
      </w:pPr>
      <w:r>
        <w:rPr>
          <w:rFonts w:ascii="Arial" w:cs="Arial" w:eastAsia="Arial" w:hAnsi="Arial"/>
          <w:sz w:val="13"/>
          <w:szCs w:val="13"/>
          <w:color w:val="231F20"/>
        </w:rPr>
        <w:t>The table below provides an overview of the share options granted to our Management Board in the years ended December 31, 2019 and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40" w:type="dxa"/>
            <w:vAlign w:val="bottom"/>
            <w:tcBorders>
              <w:right w:val="single" w:sz="8" w:color="70AD47"/>
            </w:tcBorders>
          </w:tcPr>
          <w:p>
            <w:pPr>
              <w:spacing w:after="0"/>
              <w:rPr>
                <w:sz w:val="13"/>
                <w:szCs w:val="13"/>
                <w:color w:val="auto"/>
              </w:rPr>
            </w:pPr>
          </w:p>
        </w:tc>
        <w:tc>
          <w:tcPr>
            <w:tcW w:w="1700" w:type="dxa"/>
            <w:vAlign w:val="bottom"/>
            <w:tcBorders>
              <w:right w:val="single" w:sz="8" w:color="70AD47"/>
            </w:tcBorders>
            <w:vMerge w:val="restart"/>
          </w:tcPr>
          <w:p>
            <w:pPr>
              <w:jc w:val="right"/>
              <w:ind w:right="413"/>
              <w:spacing w:after="0"/>
              <w:rPr>
                <w:sz w:val="20"/>
                <w:szCs w:val="20"/>
                <w:color w:val="auto"/>
              </w:rPr>
            </w:pPr>
            <w:r>
              <w:rPr>
                <w:rFonts w:ascii="Arial" w:cs="Arial" w:eastAsia="Arial" w:hAnsi="Arial"/>
                <w:sz w:val="13"/>
                <w:szCs w:val="13"/>
                <w:b w:val="1"/>
                <w:bCs w:val="1"/>
                <w:color w:val="auto"/>
              </w:rPr>
              <w:t xml:space="preserve">Grant Date </w:t>
            </w:r>
            <w:r>
              <w:rPr>
                <w:rFonts w:ascii="Arial" w:cs="Arial" w:eastAsia="Arial" w:hAnsi="Arial"/>
                <w:sz w:val="18"/>
                <w:szCs w:val="18"/>
                <w:b w:val="1"/>
                <w:bCs w:val="1"/>
                <w:color w:val="auto"/>
                <w:vertAlign w:val="superscript"/>
              </w:rPr>
              <w:t>(1)</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w w:val="94"/>
              </w:rPr>
              <w:t>Number of Ordinary Shares</w:t>
            </w:r>
          </w:p>
        </w:tc>
        <w:tc>
          <w:tcPr>
            <w:tcW w:w="1700" w:type="dxa"/>
            <w:vAlign w:val="bottom"/>
            <w:tcBorders>
              <w:right w:val="single" w:sz="8" w:color="70AD47"/>
            </w:tcBorders>
            <w:vMerge w:val="restart"/>
          </w:tcPr>
          <w:p>
            <w:pPr>
              <w:jc w:val="right"/>
              <w:ind w:right="93"/>
              <w:spacing w:after="0"/>
              <w:rPr>
                <w:sz w:val="20"/>
                <w:szCs w:val="20"/>
                <w:color w:val="auto"/>
              </w:rPr>
            </w:pPr>
            <w:r>
              <w:rPr>
                <w:rFonts w:ascii="Arial" w:cs="Arial" w:eastAsia="Arial" w:hAnsi="Arial"/>
                <w:sz w:val="13"/>
                <w:szCs w:val="13"/>
                <w:b w:val="1"/>
                <w:bCs w:val="1"/>
                <w:color w:val="auto"/>
                <w:w w:val="98"/>
              </w:rPr>
              <w:t>Option Exercise Price (€)</w:t>
            </w:r>
          </w:p>
        </w:tc>
        <w:tc>
          <w:tcPr>
            <w:tcW w:w="16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Option Expiration Date</w:t>
            </w:r>
          </w:p>
        </w:tc>
        <w:tc>
          <w:tcPr>
            <w:tcW w:w="0" w:type="dxa"/>
            <w:vAlign w:val="bottom"/>
          </w:tcPr>
          <w:p>
            <w:pPr>
              <w:spacing w:after="0"/>
              <w:rPr>
                <w:sz w:val="1"/>
                <w:szCs w:val="1"/>
                <w:color w:val="auto"/>
              </w:rPr>
            </w:pPr>
          </w:p>
        </w:tc>
      </w:tr>
      <w:tr>
        <w:trPr>
          <w:trHeight w:val="133"/>
        </w:trPr>
        <w:tc>
          <w:tcPr>
            <w:tcW w:w="4540" w:type="dxa"/>
            <w:vAlign w:val="bottom"/>
            <w:tcBorders>
              <w:right w:val="single" w:sz="8" w:color="70AD47"/>
            </w:tcBorders>
          </w:tcPr>
          <w:p>
            <w:pPr>
              <w:spacing w:after="0"/>
              <w:rPr>
                <w:sz w:val="11"/>
                <w:szCs w:val="11"/>
                <w:color w:val="auto"/>
              </w:rPr>
            </w:pPr>
          </w:p>
        </w:tc>
        <w:tc>
          <w:tcPr>
            <w:tcW w:w="1700" w:type="dxa"/>
            <w:vAlign w:val="bottom"/>
            <w:tcBorders>
              <w:right w:val="single" w:sz="8" w:color="70AD47"/>
            </w:tcBorders>
            <w:vMerge w:val="continue"/>
          </w:tcPr>
          <w:p>
            <w:pPr>
              <w:spacing w:after="0"/>
              <w:rPr>
                <w:sz w:val="11"/>
                <w:szCs w:val="11"/>
                <w:color w:val="auto"/>
              </w:rPr>
            </w:pPr>
          </w:p>
        </w:tc>
        <w:tc>
          <w:tcPr>
            <w:tcW w:w="1680" w:type="dxa"/>
            <w:vAlign w:val="bottom"/>
            <w:tcBorders>
              <w:right w:val="single" w:sz="8" w:color="70AD47"/>
            </w:tcBorders>
            <w:vMerge w:val="restart"/>
          </w:tcPr>
          <w:p>
            <w:pPr>
              <w:jc w:val="right"/>
              <w:spacing w:after="0" w:line="173" w:lineRule="exact"/>
              <w:rPr>
                <w:sz w:val="20"/>
                <w:szCs w:val="20"/>
                <w:color w:val="auto"/>
              </w:rPr>
            </w:pPr>
            <w:r>
              <w:rPr>
                <w:rFonts w:ascii="Arial" w:cs="Arial" w:eastAsia="Arial" w:hAnsi="Arial"/>
                <w:sz w:val="13"/>
                <w:szCs w:val="13"/>
                <w:b w:val="1"/>
                <w:bCs w:val="1"/>
                <w:color w:val="auto"/>
                <w:w w:val="90"/>
              </w:rPr>
              <w:t xml:space="preserve">Underlying Share Options </w:t>
            </w:r>
            <w:r>
              <w:rPr>
                <w:rFonts w:ascii="Arial" w:cs="Arial" w:eastAsia="Arial" w:hAnsi="Arial"/>
                <w:sz w:val="18"/>
                <w:szCs w:val="18"/>
                <w:b w:val="1"/>
                <w:bCs w:val="1"/>
                <w:color w:val="auto"/>
                <w:w w:val="90"/>
                <w:vertAlign w:val="superscript"/>
              </w:rPr>
              <w:t>(4)</w:t>
            </w:r>
          </w:p>
        </w:tc>
        <w:tc>
          <w:tcPr>
            <w:tcW w:w="1700" w:type="dxa"/>
            <w:vAlign w:val="bottom"/>
            <w:tcBorders>
              <w:right w:val="single" w:sz="8" w:color="70AD47"/>
            </w:tcBorders>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540" w:type="dxa"/>
            <w:vAlign w:val="bottom"/>
            <w:tcBorders>
              <w:bottom w:val="single" w:sz="8" w:color="70AD47"/>
              <w:right w:val="single" w:sz="8" w:color="70AD47"/>
            </w:tcBorders>
          </w:tcPr>
          <w:p>
            <w:pPr>
              <w:spacing w:after="0"/>
              <w:rPr>
                <w:sz w:val="3"/>
                <w:szCs w:val="3"/>
                <w:color w:val="auto"/>
              </w:rPr>
            </w:pPr>
          </w:p>
        </w:tc>
        <w:tc>
          <w:tcPr>
            <w:tcW w:w="1700" w:type="dxa"/>
            <w:vAlign w:val="bottom"/>
            <w:tcBorders>
              <w:bottom w:val="single" w:sz="8" w:color="70AD47"/>
              <w:right w:val="single" w:sz="8" w:color="70AD47"/>
            </w:tcBorders>
          </w:tcPr>
          <w:p>
            <w:pPr>
              <w:spacing w:after="0"/>
              <w:rPr>
                <w:sz w:val="3"/>
                <w:szCs w:val="3"/>
                <w:color w:val="auto"/>
              </w:rPr>
            </w:pPr>
          </w:p>
        </w:tc>
        <w:tc>
          <w:tcPr>
            <w:tcW w:w="1680" w:type="dxa"/>
            <w:vAlign w:val="bottom"/>
            <w:tcBorders>
              <w:bottom w:val="single" w:sz="8" w:color="70AD47"/>
              <w:right w:val="single" w:sz="8" w:color="70AD47"/>
            </w:tcBorders>
            <w:vMerge w:val="continue"/>
          </w:tcPr>
          <w:p>
            <w:pPr>
              <w:spacing w:after="0"/>
              <w:rPr>
                <w:sz w:val="3"/>
                <w:szCs w:val="3"/>
                <w:color w:val="auto"/>
              </w:rPr>
            </w:pPr>
          </w:p>
        </w:tc>
        <w:tc>
          <w:tcPr>
            <w:tcW w:w="1700" w:type="dxa"/>
            <w:vAlign w:val="bottom"/>
            <w:tcBorders>
              <w:bottom w:val="single" w:sz="8" w:color="70AD47"/>
              <w:right w:val="single" w:sz="8" w:color="70AD47"/>
            </w:tcBorders>
          </w:tcPr>
          <w:p>
            <w:pPr>
              <w:spacing w:after="0"/>
              <w:rPr>
                <w:sz w:val="3"/>
                <w:szCs w:val="3"/>
                <w:color w:val="auto"/>
              </w:rPr>
            </w:pPr>
          </w:p>
        </w:tc>
        <w:tc>
          <w:tcPr>
            <w:tcW w:w="1660" w:type="dxa"/>
            <w:vAlign w:val="bottom"/>
            <w:tcBorders>
              <w:bottom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39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Prof. Ugur Sahin, M.D.</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11/15/2018</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1,830,348</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10.14</w:t>
            </w:r>
          </w:p>
        </w:tc>
        <w:tc>
          <w:tcPr>
            <w:tcW w:w="1660" w:type="dxa"/>
            <w:vAlign w:val="bottom"/>
          </w:tcPr>
          <w:p>
            <w:pPr>
              <w:jc w:val="right"/>
              <w:spacing w:after="0"/>
              <w:rPr>
                <w:sz w:val="20"/>
                <w:szCs w:val="20"/>
                <w:color w:val="auto"/>
              </w:rPr>
            </w:pPr>
            <w:r>
              <w:rPr>
                <w:rFonts w:ascii="Arial" w:cs="Arial" w:eastAsia="Arial" w:hAnsi="Arial"/>
                <w:sz w:val="13"/>
                <w:szCs w:val="13"/>
                <w:color w:val="auto"/>
              </w:rPr>
              <w:t>09/17/2026</w:t>
            </w:r>
          </w:p>
        </w:tc>
        <w:tc>
          <w:tcPr>
            <w:tcW w:w="0" w:type="dxa"/>
            <w:vAlign w:val="bottom"/>
          </w:tcPr>
          <w:p>
            <w:pPr>
              <w:spacing w:after="0"/>
              <w:rPr>
                <w:sz w:val="1"/>
                <w:szCs w:val="1"/>
                <w:color w:val="auto"/>
              </w:rPr>
            </w:pPr>
          </w:p>
        </w:tc>
      </w:tr>
      <w:tr>
        <w:trPr>
          <w:trHeight w:val="251"/>
        </w:trPr>
        <w:tc>
          <w:tcPr>
            <w:tcW w:w="4540" w:type="dxa"/>
            <w:vAlign w:val="bottom"/>
            <w:tcBorders>
              <w:right w:val="single" w:sz="8" w:color="70AD47"/>
            </w:tcBorders>
          </w:tcPr>
          <w:p>
            <w:pPr>
              <w:spacing w:after="0"/>
              <w:rPr>
                <w:sz w:val="21"/>
                <w:szCs w:val="21"/>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 xml:space="preserve">10/10/2019 </w:t>
            </w:r>
            <w:r>
              <w:rPr>
                <w:rFonts w:ascii="Arial" w:cs="Arial" w:eastAsia="Arial" w:hAnsi="Arial"/>
                <w:sz w:val="18"/>
                <w:szCs w:val="18"/>
                <w:color w:val="auto"/>
                <w:vertAlign w:val="superscript"/>
              </w:rPr>
              <w:t>(2)</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4,374,963</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13.60</w:t>
            </w:r>
          </w:p>
        </w:tc>
        <w:tc>
          <w:tcPr>
            <w:tcW w:w="1660" w:type="dxa"/>
            <w:vAlign w:val="bottom"/>
          </w:tcPr>
          <w:p>
            <w:pPr>
              <w:jc w:val="right"/>
              <w:spacing w:after="0"/>
              <w:rPr>
                <w:sz w:val="20"/>
                <w:szCs w:val="20"/>
                <w:color w:val="auto"/>
              </w:rPr>
            </w:pPr>
            <w:r>
              <w:rPr>
                <w:rFonts w:ascii="Arial" w:cs="Arial" w:eastAsia="Arial" w:hAnsi="Arial"/>
                <w:sz w:val="13"/>
                <w:szCs w:val="13"/>
                <w:color w:val="auto"/>
              </w:rPr>
              <w:t>10/11/2029</w:t>
            </w:r>
          </w:p>
        </w:tc>
        <w:tc>
          <w:tcPr>
            <w:tcW w:w="0" w:type="dxa"/>
            <w:vAlign w:val="bottom"/>
          </w:tcPr>
          <w:p>
            <w:pPr>
              <w:spacing w:after="0"/>
              <w:rPr>
                <w:sz w:val="1"/>
                <w:szCs w:val="1"/>
                <w:color w:val="auto"/>
              </w:rPr>
            </w:pPr>
          </w:p>
        </w:tc>
      </w:tr>
      <w:tr>
        <w:trPr>
          <w:trHeight w:val="169"/>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Sean Marett</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11/15/2018</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610,110</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10.14</w:t>
            </w:r>
          </w:p>
        </w:tc>
        <w:tc>
          <w:tcPr>
            <w:tcW w:w="1660" w:type="dxa"/>
            <w:vAlign w:val="bottom"/>
          </w:tcPr>
          <w:p>
            <w:pPr>
              <w:jc w:val="right"/>
              <w:spacing w:after="0"/>
              <w:rPr>
                <w:sz w:val="20"/>
                <w:szCs w:val="20"/>
                <w:color w:val="auto"/>
              </w:rPr>
            </w:pPr>
            <w:r>
              <w:rPr>
                <w:rFonts w:ascii="Arial" w:cs="Arial" w:eastAsia="Arial" w:hAnsi="Arial"/>
                <w:sz w:val="13"/>
                <w:szCs w:val="13"/>
                <w:color w:val="auto"/>
              </w:rPr>
              <w:t>09/17/2026</w:t>
            </w:r>
          </w:p>
        </w:tc>
        <w:tc>
          <w:tcPr>
            <w:tcW w:w="0" w:type="dxa"/>
            <w:vAlign w:val="bottom"/>
          </w:tcPr>
          <w:p>
            <w:pPr>
              <w:spacing w:after="0"/>
              <w:rPr>
                <w:sz w:val="1"/>
                <w:szCs w:val="1"/>
                <w:color w:val="auto"/>
              </w:rPr>
            </w:pPr>
          </w:p>
        </w:tc>
      </w:tr>
      <w:tr>
        <w:trPr>
          <w:trHeight w:val="21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Dr. Sierk Poetting</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11/15/2018</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610,110</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10.14</w:t>
            </w:r>
          </w:p>
        </w:tc>
        <w:tc>
          <w:tcPr>
            <w:tcW w:w="1660" w:type="dxa"/>
            <w:vAlign w:val="bottom"/>
          </w:tcPr>
          <w:p>
            <w:pPr>
              <w:jc w:val="right"/>
              <w:spacing w:after="0"/>
              <w:rPr>
                <w:sz w:val="20"/>
                <w:szCs w:val="20"/>
                <w:color w:val="auto"/>
              </w:rPr>
            </w:pPr>
            <w:r>
              <w:rPr>
                <w:rFonts w:ascii="Arial" w:cs="Arial" w:eastAsia="Arial" w:hAnsi="Arial"/>
                <w:sz w:val="13"/>
                <w:szCs w:val="13"/>
                <w:color w:val="auto"/>
              </w:rPr>
              <w:t>09/17/2026</w:t>
            </w:r>
          </w:p>
        </w:tc>
        <w:tc>
          <w:tcPr>
            <w:tcW w:w="0" w:type="dxa"/>
            <w:vAlign w:val="bottom"/>
          </w:tcPr>
          <w:p>
            <w:pPr>
              <w:spacing w:after="0"/>
              <w:rPr>
                <w:sz w:val="1"/>
                <w:szCs w:val="1"/>
                <w:color w:val="auto"/>
              </w:rPr>
            </w:pPr>
          </w:p>
        </w:tc>
      </w:tr>
      <w:tr>
        <w:trPr>
          <w:trHeight w:val="230"/>
        </w:trPr>
        <w:tc>
          <w:tcPr>
            <w:tcW w:w="45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Dr. Özlem Türeci</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 xml:space="preserve">11/15/2018 </w:t>
            </w:r>
            <w:r>
              <w:rPr>
                <w:rFonts w:ascii="Arial" w:cs="Arial" w:eastAsia="Arial" w:hAnsi="Arial"/>
                <w:sz w:val="18"/>
                <w:szCs w:val="18"/>
                <w:color w:val="auto"/>
                <w:vertAlign w:val="superscript"/>
              </w:rPr>
              <w:t>(3)</w:t>
            </w:r>
          </w:p>
        </w:tc>
        <w:tc>
          <w:tcPr>
            <w:tcW w:w="168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1,952,334</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10.14</w:t>
            </w:r>
          </w:p>
        </w:tc>
        <w:tc>
          <w:tcPr>
            <w:tcW w:w="1660" w:type="dxa"/>
            <w:vAlign w:val="bottom"/>
          </w:tcPr>
          <w:p>
            <w:pPr>
              <w:jc w:val="right"/>
              <w:spacing w:after="0"/>
              <w:rPr>
                <w:sz w:val="20"/>
                <w:szCs w:val="20"/>
                <w:color w:val="auto"/>
              </w:rPr>
            </w:pPr>
            <w:r>
              <w:rPr>
                <w:rFonts w:ascii="Arial" w:cs="Arial" w:eastAsia="Arial" w:hAnsi="Arial"/>
                <w:sz w:val="13"/>
                <w:szCs w:val="13"/>
                <w:color w:val="auto"/>
              </w:rPr>
              <w:t>09/17/2026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00" w:hanging="440"/>
        <w:spacing w:after="0"/>
        <w:tabs>
          <w:tab w:leader="none" w:pos="1000" w:val="left"/>
        </w:tabs>
        <w:numPr>
          <w:ilvl w:val="0"/>
          <w:numId w:val="257"/>
        </w:numPr>
        <w:rPr>
          <w:rFonts w:ascii="Arial" w:cs="Arial" w:eastAsia="Arial" w:hAnsi="Arial"/>
          <w:sz w:val="11"/>
          <w:szCs w:val="11"/>
          <w:color w:val="auto"/>
        </w:rPr>
      </w:pPr>
      <w:r>
        <w:rPr>
          <w:rFonts w:ascii="Arial" w:cs="Arial" w:eastAsia="Arial" w:hAnsi="Arial"/>
          <w:sz w:val="13"/>
          <w:szCs w:val="13"/>
          <w:color w:val="auto"/>
        </w:rPr>
        <w:t>Except as otherwise indicated, all options fully vest on September 16, 2022.</w:t>
      </w:r>
    </w:p>
    <w:p>
      <w:pPr>
        <w:spacing w:after="0" w:line="100" w:lineRule="exact"/>
        <w:rPr>
          <w:rFonts w:ascii="Arial" w:cs="Arial" w:eastAsia="Arial" w:hAnsi="Arial"/>
          <w:sz w:val="11"/>
          <w:szCs w:val="11"/>
          <w:color w:val="auto"/>
        </w:rPr>
      </w:pPr>
    </w:p>
    <w:p>
      <w:pPr>
        <w:ind w:left="1000" w:hanging="440"/>
        <w:spacing w:after="0"/>
        <w:tabs>
          <w:tab w:leader="none" w:pos="1000" w:val="left"/>
        </w:tabs>
        <w:numPr>
          <w:ilvl w:val="0"/>
          <w:numId w:val="257"/>
        </w:numPr>
        <w:rPr>
          <w:rFonts w:ascii="Arial" w:cs="Arial" w:eastAsia="Arial" w:hAnsi="Arial"/>
          <w:sz w:val="11"/>
          <w:szCs w:val="11"/>
          <w:color w:val="auto"/>
        </w:rPr>
      </w:pPr>
      <w:r>
        <w:rPr>
          <w:rFonts w:ascii="Arial" w:cs="Arial" w:eastAsia="Arial" w:hAnsi="Arial"/>
          <w:sz w:val="13"/>
          <w:szCs w:val="13"/>
          <w:color w:val="auto"/>
        </w:rPr>
        <w:t>Options vest in four equal installments on October 10 of 2020, 2021, 2022 and 2023.</w:t>
      </w:r>
    </w:p>
    <w:p>
      <w:pPr>
        <w:spacing w:after="0" w:line="100" w:lineRule="exact"/>
        <w:rPr>
          <w:rFonts w:ascii="Arial" w:cs="Arial" w:eastAsia="Arial" w:hAnsi="Arial"/>
          <w:sz w:val="11"/>
          <w:szCs w:val="11"/>
          <w:color w:val="auto"/>
        </w:rPr>
      </w:pPr>
    </w:p>
    <w:p>
      <w:pPr>
        <w:ind w:left="1000" w:right="5100" w:hanging="440"/>
        <w:spacing w:after="0" w:line="287" w:lineRule="auto"/>
        <w:tabs>
          <w:tab w:leader="none" w:pos="1000" w:val="left"/>
        </w:tabs>
        <w:numPr>
          <w:ilvl w:val="0"/>
          <w:numId w:val="257"/>
        </w:numPr>
        <w:rPr>
          <w:rFonts w:ascii="Arial" w:cs="Arial" w:eastAsia="Arial" w:hAnsi="Arial"/>
          <w:sz w:val="11"/>
          <w:szCs w:val="11"/>
          <w:color w:val="auto"/>
        </w:rPr>
      </w:pPr>
      <w:r>
        <w:rPr>
          <w:rFonts w:ascii="Arial" w:cs="Arial" w:eastAsia="Arial" w:hAnsi="Arial"/>
          <w:sz w:val="13"/>
          <w:szCs w:val="13"/>
          <w:color w:val="auto"/>
        </w:rPr>
        <w:t>Options fully vested on March 16, 2019, however these options will not become exercisable until September 16, 2022.</w:t>
      </w:r>
    </w:p>
    <w:p>
      <w:pPr>
        <w:spacing w:after="0" w:line="52" w:lineRule="exact"/>
        <w:rPr>
          <w:rFonts w:ascii="Arial" w:cs="Arial" w:eastAsia="Arial" w:hAnsi="Arial"/>
          <w:sz w:val="11"/>
          <w:szCs w:val="11"/>
          <w:color w:val="auto"/>
        </w:rPr>
      </w:pPr>
    </w:p>
    <w:p>
      <w:pPr>
        <w:ind w:left="1000" w:right="5240" w:hanging="440"/>
        <w:spacing w:after="0" w:line="331" w:lineRule="auto"/>
        <w:tabs>
          <w:tab w:leader="none" w:pos="1000" w:val="left"/>
        </w:tabs>
        <w:numPr>
          <w:ilvl w:val="0"/>
          <w:numId w:val="257"/>
        </w:numPr>
        <w:rPr>
          <w:rFonts w:ascii="Arial" w:cs="Arial" w:eastAsia="Arial" w:hAnsi="Arial"/>
          <w:sz w:val="10"/>
          <w:szCs w:val="10"/>
          <w:color w:val="auto"/>
        </w:rPr>
      </w:pPr>
      <w:r>
        <w:rPr>
          <w:rFonts w:ascii="Arial" w:cs="Arial" w:eastAsia="Arial" w:hAnsi="Arial"/>
          <w:sz w:val="12"/>
          <w:szCs w:val="12"/>
          <w:color w:val="auto"/>
        </w:rPr>
        <w:t>Share amounts reflect an 18-for-1 stock split of our ordinary shares which became effective on September 18, 2019, upon registration with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Employee Stock Ownership Plan</w:t>
      </w:r>
    </w:p>
    <w:p>
      <w:pPr>
        <w:spacing w:after="0" w:line="94" w:lineRule="exact"/>
        <w:rPr>
          <w:sz w:val="20"/>
          <w:szCs w:val="20"/>
          <w:color w:val="auto"/>
        </w:rPr>
      </w:pPr>
    </w:p>
    <w:p>
      <w:pPr>
        <w:ind w:right="80" w:firstLine="556"/>
        <w:spacing w:after="0" w:line="287" w:lineRule="auto"/>
        <w:rPr>
          <w:sz w:val="20"/>
          <w:szCs w:val="20"/>
          <w:color w:val="auto"/>
        </w:rPr>
      </w:pPr>
      <w:r>
        <w:rPr>
          <w:rFonts w:ascii="Arial" w:cs="Arial" w:eastAsia="Arial" w:hAnsi="Arial"/>
          <w:sz w:val="12"/>
          <w:szCs w:val="12"/>
          <w:color w:val="231F20"/>
        </w:rPr>
        <w:t>Based on a pertinent authorization of the general meeting on August 18, 2017, we have established a share option program under which we grant selected employees options to receive our shares. The program is designed as an Employee Stock Ownership Plan, or ESOP. We have offered the participants a certain number of rights by explicit acceptance of the participants. The exercise of the option rights in accordance with the agreement gives the participants the right to obtain shares against payment of the exercise price. The option rights (other than Dr. Türeci’s options referred to above and one other senior employee’s options) generally fully vest after four years and can only be exercised if: (i) the waiting period of four years has elapsed; and (ii) at the time of exercise, the average closing price of the shares of the Company or the average closing price of the right or certificate to be converted into an amount per share on the previous ten trading days preceding the exercise of the option right exceeds the strike price by a minimum of 32%, with this percentage increasing by eight percentage points as of the fifth anniversary of the respective issue date and as of each subsequent anniversary date. The option rights can be exercised at the latest eight years after the allocation date. If they have not been exercised by that date, they will forfeit without compensation.</w:t>
      </w:r>
    </w:p>
    <w:p>
      <w:pPr>
        <w:spacing w:after="0" w:line="125" w:lineRule="exact"/>
        <w:rPr>
          <w:sz w:val="20"/>
          <w:szCs w:val="20"/>
          <w:color w:val="auto"/>
        </w:rPr>
      </w:pPr>
    </w:p>
    <w:p>
      <w:pPr>
        <w:ind w:right="60" w:firstLine="556"/>
        <w:spacing w:after="0" w:line="264" w:lineRule="auto"/>
        <w:rPr>
          <w:sz w:val="20"/>
          <w:szCs w:val="20"/>
          <w:color w:val="auto"/>
        </w:rPr>
      </w:pPr>
      <w:r>
        <w:rPr>
          <w:rFonts w:ascii="Arial" w:cs="Arial" w:eastAsia="Arial" w:hAnsi="Arial"/>
          <w:sz w:val="13"/>
          <w:szCs w:val="13"/>
          <w:color w:val="231F20"/>
        </w:rPr>
        <w:t>By way of shareholders’ resolution of the general meeting on August 19, 2019, the authorization to issue such option rights was amended such, that, in order for the options to be exercisable, the average closing price of the Company’s shares or the average closing price of the right or certificate to be converted into an amount per share on the ten trading days immediately preceding the exercise must exceed the strike price by a minimum of 28%, with this percentage increasing by seven percentage points as of the fifth anniversary of the issue date and as of each subsequent anniversary date. Also, in addition to the aforementioned requirements, the exercise is only possible if the share price (calculated by reference to the price of the ordinary share underlying the ADS) has performed similar to or better than the Nasdaq Biotechnology Index. The changes made do not affect option rights already issued.</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Chief Executive Officer Grant</w:t>
      </w:r>
    </w:p>
    <w:p>
      <w:pPr>
        <w:spacing w:after="0" w:line="94" w:lineRule="exact"/>
        <w:rPr>
          <w:sz w:val="20"/>
          <w:szCs w:val="20"/>
          <w:color w:val="auto"/>
        </w:rPr>
      </w:pPr>
    </w:p>
    <w:p>
      <w:pPr>
        <w:jc w:val="both"/>
        <w:ind w:right="60" w:firstLine="556"/>
        <w:spacing w:after="0" w:line="267" w:lineRule="auto"/>
        <w:rPr>
          <w:sz w:val="20"/>
          <w:szCs w:val="20"/>
          <w:color w:val="auto"/>
        </w:rPr>
      </w:pPr>
      <w:r>
        <w:rPr>
          <w:rFonts w:ascii="Arial" w:cs="Arial" w:eastAsia="Arial" w:hAnsi="Arial"/>
          <w:sz w:val="13"/>
          <w:szCs w:val="13"/>
          <w:color w:val="231F20"/>
        </w:rPr>
        <w:t>In September 2019, we agreed to grant Prof. Ugur Sahin, M.D., our co-founder and Chief Executive Officer, an option to purchase 4,374,963 of our ordinary shares, subject to Prof. Sahin’s continuous employment with us. The options’ per share exercise price is the Euro translation of the public offering price from our initial public offering, €13.60 ($15.00). The option will vest annually in equal installments after four years commencing on the first anniversary of our initial public offering and will be exercisable four years after our initial public offering. The option will be subject to the terms, conditions, definitions and provisions of our ESOP and the applicable option agreement thereunder.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18" w:name="page219"/>
    <w:bookmarkEnd w:id="218"/>
    <w:p>
      <w:pPr>
        <w:ind w:left="560" w:right="9100" w:hanging="10"/>
        <w:spacing w:after="0" w:line="420" w:lineRule="auto"/>
        <w:tabs>
          <w:tab w:leader="none" w:pos="1096" w:val="left"/>
        </w:tabs>
        <w:numPr>
          <w:ilvl w:val="0"/>
          <w:numId w:val="258"/>
        </w:numPr>
        <w:rPr>
          <w:rFonts w:ascii="Arial" w:cs="Arial" w:eastAsia="Arial" w:hAnsi="Arial"/>
          <w:sz w:val="12"/>
          <w:szCs w:val="12"/>
          <w:b w:val="1"/>
          <w:bCs w:val="1"/>
          <w:color w:val="auto"/>
        </w:rPr>
      </w:pPr>
      <w:r>
        <w:rPr>
          <w:rFonts w:ascii="Arial" w:cs="Arial" w:eastAsia="Arial" w:hAnsi="Arial"/>
          <w:sz w:val="12"/>
          <w:szCs w:val="12"/>
          <w:b w:val="1"/>
          <w:bCs w:val="1"/>
          <w:color w:val="auto"/>
        </w:rPr>
        <w:t>Board Practices Two</w:t>
      </w:r>
      <w:r>
        <w:rPr>
          <w:rFonts w:ascii="Arial" w:cs="Arial" w:eastAsia="Arial" w:hAnsi="Arial"/>
          <w:sz w:val="12"/>
          <w:szCs w:val="12"/>
          <w:b w:val="1"/>
          <w:bCs w:val="1"/>
          <w:color w:val="231F20"/>
        </w:rPr>
        <w:t>-</w:t>
      </w:r>
      <w:r>
        <w:rPr>
          <w:rFonts w:ascii="Arial" w:cs="Arial" w:eastAsia="Arial" w:hAnsi="Arial"/>
          <w:sz w:val="12"/>
          <w:szCs w:val="12"/>
          <w:b w:val="1"/>
          <w:bCs w:val="1"/>
          <w:color w:val="auto"/>
        </w:rPr>
        <w:t xml:space="preserve">Tiered </w:t>
      </w:r>
      <w:r>
        <w:rPr>
          <w:rFonts w:ascii="Arial" w:cs="Arial" w:eastAsia="Arial" w:hAnsi="Arial"/>
          <w:sz w:val="12"/>
          <w:szCs w:val="12"/>
          <w:b w:val="1"/>
          <w:bCs w:val="1"/>
          <w:color w:val="231F20"/>
        </w:rPr>
        <w:t>Board Structure</w:t>
      </w:r>
    </w:p>
    <w:p>
      <w:pPr>
        <w:spacing w:after="0" w:line="1" w:lineRule="exact"/>
        <w:rPr>
          <w:sz w:val="20"/>
          <w:szCs w:val="20"/>
          <w:color w:val="auto"/>
        </w:rPr>
      </w:pPr>
    </w:p>
    <w:p>
      <w:pPr>
        <w:ind w:right="80" w:firstLine="556"/>
        <w:spacing w:after="0" w:line="267" w:lineRule="auto"/>
        <w:rPr>
          <w:sz w:val="20"/>
          <w:szCs w:val="20"/>
          <w:color w:val="auto"/>
        </w:rPr>
      </w:pPr>
      <w:r>
        <w:rPr>
          <w:rFonts w:ascii="Arial" w:cs="Arial" w:eastAsia="Arial" w:hAnsi="Arial"/>
          <w:sz w:val="13"/>
          <w:szCs w:val="13"/>
          <w:color w:val="231F20"/>
        </w:rPr>
        <w:t>We are a European public company with limited liability (</w:t>
      </w:r>
      <w:r>
        <w:rPr>
          <w:rFonts w:ascii="Arial" w:cs="Arial" w:eastAsia="Arial" w:hAnsi="Arial"/>
          <w:sz w:val="13"/>
          <w:szCs w:val="13"/>
          <w:i w:val="1"/>
          <w:iCs w:val="1"/>
          <w:color w:val="231F20"/>
        </w:rPr>
        <w:t>Societas Europaea</w:t>
      </w:r>
      <w:r>
        <w:rPr>
          <w:rFonts w:ascii="Arial" w:cs="Arial" w:eastAsia="Arial" w:hAnsi="Arial"/>
          <w:sz w:val="13"/>
          <w:szCs w:val="13"/>
          <w:color w:val="231F20"/>
        </w:rPr>
        <w:t xml:space="preserve"> or SE) (also referred to as </w:t>
      </w:r>
      <w:r>
        <w:rPr>
          <w:rFonts w:ascii="Arial" w:cs="Arial" w:eastAsia="Arial" w:hAnsi="Arial"/>
          <w:sz w:val="13"/>
          <w:szCs w:val="13"/>
          <w:color w:val="000000"/>
        </w:rPr>
        <w:t>European</w:t>
      </w:r>
      <w:r>
        <w:rPr>
          <w:rFonts w:ascii="Arial" w:cs="Arial" w:eastAsia="Arial" w:hAnsi="Arial"/>
          <w:sz w:val="13"/>
          <w:szCs w:val="13"/>
          <w:color w:val="231F20"/>
        </w:rPr>
        <w:t xml:space="preserve"> stock </w:t>
      </w:r>
      <w:r>
        <w:rPr>
          <w:rFonts w:ascii="Arial" w:cs="Arial" w:eastAsia="Arial" w:hAnsi="Arial"/>
          <w:sz w:val="13"/>
          <w:szCs w:val="13"/>
          <w:color w:val="000000"/>
        </w:rPr>
        <w:t>corporation</w:t>
      </w:r>
      <w:r>
        <w:rPr>
          <w:rFonts w:ascii="Arial" w:cs="Arial" w:eastAsia="Arial" w:hAnsi="Arial"/>
          <w:sz w:val="13"/>
          <w:szCs w:val="13"/>
          <w:color w:val="231F20"/>
        </w:rPr>
        <w:t>, and in the official terminology of the European legislation referred to as European public limited-liability company), having its seat in Germany. We have chosen to have a two-tiered structure. Hence, our corporate bodies are the Management Board (</w:t>
      </w:r>
      <w:r>
        <w:rPr>
          <w:rFonts w:ascii="Arial" w:cs="Arial" w:eastAsia="Arial" w:hAnsi="Arial"/>
          <w:sz w:val="13"/>
          <w:szCs w:val="13"/>
          <w:i w:val="1"/>
          <w:iCs w:val="1"/>
          <w:color w:val="231F20"/>
        </w:rPr>
        <w:t>Vorstand</w:t>
      </w:r>
      <w:r>
        <w:rPr>
          <w:rFonts w:ascii="Arial" w:cs="Arial" w:eastAsia="Arial" w:hAnsi="Arial"/>
          <w:sz w:val="13"/>
          <w:szCs w:val="13"/>
          <w:color w:val="231F20"/>
        </w:rPr>
        <w:t>), the Supervisory Board (</w:t>
      </w:r>
      <w:r>
        <w:rPr>
          <w:rFonts w:ascii="Arial" w:cs="Arial" w:eastAsia="Arial" w:hAnsi="Arial"/>
          <w:sz w:val="13"/>
          <w:szCs w:val="13"/>
          <w:i w:val="1"/>
          <w:iCs w:val="1"/>
          <w:color w:val="231F20"/>
        </w:rPr>
        <w:t>Aufsichtsrat</w:t>
      </w:r>
      <w:r>
        <w:rPr>
          <w:rFonts w:ascii="Arial" w:cs="Arial" w:eastAsia="Arial" w:hAnsi="Arial"/>
          <w:sz w:val="13"/>
          <w:szCs w:val="13"/>
          <w:color w:val="231F20"/>
        </w:rPr>
        <w:t xml:space="preserve">) and the </w:t>
      </w:r>
      <w:r>
        <w:rPr>
          <w:rFonts w:ascii="Arial" w:cs="Arial" w:eastAsia="Arial" w:hAnsi="Arial"/>
          <w:sz w:val="13"/>
          <w:szCs w:val="13"/>
          <w:color w:val="000000"/>
        </w:rPr>
        <w:t>shareholders’</w:t>
      </w:r>
      <w:r>
        <w:rPr>
          <w:rFonts w:ascii="Arial" w:cs="Arial" w:eastAsia="Arial" w:hAnsi="Arial"/>
          <w:sz w:val="13"/>
          <w:szCs w:val="13"/>
          <w:color w:val="231F20"/>
        </w:rPr>
        <w:t xml:space="preserve"> meeting (</w:t>
      </w:r>
      <w:r>
        <w:rPr>
          <w:rFonts w:ascii="Arial" w:cs="Arial" w:eastAsia="Arial" w:hAnsi="Arial"/>
          <w:sz w:val="13"/>
          <w:szCs w:val="13"/>
          <w:i w:val="1"/>
          <w:iCs w:val="1"/>
          <w:color w:val="231F20"/>
        </w:rPr>
        <w:t>Hauptversammlung</w:t>
      </w:r>
      <w:r>
        <w:rPr>
          <w:rFonts w:ascii="Arial" w:cs="Arial" w:eastAsia="Arial" w:hAnsi="Arial"/>
          <w:sz w:val="13"/>
          <w:szCs w:val="13"/>
          <w:color w:val="231F20"/>
        </w:rPr>
        <w:t>). Our Management and Supervisory Boards are entirely separate, and, as a rule, no individual may simultaneously be a member of both boards.</w:t>
      </w:r>
    </w:p>
    <w:p>
      <w:pPr>
        <w:spacing w:after="0" w:line="135"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231F20"/>
        </w:rPr>
        <w:t xml:space="preserve">Our Management </w:t>
      </w:r>
      <w:r>
        <w:rPr>
          <w:rFonts w:ascii="Arial" w:cs="Arial" w:eastAsia="Arial" w:hAnsi="Arial"/>
          <w:sz w:val="13"/>
          <w:szCs w:val="13"/>
          <w:color w:val="000000"/>
        </w:rPr>
        <w:t>Board</w:t>
      </w:r>
      <w:r>
        <w:rPr>
          <w:rFonts w:ascii="Arial" w:cs="Arial" w:eastAsia="Arial" w:hAnsi="Arial"/>
          <w:sz w:val="13"/>
          <w:szCs w:val="13"/>
          <w:color w:val="231F20"/>
        </w:rPr>
        <w:t xml:space="preserve"> is responsible for the day-to-day management of our business in accordance with applicable laws,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and the Management Board’s internal rules of procedure (</w:t>
      </w:r>
      <w:r>
        <w:rPr>
          <w:rFonts w:ascii="Arial" w:cs="Arial" w:eastAsia="Arial" w:hAnsi="Arial"/>
          <w:sz w:val="13"/>
          <w:szCs w:val="13"/>
          <w:i w:val="1"/>
          <w:iCs w:val="1"/>
          <w:color w:val="231F20"/>
        </w:rPr>
        <w:t>Geschäftsordnung</w:t>
      </w:r>
      <w:r>
        <w:rPr>
          <w:rFonts w:ascii="Arial" w:cs="Arial" w:eastAsia="Arial" w:hAnsi="Arial"/>
          <w:sz w:val="13"/>
          <w:szCs w:val="13"/>
          <w:color w:val="231F20"/>
        </w:rPr>
        <w:t>). Our Management Board represents us in our dealings with third parties.</w:t>
      </w:r>
    </w:p>
    <w:p>
      <w:pPr>
        <w:spacing w:after="0" w:line="122" w:lineRule="exact"/>
        <w:rPr>
          <w:sz w:val="20"/>
          <w:szCs w:val="20"/>
          <w:color w:val="auto"/>
        </w:rPr>
      </w:pPr>
    </w:p>
    <w:p>
      <w:pPr>
        <w:ind w:right="360" w:firstLine="556"/>
        <w:spacing w:after="0" w:line="331" w:lineRule="auto"/>
        <w:rPr>
          <w:sz w:val="20"/>
          <w:szCs w:val="20"/>
          <w:color w:val="auto"/>
        </w:rPr>
      </w:pPr>
      <w:r>
        <w:rPr>
          <w:rFonts w:ascii="Arial" w:cs="Arial" w:eastAsia="Arial" w:hAnsi="Arial"/>
          <w:sz w:val="12"/>
          <w:szCs w:val="12"/>
          <w:color w:val="231F20"/>
        </w:rPr>
        <w:t xml:space="preserve">The </w:t>
      </w:r>
      <w:r>
        <w:rPr>
          <w:rFonts w:ascii="Arial" w:cs="Arial" w:eastAsia="Arial" w:hAnsi="Arial"/>
          <w:sz w:val="12"/>
          <w:szCs w:val="12"/>
          <w:color w:val="000000"/>
        </w:rPr>
        <w:t>principal</w:t>
      </w:r>
      <w:r>
        <w:rPr>
          <w:rFonts w:ascii="Arial" w:cs="Arial" w:eastAsia="Arial" w:hAnsi="Arial"/>
          <w:sz w:val="12"/>
          <w:szCs w:val="12"/>
          <w:color w:val="231F20"/>
        </w:rPr>
        <w:t xml:space="preserve"> function of our Supervisory Board is to supervise our Management Board. The Supervisory Board is also responsible for appointing and removing the members of our Management Board, representing us in connection with transactions between a current or former member of the Management </w:t>
      </w:r>
      <w:r>
        <w:rPr>
          <w:rFonts w:ascii="Arial" w:cs="Arial" w:eastAsia="Arial" w:hAnsi="Arial"/>
          <w:sz w:val="12"/>
          <w:szCs w:val="12"/>
          <w:color w:val="000000"/>
        </w:rPr>
        <w:t>Board</w:t>
      </w:r>
      <w:r>
        <w:rPr>
          <w:rFonts w:ascii="Arial" w:cs="Arial" w:eastAsia="Arial" w:hAnsi="Arial"/>
          <w:sz w:val="12"/>
          <w:szCs w:val="12"/>
          <w:color w:val="231F20"/>
        </w:rPr>
        <w:t xml:space="preserve"> and us, and granting approvals for certain significant matters.</w:t>
      </w:r>
    </w:p>
    <w:p>
      <w:pPr>
        <w:spacing w:after="0" w:line="99"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231F20"/>
        </w:rPr>
        <w:t xml:space="preserve">Our Management Board and our </w:t>
      </w:r>
      <w:r>
        <w:rPr>
          <w:rFonts w:ascii="Arial" w:cs="Arial" w:eastAsia="Arial" w:hAnsi="Arial"/>
          <w:sz w:val="12"/>
          <w:szCs w:val="12"/>
          <w:color w:val="000000"/>
        </w:rPr>
        <w:t>Supervisory</w:t>
      </w:r>
      <w:r>
        <w:rPr>
          <w:rFonts w:ascii="Arial" w:cs="Arial" w:eastAsia="Arial" w:hAnsi="Arial"/>
          <w:sz w:val="12"/>
          <w:szCs w:val="12"/>
          <w:color w:val="231F20"/>
        </w:rPr>
        <w:t xml:space="preserve"> Board are solely responsible for and manage their own areas of competency (</w:t>
      </w:r>
      <w:r>
        <w:rPr>
          <w:rFonts w:ascii="Arial" w:cs="Arial" w:eastAsia="Arial" w:hAnsi="Arial"/>
          <w:sz w:val="12"/>
          <w:szCs w:val="12"/>
          <w:i w:val="1"/>
          <w:iCs w:val="1"/>
          <w:color w:val="231F20"/>
        </w:rPr>
        <w:t>Kompetenztrennung</w:t>
      </w:r>
      <w:r>
        <w:rPr>
          <w:rFonts w:ascii="Arial" w:cs="Arial" w:eastAsia="Arial" w:hAnsi="Arial"/>
          <w:sz w:val="12"/>
          <w:szCs w:val="12"/>
          <w:color w:val="231F20"/>
        </w:rPr>
        <w:t xml:space="preserve">); therefore, neither board may make decisions that, pursuant to applicable law, our Articles of Association or the internal rules of procedure are the responsibility of the other board. Members of both boards owe a duty of loyalty and care to us. In carrying out their duties, they are required to exercise the standard of care of a prudent and diligent </w:t>
      </w:r>
      <w:r>
        <w:rPr>
          <w:rFonts w:ascii="Arial" w:cs="Arial" w:eastAsia="Arial" w:hAnsi="Arial"/>
          <w:sz w:val="12"/>
          <w:szCs w:val="12"/>
          <w:color w:val="000000"/>
        </w:rPr>
        <w:t>businessperson</w:t>
      </w:r>
      <w:r>
        <w:rPr>
          <w:rFonts w:ascii="Arial" w:cs="Arial" w:eastAsia="Arial" w:hAnsi="Arial"/>
          <w:sz w:val="12"/>
          <w:szCs w:val="12"/>
          <w:color w:val="231F20"/>
        </w:rPr>
        <w:t xml:space="preserve">. If they fail to observe the appropriate standard of care, </w:t>
      </w:r>
      <w:r>
        <w:rPr>
          <w:rFonts w:ascii="Arial" w:cs="Arial" w:eastAsia="Arial" w:hAnsi="Arial"/>
          <w:sz w:val="12"/>
          <w:szCs w:val="12"/>
          <w:color w:val="000000"/>
        </w:rPr>
        <w:t>they</w:t>
      </w:r>
      <w:r>
        <w:rPr>
          <w:rFonts w:ascii="Arial" w:cs="Arial" w:eastAsia="Arial" w:hAnsi="Arial"/>
          <w:sz w:val="12"/>
          <w:szCs w:val="12"/>
          <w:color w:val="231F20"/>
        </w:rPr>
        <w:t xml:space="preserve"> may become liable to us.</w:t>
      </w:r>
    </w:p>
    <w:p>
      <w:pPr>
        <w:spacing w:after="0" w:line="116"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231F20"/>
        </w:rPr>
        <w:t>In carrying out their duties, the members of both boards must take into account a broad range of considerations when making decisions, including our interests and the interests of our shareholders, employees, creditors and, to a limited extent, the general public, while respecting the rights of our shareholders to be treated on equal terms. Additionally, the Management Board is responsible for implementing an internal monitoring system for risk management purposes.</w:t>
      </w:r>
    </w:p>
    <w:p>
      <w:pPr>
        <w:spacing w:after="0" w:line="132"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231F20"/>
        </w:rPr>
        <w:t xml:space="preserve">Our Supervisory Board has comprehensive monitoring responsibilities. To ensure that our Supervisory Board can carry </w:t>
      </w:r>
      <w:r>
        <w:rPr>
          <w:rFonts w:ascii="Arial" w:cs="Arial" w:eastAsia="Arial" w:hAnsi="Arial"/>
          <w:sz w:val="13"/>
          <w:szCs w:val="13"/>
          <w:color w:val="000000"/>
        </w:rPr>
        <w:t>out</w:t>
      </w:r>
      <w:r>
        <w:rPr>
          <w:rFonts w:ascii="Arial" w:cs="Arial" w:eastAsia="Arial" w:hAnsi="Arial"/>
          <w:sz w:val="13"/>
          <w:szCs w:val="13"/>
          <w:color w:val="231F20"/>
        </w:rPr>
        <w:t xml:space="preserve"> these functions properly, our Management Board must, among other duties, regularly report to our Supervisory Board regarding our current business operations and future business planning (including financial, investment and personnel planning). In addition, our Supervisory Board or any of its members is entitled to request special reports from the </w:t>
      </w:r>
      <w:r>
        <w:rPr>
          <w:rFonts w:ascii="Arial" w:cs="Arial" w:eastAsia="Arial" w:hAnsi="Arial"/>
          <w:sz w:val="13"/>
          <w:szCs w:val="13"/>
          <w:color w:val="000000"/>
        </w:rPr>
        <w:t>Management</w:t>
      </w:r>
      <w:r>
        <w:rPr>
          <w:rFonts w:ascii="Arial" w:cs="Arial" w:eastAsia="Arial" w:hAnsi="Arial"/>
          <w:sz w:val="13"/>
          <w:szCs w:val="13"/>
          <w:color w:val="231F20"/>
        </w:rPr>
        <w:t xml:space="preserve"> Board on all matters regarding the Company, our legal and business relations with affiliated companies and any business transactions and matters at such affiliated companies that may have a significant impact on our position at any time.</w:t>
      </w:r>
    </w:p>
    <w:p>
      <w:pPr>
        <w:spacing w:after="0" w:line="135" w:lineRule="exact"/>
        <w:rPr>
          <w:sz w:val="20"/>
          <w:szCs w:val="20"/>
          <w:color w:val="auto"/>
        </w:rPr>
      </w:pPr>
    </w:p>
    <w:p>
      <w:pPr>
        <w:ind w:right="240" w:firstLine="556"/>
        <w:spacing w:after="0" w:line="272" w:lineRule="auto"/>
        <w:rPr>
          <w:sz w:val="20"/>
          <w:szCs w:val="20"/>
          <w:color w:val="auto"/>
        </w:rPr>
      </w:pPr>
      <w:r>
        <w:rPr>
          <w:rFonts w:ascii="Arial" w:cs="Arial" w:eastAsia="Arial" w:hAnsi="Arial"/>
          <w:sz w:val="13"/>
          <w:szCs w:val="13"/>
          <w:color w:val="231F20"/>
        </w:rPr>
        <w:t>Under German law, our shareholders have, as a general rule, no direct recourse against the members of our Management Board or the members of our Supervisory Board in the event that they are believed to have breached their duty of loyalty and care to us. Apart from when we are unable to fulfill our third party obligations, tortious conduct to board members or other special circumstances, only we have the right to claim damages against the members of our two boards.</w:t>
      </w:r>
    </w:p>
    <w:p>
      <w:pPr>
        <w:spacing w:after="0" w:line="132" w:lineRule="exact"/>
        <w:rPr>
          <w:sz w:val="20"/>
          <w:szCs w:val="20"/>
          <w:color w:val="auto"/>
        </w:rPr>
      </w:pPr>
    </w:p>
    <w:p>
      <w:pPr>
        <w:ind w:right="240" w:firstLine="556"/>
        <w:spacing w:after="0" w:line="272" w:lineRule="auto"/>
        <w:rPr>
          <w:sz w:val="20"/>
          <w:szCs w:val="20"/>
          <w:color w:val="auto"/>
        </w:rPr>
      </w:pPr>
      <w:r>
        <w:rPr>
          <w:rFonts w:ascii="Arial" w:cs="Arial" w:eastAsia="Arial" w:hAnsi="Arial"/>
          <w:sz w:val="13"/>
          <w:szCs w:val="13"/>
          <w:color w:val="231F20"/>
        </w:rPr>
        <w:t xml:space="preserve">We may waive these claims to damages or settle these claims only if at least three years have passed since a claim associated with </w:t>
      </w:r>
      <w:r>
        <w:rPr>
          <w:rFonts w:ascii="Arial" w:cs="Arial" w:eastAsia="Arial" w:hAnsi="Arial"/>
          <w:sz w:val="13"/>
          <w:szCs w:val="13"/>
          <w:color w:val="000000"/>
        </w:rPr>
        <w:t>any</w:t>
      </w:r>
      <w:r>
        <w:rPr>
          <w:rFonts w:ascii="Arial" w:cs="Arial" w:eastAsia="Arial" w:hAnsi="Arial"/>
          <w:sz w:val="13"/>
          <w:szCs w:val="13"/>
          <w:color w:val="231F20"/>
        </w:rPr>
        <w:t xml:space="preserve"> violation of a duty has arisen and only if our shareholders approve the waiver or settlement at a shareholders’ meeting with a simple majority of the votes cast, provided that no shareholders who in the aggregate hold one-tenth or more of our share capital oppose the waiver or settlement and have their opposition formally recorded in the meeting’s minutes.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Supervisory Board</w:t>
      </w:r>
    </w:p>
    <w:p>
      <w:pPr>
        <w:spacing w:after="0" w:line="94" w:lineRule="exact"/>
        <w:rPr>
          <w:sz w:val="20"/>
          <w:szCs w:val="20"/>
          <w:color w:val="auto"/>
        </w:rPr>
      </w:pPr>
    </w:p>
    <w:p>
      <w:pPr>
        <w:ind w:right="200" w:firstLine="556"/>
        <w:spacing w:after="0" w:line="287" w:lineRule="auto"/>
        <w:rPr>
          <w:sz w:val="20"/>
          <w:szCs w:val="20"/>
          <w:color w:val="auto"/>
        </w:rPr>
      </w:pPr>
      <w:r>
        <w:rPr>
          <w:rFonts w:ascii="Arial" w:cs="Arial" w:eastAsia="Arial" w:hAnsi="Arial"/>
          <w:sz w:val="13"/>
          <w:szCs w:val="13"/>
          <w:color w:val="231F20"/>
        </w:rPr>
        <w:t>German law requires that the Supervisory Board consists of at least three members, while a company’s articles of association may stipulate a certain higher number. Our Supervisory Board currently consists of four members.</w:t>
      </w:r>
    </w:p>
    <w:p>
      <w:pPr>
        <w:spacing w:after="0" w:line="122"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231F20"/>
        </w:rPr>
        <w:t>As we are not subject to co-determination, the members of our Supervisory Board are all elected by the shareholders’ meeting in accordance with the provisions of the SE Regulation and the German Stock Corporation Act (</w:t>
      </w:r>
      <w:r>
        <w:rPr>
          <w:rFonts w:ascii="Arial" w:cs="Arial" w:eastAsia="Arial" w:hAnsi="Arial"/>
          <w:sz w:val="13"/>
          <w:szCs w:val="13"/>
          <w:i w:val="1"/>
          <w:iCs w:val="1"/>
          <w:color w:val="231F20"/>
        </w:rPr>
        <w:t>Aktiengesetz</w:t>
      </w:r>
      <w:r>
        <w:rPr>
          <w:rFonts w:ascii="Arial" w:cs="Arial" w:eastAsia="Arial" w:hAnsi="Arial"/>
          <w:sz w:val="13"/>
          <w:szCs w:val="13"/>
          <w:color w:val="231F20"/>
        </w:rPr>
        <w:t>). German law does not require the majority of our Supervisory Board members to be independent and neither our Articles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9" w:name="page220"/>
    <w:bookmarkEnd w:id="219"/>
    <w:p>
      <w:pPr>
        <w:ind w:right="280"/>
        <w:spacing w:after="0" w:line="287" w:lineRule="auto"/>
        <w:rPr>
          <w:sz w:val="20"/>
          <w:szCs w:val="20"/>
          <w:color w:val="auto"/>
        </w:rPr>
      </w:pPr>
      <w:r>
        <w:rPr>
          <w:rFonts w:ascii="Arial" w:cs="Arial" w:eastAsia="Arial" w:hAnsi="Arial"/>
          <w:sz w:val="13"/>
          <w:szCs w:val="13"/>
          <w:color w:val="231F20"/>
        </w:rPr>
        <w:t>Association (</w:t>
      </w:r>
      <w:r>
        <w:rPr>
          <w:rFonts w:ascii="Arial" w:cs="Arial" w:eastAsia="Arial" w:hAnsi="Arial"/>
          <w:sz w:val="13"/>
          <w:szCs w:val="13"/>
          <w:i w:val="1"/>
          <w:iCs w:val="1"/>
          <w:color w:val="231F20"/>
        </w:rPr>
        <w:t>Satzung</w:t>
      </w:r>
      <w:r>
        <w:rPr>
          <w:rFonts w:ascii="Arial" w:cs="Arial" w:eastAsia="Arial" w:hAnsi="Arial"/>
          <w:sz w:val="13"/>
          <w:szCs w:val="13"/>
          <w:color w:val="231F20"/>
        </w:rPr>
        <w:t xml:space="preserve">) nor the rules of procedure for our Supervisory Board provide otherwise. However, the rules of procedure for our Supervisory Board provide that the Supervisory Board should have an independent member with expertise in </w:t>
      </w:r>
      <w:r>
        <w:rPr>
          <w:rFonts w:ascii="Arial" w:cs="Arial" w:eastAsia="Arial" w:hAnsi="Arial"/>
          <w:sz w:val="13"/>
          <w:szCs w:val="13"/>
          <w:color w:val="000000"/>
        </w:rPr>
        <w:t>the</w:t>
      </w:r>
      <w:r>
        <w:rPr>
          <w:rFonts w:ascii="Arial" w:cs="Arial" w:eastAsia="Arial" w:hAnsi="Arial"/>
          <w:sz w:val="13"/>
          <w:szCs w:val="13"/>
          <w:color w:val="231F20"/>
        </w:rPr>
        <w:t xml:space="preserve"> field of accounting, internal control processes and auditing.</w:t>
      </w:r>
    </w:p>
    <w:p>
      <w:pPr>
        <w:spacing w:after="0" w:line="122" w:lineRule="exact"/>
        <w:rPr>
          <w:sz w:val="20"/>
          <w:szCs w:val="20"/>
          <w:color w:val="auto"/>
        </w:rPr>
      </w:pPr>
    </w:p>
    <w:p>
      <w:pPr>
        <w:ind w:right="40" w:firstLine="556"/>
        <w:spacing w:after="0" w:line="267" w:lineRule="auto"/>
        <w:rPr>
          <w:sz w:val="20"/>
          <w:szCs w:val="20"/>
          <w:color w:val="auto"/>
        </w:rPr>
      </w:pPr>
      <w:r>
        <w:rPr>
          <w:rFonts w:ascii="Arial" w:cs="Arial" w:eastAsia="Arial" w:hAnsi="Arial"/>
          <w:sz w:val="13"/>
          <w:szCs w:val="13"/>
          <w:color w:val="231F20"/>
        </w:rPr>
        <w:t xml:space="preserve">Under European law, a member of a supervisory board of an SE may be elected for a maximum term to be specified in the articles of association, which must not </w:t>
      </w:r>
      <w:r>
        <w:rPr>
          <w:rFonts w:ascii="Arial" w:cs="Arial" w:eastAsia="Arial" w:hAnsi="Arial"/>
          <w:sz w:val="13"/>
          <w:szCs w:val="13"/>
          <w:color w:val="000000"/>
        </w:rPr>
        <w:t>exceed</w:t>
      </w:r>
      <w:r>
        <w:rPr>
          <w:rFonts w:ascii="Arial" w:cs="Arial" w:eastAsia="Arial" w:hAnsi="Arial"/>
          <w:sz w:val="13"/>
          <w:szCs w:val="13"/>
          <w:color w:val="231F20"/>
        </w:rPr>
        <w:t xml:space="preserve"> six years. Re-election, including repeated re-election, is permissible. The shareholders’ meeting may specify a term of office for individual members or all of the members of our Supervisory Board which is shorter than the standard term of office and, subject to statutory limits, may set different start and end dates for the terms of members of our Supervisory Board. Our Articles of </w:t>
      </w:r>
      <w:r>
        <w:rPr>
          <w:rFonts w:ascii="Arial" w:cs="Arial" w:eastAsia="Arial" w:hAnsi="Arial"/>
          <w:sz w:val="13"/>
          <w:szCs w:val="13"/>
          <w:color w:val="000000"/>
        </w:rPr>
        <w:t>Association</w:t>
      </w:r>
      <w:r>
        <w:rPr>
          <w:rFonts w:ascii="Arial" w:cs="Arial" w:eastAsia="Arial" w:hAnsi="Arial"/>
          <w:sz w:val="13"/>
          <w:szCs w:val="13"/>
          <w:color w:val="231F20"/>
        </w:rPr>
        <w:t xml:space="preserve"> provide for a term of approximately five years, depending on the date of the annual general shareholders’ meeting in the year in which the term of the relevant member is to expire.</w:t>
      </w:r>
    </w:p>
    <w:p>
      <w:pPr>
        <w:spacing w:after="0" w:line="135" w:lineRule="exact"/>
        <w:rPr>
          <w:sz w:val="20"/>
          <w:szCs w:val="20"/>
          <w:color w:val="auto"/>
        </w:rPr>
      </w:pPr>
    </w:p>
    <w:p>
      <w:pPr>
        <w:ind w:right="180" w:firstLine="556"/>
        <w:spacing w:after="0" w:line="331" w:lineRule="auto"/>
        <w:rPr>
          <w:sz w:val="20"/>
          <w:szCs w:val="20"/>
          <w:color w:val="auto"/>
        </w:rPr>
      </w:pPr>
      <w:r>
        <w:rPr>
          <w:rFonts w:ascii="Arial" w:cs="Arial" w:eastAsia="Arial" w:hAnsi="Arial"/>
          <w:sz w:val="12"/>
          <w:szCs w:val="12"/>
          <w:color w:val="231F20"/>
        </w:rPr>
        <w:t xml:space="preserve">The shareholders’ meeting may, at the same time as it elects the members of the Supervisory Board, elect one or more </w:t>
      </w:r>
      <w:r>
        <w:rPr>
          <w:rFonts w:ascii="Arial" w:cs="Arial" w:eastAsia="Arial" w:hAnsi="Arial"/>
          <w:sz w:val="12"/>
          <w:szCs w:val="12"/>
          <w:color w:val="000000"/>
        </w:rPr>
        <w:t>substitute</w:t>
      </w:r>
      <w:r>
        <w:rPr>
          <w:rFonts w:ascii="Arial" w:cs="Arial" w:eastAsia="Arial" w:hAnsi="Arial"/>
          <w:sz w:val="12"/>
          <w:szCs w:val="12"/>
          <w:color w:val="231F20"/>
        </w:rPr>
        <w:t xml:space="preserve"> members. The substitute members replace members who cease to be members of our Supervisory Board and take their place for the remainder of their </w:t>
      </w:r>
      <w:r>
        <w:rPr>
          <w:rFonts w:ascii="Arial" w:cs="Arial" w:eastAsia="Arial" w:hAnsi="Arial"/>
          <w:sz w:val="12"/>
          <w:szCs w:val="12"/>
          <w:color w:val="000000"/>
        </w:rPr>
        <w:t>respective</w:t>
      </w:r>
      <w:r>
        <w:rPr>
          <w:rFonts w:ascii="Arial" w:cs="Arial" w:eastAsia="Arial" w:hAnsi="Arial"/>
          <w:sz w:val="12"/>
          <w:szCs w:val="12"/>
          <w:color w:val="231F20"/>
        </w:rPr>
        <w:t xml:space="preserve"> terms of office. Currently, no substitute members have been elected or have been proposed to be elected.</w:t>
      </w:r>
    </w:p>
    <w:p>
      <w:pPr>
        <w:spacing w:after="0" w:line="99"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231F20"/>
        </w:rPr>
        <w:t xml:space="preserve">Members of our Supervisory Board may be dismissed at any time during their term of office by a resolution of the </w:t>
      </w:r>
      <w:r>
        <w:rPr>
          <w:rFonts w:ascii="Arial" w:cs="Arial" w:eastAsia="Arial" w:hAnsi="Arial"/>
          <w:sz w:val="13"/>
          <w:szCs w:val="13"/>
          <w:color w:val="000000"/>
        </w:rPr>
        <w:t>shareholders’ meeting</w:t>
      </w:r>
      <w:r>
        <w:rPr>
          <w:rFonts w:ascii="Arial" w:cs="Arial" w:eastAsia="Arial" w:hAnsi="Arial"/>
          <w:sz w:val="13"/>
          <w:szCs w:val="13"/>
          <w:color w:val="231F20"/>
        </w:rPr>
        <w:t xml:space="preserve"> adopted by at least a simple majority of the votes cast. In addition, any member of our Supervisory Board may resign at any time by giving one month’s written notice—or, in the event of cause, giving written notice with immediate effect—of his or her resignation to the Management Board.</w:t>
      </w:r>
    </w:p>
    <w:p>
      <w:pPr>
        <w:spacing w:after="0" w:line="13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 xml:space="preserve">Our Supervisory Board elects a chairperson and a deputy chairperson from its members. The deputy chairperson exercises the chairperson’s rights and obligations whenever the chairperson is unable to do so. The members of our Supervisory Board have elected Mr. Helmut Jeggle as chairperson and Dr. Ulrich </w:t>
      </w:r>
      <w:r>
        <w:rPr>
          <w:rFonts w:ascii="Arial" w:cs="Arial" w:eastAsia="Arial" w:hAnsi="Arial"/>
          <w:sz w:val="13"/>
          <w:szCs w:val="13"/>
          <w:color w:val="000000"/>
        </w:rPr>
        <w:t>Wandschneider as</w:t>
      </w:r>
      <w:r>
        <w:rPr>
          <w:rFonts w:ascii="Arial" w:cs="Arial" w:eastAsia="Arial" w:hAnsi="Arial"/>
          <w:sz w:val="13"/>
          <w:szCs w:val="13"/>
          <w:color w:val="231F20"/>
        </w:rPr>
        <w:t xml:space="preserve"> deputy </w:t>
      </w:r>
      <w:r>
        <w:rPr>
          <w:rFonts w:ascii="Arial" w:cs="Arial" w:eastAsia="Arial" w:hAnsi="Arial"/>
          <w:sz w:val="13"/>
          <w:szCs w:val="13"/>
          <w:color w:val="000000"/>
        </w:rPr>
        <w:t>chairperson</w:t>
      </w:r>
      <w:r>
        <w:rPr>
          <w:rFonts w:ascii="Arial" w:cs="Arial" w:eastAsia="Arial" w:hAnsi="Arial"/>
          <w:sz w:val="13"/>
          <w:szCs w:val="13"/>
          <w:color w:val="231F20"/>
        </w:rPr>
        <w:t>, each for the term of their respective membership on our Supervisory Board.</w:t>
      </w:r>
    </w:p>
    <w:p>
      <w:pPr>
        <w:spacing w:after="0" w:line="132" w:lineRule="exact"/>
        <w:rPr>
          <w:sz w:val="20"/>
          <w:szCs w:val="20"/>
          <w:color w:val="auto"/>
        </w:rPr>
      </w:pPr>
    </w:p>
    <w:p>
      <w:pPr>
        <w:ind w:right="120" w:firstLine="556"/>
        <w:spacing w:after="0" w:line="267" w:lineRule="auto"/>
        <w:rPr>
          <w:sz w:val="20"/>
          <w:szCs w:val="20"/>
          <w:color w:val="auto"/>
        </w:rPr>
      </w:pPr>
      <w:r>
        <w:rPr>
          <w:rFonts w:ascii="Arial" w:cs="Arial" w:eastAsia="Arial" w:hAnsi="Arial"/>
          <w:sz w:val="13"/>
          <w:szCs w:val="13"/>
          <w:color w:val="231F20"/>
        </w:rPr>
        <w:t xml:space="preserve">The Supervisory </w:t>
      </w:r>
      <w:r>
        <w:rPr>
          <w:rFonts w:ascii="Arial" w:cs="Arial" w:eastAsia="Arial" w:hAnsi="Arial"/>
          <w:sz w:val="13"/>
          <w:szCs w:val="13"/>
          <w:color w:val="000000"/>
        </w:rPr>
        <w:t>Board</w:t>
      </w:r>
      <w:r>
        <w:rPr>
          <w:rFonts w:ascii="Arial" w:cs="Arial" w:eastAsia="Arial" w:hAnsi="Arial"/>
          <w:sz w:val="13"/>
          <w:szCs w:val="13"/>
          <w:color w:val="231F20"/>
        </w:rPr>
        <w:t xml:space="preserve"> meets at least twice each calendar half-year. Our Articles of Association provide </w:t>
      </w:r>
      <w:r>
        <w:rPr>
          <w:rFonts w:ascii="Arial" w:cs="Arial" w:eastAsia="Arial" w:hAnsi="Arial"/>
          <w:sz w:val="13"/>
          <w:szCs w:val="13"/>
          <w:color w:val="000000"/>
        </w:rPr>
        <w:t>that</w:t>
      </w:r>
      <w:r>
        <w:rPr>
          <w:rFonts w:ascii="Arial" w:cs="Arial" w:eastAsia="Arial" w:hAnsi="Arial"/>
          <w:sz w:val="13"/>
          <w:szCs w:val="13"/>
          <w:color w:val="231F20"/>
        </w:rPr>
        <w:t xml:space="preserve"> a quorum of the Supervisory Board members is present if at least three of its members participate in the vote. </w:t>
      </w:r>
      <w:r>
        <w:rPr>
          <w:rFonts w:ascii="Arial" w:cs="Arial" w:eastAsia="Arial" w:hAnsi="Arial"/>
          <w:sz w:val="13"/>
          <w:szCs w:val="13"/>
          <w:color w:val="000000"/>
        </w:rPr>
        <w:t>Members</w:t>
      </w:r>
      <w:r>
        <w:rPr>
          <w:rFonts w:ascii="Arial" w:cs="Arial" w:eastAsia="Arial" w:hAnsi="Arial"/>
          <w:sz w:val="13"/>
          <w:szCs w:val="13"/>
          <w:color w:val="231F20"/>
        </w:rPr>
        <w:t xml:space="preserve"> of our Supervisory Board are deemed present if they attend the meeting via telephone or other (electronic) means of communication (including via video conference) or submit their written vote through another member. Additionally, </w:t>
      </w:r>
      <w:r>
        <w:rPr>
          <w:rFonts w:ascii="Arial" w:cs="Arial" w:eastAsia="Arial" w:hAnsi="Arial"/>
          <w:sz w:val="13"/>
          <w:szCs w:val="13"/>
          <w:color w:val="000000"/>
        </w:rPr>
        <w:t>our</w:t>
      </w:r>
      <w:r>
        <w:rPr>
          <w:rFonts w:ascii="Arial" w:cs="Arial" w:eastAsia="Arial" w:hAnsi="Arial"/>
          <w:sz w:val="13"/>
          <w:szCs w:val="13"/>
          <w:color w:val="231F20"/>
        </w:rPr>
        <w:t xml:space="preserve"> Articles of Association allow for resolutions to be taken via telephone or other (electronic) means of communications (including via video conference).</w:t>
      </w:r>
    </w:p>
    <w:p>
      <w:pPr>
        <w:spacing w:after="0" w:line="135"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231F20"/>
        </w:rPr>
        <w:t xml:space="preserve">Resolutions of our Supervisory Board are passed by the vote of a simple majority of the votes cast unless otherwise required by law, our </w:t>
      </w:r>
      <w:r>
        <w:rPr>
          <w:rFonts w:ascii="Arial" w:cs="Arial" w:eastAsia="Arial" w:hAnsi="Arial"/>
          <w:sz w:val="13"/>
          <w:szCs w:val="13"/>
          <w:color w:val="000000"/>
        </w:rPr>
        <w:t>Articles</w:t>
      </w:r>
      <w:r>
        <w:rPr>
          <w:rFonts w:ascii="Arial" w:cs="Arial" w:eastAsia="Arial" w:hAnsi="Arial"/>
          <w:sz w:val="13"/>
          <w:szCs w:val="13"/>
          <w:color w:val="231F20"/>
        </w:rPr>
        <w:t xml:space="preserve"> of Association or the rules of procedure of our Supervisory Board. In the event of a tie, the chairperson of the Supervisory Board has the casting vote. Our Supervisory Board is not permitted to make management decisions, but in accordance with European and German law and in addition to its statutory responsibilities, it has determined that certain matters require its prior consent, including:</w:t>
      </w:r>
    </w:p>
    <w:p>
      <w:pPr>
        <w:spacing w:after="0" w:line="42" w:lineRule="exact"/>
        <w:rPr>
          <w:sz w:val="20"/>
          <w:szCs w:val="20"/>
          <w:color w:val="auto"/>
        </w:rPr>
      </w:pPr>
    </w:p>
    <w:p>
      <w:pPr>
        <w:ind w:left="1020" w:hanging="340"/>
        <w:spacing w:after="0"/>
        <w:tabs>
          <w:tab w:leader="none" w:pos="102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entering into certain large transactions;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creating or holding any interest in businesses (except wholly owned subsidiaries) or disposing of shares in businesses (except for a sale of JPT);</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issuing shares from authorized capital, unless the shares are issued pursuant to a redemption of stock appreciation rights;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acquiring treasury shares in return for valuable consideration.</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Supervisory Board Practices</w:t>
      </w:r>
    </w:p>
    <w:p>
      <w:pPr>
        <w:spacing w:after="0" w:line="94" w:lineRule="exact"/>
        <w:rPr>
          <w:sz w:val="20"/>
          <w:szCs w:val="20"/>
          <w:color w:val="auto"/>
        </w:rPr>
      </w:pPr>
    </w:p>
    <w:p>
      <w:pPr>
        <w:ind w:right="40" w:firstLine="556"/>
        <w:spacing w:after="0" w:line="267" w:lineRule="auto"/>
        <w:rPr>
          <w:sz w:val="20"/>
          <w:szCs w:val="20"/>
          <w:color w:val="auto"/>
        </w:rPr>
      </w:pPr>
      <w:r>
        <w:rPr>
          <w:rFonts w:ascii="Arial" w:cs="Arial" w:eastAsia="Arial" w:hAnsi="Arial"/>
          <w:sz w:val="13"/>
          <w:szCs w:val="13"/>
          <w:color w:val="231F20"/>
        </w:rPr>
        <w:t>Decisions are generally made by our Supervisory Board as a whole, however decisions on certain matters may be delegated to committees of our Supervisory Board to the extent permitted by law. The chairperson, or if he or she is prevented from doing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 Our Supervisory Board may designate further types of actions as requiring its approval.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220" w:name="page221"/>
    <w:bookmarkEnd w:id="220"/>
    <w:p>
      <w:pPr>
        <w:ind w:right="200" w:firstLine="556"/>
        <w:spacing w:after="0" w:line="304" w:lineRule="auto"/>
        <w:rPr>
          <w:sz w:val="20"/>
          <w:szCs w:val="20"/>
          <w:color w:val="auto"/>
        </w:rPr>
      </w:pPr>
      <w:r>
        <w:rPr>
          <w:rFonts w:ascii="Arial" w:cs="Arial" w:eastAsia="Arial" w:hAnsi="Arial"/>
          <w:sz w:val="12"/>
          <w:szCs w:val="12"/>
          <w:color w:val="231F20"/>
        </w:rPr>
        <w:t>In addition, each member of the Supervisory Board is obliged to carry out his or her duties and responsibilities personally, and such duties and responsibilities cannot be generally and permanently delegated to third parties. However, the Supervisory Board and its committees have the right to appoint independent experts for the review and analysis of specific circumstances in accordance with its control and supervision duties under applicable European and German law. We would bear the costs for any such independent experts that are retained by the Supervisory Board or any of its committees.</w:t>
      </w:r>
    </w:p>
    <w:p>
      <w:pPr>
        <w:spacing w:after="0" w:line="116" w:lineRule="exact"/>
        <w:rPr>
          <w:sz w:val="20"/>
          <w:szCs w:val="20"/>
          <w:color w:val="auto"/>
        </w:rPr>
      </w:pPr>
    </w:p>
    <w:p>
      <w:pPr>
        <w:ind w:right="200" w:firstLine="556"/>
        <w:spacing w:after="0" w:line="272" w:lineRule="auto"/>
        <w:rPr>
          <w:sz w:val="20"/>
          <w:szCs w:val="20"/>
          <w:color w:val="auto"/>
        </w:rPr>
      </w:pPr>
      <w:r>
        <w:rPr>
          <w:rFonts w:ascii="Arial" w:cs="Arial" w:eastAsia="Arial" w:hAnsi="Arial"/>
          <w:sz w:val="13"/>
          <w:szCs w:val="13"/>
          <w:color w:val="231F20"/>
        </w:rPr>
        <w:t>Pursuant to Section 107 para. 3 of the German Stock Corporation Act (</w:t>
      </w:r>
      <w:r>
        <w:rPr>
          <w:rFonts w:ascii="Arial" w:cs="Arial" w:eastAsia="Arial" w:hAnsi="Arial"/>
          <w:sz w:val="13"/>
          <w:szCs w:val="13"/>
          <w:i w:val="1"/>
          <w:iCs w:val="1"/>
          <w:color w:val="231F20"/>
        </w:rPr>
        <w:t>Aktiengesetz</w:t>
      </w:r>
      <w:r>
        <w:rPr>
          <w:rFonts w:ascii="Arial" w:cs="Arial" w:eastAsia="Arial" w:hAnsi="Arial"/>
          <w:sz w:val="13"/>
          <w:szCs w:val="13"/>
          <w:color w:val="231F20"/>
        </w:rPr>
        <w:t>), the supervisory board may form committees from among its members and charge them with the performance of specific tasks. The committees’ tasks, authorizations and processes are determined by the supervisory board. Where permissible by law, important powers of the supervisory board may also be transferred to committees.</w:t>
      </w:r>
    </w:p>
    <w:p>
      <w:pPr>
        <w:spacing w:after="0" w:line="132"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231F20"/>
        </w:rPr>
        <w:t>By resolution, the Supervisory Board has established an Audit Committee, a Remuneration, Nominating and Governance Committee and a Capital Markets Committee. Set forth in the table below are the current members of the Audit Committee, the Remuneration, Nominating and Corporate Governance Committee and the Capital Markets Committee.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Name of Committee</w:t>
            </w:r>
          </w:p>
        </w:tc>
        <w:tc>
          <w:tcPr>
            <w:tcW w:w="47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Current Members</w:t>
            </w:r>
          </w:p>
        </w:tc>
      </w:tr>
      <w:tr>
        <w:trPr>
          <w:trHeight w:val="160"/>
        </w:trPr>
        <w:tc>
          <w:tcPr>
            <w:tcW w:w="656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Audit Committee</w:t>
            </w:r>
          </w:p>
        </w:tc>
        <w:tc>
          <w:tcPr>
            <w:tcW w:w="4720" w:type="dxa"/>
            <w:vAlign w:val="bottom"/>
          </w:tcPr>
          <w:p>
            <w:pPr>
              <w:spacing w:after="0"/>
              <w:rPr>
                <w:sz w:val="20"/>
                <w:szCs w:val="20"/>
                <w:color w:val="auto"/>
              </w:rPr>
            </w:pPr>
            <w:r>
              <w:rPr>
                <w:rFonts w:ascii="Arial" w:cs="Arial" w:eastAsia="Arial" w:hAnsi="Arial"/>
                <w:sz w:val="13"/>
                <w:szCs w:val="13"/>
                <w:color w:val="auto"/>
              </w:rPr>
              <w:t>Dr. Ulrich Wandschneider, Michael Motschmann and Helmut Jeggle</w:t>
            </w:r>
          </w:p>
        </w:tc>
      </w:tr>
      <w:tr>
        <w:trPr>
          <w:trHeight w:val="170"/>
        </w:trPr>
        <w:tc>
          <w:tcPr>
            <w:tcW w:w="656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Remuneration, Nominating and Corporate Governance Committee</w:t>
            </w:r>
          </w:p>
        </w:tc>
        <w:tc>
          <w:tcPr>
            <w:tcW w:w="4720" w:type="dxa"/>
            <w:vAlign w:val="bottom"/>
          </w:tcPr>
          <w:p>
            <w:pPr>
              <w:spacing w:after="0"/>
              <w:rPr>
                <w:sz w:val="20"/>
                <w:szCs w:val="20"/>
                <w:color w:val="auto"/>
              </w:rPr>
            </w:pPr>
            <w:r>
              <w:rPr>
                <w:rFonts w:ascii="Arial" w:cs="Arial" w:eastAsia="Arial" w:hAnsi="Arial"/>
                <w:sz w:val="13"/>
                <w:szCs w:val="13"/>
                <w:color w:val="auto"/>
              </w:rPr>
              <w:t>Michael Motschmann, Prof. Christoph Huber, M.D. and Dr. Ulrich Wandschneider</w:t>
            </w:r>
          </w:p>
        </w:tc>
      </w:tr>
      <w:tr>
        <w:trPr>
          <w:trHeight w:val="210"/>
        </w:trPr>
        <w:tc>
          <w:tcPr>
            <w:tcW w:w="656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Capital Markets Committee</w:t>
            </w:r>
          </w:p>
        </w:tc>
        <w:tc>
          <w:tcPr>
            <w:tcW w:w="4720" w:type="dxa"/>
            <w:vAlign w:val="bottom"/>
          </w:tcPr>
          <w:p>
            <w:pPr>
              <w:spacing w:after="0"/>
              <w:rPr>
                <w:sz w:val="20"/>
                <w:szCs w:val="20"/>
                <w:color w:val="auto"/>
              </w:rPr>
            </w:pPr>
            <w:r>
              <w:rPr>
                <w:rFonts w:ascii="Arial" w:cs="Arial" w:eastAsia="Arial" w:hAnsi="Arial"/>
                <w:sz w:val="13"/>
                <w:szCs w:val="13"/>
                <w:color w:val="auto"/>
              </w:rPr>
              <w:t>Helmut Jeggle, Michael Motschmann</w:t>
            </w:r>
          </w:p>
        </w:tc>
      </w:tr>
      <w:tr>
        <w:trPr>
          <w:trHeight w:val="40"/>
        </w:trPr>
        <w:tc>
          <w:tcPr>
            <w:tcW w:w="6560" w:type="dxa"/>
            <w:vAlign w:val="bottom"/>
            <w:tcBorders>
              <w:right w:val="single" w:sz="8" w:color="70AD47"/>
            </w:tcBorders>
          </w:tcPr>
          <w:p>
            <w:pPr>
              <w:spacing w:after="0"/>
              <w:rPr>
                <w:sz w:val="3"/>
                <w:szCs w:val="3"/>
                <w:color w:val="auto"/>
              </w:rPr>
            </w:pPr>
          </w:p>
        </w:tc>
        <w:tc>
          <w:tcPr>
            <w:tcW w:w="4720" w:type="dxa"/>
            <w:vAlign w:val="bottom"/>
          </w:tcPr>
          <w:p>
            <w:pPr>
              <w:spacing w:after="0"/>
              <w:rPr>
                <w:sz w:val="3"/>
                <w:szCs w:val="3"/>
                <w:color w:val="auto"/>
              </w:rPr>
            </w:pPr>
          </w:p>
        </w:tc>
      </w:tr>
    </w:tbl>
    <w:p>
      <w:pPr>
        <w:spacing w:after="0" w:line="311"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Audit Committee</w:t>
      </w:r>
    </w:p>
    <w:p>
      <w:pPr>
        <w:spacing w:after="0" w:line="90" w:lineRule="exact"/>
        <w:rPr>
          <w:sz w:val="20"/>
          <w:szCs w:val="20"/>
          <w:color w:val="auto"/>
        </w:rPr>
      </w:pPr>
    </w:p>
    <w:p>
      <w:pPr>
        <w:ind w:right="80" w:firstLine="556"/>
        <w:spacing w:after="0" w:line="264" w:lineRule="auto"/>
        <w:rPr>
          <w:sz w:val="20"/>
          <w:szCs w:val="20"/>
          <w:color w:val="auto"/>
        </w:rPr>
      </w:pPr>
      <w:r>
        <w:rPr>
          <w:rFonts w:ascii="Arial" w:cs="Arial" w:eastAsia="Arial" w:hAnsi="Arial"/>
          <w:sz w:val="13"/>
          <w:szCs w:val="13"/>
          <w:color w:val="231F20"/>
        </w:rPr>
        <w:t>Our Audit Committee consists of Dr. Ulrich Wandschneider, Michael Motschmann and Helmut Jeggle. Dr. Ulrich Wandschneider is the chair of the Audit Committee. The Audit Committee assists the Supervisory Board in overseeing the accuracy and integrity of our financial statements, our accounting and financial reporting processes and audits of our financial statements, the effective functioning of our internal control system, our risk management system, our compliance with legal and regulatory requirements, our independent auditor’s qualifications and independence, the performance of the independent auditor and the effective functioning of our internal audit functions, and, subject to certain limitations, adopts and implements pertinent decisions on behalf of the Supervisory Board. The Audit Committee’s duties and responsibilities to carry out its purpose, include, among others:</w:t>
      </w:r>
    </w:p>
    <w:p>
      <w:pPr>
        <w:spacing w:after="0" w:line="48" w:lineRule="exact"/>
        <w:rPr>
          <w:sz w:val="20"/>
          <w:szCs w:val="20"/>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considering the commissioning of the audit engagement, as well as the compensation, retention and oversight of the independent auditor;</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evaluating the qualifications, independence and performance of the independent auditor;</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reviewing and pre-approving the audit and non-audit services to be performed by the independent auditor;</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reviewing and discussing with the independent auditor and management the annual audit plan, as well as critical accounting policies and practices to be used;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reviewing and discussing with the independent auditor and management the adequacy and effectiveness of our internal accounting controls and critical accounting policies;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reviewing and discussing with the independent auditor and management the results of our annual audit;</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reviewing and discussing with the independent auditor and management any quarterly or annual earnings announcements;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reviewing any related party transactions and reviewing and monitoring potential conflict of interest situations on an ongoing basis for compliance with our policies and procedures;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overseeing procedures for the receipt, retention and treatment of complaints received regarding accounting, internal accounting controls or auditing matters;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reviewing and evaluating the performance of the Audit Committee and its members.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21" w:name="page222"/>
    <w:bookmarkEnd w:id="221"/>
    <w:p>
      <w:pPr>
        <w:jc w:val="both"/>
        <w:ind w:right="60" w:firstLine="556"/>
        <w:spacing w:after="0" w:line="267" w:lineRule="auto"/>
        <w:rPr>
          <w:sz w:val="20"/>
          <w:szCs w:val="20"/>
          <w:color w:val="auto"/>
        </w:rPr>
      </w:pPr>
      <w:r>
        <w:rPr>
          <w:rFonts w:ascii="Arial" w:cs="Arial" w:eastAsia="Arial" w:hAnsi="Arial"/>
          <w:sz w:val="13"/>
          <w:szCs w:val="13"/>
          <w:color w:val="231F20"/>
        </w:rPr>
        <w:t>Within the limits of applicable European and German law, the Audit Committee shall have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for so discharging its duties and responsibilities, without seeking approval of the Management Board or Supervisory Board. The Audit Committee has legal power to enter into the contract on our behalf and we will be bound to these and will be obliged to discharge any obligations as the Audit Committee may incur on our behalf for these purposes.</w:t>
      </w:r>
    </w:p>
    <w:p>
      <w:pPr>
        <w:spacing w:after="0" w:line="135" w:lineRule="exact"/>
        <w:rPr>
          <w:sz w:val="20"/>
          <w:szCs w:val="20"/>
          <w:color w:val="auto"/>
        </w:rPr>
      </w:pPr>
    </w:p>
    <w:p>
      <w:pPr>
        <w:ind w:right="300" w:firstLine="556"/>
        <w:spacing w:after="0" w:line="272" w:lineRule="auto"/>
        <w:rPr>
          <w:sz w:val="20"/>
          <w:szCs w:val="20"/>
          <w:color w:val="auto"/>
        </w:rPr>
      </w:pPr>
      <w:r>
        <w:rPr>
          <w:rFonts w:ascii="Arial" w:cs="Arial" w:eastAsia="Arial" w:hAnsi="Arial"/>
          <w:sz w:val="13"/>
          <w:szCs w:val="13"/>
          <w:color w:val="231F20"/>
        </w:rPr>
        <w:t>Dr. Wandschneider and Mr. Motschmann qualify as “independent directors” as such term is defined in Rule 10A-3 under the Exchange Act and Nasdaq Rule 5605. We intend to have a fully independent audit committee within one year from effectiveness of our initial public offering registration statement, as permitted by Rule 10A-3. Additionally, our Supervisory Board has determined that Dr. Ulrich Wandschneider qualifies as an “audit committee financial expert” as that term is defined under the Exchange Act.</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Remuneration, Nominating and Corporate Governance Committee</w:t>
      </w:r>
    </w:p>
    <w:p>
      <w:pPr>
        <w:spacing w:after="0" w:line="90"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231F20"/>
        </w:rPr>
        <w:t>Our Remuneration, Nominating and Corporate Governance Committee consists of Michael Motschmann, Prof. Christoph Huber, M.D. and Dr. Ulrich Wandschneider. Mr. Motschmann is the chair of the committee. The Remuneration, Nominating and Corporate Governance Committee’s duties and responsibilities to carry out its purpose include, among others:</w:t>
      </w:r>
    </w:p>
    <w:p>
      <w:pPr>
        <w:spacing w:after="0" w:line="32" w:lineRule="exact"/>
        <w:rPr>
          <w:sz w:val="20"/>
          <w:szCs w:val="20"/>
          <w:color w:val="auto"/>
        </w:rPr>
      </w:pPr>
    </w:p>
    <w:p>
      <w:pPr>
        <w:ind w:left="1020" w:hanging="340"/>
        <w:spacing w:after="0"/>
        <w:tabs>
          <w:tab w:leader="none" w:pos="10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preparing and discussing with management policies relating to the remuneration of the members of our Management Board;</w:t>
      </w:r>
    </w:p>
    <w:p>
      <w:pPr>
        <w:spacing w:after="0" w:line="80" w:lineRule="exact"/>
        <w:rPr>
          <w:rFonts w:ascii="Arial" w:cs="Arial" w:eastAsia="Arial" w:hAnsi="Arial"/>
          <w:sz w:val="13"/>
          <w:szCs w:val="13"/>
          <w:color w:val="auto"/>
        </w:rPr>
      </w:pPr>
    </w:p>
    <w:p>
      <w:pPr>
        <w:ind w:left="1020" w:right="380" w:hanging="340"/>
        <w:spacing w:after="0" w:line="287" w:lineRule="auto"/>
        <w:tabs>
          <w:tab w:leader="none" w:pos="10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reviewing and supervising corporate goals and objectives for the remuneration of the members of the Management Board, including evaluation of the performance of the members of the Management Board in light of these goals and proposals to the Supervisory Board for remuneration based on such evaluations;</w:t>
      </w:r>
    </w:p>
    <w:p>
      <w:pPr>
        <w:spacing w:after="0" w:line="32" w:lineRule="exact"/>
        <w:rPr>
          <w:rFonts w:ascii="Arial" w:cs="Arial" w:eastAsia="Arial" w:hAnsi="Arial"/>
          <w:sz w:val="13"/>
          <w:szCs w:val="13"/>
          <w:color w:val="auto"/>
        </w:rPr>
      </w:pPr>
    </w:p>
    <w:p>
      <w:pPr>
        <w:ind w:left="1020" w:hanging="340"/>
        <w:spacing w:after="0"/>
        <w:tabs>
          <w:tab w:leader="none" w:pos="10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reviewing all equity-based compensation plans and arrangements and making recommendations to the Supervisory Board regarding such plans;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assisting with identifying and recruiting candidates to fill positions on the Management Board and the Supervisory Board;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considering any corporate governance issue that arises and developing appropriate recommendations for the Supervisory Board;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overseeing the evaluation of the Supervisory Board and reporting on its performance and effectiveness;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reviewing and evaluating the performance of the Remuneration, Nominating and Corporate Governance Committee and its members.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Capital Markets Committee</w:t>
      </w:r>
    </w:p>
    <w:p>
      <w:pPr>
        <w:spacing w:after="0" w:line="9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231F20"/>
        </w:rPr>
        <w:t>Our Capital Markets Committee consists of Helmut Jeggle and Michael Motschmann. Mr. Jeggle is the chair of the committee. The Capital Markets Committee advises the Supervisory Board on issues in connection with capital measures and takeover, merger and acquisition activities. Its responsibilities include the following tasks:</w:t>
      </w:r>
    </w:p>
    <w:p>
      <w:pPr>
        <w:spacing w:after="0" w:line="32" w:lineRule="exact"/>
        <w:rPr>
          <w:sz w:val="20"/>
          <w:szCs w:val="20"/>
          <w:color w:val="auto"/>
        </w:rPr>
      </w:pPr>
    </w:p>
    <w:p>
      <w:pPr>
        <w:ind w:left="1020" w:hanging="340"/>
        <w:spacing w:after="0"/>
        <w:tabs>
          <w:tab w:leader="none" w:pos="1020" w:val="left"/>
        </w:tabs>
        <w:numPr>
          <w:ilvl w:val="0"/>
          <w:numId w:val="262"/>
        </w:numPr>
        <w:rPr>
          <w:rFonts w:ascii="Arial" w:cs="Arial" w:eastAsia="Arial" w:hAnsi="Arial"/>
          <w:sz w:val="12"/>
          <w:szCs w:val="12"/>
          <w:color w:val="auto"/>
        </w:rPr>
      </w:pPr>
      <w:r>
        <w:rPr>
          <w:rFonts w:ascii="Arial" w:cs="Arial" w:eastAsia="Arial" w:hAnsi="Arial"/>
          <w:sz w:val="12"/>
          <w:szCs w:val="12"/>
          <w:color w:val="auto"/>
        </w:rPr>
        <w:t>overseeing the activities of the Company relating to its capital structure and capital raising, including preparation for and implementation of public offerings and share issuances; and</w:t>
      </w:r>
    </w:p>
    <w:p>
      <w:pPr>
        <w:spacing w:after="0" w:line="91" w:lineRule="exact"/>
        <w:rPr>
          <w:rFonts w:ascii="Arial" w:cs="Arial" w:eastAsia="Arial" w:hAnsi="Arial"/>
          <w:sz w:val="12"/>
          <w:szCs w:val="12"/>
          <w:color w:val="auto"/>
        </w:rPr>
      </w:pPr>
    </w:p>
    <w:p>
      <w:pPr>
        <w:ind w:left="1020" w:hanging="340"/>
        <w:spacing w:after="0"/>
        <w:tabs>
          <w:tab w:leader="none" w:pos="102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overseeing the activities of the Company relating to takeovers, mergers and acquisitions activities.</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231F20"/>
        </w:rPr>
        <w:t>Management Board and Senior Management</w:t>
      </w:r>
    </w:p>
    <w:p>
      <w:pPr>
        <w:spacing w:after="0" w:line="94"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231F20"/>
        </w:rPr>
        <w:t>Our Management Board consists of at least two members. Our Supervisory Board determines the exact number of members of our Management Board. Pursuant to this amendment to the Articles, the Supervisory Board may also appoint a chairperson or a spokesman of the Management Board. Prof. Ugur Sahin, M.D. has been appointed chairman of the Management Board.</w:t>
      </w:r>
    </w:p>
    <w:p>
      <w:pPr>
        <w:spacing w:after="0" w:line="122" w:lineRule="exact"/>
        <w:rPr>
          <w:sz w:val="20"/>
          <w:szCs w:val="20"/>
          <w:color w:val="auto"/>
        </w:rPr>
      </w:pPr>
    </w:p>
    <w:p>
      <w:pPr>
        <w:ind w:right="40" w:firstLine="556"/>
        <w:spacing w:after="0" w:line="287" w:lineRule="auto"/>
        <w:rPr>
          <w:sz w:val="20"/>
          <w:szCs w:val="20"/>
          <w:color w:val="auto"/>
        </w:rPr>
      </w:pPr>
      <w:r>
        <w:rPr>
          <w:rFonts w:ascii="Arial" w:cs="Arial" w:eastAsia="Arial" w:hAnsi="Arial"/>
          <w:sz w:val="13"/>
          <w:szCs w:val="13"/>
          <w:color w:val="231F20"/>
        </w:rPr>
        <w:t>The members of our Management Board are appointed by our Supervisory Board for a term of up to five years. They are eligible for reappointment or extension, including repeated re-appointment and extension, after the completion of their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22" w:name="page223"/>
    <w:bookmarkEnd w:id="222"/>
    <w:p>
      <w:pPr>
        <w:ind w:right="300"/>
        <w:spacing w:after="0" w:line="287" w:lineRule="auto"/>
        <w:rPr>
          <w:sz w:val="20"/>
          <w:szCs w:val="20"/>
          <w:color w:val="auto"/>
        </w:rPr>
      </w:pPr>
      <w:r>
        <w:rPr>
          <w:rFonts w:ascii="Arial" w:cs="Arial" w:eastAsia="Arial" w:hAnsi="Arial"/>
          <w:sz w:val="13"/>
          <w:szCs w:val="13"/>
          <w:color w:val="231F20"/>
        </w:rPr>
        <w:t>term in office, in each case again for up to an additional five years. Under certain circumstances, such as a serious breach of duty or a vote of no confidence by the shareholders in a shareholders’ meeting, a member of the Management Board may be removed from office by our Supervisory Board prior to the expiration of his or her term.</w:t>
      </w:r>
    </w:p>
    <w:p>
      <w:pPr>
        <w:spacing w:after="0" w:line="122" w:lineRule="exact"/>
        <w:rPr>
          <w:sz w:val="20"/>
          <w:szCs w:val="20"/>
          <w:color w:val="auto"/>
        </w:rPr>
      </w:pPr>
    </w:p>
    <w:p>
      <w:pPr>
        <w:jc w:val="both"/>
        <w:ind w:right="280" w:firstLine="556"/>
        <w:spacing w:after="0" w:line="272" w:lineRule="auto"/>
        <w:rPr>
          <w:sz w:val="20"/>
          <w:szCs w:val="20"/>
          <w:color w:val="auto"/>
        </w:rPr>
      </w:pPr>
      <w:r>
        <w:rPr>
          <w:rFonts w:ascii="Arial" w:cs="Arial" w:eastAsia="Arial" w:hAnsi="Arial"/>
          <w:sz w:val="13"/>
          <w:szCs w:val="13"/>
          <w:color w:val="231F20"/>
        </w:rPr>
        <w:t>The members of our Management Board conduct the daily business of our company in accordance with applicable laws, our Articles of Association and the rules of procedure for the Management Board adopted by our Supervisory Board. They are generally responsible for the management of our company and for handling our daily business relations with third parties, the internal organization of our business and communications with our shareholders.</w:t>
      </w:r>
    </w:p>
    <w:p>
      <w:pPr>
        <w:spacing w:after="0" w:line="132" w:lineRule="exact"/>
        <w:rPr>
          <w:sz w:val="20"/>
          <w:szCs w:val="20"/>
          <w:color w:val="auto"/>
        </w:rPr>
      </w:pPr>
    </w:p>
    <w:p>
      <w:pPr>
        <w:jc w:val="both"/>
        <w:ind w:right="100" w:firstLine="556"/>
        <w:spacing w:after="0" w:line="272" w:lineRule="auto"/>
        <w:rPr>
          <w:sz w:val="20"/>
          <w:szCs w:val="20"/>
          <w:color w:val="auto"/>
        </w:rPr>
      </w:pPr>
      <w:r>
        <w:rPr>
          <w:rFonts w:ascii="Arial" w:cs="Arial" w:eastAsia="Arial" w:hAnsi="Arial"/>
          <w:sz w:val="13"/>
          <w:szCs w:val="13"/>
          <w:color w:val="231F20"/>
        </w:rPr>
        <w:t>A member of the management board of an SE governed by German law may not deal with or vote on matters relating to proposals, arrangements or contractual agreements between himself or herself and our company, and a member of our Management Board may be liable to us if he or she has a material interest in any contractual agreement between our company and a third party which is not disclosed to and approved by our Supervisory Board.</w:t>
      </w:r>
    </w:p>
    <w:p>
      <w:pPr>
        <w:spacing w:after="0" w:line="132" w:lineRule="exact"/>
        <w:rPr>
          <w:sz w:val="20"/>
          <w:szCs w:val="20"/>
          <w:color w:val="auto"/>
        </w:rPr>
      </w:pPr>
    </w:p>
    <w:p>
      <w:pPr>
        <w:ind w:right="200" w:firstLine="556"/>
        <w:spacing w:after="0" w:line="287" w:lineRule="auto"/>
        <w:rPr>
          <w:sz w:val="20"/>
          <w:szCs w:val="20"/>
          <w:color w:val="auto"/>
        </w:rPr>
      </w:pPr>
      <w:r>
        <w:rPr>
          <w:rFonts w:ascii="Arial" w:cs="Arial" w:eastAsia="Arial" w:hAnsi="Arial"/>
          <w:sz w:val="13"/>
          <w:szCs w:val="13"/>
          <w:color w:val="231F20"/>
        </w:rPr>
        <w:t>The rules of procedure for our Management Board provide that certain matters require a resolution of the entire Management Board, in addition to transactions for which a resolution adopted by the entire Management Board is required by law or required by our Articles of Association. In particular, the entire Management Board shall decide on, among others:</w:t>
      </w:r>
    </w:p>
    <w:p>
      <w:pPr>
        <w:spacing w:after="0" w:line="32" w:lineRule="exact"/>
        <w:rPr>
          <w:sz w:val="20"/>
          <w:szCs w:val="20"/>
          <w:color w:val="auto"/>
        </w:rPr>
      </w:pPr>
    </w:p>
    <w:p>
      <w:pPr>
        <w:ind w:left="1020" w:hanging="340"/>
        <w:spacing w:after="0"/>
        <w:tabs>
          <w:tab w:leader="none" w:pos="10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the budget plan for the following year, which is to be presented by the Management Board to the Supervisory Board by December 20 of each year;</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reporting to the Supervisory Board;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all measures and transactions that require the Supervisory Board’s approval;</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all measures and transactions relating to a business area that is of extraordinary importance to the us or involving an extraordinary economic risk;</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taking on new lines of business or discontinuing existing lines of business;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investments with a total value above €100,000;</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acquisitions or sales of interests or holdings;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certain large transactions.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Code of Conduct and Conflicts of Interest Policy</w:t>
      </w:r>
    </w:p>
    <w:p>
      <w:pPr>
        <w:spacing w:after="0" w:line="94" w:lineRule="exact"/>
        <w:rPr>
          <w:sz w:val="20"/>
          <w:szCs w:val="20"/>
          <w:color w:val="auto"/>
        </w:rPr>
      </w:pPr>
    </w:p>
    <w:p>
      <w:pPr>
        <w:ind w:right="100" w:firstLine="556"/>
        <w:spacing w:after="0" w:line="264" w:lineRule="auto"/>
        <w:rPr>
          <w:sz w:val="20"/>
          <w:szCs w:val="20"/>
          <w:color w:val="auto"/>
        </w:rPr>
      </w:pPr>
      <w:r>
        <w:rPr>
          <w:rFonts w:ascii="Arial" w:cs="Arial" w:eastAsia="Arial" w:hAnsi="Arial"/>
          <w:sz w:val="13"/>
          <w:szCs w:val="13"/>
          <w:color w:val="231F20"/>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our affiliates and employees. The full text of the Code of Conduct is available on our website at https://www.biontech.de. The information and other content appearing on our website are not incorporated by reference into this Annual Report and our website address is included in this report as an inactive textual reference only. Any amendments or waivers from the provisions of the Code of Conduct for members of our Supervisory or Management Boards will be made only after approval by our Supervisory Board and will be disclosed on our website promptly following the date of such amendment or waiver.</w:t>
      </w:r>
    </w:p>
    <w:p>
      <w:pPr>
        <w:spacing w:after="0" w:line="138"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231F20"/>
        </w:rPr>
        <w:t>We have also adopted a Conflicts of Interest Policy which sets forth the procedures by which we manage potential and actual conflicts of interest. Under the Conflicts of Interest Policy, which applies to all of our Supervisory Board Members, Management Board members, directors of our subsidiaries and our affiliates and employees, an actual, potential or perceived conflict of interest must be disclosed as soon as a Board member, director or employee discovers the conflict. If the conflict is transactional in nature and involves a member of the Management Board or the Supervisory Board, the Management or Supervisory Board, as the case may be, with the abstention of the conflicted member, shall decide whether to approve the transaction.</w:t>
      </w:r>
    </w:p>
    <w:p>
      <w:pPr>
        <w:spacing w:after="0" w:line="135"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231F20"/>
        </w:rPr>
        <w:t>In addition, we have implemented compliance policies that describe the compliance management systems that have been implemented for us and our subsidiaries. Our compliance policies are designed to ensure compliance with applicable legal requirements, while at the same time implementing high ethical standards that are mandatory for both management and each employee. The overall responsibility for the compliance management system lies with the Management Board. The Audit Committee will receive regular reports on the operation of the compliance management system.</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223" w:name="page224"/>
    <w:bookmarkEnd w:id="223"/>
    <w:p>
      <w:pPr>
        <w:ind w:left="1080" w:hanging="530"/>
        <w:spacing w:after="0"/>
        <w:tabs>
          <w:tab w:leader="none" w:pos="1080" w:val="left"/>
        </w:tabs>
        <w:numPr>
          <w:ilvl w:val="0"/>
          <w:numId w:val="264"/>
        </w:numPr>
        <w:rPr>
          <w:rFonts w:ascii="Arial" w:cs="Arial" w:eastAsia="Arial" w:hAnsi="Arial"/>
          <w:sz w:val="13"/>
          <w:szCs w:val="13"/>
          <w:b w:val="1"/>
          <w:bCs w:val="1"/>
          <w:color w:val="auto"/>
        </w:rPr>
      </w:pPr>
      <w:r>
        <w:rPr>
          <w:rFonts w:ascii="Arial" w:cs="Arial" w:eastAsia="Arial" w:hAnsi="Arial"/>
          <w:sz w:val="13"/>
          <w:szCs w:val="13"/>
          <w:b w:val="1"/>
          <w:bCs w:val="1"/>
          <w:color w:val="auto"/>
        </w:rPr>
        <w:t>Employees</w:t>
      </w:r>
    </w:p>
    <w:p>
      <w:pPr>
        <w:spacing w:after="0" w:line="94" w:lineRule="exact"/>
        <w:rPr>
          <w:sz w:val="20"/>
          <w:szCs w:val="20"/>
          <w:color w:val="auto"/>
        </w:rPr>
      </w:pPr>
    </w:p>
    <w:p>
      <w:pPr>
        <w:ind w:right="220" w:firstLine="556"/>
        <w:spacing w:after="0" w:line="287" w:lineRule="auto"/>
        <w:rPr>
          <w:sz w:val="20"/>
          <w:szCs w:val="20"/>
          <w:color w:val="auto"/>
        </w:rPr>
      </w:pPr>
      <w:r>
        <w:rPr>
          <w:rFonts w:ascii="Arial" w:cs="Arial" w:eastAsia="Arial" w:hAnsi="Arial"/>
          <w:sz w:val="13"/>
          <w:szCs w:val="13"/>
          <w:color w:val="231F20"/>
        </w:rPr>
        <w:t xml:space="preserve">As </w:t>
      </w:r>
      <w:r>
        <w:rPr>
          <w:rFonts w:ascii="Arial" w:cs="Arial" w:eastAsia="Arial" w:hAnsi="Arial"/>
          <w:sz w:val="13"/>
          <w:szCs w:val="13"/>
          <w:color w:val="000000"/>
        </w:rPr>
        <w:t>of December 31, 2019, we had 1,310 full-time equivalent employees working for BioNTech, of whom 316 hold a doctoral degree or higher. The following tables provide breakdowns of our full-time equivalent employees as of December 31, 2019 by function and by region:</w:t>
      </w:r>
    </w:p>
    <w:p>
      <w:pPr>
        <w:sectPr>
          <w:pgSz w:w="11900" w:h="16838" w:orient="portrait"/>
          <w:cols w:equalWidth="0" w:num="1">
            <w:col w:w="11280"/>
          </w:cols>
          <w:pgMar w:left="300" w:top="127" w:right="31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67880" cy="13208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7880" cy="132080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Clinical Research &amp; Development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Scientific Research &amp; Development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Operations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Quality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Supporting Functions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Commercial &amp; Business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67880" cy="1187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7880" cy="118745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Mainz, Germany (Headquarters)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Munich, Germany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Idar-Oberstein, Germany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Berlin, Germany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89</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454</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412</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141</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138</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76</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1,310</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952</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42</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212</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101</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ectPr>
          <w:pgSz w:w="11900" w:h="16838" w:orient="portrait"/>
          <w:cols w:equalWidth="0" w:num="2">
            <w:col w:w="9640" w:space="720"/>
            <w:col w:w="920"/>
          </w:cols>
          <w:pgMar w:left="300" w:top="127" w:right="31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1,310</w:t>
      </w:r>
    </w:p>
    <w:p>
      <w:pPr>
        <w:spacing w:after="0" w:line="211" w:lineRule="exact"/>
        <w:rPr>
          <w:sz w:val="20"/>
          <w:szCs w:val="20"/>
          <w:color w:val="auto"/>
        </w:rPr>
      </w:pPr>
    </w:p>
    <w:p>
      <w:pPr>
        <w:sectPr>
          <w:pgSz w:w="11900" w:h="16838" w:orient="portrait"/>
          <w:cols w:equalWidth="0" w:num="2">
            <w:col w:w="10260" w:space="720"/>
            <w:col w:w="300"/>
          </w:cols>
          <w:pgMar w:left="300" w:top="127" w:right="319" w:bottom="1440" w:gutter="0" w:footer="0" w:header="0"/>
          <w:type w:val="continuous"/>
        </w:sectPr>
      </w:pPr>
    </w:p>
    <w:p>
      <w:pPr>
        <w:spacing w:after="0" w:line="86" w:lineRule="exact"/>
        <w:rPr>
          <w:sz w:val="20"/>
          <w:szCs w:val="20"/>
          <w:color w:val="auto"/>
        </w:rPr>
      </w:pPr>
    </w:p>
    <w:p>
      <w:pPr>
        <w:ind w:right="300" w:firstLine="554"/>
        <w:spacing w:after="0" w:line="272" w:lineRule="auto"/>
        <w:rPr>
          <w:sz w:val="20"/>
          <w:szCs w:val="20"/>
          <w:color w:val="auto"/>
        </w:rPr>
      </w:pPr>
      <w:r>
        <w:rPr>
          <w:rFonts w:ascii="Arial" w:cs="Arial" w:eastAsia="Arial" w:hAnsi="Arial"/>
          <w:sz w:val="13"/>
          <w:szCs w:val="13"/>
          <w:color w:val="231F20"/>
        </w:rPr>
        <w:t xml:space="preserve">None </w:t>
      </w:r>
      <w:r>
        <w:rPr>
          <w:rFonts w:ascii="Arial" w:cs="Arial" w:eastAsia="Arial" w:hAnsi="Arial"/>
          <w:sz w:val="13"/>
          <w:szCs w:val="13"/>
          <w:color w:val="000000"/>
        </w:rPr>
        <w:t>of our employees have engaged in any labor strikes. We have no collective bargaining agreements with our employees, but we maintain a company agreement (</w:t>
      </w:r>
      <w:r>
        <w:rPr>
          <w:rFonts w:ascii="Arial" w:cs="Arial" w:eastAsia="Arial" w:hAnsi="Arial"/>
          <w:sz w:val="13"/>
          <w:szCs w:val="13"/>
          <w:i w:val="1"/>
          <w:iCs w:val="1"/>
          <w:color w:val="000000"/>
        </w:rPr>
        <w:t>Betriebsvereinbarungen</w:t>
      </w:r>
      <w:r>
        <w:rPr>
          <w:rFonts w:ascii="Arial" w:cs="Arial" w:eastAsia="Arial" w:hAnsi="Arial"/>
          <w:sz w:val="13"/>
          <w:szCs w:val="13"/>
          <w:color w:val="000000"/>
        </w:rPr>
        <w:t>) with</w:t>
      </w:r>
      <w:r>
        <w:rPr>
          <w:rFonts w:ascii="Arial" w:cs="Arial" w:eastAsia="Arial" w:hAnsi="Arial"/>
          <w:sz w:val="13"/>
          <w:szCs w:val="13"/>
          <w:color w:val="231F20"/>
        </w:rPr>
        <w:t xml:space="preserve"> </w:t>
      </w:r>
      <w:r>
        <w:rPr>
          <w:rFonts w:ascii="Arial" w:cs="Arial" w:eastAsia="Arial" w:hAnsi="Arial"/>
          <w:sz w:val="13"/>
          <w:szCs w:val="13"/>
          <w:color w:val="000000"/>
        </w:rPr>
        <w:t>respect to certain topics at our Idar-Oberstein site. We have a workers’ council at our Idar-Oberstein and Mainz sites. However, we consider our relationship with our employees to be positive and have not experienced any major labor disputes.</w:t>
      </w:r>
    </w:p>
    <w:p>
      <w:pPr>
        <w:spacing w:after="0" w:line="208" w:lineRule="exact"/>
        <w:rPr>
          <w:sz w:val="20"/>
          <w:szCs w:val="20"/>
          <w:color w:val="auto"/>
        </w:rPr>
      </w:pPr>
    </w:p>
    <w:p>
      <w:pPr>
        <w:ind w:left="1080" w:hanging="530"/>
        <w:spacing w:after="0"/>
        <w:tabs>
          <w:tab w:leader="none" w:pos="1080" w:val="left"/>
        </w:tabs>
        <w:numPr>
          <w:ilvl w:val="0"/>
          <w:numId w:val="265"/>
        </w:numPr>
        <w:rPr>
          <w:rFonts w:ascii="Arial" w:cs="Arial" w:eastAsia="Arial" w:hAnsi="Arial"/>
          <w:sz w:val="13"/>
          <w:szCs w:val="13"/>
          <w:b w:val="1"/>
          <w:bCs w:val="1"/>
          <w:color w:val="auto"/>
        </w:rPr>
      </w:pPr>
      <w:r>
        <w:rPr>
          <w:rFonts w:ascii="Arial" w:cs="Arial" w:eastAsia="Arial" w:hAnsi="Arial"/>
          <w:sz w:val="13"/>
          <w:szCs w:val="13"/>
          <w:b w:val="1"/>
          <w:bCs w:val="1"/>
          <w:color w:val="auto"/>
        </w:rPr>
        <w:t>Share Ownership</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share ownership information with respect to Management Board and Supervisory Board members is presented in Item 7 below.</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224" w:name="page225"/>
    <w:bookmarkEnd w:id="224"/>
    <w:p>
      <w:pPr>
        <w:spacing w:after="0"/>
        <w:rPr>
          <w:sz w:val="20"/>
          <w:szCs w:val="20"/>
          <w:color w:val="auto"/>
        </w:rPr>
      </w:pPr>
      <w:r>
        <w:rPr>
          <w:rFonts w:ascii="Arial" w:cs="Arial" w:eastAsia="Arial" w:hAnsi="Arial"/>
          <w:sz w:val="13"/>
          <w:szCs w:val="13"/>
          <w:b w:val="1"/>
          <w:bCs w:val="1"/>
          <w:color w:val="auto"/>
        </w:rPr>
        <w:t>Item 7. Major Shareholders and Related Party Transactions</w:t>
      </w:r>
    </w:p>
    <w:p>
      <w:pPr>
        <w:spacing w:after="0" w:line="90" w:lineRule="exact"/>
        <w:rPr>
          <w:sz w:val="20"/>
          <w:szCs w:val="20"/>
          <w:color w:val="auto"/>
        </w:rPr>
      </w:pPr>
    </w:p>
    <w:p>
      <w:pPr>
        <w:ind w:left="1100" w:hanging="550"/>
        <w:spacing w:after="0"/>
        <w:tabs>
          <w:tab w:leader="none" w:pos="1100" w:val="left"/>
        </w:tabs>
        <w:numPr>
          <w:ilvl w:val="0"/>
          <w:numId w:val="266"/>
        </w:numPr>
        <w:rPr>
          <w:rFonts w:ascii="Arial" w:cs="Arial" w:eastAsia="Arial" w:hAnsi="Arial"/>
          <w:sz w:val="13"/>
          <w:szCs w:val="13"/>
          <w:b w:val="1"/>
          <w:bCs w:val="1"/>
          <w:color w:val="auto"/>
        </w:rPr>
      </w:pPr>
      <w:r>
        <w:rPr>
          <w:rFonts w:ascii="Arial" w:cs="Arial" w:eastAsia="Arial" w:hAnsi="Arial"/>
          <w:sz w:val="13"/>
          <w:szCs w:val="13"/>
          <w:b w:val="1"/>
          <w:bCs w:val="1"/>
          <w:color w:val="auto"/>
        </w:rPr>
        <w:t>Major Shareholders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color w:val="231F20"/>
        </w:rPr>
        <w:t>following</w:t>
      </w:r>
      <w:r>
        <w:rPr>
          <w:rFonts w:ascii="Arial" w:cs="Arial" w:eastAsia="Arial" w:hAnsi="Arial"/>
          <w:sz w:val="13"/>
          <w:szCs w:val="13"/>
          <w:color w:val="auto"/>
        </w:rPr>
        <w:t xml:space="preserve"> table presents information, as of February 14, 2020, regarding the beneficial ownership of our ordinary shares for:</w:t>
      </w:r>
    </w:p>
    <w:p>
      <w:pPr>
        <w:spacing w:after="0" w:line="80" w:lineRule="exact"/>
        <w:rPr>
          <w:sz w:val="20"/>
          <w:szCs w:val="20"/>
          <w:color w:val="auto"/>
        </w:rPr>
      </w:pPr>
    </w:p>
    <w:p>
      <w:pPr>
        <w:ind w:left="1020" w:hanging="340"/>
        <w:spacing w:after="0"/>
        <w:tabs>
          <w:tab w:leader="none" w:pos="102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each person, or group of affiliated persons, known by us to own beneficially 5% or more of our outstanding shares;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each member of our Supervisory Board;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each member of our Management Board;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all members of our Supervisory Board and Management Board as a group.</w:t>
      </w:r>
    </w:p>
    <w:p>
      <w:pPr>
        <w:spacing w:after="0" w:line="170" w:lineRule="exact"/>
        <w:rPr>
          <w:sz w:val="20"/>
          <w:szCs w:val="20"/>
          <w:color w:val="auto"/>
        </w:rPr>
      </w:pPr>
    </w:p>
    <w:p>
      <w:pPr>
        <w:ind w:right="40" w:firstLine="556"/>
        <w:spacing w:after="0" w:line="264" w:lineRule="auto"/>
        <w:rPr>
          <w:sz w:val="20"/>
          <w:szCs w:val="20"/>
          <w:color w:val="auto"/>
        </w:rPr>
      </w:pPr>
      <w:r>
        <w:rPr>
          <w:rFonts w:ascii="Arial" w:cs="Arial" w:eastAsia="Arial" w:hAnsi="Arial"/>
          <w:sz w:val="13"/>
          <w:szCs w:val="13"/>
          <w:color w:val="231F20"/>
        </w:rPr>
        <w:t xml:space="preserve">The number of ordinary shares beneficially owned by each entity, person, and member of our Supervisory Board and our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w:t>
      </w:r>
      <w:r>
        <w:rPr>
          <w:rFonts w:ascii="Arial" w:cs="Arial" w:eastAsia="Arial" w:hAnsi="Arial"/>
          <w:sz w:val="13"/>
          <w:szCs w:val="13"/>
          <w:color w:val="000000"/>
        </w:rPr>
        <w:t>of February 14, 2020</w:t>
      </w:r>
      <w:r>
        <w:rPr>
          <w:rFonts w:ascii="Arial" w:cs="Arial" w:eastAsia="Arial" w:hAnsi="Arial"/>
          <w:sz w:val="13"/>
          <w:szCs w:val="13"/>
          <w:color w:val="231F20"/>
        </w:rPr>
        <w:t xml:space="preserve"> through the exercise of any option, warrant or other right. Except as otherwise indicated, and subject to applicable community property laws, the persons named in the table have sole voting and investment power with respect to all ordinary shares held by that person. All of our ordinary shares and ADSs representing our ordinary shares vote on an equal basis.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 xml:space="preserve">The </w:t>
      </w:r>
      <w:r>
        <w:rPr>
          <w:rFonts w:ascii="Arial" w:cs="Arial" w:eastAsia="Arial" w:hAnsi="Arial"/>
          <w:sz w:val="12"/>
          <w:szCs w:val="12"/>
          <w:color w:val="000000"/>
        </w:rPr>
        <w:t>percentage of outstanding ordinary shares is computed on the basis of 226,779,744 ordinary shares outstanding as of February 14, 2020. This amount excludes 5,524,506 shares held in treasury.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Unless otherwise indicated, the address for each beneficial owner is An der Goldgrube 12, D-55131 Mainz, Germany.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 of Beneficial Owner</w:t>
            </w:r>
          </w:p>
        </w:tc>
        <w:tc>
          <w:tcPr>
            <w:tcW w:w="3000" w:type="dxa"/>
            <w:vAlign w:val="bottom"/>
            <w:tcBorders>
              <w:right w:val="single" w:sz="8" w:color="70AD47"/>
            </w:tcBorders>
          </w:tcPr>
          <w:p>
            <w:pPr>
              <w:spacing w:after="0"/>
              <w:rPr>
                <w:sz w:val="13"/>
                <w:szCs w:val="13"/>
                <w:color w:val="auto"/>
              </w:rPr>
            </w:pPr>
          </w:p>
        </w:tc>
        <w:tc>
          <w:tcPr>
            <w:tcW w:w="1700" w:type="dxa"/>
            <w:vAlign w:val="bottom"/>
            <w:tcBorders>
              <w:right w:val="single" w:sz="8" w:color="70AD47"/>
            </w:tcBorders>
          </w:tcPr>
          <w:p>
            <w:pPr>
              <w:jc w:val="right"/>
              <w:ind w:right="273"/>
              <w:spacing w:after="0"/>
              <w:rPr>
                <w:sz w:val="20"/>
                <w:szCs w:val="20"/>
                <w:color w:val="auto"/>
              </w:rPr>
            </w:pPr>
            <w:r>
              <w:rPr>
                <w:rFonts w:ascii="Arial" w:cs="Arial" w:eastAsia="Arial" w:hAnsi="Arial"/>
                <w:sz w:val="13"/>
                <w:szCs w:val="13"/>
                <w:b w:val="1"/>
                <w:bCs w:val="1"/>
                <w:color w:val="auto"/>
              </w:rPr>
              <w:t>Number of Shares</w:t>
            </w:r>
          </w:p>
        </w:tc>
        <w:tc>
          <w:tcPr>
            <w:tcW w:w="1660" w:type="dxa"/>
            <w:vAlign w:val="bottom"/>
          </w:tcPr>
          <w:p>
            <w:pPr>
              <w:jc w:val="right"/>
              <w:ind w:right="117"/>
              <w:spacing w:after="0"/>
              <w:rPr>
                <w:sz w:val="20"/>
                <w:szCs w:val="20"/>
                <w:color w:val="auto"/>
              </w:rPr>
            </w:pPr>
            <w:r>
              <w:rPr>
                <w:rFonts w:ascii="Arial" w:cs="Arial" w:eastAsia="Arial" w:hAnsi="Arial"/>
                <w:sz w:val="13"/>
                <w:szCs w:val="13"/>
                <w:b w:val="1"/>
                <w:bCs w:val="1"/>
                <w:color w:val="auto"/>
              </w:rPr>
              <w:t>Percentage Beneficially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920" w:type="dxa"/>
            <w:vAlign w:val="bottom"/>
            <w:vMerge w:val="continue"/>
          </w:tcPr>
          <w:p>
            <w:pPr>
              <w:spacing w:after="0"/>
              <w:rPr>
                <w:sz w:val="8"/>
                <w:szCs w:val="8"/>
                <w:color w:val="auto"/>
              </w:rPr>
            </w:pPr>
          </w:p>
        </w:tc>
        <w:tc>
          <w:tcPr>
            <w:tcW w:w="3000" w:type="dxa"/>
            <w:vAlign w:val="bottom"/>
            <w:tcBorders>
              <w:right w:val="single" w:sz="8" w:color="70AD47"/>
            </w:tcBorders>
          </w:tcPr>
          <w:p>
            <w:pPr>
              <w:spacing w:after="0"/>
              <w:rPr>
                <w:sz w:val="8"/>
                <w:szCs w:val="8"/>
                <w:color w:val="auto"/>
              </w:rPr>
            </w:pPr>
          </w:p>
        </w:tc>
        <w:tc>
          <w:tcPr>
            <w:tcW w:w="1700" w:type="dxa"/>
            <w:vAlign w:val="bottom"/>
            <w:tcBorders>
              <w:right w:val="single" w:sz="8" w:color="70AD47"/>
            </w:tcBorders>
            <w:vMerge w:val="restart"/>
          </w:tcPr>
          <w:p>
            <w:pPr>
              <w:jc w:val="right"/>
              <w:ind w:right="253"/>
              <w:spacing w:after="0"/>
              <w:rPr>
                <w:sz w:val="20"/>
                <w:szCs w:val="20"/>
                <w:color w:val="auto"/>
              </w:rPr>
            </w:pPr>
            <w:r>
              <w:rPr>
                <w:rFonts w:ascii="Arial" w:cs="Arial" w:eastAsia="Arial" w:hAnsi="Arial"/>
                <w:sz w:val="13"/>
                <w:szCs w:val="13"/>
                <w:b w:val="1"/>
                <w:bCs w:val="1"/>
                <w:color w:val="auto"/>
              </w:rPr>
              <w:t>Beneficially Owned</w:t>
            </w:r>
          </w:p>
        </w:tc>
        <w:tc>
          <w:tcPr>
            <w:tcW w:w="1660" w:type="dxa"/>
            <w:vAlign w:val="bottom"/>
            <w:vMerge w:val="restart"/>
          </w:tcPr>
          <w:p>
            <w:pPr>
              <w:jc w:val="right"/>
              <w:ind w:right="577"/>
              <w:spacing w:after="0"/>
              <w:rPr>
                <w:sz w:val="20"/>
                <w:szCs w:val="20"/>
                <w:color w:val="auto"/>
              </w:rPr>
            </w:pPr>
            <w:r>
              <w:rPr>
                <w:rFonts w:ascii="Arial" w:cs="Arial" w:eastAsia="Arial" w:hAnsi="Arial"/>
                <w:sz w:val="13"/>
                <w:szCs w:val="13"/>
                <w:b w:val="1"/>
                <w:bCs w:val="1"/>
                <w:color w:val="auto"/>
              </w:rPr>
              <w:t>Owned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920" w:type="dxa"/>
            <w:vAlign w:val="bottom"/>
            <w:tcBorders>
              <w:bottom w:val="single" w:sz="8" w:color="70AD47"/>
            </w:tcBorders>
          </w:tcPr>
          <w:p>
            <w:pPr>
              <w:spacing w:after="0"/>
              <w:rPr>
                <w:sz w:val="6"/>
                <w:szCs w:val="6"/>
                <w:color w:val="auto"/>
              </w:rPr>
            </w:pPr>
          </w:p>
        </w:tc>
        <w:tc>
          <w:tcPr>
            <w:tcW w:w="3000" w:type="dxa"/>
            <w:vAlign w:val="bottom"/>
            <w:tcBorders>
              <w:bottom w:val="single" w:sz="8" w:color="70AD47"/>
              <w:right w:val="single" w:sz="8" w:color="70AD47"/>
            </w:tcBorders>
          </w:tcPr>
          <w:p>
            <w:pPr>
              <w:spacing w:after="0"/>
              <w:rPr>
                <w:sz w:val="6"/>
                <w:szCs w:val="6"/>
                <w:color w:val="auto"/>
              </w:rPr>
            </w:pPr>
          </w:p>
        </w:tc>
        <w:tc>
          <w:tcPr>
            <w:tcW w:w="1700" w:type="dxa"/>
            <w:vAlign w:val="bottom"/>
            <w:tcBorders>
              <w:bottom w:val="single" w:sz="8" w:color="70AD47"/>
              <w:right w:val="single" w:sz="8" w:color="70AD47"/>
            </w:tcBorders>
            <w:vMerge w:val="continue"/>
          </w:tcPr>
          <w:p>
            <w:pPr>
              <w:spacing w:after="0"/>
              <w:rPr>
                <w:sz w:val="6"/>
                <w:szCs w:val="6"/>
                <w:color w:val="auto"/>
              </w:rPr>
            </w:pPr>
          </w:p>
        </w:tc>
        <w:tc>
          <w:tcPr>
            <w:tcW w:w="1660" w:type="dxa"/>
            <w:vAlign w:val="bottom"/>
            <w:tcBorders>
              <w:bottom w:val="single" w:sz="8" w:color="70AD47"/>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4920" w:type="dxa"/>
            <w:vAlign w:val="bottom"/>
          </w:tcPr>
          <w:p>
            <w:pPr>
              <w:spacing w:after="0"/>
              <w:rPr>
                <w:sz w:val="20"/>
                <w:szCs w:val="20"/>
                <w:color w:val="auto"/>
              </w:rPr>
            </w:pPr>
            <w:r>
              <w:rPr>
                <w:rFonts w:ascii="Arial" w:cs="Arial" w:eastAsia="Arial" w:hAnsi="Arial"/>
                <w:sz w:val="13"/>
                <w:szCs w:val="13"/>
                <w:b w:val="1"/>
                <w:bCs w:val="1"/>
                <w:color w:val="auto"/>
              </w:rPr>
              <w:t>5% Shareholders</w:t>
            </w:r>
          </w:p>
        </w:tc>
        <w:tc>
          <w:tcPr>
            <w:tcW w:w="3000" w:type="dxa"/>
            <w:vAlign w:val="bottom"/>
            <w:tcBorders>
              <w:right w:val="single" w:sz="8" w:color="70AD47"/>
            </w:tcBorders>
          </w:tcPr>
          <w:p>
            <w:pPr>
              <w:spacing w:after="0"/>
              <w:rPr>
                <w:sz w:val="24"/>
                <w:szCs w:val="24"/>
                <w:color w:val="auto"/>
              </w:rPr>
            </w:pPr>
          </w:p>
        </w:tc>
        <w:tc>
          <w:tcPr>
            <w:tcW w:w="1700" w:type="dxa"/>
            <w:vAlign w:val="bottom"/>
            <w:tcBorders>
              <w:right w:val="single" w:sz="8" w:color="70AD47"/>
            </w:tcBorders>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20" w:type="dxa"/>
            <w:vAlign w:val="bottom"/>
          </w:tcPr>
          <w:p>
            <w:pPr>
              <w:ind w:left="100"/>
              <w:spacing w:after="0"/>
              <w:rPr>
                <w:sz w:val="20"/>
                <w:szCs w:val="20"/>
                <w:color w:val="auto"/>
              </w:rPr>
            </w:pPr>
            <w:r>
              <w:rPr>
                <w:rFonts w:ascii="Arial" w:cs="Arial" w:eastAsia="Arial" w:hAnsi="Arial"/>
                <w:sz w:val="13"/>
                <w:szCs w:val="13"/>
                <w:color w:val="auto"/>
              </w:rPr>
              <w:t xml:space="preserve">AT Impf GmbH </w:t>
            </w:r>
            <w:r>
              <w:rPr>
                <w:rFonts w:ascii="Arial" w:cs="Arial" w:eastAsia="Arial" w:hAnsi="Arial"/>
                <w:sz w:val="18"/>
                <w:szCs w:val="18"/>
                <w:color w:val="auto"/>
                <w:vertAlign w:val="superscript"/>
              </w:rPr>
              <w:t>(1)</w:t>
            </w:r>
          </w:p>
        </w:tc>
        <w:tc>
          <w:tcPr>
            <w:tcW w:w="3000" w:type="dxa"/>
            <w:vAlign w:val="bottom"/>
            <w:tcBorders>
              <w:right w:val="single" w:sz="8" w:color="70AD47"/>
            </w:tcBorders>
          </w:tcPr>
          <w:p>
            <w:pPr>
              <w:spacing w:after="0"/>
              <w:rPr>
                <w:sz w:val="21"/>
                <w:szCs w:val="21"/>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114,141,520</w:t>
            </w:r>
          </w:p>
        </w:tc>
        <w:tc>
          <w:tcPr>
            <w:tcW w:w="1660" w:type="dxa"/>
            <w:vAlign w:val="bottom"/>
          </w:tcPr>
          <w:p>
            <w:pPr>
              <w:jc w:val="right"/>
              <w:spacing w:after="0"/>
              <w:rPr>
                <w:sz w:val="20"/>
                <w:szCs w:val="20"/>
                <w:color w:val="auto"/>
              </w:rPr>
            </w:pPr>
            <w:r>
              <w:rPr>
                <w:rFonts w:ascii="Arial" w:cs="Arial" w:eastAsia="Arial" w:hAnsi="Arial"/>
                <w:sz w:val="13"/>
                <w:szCs w:val="13"/>
                <w:color w:val="auto"/>
              </w:rPr>
              <w:t>50.33%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00"/>
              <w:spacing w:after="0"/>
              <w:rPr>
                <w:sz w:val="20"/>
                <w:szCs w:val="20"/>
                <w:color w:val="auto"/>
              </w:rPr>
            </w:pPr>
            <w:r>
              <w:rPr>
                <w:rFonts w:ascii="Arial" w:cs="Arial" w:eastAsia="Arial" w:hAnsi="Arial"/>
                <w:sz w:val="13"/>
                <w:szCs w:val="13"/>
                <w:color w:val="auto"/>
              </w:rPr>
              <w:t xml:space="preserve">Medine GmbH </w:t>
            </w:r>
            <w:r>
              <w:rPr>
                <w:rFonts w:ascii="Arial" w:cs="Arial" w:eastAsia="Arial" w:hAnsi="Arial"/>
                <w:sz w:val="18"/>
                <w:szCs w:val="18"/>
                <w:color w:val="auto"/>
                <w:vertAlign w:val="superscript"/>
              </w:rPr>
              <w:t>(2)</w:t>
            </w:r>
          </w:p>
        </w:tc>
        <w:tc>
          <w:tcPr>
            <w:tcW w:w="3000" w:type="dxa"/>
            <w:vAlign w:val="bottom"/>
            <w:tcBorders>
              <w:right w:val="single" w:sz="8" w:color="70AD47"/>
            </w:tcBorders>
          </w:tcPr>
          <w:p>
            <w:pPr>
              <w:spacing w:after="0"/>
              <w:rPr>
                <w:sz w:val="18"/>
                <w:szCs w:val="18"/>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41,690,970</w:t>
            </w:r>
          </w:p>
        </w:tc>
        <w:tc>
          <w:tcPr>
            <w:tcW w:w="1660" w:type="dxa"/>
            <w:vAlign w:val="bottom"/>
          </w:tcPr>
          <w:p>
            <w:pPr>
              <w:jc w:val="right"/>
              <w:spacing w:after="0"/>
              <w:rPr>
                <w:sz w:val="20"/>
                <w:szCs w:val="20"/>
                <w:color w:val="auto"/>
              </w:rPr>
            </w:pPr>
            <w:r>
              <w:rPr>
                <w:rFonts w:ascii="Arial" w:cs="Arial" w:eastAsia="Arial" w:hAnsi="Arial"/>
                <w:sz w:val="13"/>
                <w:szCs w:val="13"/>
                <w:color w:val="auto"/>
              </w:rPr>
              <w:t>18.38%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00"/>
              <w:spacing w:after="0"/>
              <w:rPr>
                <w:sz w:val="20"/>
                <w:szCs w:val="20"/>
                <w:color w:val="auto"/>
              </w:rPr>
            </w:pPr>
            <w:r>
              <w:rPr>
                <w:rFonts w:ascii="Arial" w:cs="Arial" w:eastAsia="Arial" w:hAnsi="Arial"/>
                <w:sz w:val="13"/>
                <w:szCs w:val="13"/>
                <w:color w:val="auto"/>
              </w:rPr>
              <w:t xml:space="preserve">MIG Verwaltungs AG </w:t>
            </w:r>
            <w:r>
              <w:rPr>
                <w:rFonts w:ascii="Arial" w:cs="Arial" w:eastAsia="Arial" w:hAnsi="Arial"/>
                <w:sz w:val="18"/>
                <w:szCs w:val="18"/>
                <w:color w:val="auto"/>
                <w:vertAlign w:val="superscript"/>
              </w:rPr>
              <w:t>(3)</w:t>
            </w:r>
          </w:p>
        </w:tc>
        <w:tc>
          <w:tcPr>
            <w:tcW w:w="3000" w:type="dxa"/>
            <w:vAlign w:val="bottom"/>
            <w:tcBorders>
              <w:right w:val="single" w:sz="8" w:color="70AD47"/>
            </w:tcBorders>
          </w:tcPr>
          <w:p>
            <w:pPr>
              <w:spacing w:after="0"/>
              <w:rPr>
                <w:sz w:val="18"/>
                <w:szCs w:val="18"/>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13,556,106</w:t>
            </w:r>
          </w:p>
        </w:tc>
        <w:tc>
          <w:tcPr>
            <w:tcW w:w="1660" w:type="dxa"/>
            <w:vAlign w:val="bottom"/>
          </w:tcPr>
          <w:p>
            <w:pPr>
              <w:jc w:val="right"/>
              <w:spacing w:after="0"/>
              <w:rPr>
                <w:sz w:val="20"/>
                <w:szCs w:val="20"/>
                <w:color w:val="auto"/>
              </w:rPr>
            </w:pPr>
            <w:r>
              <w:rPr>
                <w:rFonts w:ascii="Arial" w:cs="Arial" w:eastAsia="Arial" w:hAnsi="Arial"/>
                <w:sz w:val="13"/>
                <w:szCs w:val="13"/>
                <w:color w:val="auto"/>
              </w:rPr>
              <w:t>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100"/>
              <w:spacing w:after="0"/>
              <w:rPr>
                <w:sz w:val="20"/>
                <w:szCs w:val="20"/>
                <w:color w:val="auto"/>
              </w:rPr>
            </w:pPr>
            <w:r>
              <w:rPr>
                <w:rFonts w:ascii="Arial" w:cs="Arial" w:eastAsia="Arial" w:hAnsi="Arial"/>
                <w:sz w:val="13"/>
                <w:szCs w:val="13"/>
                <w:color w:val="auto"/>
              </w:rPr>
              <w:t>Entities affiliated with FMR LLC</w:t>
            </w:r>
          </w:p>
        </w:tc>
        <w:tc>
          <w:tcPr>
            <w:tcW w:w="3000" w:type="dxa"/>
            <w:vAlign w:val="bottom"/>
            <w:tcBorders>
              <w:right w:val="single" w:sz="8" w:color="70AD47"/>
            </w:tcBorders>
          </w:tcPr>
          <w:p>
            <w:pPr>
              <w:spacing w:after="0"/>
              <w:rPr>
                <w:sz w:val="16"/>
                <w:szCs w:val="16"/>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12,718,257</w:t>
            </w:r>
          </w:p>
        </w:tc>
        <w:tc>
          <w:tcPr>
            <w:tcW w:w="1660" w:type="dxa"/>
            <w:vAlign w:val="bottom"/>
          </w:tcPr>
          <w:p>
            <w:pPr>
              <w:jc w:val="right"/>
              <w:spacing w:after="0"/>
              <w:rPr>
                <w:sz w:val="20"/>
                <w:szCs w:val="20"/>
                <w:color w:val="auto"/>
              </w:rPr>
            </w:pPr>
            <w:r>
              <w:rPr>
                <w:rFonts w:ascii="Arial" w:cs="Arial" w:eastAsia="Arial" w:hAnsi="Arial"/>
                <w:sz w:val="13"/>
                <w:szCs w:val="13"/>
                <w:color w:val="auto"/>
              </w:rPr>
              <w:t>5.61%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Arial" w:cs="Arial" w:eastAsia="Arial" w:hAnsi="Arial"/>
                <w:sz w:val="13"/>
                <w:szCs w:val="13"/>
                <w:b w:val="1"/>
                <w:bCs w:val="1"/>
                <w:color w:val="auto"/>
              </w:rPr>
              <w:t>Members of the Supervisory Board and the Management Board</w:t>
            </w:r>
          </w:p>
        </w:tc>
        <w:tc>
          <w:tcPr>
            <w:tcW w:w="3000" w:type="dxa"/>
            <w:vAlign w:val="bottom"/>
            <w:tcBorders>
              <w:right w:val="single" w:sz="8" w:color="70AD47"/>
            </w:tcBorders>
          </w:tcPr>
          <w:p>
            <w:pPr>
              <w:spacing w:after="0"/>
              <w:rPr>
                <w:sz w:val="16"/>
                <w:szCs w:val="16"/>
                <w:color w:val="auto"/>
              </w:rPr>
            </w:pPr>
          </w:p>
        </w:tc>
        <w:tc>
          <w:tcPr>
            <w:tcW w:w="1700" w:type="dxa"/>
            <w:vAlign w:val="bottom"/>
            <w:tcBorders>
              <w:right w:val="single" w:sz="8" w:color="70AD47"/>
            </w:tcBorders>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920" w:type="dxa"/>
            <w:vAlign w:val="bottom"/>
          </w:tcPr>
          <w:p>
            <w:pPr>
              <w:ind w:left="100"/>
              <w:spacing w:after="0"/>
              <w:rPr>
                <w:sz w:val="20"/>
                <w:szCs w:val="20"/>
                <w:color w:val="auto"/>
              </w:rPr>
            </w:pPr>
            <w:r>
              <w:rPr>
                <w:rFonts w:ascii="Arial" w:cs="Arial" w:eastAsia="Arial" w:hAnsi="Arial"/>
                <w:sz w:val="13"/>
                <w:szCs w:val="13"/>
                <w:color w:val="auto"/>
              </w:rPr>
              <w:t xml:space="preserve">Prof. Ugur Sahin, M.D. </w:t>
            </w:r>
            <w:r>
              <w:rPr>
                <w:rFonts w:ascii="Arial" w:cs="Arial" w:eastAsia="Arial" w:hAnsi="Arial"/>
                <w:sz w:val="18"/>
                <w:szCs w:val="18"/>
                <w:color w:val="auto"/>
                <w:vertAlign w:val="superscript"/>
              </w:rPr>
              <w:t>(4)</w:t>
            </w:r>
          </w:p>
        </w:tc>
        <w:tc>
          <w:tcPr>
            <w:tcW w:w="3000" w:type="dxa"/>
            <w:vAlign w:val="bottom"/>
            <w:tcBorders>
              <w:right w:val="single" w:sz="8" w:color="70AD47"/>
            </w:tcBorders>
          </w:tcPr>
          <w:p>
            <w:pPr>
              <w:spacing w:after="0"/>
              <w:rPr>
                <w:sz w:val="21"/>
                <w:szCs w:val="21"/>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41,690,970</w:t>
            </w:r>
          </w:p>
        </w:tc>
        <w:tc>
          <w:tcPr>
            <w:tcW w:w="1660" w:type="dxa"/>
            <w:vAlign w:val="bottom"/>
          </w:tcPr>
          <w:p>
            <w:pPr>
              <w:jc w:val="right"/>
              <w:spacing w:after="0"/>
              <w:rPr>
                <w:sz w:val="20"/>
                <w:szCs w:val="20"/>
                <w:color w:val="auto"/>
              </w:rPr>
            </w:pPr>
            <w:r>
              <w:rPr>
                <w:rFonts w:ascii="Arial" w:cs="Arial" w:eastAsia="Arial" w:hAnsi="Arial"/>
                <w:sz w:val="13"/>
                <w:szCs w:val="13"/>
                <w:color w:val="auto"/>
              </w:rPr>
              <w:t>18.38%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00"/>
              <w:spacing w:after="0"/>
              <w:rPr>
                <w:sz w:val="20"/>
                <w:szCs w:val="20"/>
                <w:color w:val="auto"/>
              </w:rPr>
            </w:pPr>
            <w:r>
              <w:rPr>
                <w:rFonts w:ascii="Arial" w:cs="Arial" w:eastAsia="Arial" w:hAnsi="Arial"/>
                <w:sz w:val="13"/>
                <w:szCs w:val="13"/>
                <w:color w:val="auto"/>
              </w:rPr>
              <w:t xml:space="preserve">Sean Marett </w:t>
            </w:r>
            <w:r>
              <w:rPr>
                <w:rFonts w:ascii="Arial" w:cs="Arial" w:eastAsia="Arial" w:hAnsi="Arial"/>
                <w:sz w:val="18"/>
                <w:szCs w:val="18"/>
                <w:color w:val="auto"/>
                <w:vertAlign w:val="superscript"/>
              </w:rPr>
              <w:t>(5)</w:t>
            </w:r>
          </w:p>
        </w:tc>
        <w:tc>
          <w:tcPr>
            <w:tcW w:w="3000" w:type="dxa"/>
            <w:vAlign w:val="bottom"/>
            <w:tcBorders>
              <w:right w:val="single" w:sz="8" w:color="70AD47"/>
            </w:tcBorders>
          </w:tcPr>
          <w:p>
            <w:pPr>
              <w:spacing w:after="0"/>
              <w:rPr>
                <w:sz w:val="18"/>
                <w:szCs w:val="18"/>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1,091,502</w:t>
            </w:r>
          </w:p>
        </w:tc>
        <w:tc>
          <w:tcPr>
            <w:tcW w:w="1660" w:type="dxa"/>
            <w:vAlign w:val="bottom"/>
          </w:tcPr>
          <w:p>
            <w:pPr>
              <w:jc w:val="right"/>
              <w:spacing w:after="0"/>
              <w:rPr>
                <w:sz w:val="20"/>
                <w:szCs w:val="20"/>
                <w:color w:val="auto"/>
              </w:rPr>
            </w:pPr>
            <w:r>
              <w:rPr>
                <w:rFonts w:ascii="Arial" w:cs="Arial" w:eastAsia="Arial" w:hAnsi="Arial"/>
                <w:sz w:val="9"/>
                <w:szCs w:val="9"/>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00"/>
              <w:spacing w:after="0"/>
              <w:rPr>
                <w:sz w:val="20"/>
                <w:szCs w:val="20"/>
                <w:color w:val="auto"/>
              </w:rPr>
            </w:pPr>
            <w:r>
              <w:rPr>
                <w:rFonts w:ascii="Arial" w:cs="Arial" w:eastAsia="Arial" w:hAnsi="Arial"/>
                <w:sz w:val="13"/>
                <w:szCs w:val="13"/>
                <w:color w:val="auto"/>
              </w:rPr>
              <w:t xml:space="preserve">Dr. Sierk Poetting </w:t>
            </w:r>
            <w:r>
              <w:rPr>
                <w:rFonts w:ascii="Arial" w:cs="Arial" w:eastAsia="Arial" w:hAnsi="Arial"/>
                <w:sz w:val="18"/>
                <w:szCs w:val="18"/>
                <w:color w:val="auto"/>
                <w:vertAlign w:val="superscript"/>
              </w:rPr>
              <w:t>(6)</w:t>
            </w:r>
          </w:p>
        </w:tc>
        <w:tc>
          <w:tcPr>
            <w:tcW w:w="3000" w:type="dxa"/>
            <w:vAlign w:val="bottom"/>
            <w:tcBorders>
              <w:right w:val="single" w:sz="8" w:color="70AD47"/>
            </w:tcBorders>
          </w:tcPr>
          <w:p>
            <w:pPr>
              <w:spacing w:after="0"/>
              <w:rPr>
                <w:sz w:val="18"/>
                <w:szCs w:val="18"/>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711,828</w:t>
            </w:r>
          </w:p>
        </w:tc>
        <w:tc>
          <w:tcPr>
            <w:tcW w:w="1660" w:type="dxa"/>
            <w:vAlign w:val="bottom"/>
          </w:tcPr>
          <w:p>
            <w:pPr>
              <w:jc w:val="right"/>
              <w:spacing w:after="0"/>
              <w:rPr>
                <w:sz w:val="20"/>
                <w:szCs w:val="20"/>
                <w:color w:val="auto"/>
              </w:rPr>
            </w:pPr>
            <w:r>
              <w:rPr>
                <w:rFonts w:ascii="Arial" w:cs="Arial" w:eastAsia="Arial" w:hAnsi="Arial"/>
                <w:sz w:val="9"/>
                <w:szCs w:val="9"/>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100"/>
              <w:spacing w:after="0"/>
              <w:rPr>
                <w:sz w:val="20"/>
                <w:szCs w:val="20"/>
                <w:color w:val="auto"/>
              </w:rPr>
            </w:pPr>
            <w:r>
              <w:rPr>
                <w:rFonts w:ascii="Arial" w:cs="Arial" w:eastAsia="Arial" w:hAnsi="Arial"/>
                <w:sz w:val="13"/>
                <w:szCs w:val="13"/>
                <w:color w:val="auto"/>
              </w:rPr>
              <w:t>Dr. Özlem Türeci</w:t>
            </w:r>
          </w:p>
        </w:tc>
        <w:tc>
          <w:tcPr>
            <w:tcW w:w="3000" w:type="dxa"/>
            <w:vAlign w:val="bottom"/>
            <w:tcBorders>
              <w:right w:val="single" w:sz="8" w:color="70AD47"/>
            </w:tcBorders>
          </w:tcPr>
          <w:p>
            <w:pPr>
              <w:spacing w:after="0"/>
              <w:rPr>
                <w:sz w:val="16"/>
                <w:szCs w:val="16"/>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100"/>
              <w:spacing w:after="0"/>
              <w:rPr>
                <w:sz w:val="20"/>
                <w:szCs w:val="20"/>
                <w:color w:val="auto"/>
              </w:rPr>
            </w:pPr>
            <w:r>
              <w:rPr>
                <w:rFonts w:ascii="Arial" w:cs="Arial" w:eastAsia="Arial" w:hAnsi="Arial"/>
                <w:sz w:val="13"/>
                <w:szCs w:val="13"/>
                <w:color w:val="auto"/>
              </w:rPr>
              <w:t>Ryan Richardson</w:t>
            </w:r>
          </w:p>
        </w:tc>
        <w:tc>
          <w:tcPr>
            <w:tcW w:w="3000" w:type="dxa"/>
            <w:vAlign w:val="bottom"/>
            <w:tcBorders>
              <w:right w:val="single" w:sz="8" w:color="70AD47"/>
            </w:tcBorders>
          </w:tcPr>
          <w:p>
            <w:pPr>
              <w:spacing w:after="0"/>
              <w:rPr>
                <w:sz w:val="18"/>
                <w:szCs w:val="18"/>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20" w:type="dxa"/>
            <w:vAlign w:val="bottom"/>
          </w:tcPr>
          <w:p>
            <w:pPr>
              <w:ind w:left="100"/>
              <w:spacing w:after="0"/>
              <w:rPr>
                <w:sz w:val="20"/>
                <w:szCs w:val="20"/>
                <w:color w:val="auto"/>
              </w:rPr>
            </w:pPr>
            <w:r>
              <w:rPr>
                <w:rFonts w:ascii="Arial" w:cs="Arial" w:eastAsia="Arial" w:hAnsi="Arial"/>
                <w:sz w:val="13"/>
                <w:szCs w:val="13"/>
                <w:color w:val="auto"/>
              </w:rPr>
              <w:t xml:space="preserve">Helmut Jeggle </w:t>
            </w:r>
            <w:r>
              <w:rPr>
                <w:rFonts w:ascii="Arial" w:cs="Arial" w:eastAsia="Arial" w:hAnsi="Arial"/>
                <w:sz w:val="18"/>
                <w:szCs w:val="18"/>
                <w:color w:val="auto"/>
                <w:vertAlign w:val="superscript"/>
              </w:rPr>
              <w:t>(7)</w:t>
            </w:r>
          </w:p>
        </w:tc>
        <w:tc>
          <w:tcPr>
            <w:tcW w:w="3000" w:type="dxa"/>
            <w:vAlign w:val="bottom"/>
            <w:tcBorders>
              <w:right w:val="single" w:sz="8" w:color="70AD47"/>
            </w:tcBorders>
          </w:tcPr>
          <w:p>
            <w:pPr>
              <w:spacing w:after="0"/>
              <w:rPr>
                <w:sz w:val="20"/>
                <w:szCs w:val="20"/>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116,798,941</w:t>
            </w:r>
          </w:p>
        </w:tc>
        <w:tc>
          <w:tcPr>
            <w:tcW w:w="1660" w:type="dxa"/>
            <w:vAlign w:val="bottom"/>
          </w:tcPr>
          <w:p>
            <w:pPr>
              <w:jc w:val="right"/>
              <w:spacing w:after="0"/>
              <w:rPr>
                <w:sz w:val="20"/>
                <w:szCs w:val="20"/>
                <w:color w:val="auto"/>
              </w:rPr>
            </w:pPr>
            <w:r>
              <w:rPr>
                <w:rFonts w:ascii="Arial" w:cs="Arial" w:eastAsia="Arial" w:hAnsi="Arial"/>
                <w:sz w:val="13"/>
                <w:szCs w:val="13"/>
                <w:color w:val="auto"/>
              </w:rPr>
              <w:t>51.50%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100"/>
              <w:spacing w:after="0"/>
              <w:rPr>
                <w:sz w:val="20"/>
                <w:szCs w:val="20"/>
                <w:color w:val="auto"/>
              </w:rPr>
            </w:pPr>
            <w:r>
              <w:rPr>
                <w:rFonts w:ascii="Arial" w:cs="Arial" w:eastAsia="Arial" w:hAnsi="Arial"/>
                <w:sz w:val="13"/>
                <w:szCs w:val="13"/>
                <w:color w:val="auto"/>
              </w:rPr>
              <w:t>Michael Motschmann</w:t>
            </w:r>
          </w:p>
        </w:tc>
        <w:tc>
          <w:tcPr>
            <w:tcW w:w="3000" w:type="dxa"/>
            <w:vAlign w:val="bottom"/>
            <w:tcBorders>
              <w:right w:val="single" w:sz="8" w:color="70AD47"/>
            </w:tcBorders>
          </w:tcPr>
          <w:p>
            <w:pPr>
              <w:spacing w:after="0"/>
              <w:rPr>
                <w:sz w:val="16"/>
                <w:szCs w:val="16"/>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920" w:type="dxa"/>
            <w:vAlign w:val="bottom"/>
          </w:tcPr>
          <w:p>
            <w:pPr>
              <w:ind w:left="100"/>
              <w:spacing w:after="0"/>
              <w:rPr>
                <w:sz w:val="20"/>
                <w:szCs w:val="20"/>
                <w:color w:val="auto"/>
              </w:rPr>
            </w:pPr>
            <w:r>
              <w:rPr>
                <w:rFonts w:ascii="Arial" w:cs="Arial" w:eastAsia="Arial" w:hAnsi="Arial"/>
                <w:sz w:val="13"/>
                <w:szCs w:val="13"/>
                <w:color w:val="auto"/>
              </w:rPr>
              <w:t xml:space="preserve">Prof. Christoph Huber, M.D. </w:t>
            </w:r>
            <w:r>
              <w:rPr>
                <w:rFonts w:ascii="Arial" w:cs="Arial" w:eastAsia="Arial" w:hAnsi="Arial"/>
                <w:sz w:val="18"/>
                <w:szCs w:val="18"/>
                <w:color w:val="auto"/>
                <w:vertAlign w:val="superscript"/>
              </w:rPr>
              <w:t>(8)</w:t>
            </w:r>
          </w:p>
        </w:tc>
        <w:tc>
          <w:tcPr>
            <w:tcW w:w="3000" w:type="dxa"/>
            <w:vAlign w:val="bottom"/>
            <w:tcBorders>
              <w:right w:val="single" w:sz="8" w:color="70AD47"/>
            </w:tcBorders>
          </w:tcPr>
          <w:p>
            <w:pPr>
              <w:spacing w:after="0"/>
              <w:rPr>
                <w:sz w:val="21"/>
                <w:szCs w:val="21"/>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2,552,040</w:t>
            </w:r>
          </w:p>
        </w:tc>
        <w:tc>
          <w:tcPr>
            <w:tcW w:w="1660" w:type="dxa"/>
            <w:vAlign w:val="bottom"/>
          </w:tcPr>
          <w:p>
            <w:pPr>
              <w:jc w:val="right"/>
              <w:spacing w:after="0"/>
              <w:rPr>
                <w:sz w:val="20"/>
                <w:szCs w:val="20"/>
                <w:color w:val="auto"/>
              </w:rPr>
            </w:pPr>
            <w:r>
              <w:rPr>
                <w:rFonts w:ascii="Arial" w:cs="Arial" w:eastAsia="Arial" w:hAnsi="Arial"/>
                <w:sz w:val="13"/>
                <w:szCs w:val="13"/>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920" w:type="dxa"/>
            <w:vAlign w:val="bottom"/>
          </w:tcPr>
          <w:p>
            <w:pPr>
              <w:ind w:left="100"/>
              <w:spacing w:after="0" w:line="166" w:lineRule="exact"/>
              <w:rPr>
                <w:sz w:val="20"/>
                <w:szCs w:val="20"/>
                <w:color w:val="auto"/>
              </w:rPr>
            </w:pPr>
            <w:r>
              <w:rPr>
                <w:rFonts w:ascii="Arial" w:cs="Arial" w:eastAsia="Arial" w:hAnsi="Arial"/>
                <w:sz w:val="13"/>
                <w:szCs w:val="13"/>
                <w:color w:val="auto"/>
              </w:rPr>
              <w:t xml:space="preserve">Dr. Ulrich Wandschneider </w:t>
            </w:r>
            <w:r>
              <w:rPr>
                <w:rFonts w:ascii="Arial" w:cs="Arial" w:eastAsia="Arial" w:hAnsi="Arial"/>
                <w:sz w:val="18"/>
                <w:szCs w:val="18"/>
                <w:color w:val="auto"/>
                <w:vertAlign w:val="superscript"/>
              </w:rPr>
              <w:t>(9)</w:t>
            </w:r>
          </w:p>
        </w:tc>
        <w:tc>
          <w:tcPr>
            <w:tcW w:w="3000" w:type="dxa"/>
            <w:vAlign w:val="bottom"/>
            <w:tcBorders>
              <w:right w:val="single" w:sz="8" w:color="70AD47"/>
            </w:tcBorders>
          </w:tcPr>
          <w:p>
            <w:pPr>
              <w:spacing w:after="0"/>
              <w:rPr>
                <w:sz w:val="14"/>
                <w:szCs w:val="14"/>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4,680</w:t>
            </w:r>
          </w:p>
        </w:tc>
        <w:tc>
          <w:tcPr>
            <w:tcW w:w="1660" w:type="dxa"/>
            <w:vAlign w:val="bottom"/>
          </w:tcPr>
          <w:p>
            <w:pPr>
              <w:jc w:val="right"/>
              <w:spacing w:after="0"/>
              <w:rPr>
                <w:sz w:val="20"/>
                <w:szCs w:val="20"/>
                <w:color w:val="auto"/>
              </w:rPr>
            </w:pPr>
            <w:r>
              <w:rPr>
                <w:rFonts w:ascii="Arial" w:cs="Arial" w:eastAsia="Arial" w:hAnsi="Arial"/>
                <w:sz w:val="9"/>
                <w:szCs w:val="9"/>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20"/>
                <w:szCs w:val="20"/>
                <w:color w:val="auto"/>
              </w:rPr>
            </w:pPr>
            <w:r>
              <w:rPr>
                <w:rFonts w:ascii="Arial" w:cs="Arial" w:eastAsia="Arial" w:hAnsi="Arial"/>
                <w:sz w:val="13"/>
                <w:szCs w:val="13"/>
                <w:b w:val="1"/>
                <w:bCs w:val="1"/>
                <w:color w:val="auto"/>
              </w:rPr>
              <w:t>All members of our Supervisory Board and Management Board, as a group</w:t>
            </w:r>
          </w:p>
        </w:tc>
        <w:tc>
          <w:tcPr>
            <w:tcW w:w="3000" w:type="dxa"/>
            <w:vAlign w:val="bottom"/>
            <w:tcBorders>
              <w:right w:val="single" w:sz="8" w:color="70AD47"/>
            </w:tcBorders>
          </w:tcPr>
          <w:p>
            <w:pPr>
              <w:spacing w:after="0"/>
              <w:rPr>
                <w:sz w:val="15"/>
                <w:szCs w:val="15"/>
                <w:color w:val="auto"/>
              </w:rPr>
            </w:pP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162,849,961</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71.81%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0"/>
        </w:trPr>
        <w:tc>
          <w:tcPr>
            <w:tcW w:w="4920" w:type="dxa"/>
            <w:vAlign w:val="bottom"/>
          </w:tcPr>
          <w:p>
            <w:pPr>
              <w:spacing w:after="0"/>
              <w:rPr>
                <w:sz w:val="24"/>
                <w:szCs w:val="24"/>
                <w:color w:val="auto"/>
              </w:rPr>
            </w:pPr>
          </w:p>
        </w:tc>
        <w:tc>
          <w:tcPr>
            <w:tcW w:w="3000" w:type="dxa"/>
            <w:vAlign w:val="bottom"/>
          </w:tcPr>
          <w:p>
            <w:pPr>
              <w:jc w:val="right"/>
              <w:ind w:right="2113"/>
              <w:spacing w:after="0"/>
              <w:rPr>
                <w:sz w:val="20"/>
                <w:szCs w:val="20"/>
                <w:color w:val="auto"/>
              </w:rPr>
            </w:pPr>
            <w:r>
              <w:rPr>
                <w:rFonts w:ascii="Arial" w:cs="Arial" w:eastAsia="Arial" w:hAnsi="Arial"/>
                <w:sz w:val="13"/>
                <w:szCs w:val="13"/>
                <w:color w:val="auto"/>
              </w:rPr>
              <w:t>223</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920" w:type="dxa"/>
            <w:vAlign w:val="bottom"/>
            <w:tcBorders>
              <w:bottom w:val="single" w:sz="8" w:color="9A9A9A"/>
            </w:tcBorders>
          </w:tcPr>
          <w:p>
            <w:pPr>
              <w:spacing w:after="0"/>
              <w:rPr>
                <w:sz w:val="6"/>
                <w:szCs w:val="6"/>
                <w:color w:val="auto"/>
              </w:rPr>
            </w:pPr>
          </w:p>
        </w:tc>
        <w:tc>
          <w:tcPr>
            <w:tcW w:w="300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367" w:right="299" w:bottom="1440" w:gutter="0" w:footer="0" w:header="0"/>
        </w:sectPr>
      </w:pPr>
    </w:p>
    <w:bookmarkStart w:id="225" w:name="page226"/>
    <w:bookmarkEnd w:id="225"/>
    <w:p>
      <w:pPr>
        <w:ind w:left="1000" w:right="60" w:hanging="440"/>
        <w:spacing w:after="0" w:line="261" w:lineRule="auto"/>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Information herein is based upon a Schedule 13G jointly filed with the SEC on February 12, 2020 by ATHOS KG, AT Impf GmbH, Helmut Jeggle and Thomas Maier. Consists of 114,141,520 ordinary shares held by AT Impf GmbH. The sole member of AT Impf GmbH is ATHOS KG, and, as a result, ATHOS KG is deemed to be the beneficial owner of the securities held by AT Impf GmbH. Helmut Jeggle and Thomas Maier are each</w:t>
      </w:r>
    </w:p>
    <w:p>
      <w:pPr>
        <w:ind w:left="1000" w:right="380"/>
        <w:spacing w:after="0" w:line="273" w:lineRule="auto"/>
        <w:rPr>
          <w:rFonts w:ascii="Arial" w:cs="Arial" w:eastAsia="Arial" w:hAnsi="Arial"/>
          <w:sz w:val="11"/>
          <w:szCs w:val="11"/>
          <w:color w:val="auto"/>
        </w:rPr>
      </w:pPr>
      <w:r>
        <w:rPr>
          <w:rFonts w:ascii="Arial" w:cs="Arial" w:eastAsia="Arial" w:hAnsi="Arial"/>
          <w:sz w:val="13"/>
          <w:szCs w:val="13"/>
          <w:color w:val="auto"/>
        </w:rPr>
        <w:t>general partners (</w:t>
      </w:r>
      <w:r>
        <w:rPr>
          <w:rFonts w:ascii="Arial" w:cs="Arial" w:eastAsia="Arial" w:hAnsi="Arial"/>
          <w:sz w:val="13"/>
          <w:szCs w:val="13"/>
          <w:i w:val="1"/>
          <w:iCs w:val="1"/>
          <w:color w:val="auto"/>
        </w:rPr>
        <w:t>Komplementär</w:t>
      </w:r>
      <w:r>
        <w:rPr>
          <w:rFonts w:ascii="Arial" w:cs="Arial" w:eastAsia="Arial" w:hAnsi="Arial"/>
          <w:sz w:val="13"/>
          <w:szCs w:val="13"/>
          <w:color w:val="auto"/>
        </w:rPr>
        <w:t>) of ATHOS KG and may be deemed to be beneficial owners of the securities held by AT Impf KG. Each of Messrs. Jeggle and Maier disclaim beneficial ownership of such shares except to the extent of their pecuniary interest therein.</w:t>
      </w:r>
    </w:p>
    <w:p>
      <w:pPr>
        <w:spacing w:after="0" w:line="61" w:lineRule="exact"/>
        <w:rPr>
          <w:rFonts w:ascii="Arial" w:cs="Arial" w:eastAsia="Arial" w:hAnsi="Arial"/>
          <w:sz w:val="11"/>
          <w:szCs w:val="11"/>
          <w:color w:val="auto"/>
        </w:rPr>
      </w:pPr>
    </w:p>
    <w:p>
      <w:pPr>
        <w:ind w:left="1000" w:right="260" w:hanging="440"/>
        <w:spacing w:after="0" w:line="287" w:lineRule="auto"/>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Information herein is based upon a Schedule 13G jointly filed with the SEC on February 13, 2020 by Medine GmbH and Prof. Sahin. The sole shareholder of Medine GmbH is Prof. Sahin, and, as a result, Prof. Sahin is deemed to be the beneficial owner of the securities held by Medine GmbH.</w:t>
      </w:r>
    </w:p>
    <w:p>
      <w:pPr>
        <w:spacing w:after="0" w:line="52" w:lineRule="exact"/>
        <w:rPr>
          <w:rFonts w:ascii="Arial" w:cs="Arial" w:eastAsia="Arial" w:hAnsi="Arial"/>
          <w:sz w:val="11"/>
          <w:szCs w:val="11"/>
          <w:color w:val="auto"/>
        </w:rPr>
      </w:pPr>
    </w:p>
    <w:p>
      <w:pPr>
        <w:ind w:left="1000" w:right="80" w:hanging="440"/>
        <w:spacing w:after="0" w:line="272" w:lineRule="auto"/>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Information herein is based upon a Schedule 13G jointly filed with the SEC on February 14, 2020 by MIG Verwaltungs AG, MIG GmbH &amp; Co. Fonds 7 KG, MIG GmbH &amp; Co. Fonds 8 KG and MIG GmbH &amp; Co. Fonds 9 KG, Munich. Consists of (a) 5,495,148 ordinary shares held by MIG GmbH &amp; Co. Fonds 7 KG, Munich, (b) 1,780,002 ordinary shares held by MIG GmbH &amp; Co. Fonds 8 KG, Munich and (c) 6,280,956 ordinary shares held by MIG GmbH &amp; Co. Fonds 9 KG, Munich.</w:t>
      </w:r>
    </w:p>
    <w:p>
      <w:pPr>
        <w:spacing w:after="0" w:line="61" w:lineRule="exact"/>
        <w:rPr>
          <w:rFonts w:ascii="Arial" w:cs="Arial" w:eastAsia="Arial" w:hAnsi="Arial"/>
          <w:sz w:val="11"/>
          <w:szCs w:val="11"/>
          <w:color w:val="auto"/>
        </w:rPr>
      </w:pPr>
    </w:p>
    <w:p>
      <w:pPr>
        <w:ind w:left="1000" w:hanging="440"/>
        <w:spacing w:after="0"/>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Consists of the shares described in note 2 above. Prof. Sahin is the sole shareholder of Medine GmbH.</w:t>
      </w:r>
    </w:p>
    <w:p>
      <w:pPr>
        <w:spacing w:after="0" w:line="100" w:lineRule="exact"/>
        <w:rPr>
          <w:rFonts w:ascii="Arial" w:cs="Arial" w:eastAsia="Arial" w:hAnsi="Arial"/>
          <w:sz w:val="11"/>
          <w:szCs w:val="11"/>
          <w:color w:val="auto"/>
        </w:rPr>
      </w:pPr>
    </w:p>
    <w:p>
      <w:pPr>
        <w:ind w:left="1000" w:hanging="440"/>
        <w:spacing w:after="0"/>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Consists of 1,091,502 ordinary shares held by RLG GmbH. Mr. Marett is the sole shareholder of RLG GmbH.</w:t>
      </w:r>
    </w:p>
    <w:p>
      <w:pPr>
        <w:spacing w:after="0" w:line="100" w:lineRule="exact"/>
        <w:rPr>
          <w:rFonts w:ascii="Arial" w:cs="Arial" w:eastAsia="Arial" w:hAnsi="Arial"/>
          <w:sz w:val="11"/>
          <w:szCs w:val="11"/>
          <w:color w:val="auto"/>
        </w:rPr>
      </w:pPr>
    </w:p>
    <w:p>
      <w:pPr>
        <w:ind w:left="1000" w:hanging="440"/>
        <w:spacing w:after="0"/>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Consists of 711,828 shares held by Tofino GmbH. Does not include 487,800 shares held on behalf of other beneficial owners in his capacity as trustee of Tofino GmbH.</w:t>
      </w:r>
    </w:p>
    <w:p>
      <w:pPr>
        <w:spacing w:after="0" w:line="100" w:lineRule="exact"/>
        <w:rPr>
          <w:rFonts w:ascii="Arial" w:cs="Arial" w:eastAsia="Arial" w:hAnsi="Arial"/>
          <w:sz w:val="11"/>
          <w:szCs w:val="11"/>
          <w:color w:val="auto"/>
        </w:rPr>
      </w:pPr>
    </w:p>
    <w:p>
      <w:pPr>
        <w:ind w:left="1000" w:hanging="440"/>
        <w:spacing w:after="0" w:line="272" w:lineRule="auto"/>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Consists of (a) the shares described in note 1 above, (b) 332,316 ordinary shares held directly by Mr. Jeggle, (c) 2,273,886 ordinary shares held by Salvia GmbH and (d) 51,219 ordinary shares held by Nils GmbH. Mr. Jeggle has no voting or dispositive power with regard to such shares described in note 1 above and disclaims beneficial ownership of such shares except to the extent of his pecuniary interest therein.</w:t>
      </w:r>
    </w:p>
    <w:p>
      <w:pPr>
        <w:spacing w:after="0" w:line="61" w:lineRule="exact"/>
        <w:rPr>
          <w:rFonts w:ascii="Arial" w:cs="Arial" w:eastAsia="Arial" w:hAnsi="Arial"/>
          <w:sz w:val="11"/>
          <w:szCs w:val="11"/>
          <w:color w:val="auto"/>
        </w:rPr>
      </w:pPr>
    </w:p>
    <w:p>
      <w:pPr>
        <w:ind w:left="1000" w:hanging="440"/>
        <w:spacing w:after="0"/>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Consists of 2,552,040 ordinary shares held by CHuber 2008 GmbH. Prof. Huber is the sole shareholder of CHuber 2008 GmbH.</w:t>
      </w:r>
    </w:p>
    <w:p>
      <w:pPr>
        <w:spacing w:after="0" w:line="100" w:lineRule="exact"/>
        <w:rPr>
          <w:rFonts w:ascii="Arial" w:cs="Arial" w:eastAsia="Arial" w:hAnsi="Arial"/>
          <w:sz w:val="11"/>
          <w:szCs w:val="11"/>
          <w:color w:val="auto"/>
        </w:rPr>
      </w:pPr>
    </w:p>
    <w:p>
      <w:pPr>
        <w:ind w:left="1000" w:hanging="440"/>
        <w:spacing w:after="0"/>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Consists of 4,680 shares held by Tofino GmbH.</w:t>
      </w:r>
    </w:p>
    <w:p>
      <w:pPr>
        <w:spacing w:after="0" w:line="100" w:lineRule="exact"/>
        <w:rPr>
          <w:rFonts w:ascii="Arial" w:cs="Arial" w:eastAsia="Arial" w:hAnsi="Arial"/>
          <w:sz w:val="11"/>
          <w:szCs w:val="11"/>
          <w:color w:val="auto"/>
        </w:rPr>
      </w:pPr>
    </w:p>
    <w:p>
      <w:pPr>
        <w:ind w:left="1000" w:hanging="440"/>
        <w:spacing w:after="0"/>
        <w:tabs>
          <w:tab w:leader="none" w:pos="1000" w:val="left"/>
        </w:tabs>
        <w:numPr>
          <w:ilvl w:val="0"/>
          <w:numId w:val="268"/>
        </w:numPr>
        <w:rPr>
          <w:rFonts w:ascii="Arial" w:cs="Arial" w:eastAsia="Arial" w:hAnsi="Arial"/>
          <w:sz w:val="11"/>
          <w:szCs w:val="11"/>
          <w:color w:val="auto"/>
        </w:rPr>
      </w:pPr>
      <w:r>
        <w:rPr>
          <w:rFonts w:ascii="Arial" w:cs="Arial" w:eastAsia="Arial" w:hAnsi="Arial"/>
          <w:sz w:val="13"/>
          <w:szCs w:val="13"/>
          <w:color w:val="auto"/>
        </w:rPr>
        <w:t>Less than one percent</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Holdings by U.S. Shareholders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 xml:space="preserve">We estimate that </w:t>
      </w:r>
      <w:r>
        <w:rPr>
          <w:rFonts w:ascii="Arial" w:cs="Arial" w:eastAsia="Arial" w:hAnsi="Arial"/>
          <w:sz w:val="13"/>
          <w:szCs w:val="13"/>
          <w:color w:val="000000"/>
        </w:rPr>
        <w:t>as of February 14, 2020, approximately 14.24%</w:t>
      </w:r>
      <w:r>
        <w:rPr>
          <w:rFonts w:ascii="Arial" w:cs="Arial" w:eastAsia="Arial" w:hAnsi="Arial"/>
          <w:sz w:val="13"/>
          <w:szCs w:val="13"/>
          <w:color w:val="231F20"/>
        </w:rPr>
        <w:t xml:space="preserve"> of our outstanding ordinary shares are held by 29 U.S. record holders.</w:t>
      </w:r>
    </w:p>
    <w:p>
      <w:pPr>
        <w:spacing w:after="0" w:line="246" w:lineRule="exact"/>
        <w:rPr>
          <w:sz w:val="20"/>
          <w:szCs w:val="20"/>
          <w:color w:val="auto"/>
        </w:rPr>
      </w:pPr>
    </w:p>
    <w:p>
      <w:pPr>
        <w:ind w:left="560" w:right="8620" w:hanging="10"/>
        <w:spacing w:after="0" w:line="420" w:lineRule="auto"/>
        <w:tabs>
          <w:tab w:leader="none" w:pos="1103" w:val="left"/>
        </w:tabs>
        <w:numPr>
          <w:ilvl w:val="0"/>
          <w:numId w:val="26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Related Party Transactions </w:t>
      </w:r>
      <w:r>
        <w:rPr>
          <w:rFonts w:ascii="Arial" w:cs="Arial" w:eastAsia="Arial" w:hAnsi="Arial"/>
          <w:sz w:val="12"/>
          <w:szCs w:val="12"/>
          <w:b w:val="1"/>
          <w:bCs w:val="1"/>
          <w:color w:val="231F20"/>
        </w:rPr>
        <w:t>Agreements with TRON</w:t>
      </w:r>
    </w:p>
    <w:p>
      <w:pPr>
        <w:spacing w:after="0" w:line="1" w:lineRule="exact"/>
        <w:rPr>
          <w:sz w:val="20"/>
          <w:szCs w:val="20"/>
          <w:color w:val="auto"/>
        </w:rPr>
      </w:pPr>
    </w:p>
    <w:p>
      <w:pPr>
        <w:ind w:right="40" w:firstLine="556"/>
        <w:spacing w:after="0" w:line="296" w:lineRule="auto"/>
        <w:rPr>
          <w:sz w:val="20"/>
          <w:szCs w:val="20"/>
          <w:color w:val="auto"/>
        </w:rPr>
      </w:pPr>
      <w:r>
        <w:rPr>
          <w:rFonts w:ascii="Arial" w:cs="Arial" w:eastAsia="Arial" w:hAnsi="Arial"/>
          <w:sz w:val="12"/>
          <w:szCs w:val="12"/>
          <w:color w:val="231F20"/>
        </w:rPr>
        <w:t>We have a longstanding relationship with Translational Oncology at the University Medical Center of the Johannes Gutenberg University Mainz (</w:t>
      </w:r>
      <w:r>
        <w:rPr>
          <w:rFonts w:ascii="Arial" w:cs="Arial" w:eastAsia="Arial" w:hAnsi="Arial"/>
          <w:sz w:val="12"/>
          <w:szCs w:val="12"/>
          <w:i w:val="1"/>
          <w:iCs w:val="1"/>
          <w:color w:val="231F20"/>
        </w:rPr>
        <w:t>Translationale Onkologie an der Universitätsmedizin</w:t>
      </w:r>
      <w:r>
        <w:rPr>
          <w:rFonts w:ascii="Arial" w:cs="Arial" w:eastAsia="Arial" w:hAnsi="Arial"/>
          <w:sz w:val="12"/>
          <w:szCs w:val="12"/>
          <w:color w:val="231F20"/>
        </w:rPr>
        <w:t xml:space="preserve"> </w:t>
      </w:r>
      <w:r>
        <w:rPr>
          <w:rFonts w:ascii="Arial" w:cs="Arial" w:eastAsia="Arial" w:hAnsi="Arial"/>
          <w:sz w:val="12"/>
          <w:szCs w:val="12"/>
          <w:i w:val="1"/>
          <w:iCs w:val="1"/>
          <w:color w:val="231F20"/>
        </w:rPr>
        <w:t>der Johannes Gutenberg Universität Mainz gemei</w:t>
      </w:r>
      <w:r>
        <w:rPr>
          <w:rFonts w:ascii="Arial" w:cs="Arial" w:eastAsia="Arial" w:hAnsi="Arial"/>
          <w:sz w:val="12"/>
          <w:szCs w:val="12"/>
          <w:i w:val="1"/>
          <w:iCs w:val="1"/>
          <w:color w:val="000000"/>
        </w:rPr>
        <w:t>nnützige GmbH</w:t>
      </w:r>
      <w:r>
        <w:rPr>
          <w:rFonts w:ascii="Arial" w:cs="Arial" w:eastAsia="Arial" w:hAnsi="Arial"/>
          <w:sz w:val="12"/>
          <w:szCs w:val="12"/>
          <w:color w:val="000000"/>
        </w:rPr>
        <w:t>), or TRON. TRON is a non-profit limited liability company engaged in biopharmaceutical research. Prof. Ugur Sahin, M.D., our co-founder and</w:t>
      </w:r>
      <w:r>
        <w:rPr>
          <w:rFonts w:ascii="Arial" w:cs="Arial" w:eastAsia="Arial" w:hAnsi="Arial"/>
          <w:sz w:val="12"/>
          <w:szCs w:val="12"/>
          <w:i w:val="1"/>
          <w:iCs w:val="1"/>
          <w:color w:val="231F20"/>
        </w:rPr>
        <w:t xml:space="preserve"> </w:t>
      </w:r>
      <w:r>
        <w:rPr>
          <w:rFonts w:ascii="Arial" w:cs="Arial" w:eastAsia="Arial" w:hAnsi="Arial"/>
          <w:sz w:val="12"/>
          <w:szCs w:val="12"/>
          <w:color w:val="000000"/>
        </w:rPr>
        <w:t>Chief Executive Officer, co-founded TRON and served as Managing Director for Science and Research at TRON, until his resignation September 10, 2019. Additionally, Prof. Christoph Huber, a member of our Supervisory Board, served on TRON’s supervisory board until his resignation in April 2019. Prof. Ugur Sahin, M.D., our co-founder and Chief Executive Officer, owns a significant amount of shares in TRON.</w:t>
      </w:r>
    </w:p>
    <w:p>
      <w:pPr>
        <w:spacing w:after="0" w:line="119" w:lineRule="exact"/>
        <w:rPr>
          <w:sz w:val="20"/>
          <w:szCs w:val="20"/>
          <w:color w:val="auto"/>
        </w:rPr>
      </w:pPr>
    </w:p>
    <w:p>
      <w:pPr>
        <w:ind w:right="140" w:firstLine="556"/>
        <w:spacing w:after="0" w:line="331" w:lineRule="auto"/>
        <w:rPr>
          <w:sz w:val="20"/>
          <w:szCs w:val="20"/>
          <w:color w:val="auto"/>
        </w:rPr>
      </w:pPr>
      <w:r>
        <w:rPr>
          <w:rFonts w:ascii="Arial" w:cs="Arial" w:eastAsia="Arial" w:hAnsi="Arial"/>
          <w:sz w:val="12"/>
          <w:szCs w:val="12"/>
          <w:color w:val="231F20"/>
        </w:rPr>
        <w:t xml:space="preserve">On January 1, 2015, we and certain of our subsidiaries entered into both a Master Agreement for Research Services </w:t>
      </w:r>
      <w:r>
        <w:rPr>
          <w:rFonts w:ascii="Arial" w:cs="Arial" w:eastAsia="Arial" w:hAnsi="Arial"/>
          <w:sz w:val="12"/>
          <w:szCs w:val="12"/>
          <w:color w:val="000000"/>
        </w:rPr>
        <w:t>and a License Agreement with</w:t>
      </w:r>
      <w:r>
        <w:rPr>
          <w:rFonts w:ascii="Arial" w:cs="Arial" w:eastAsia="Arial" w:hAnsi="Arial"/>
          <w:sz w:val="12"/>
          <w:szCs w:val="12"/>
          <w:color w:val="231F20"/>
        </w:rPr>
        <w:t xml:space="preserve"> TRON</w:t>
      </w:r>
      <w:r>
        <w:rPr>
          <w:rFonts w:ascii="Arial" w:cs="Arial" w:eastAsia="Arial" w:hAnsi="Arial"/>
          <w:sz w:val="12"/>
          <w:szCs w:val="12"/>
          <w:color w:val="000000"/>
        </w:rPr>
        <w:t>. During the year ended December 31, 2019,</w:t>
      </w:r>
      <w:r>
        <w:rPr>
          <w:rFonts w:ascii="Arial" w:cs="Arial" w:eastAsia="Arial" w:hAnsi="Arial"/>
          <w:sz w:val="12"/>
          <w:szCs w:val="12"/>
          <w:color w:val="231F20"/>
        </w:rPr>
        <w:t xml:space="preserve"> </w:t>
      </w:r>
      <w:r>
        <w:rPr>
          <w:rFonts w:ascii="Arial" w:cs="Arial" w:eastAsia="Arial" w:hAnsi="Arial"/>
          <w:sz w:val="12"/>
          <w:szCs w:val="12"/>
          <w:color w:val="000000"/>
        </w:rPr>
        <w:t xml:space="preserve">the aggregate </w:t>
      </w:r>
      <w:r>
        <w:rPr>
          <w:rFonts w:ascii="Arial" w:cs="Arial" w:eastAsia="Arial" w:hAnsi="Arial"/>
          <w:sz w:val="12"/>
          <w:szCs w:val="12"/>
          <w:color w:val="231F20"/>
        </w:rPr>
        <w:t>value of transactions related to these agreements with TRON amounted to €10.0</w:t>
      </w:r>
      <w:r>
        <w:rPr>
          <w:rFonts w:ascii="Arial" w:cs="Arial" w:eastAsia="Arial" w:hAnsi="Arial"/>
          <w:sz w:val="12"/>
          <w:szCs w:val="12"/>
          <w:color w:val="000000"/>
        </w:rPr>
        <w:t xml:space="preserve"> million </w:t>
      </w:r>
      <w:r>
        <w:rPr>
          <w:rFonts w:ascii="Arial" w:cs="Arial" w:eastAsia="Arial" w:hAnsi="Arial"/>
          <w:sz w:val="12"/>
          <w:szCs w:val="12"/>
          <w:color w:val="231F20"/>
        </w:rPr>
        <w:t>pursuant</w:t>
      </w:r>
      <w:r>
        <w:rPr>
          <w:rFonts w:ascii="Arial" w:cs="Arial" w:eastAsia="Arial" w:hAnsi="Arial"/>
          <w:sz w:val="12"/>
          <w:szCs w:val="12"/>
          <w:color w:val="000000"/>
        </w:rPr>
        <w:t xml:space="preserve"> to these agreements (€6.6 million during the year ended December 31, 2018).</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Agreements with Santo Service GmbH</w:t>
      </w:r>
    </w:p>
    <w:p>
      <w:pPr>
        <w:spacing w:after="0" w:line="94"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 xml:space="preserve">We have several </w:t>
      </w:r>
      <w:r>
        <w:rPr>
          <w:rFonts w:ascii="Arial" w:cs="Arial" w:eastAsia="Arial" w:hAnsi="Arial"/>
          <w:sz w:val="13"/>
          <w:szCs w:val="13"/>
          <w:color w:val="000000"/>
        </w:rPr>
        <w:t>agreements with Santo Service GmbH, or Santo Service, pursuant to which Santo Service provides us with</w:t>
      </w:r>
      <w:r>
        <w:rPr>
          <w:rFonts w:ascii="Arial" w:cs="Arial" w:eastAsia="Arial" w:hAnsi="Arial"/>
          <w:sz w:val="13"/>
          <w:szCs w:val="13"/>
          <w:color w:val="231F20"/>
        </w:rPr>
        <w:t xml:space="preserve"> certain </w:t>
      </w:r>
      <w:r>
        <w:rPr>
          <w:rFonts w:ascii="Arial" w:cs="Arial" w:eastAsia="Arial" w:hAnsi="Arial"/>
          <w:sz w:val="13"/>
          <w:szCs w:val="13"/>
          <w:color w:val="000000"/>
        </w:rPr>
        <w:t>real</w:t>
      </w:r>
      <w:r>
        <w:rPr>
          <w:rFonts w:ascii="Arial" w:cs="Arial" w:eastAsia="Arial" w:hAnsi="Arial"/>
          <w:sz w:val="13"/>
          <w:szCs w:val="13"/>
          <w:color w:val="231F20"/>
        </w:rPr>
        <w:t xml:space="preserve"> property </w:t>
      </w:r>
      <w:r>
        <w:rPr>
          <w:rFonts w:ascii="Arial" w:cs="Arial" w:eastAsia="Arial" w:hAnsi="Arial"/>
          <w:sz w:val="13"/>
          <w:szCs w:val="13"/>
          <w:color w:val="000000"/>
        </w:rPr>
        <w:t>and custodial services. Santo Service is wholly owned</w:t>
      </w:r>
      <w:r>
        <w:rPr>
          <w:rFonts w:ascii="Arial" w:cs="Arial" w:eastAsia="Arial" w:hAnsi="Arial"/>
          <w:sz w:val="13"/>
          <w:szCs w:val="13"/>
          <w:color w:val="231F20"/>
        </w:rPr>
        <w:t xml:space="preserve"> </w:t>
      </w:r>
      <w:r>
        <w:rPr>
          <w:rFonts w:ascii="Arial" w:cs="Arial" w:eastAsia="Arial" w:hAnsi="Arial"/>
          <w:sz w:val="13"/>
          <w:szCs w:val="13"/>
          <w:color w:val="000000"/>
        </w:rPr>
        <w:t xml:space="preserve">by AT Impf GmbH, which is wholly </w:t>
      </w:r>
      <w:r>
        <w:rPr>
          <w:rFonts w:ascii="Arial" w:cs="Arial" w:eastAsia="Arial" w:hAnsi="Arial"/>
          <w:sz w:val="13"/>
          <w:szCs w:val="13"/>
          <w:color w:val="231F20"/>
        </w:rPr>
        <w:t>owned</w:t>
      </w:r>
      <w:r>
        <w:rPr>
          <w:rFonts w:ascii="Arial" w:cs="Arial" w:eastAsia="Arial" w:hAnsi="Arial"/>
          <w:sz w:val="13"/>
          <w:szCs w:val="13"/>
          <w:color w:val="000000"/>
        </w:rPr>
        <w:t xml:space="preserve"> by our controlling shareholder. During the year ended December 31, 2019, the aggregate </w:t>
      </w:r>
      <w:r>
        <w:rPr>
          <w:rFonts w:ascii="Arial" w:cs="Arial" w:eastAsia="Arial" w:hAnsi="Arial"/>
          <w:sz w:val="13"/>
          <w:szCs w:val="13"/>
          <w:color w:val="231F20"/>
        </w:rPr>
        <w:t>value of transactions with</w:t>
      </w:r>
      <w:r>
        <w:rPr>
          <w:rFonts w:ascii="Arial" w:cs="Arial" w:eastAsia="Arial" w:hAnsi="Arial"/>
          <w:sz w:val="13"/>
          <w:szCs w:val="13"/>
          <w:color w:val="000000"/>
        </w:rPr>
        <w:t xml:space="preserve"> Santo Service </w:t>
      </w:r>
      <w:r>
        <w:rPr>
          <w:rFonts w:ascii="Arial" w:cs="Arial" w:eastAsia="Arial" w:hAnsi="Arial"/>
          <w:sz w:val="13"/>
          <w:szCs w:val="13"/>
          <w:color w:val="231F20"/>
        </w:rPr>
        <w:t>amounted to €2.0 million</w:t>
      </w:r>
      <w:r>
        <w:rPr>
          <w:rFonts w:ascii="Arial" w:cs="Arial" w:eastAsia="Arial" w:hAnsi="Arial"/>
          <w:sz w:val="13"/>
          <w:szCs w:val="13"/>
          <w:color w:val="000000"/>
        </w:rPr>
        <w:t xml:space="preserve"> pursuant to these </w:t>
      </w:r>
      <w:r>
        <w:rPr>
          <w:rFonts w:ascii="Arial" w:cs="Arial" w:eastAsia="Arial" w:hAnsi="Arial"/>
          <w:sz w:val="13"/>
          <w:szCs w:val="13"/>
          <w:color w:val="231F20"/>
        </w:rPr>
        <w:t>agreements (€1.2 million during the year ended December 31, 2018).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26" w:name="page227"/>
    <w:bookmarkEnd w:id="226"/>
    <w:p>
      <w:pPr>
        <w:ind w:left="560"/>
        <w:spacing w:after="0"/>
        <w:rPr>
          <w:sz w:val="20"/>
          <w:szCs w:val="20"/>
          <w:color w:val="auto"/>
        </w:rPr>
      </w:pPr>
      <w:r>
        <w:rPr>
          <w:rFonts w:ascii="Arial" w:cs="Arial" w:eastAsia="Arial" w:hAnsi="Arial"/>
          <w:sz w:val="13"/>
          <w:szCs w:val="13"/>
          <w:b w:val="1"/>
          <w:bCs w:val="1"/>
          <w:color w:val="231F20"/>
        </w:rPr>
        <w:t>Agreement with Medine GmbH</w:t>
      </w:r>
    </w:p>
    <w:p>
      <w:pPr>
        <w:spacing w:after="0" w:line="94"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231F20"/>
        </w:rPr>
        <w:t xml:space="preserve">On August 29, 2019, we entered into an agreement with Medine GmbH, or Medine, pursuant to which we acquired all of the outstanding </w:t>
      </w:r>
      <w:r>
        <w:rPr>
          <w:rFonts w:ascii="Arial" w:cs="Arial" w:eastAsia="Arial" w:hAnsi="Arial"/>
          <w:sz w:val="13"/>
          <w:szCs w:val="13"/>
          <w:color w:val="000000"/>
        </w:rPr>
        <w:t>shares of reBOOST Management GmbH, or reBOOST, which</w:t>
      </w:r>
      <w:r>
        <w:rPr>
          <w:rFonts w:ascii="Arial" w:cs="Arial" w:eastAsia="Arial" w:hAnsi="Arial"/>
          <w:sz w:val="13"/>
          <w:szCs w:val="13"/>
          <w:color w:val="231F20"/>
        </w:rPr>
        <w:t xml:space="preserve"> </w:t>
      </w:r>
      <w:r>
        <w:rPr>
          <w:rFonts w:ascii="Arial" w:cs="Arial" w:eastAsia="Arial" w:hAnsi="Arial"/>
          <w:sz w:val="13"/>
          <w:szCs w:val="13"/>
          <w:color w:val="000000"/>
        </w:rPr>
        <w:t>owns certain intellectual property, in exchange for total consideration of approximately €0.3 million. reBOOST and Medine are wholly owned by Prof. Ugur Sahin, M.D., our co-founder and Chief Executive Officer, who is also the Managing Director of reBOOST and Medine.</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 xml:space="preserve">Series </w:t>
      </w:r>
      <w:r>
        <w:rPr>
          <w:rFonts w:ascii="Arial" w:cs="Arial" w:eastAsia="Arial" w:hAnsi="Arial"/>
          <w:sz w:val="13"/>
          <w:szCs w:val="13"/>
          <w:b w:val="1"/>
          <w:bCs w:val="1"/>
          <w:color w:val="000000"/>
        </w:rPr>
        <w:t>A 2018 Financing</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In February 2018, we issued an aggregate of 22,587,912 of our ordinary shares to certain new and existing shareholders at a price of $11.99 per share for aggregate proceeds of $270.9 million.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The following table sets forth the aggregate number of ordinary shares that we issued and sold in this transaction to our related parties and the aggregate purchase price for such shares: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Participant</w:t>
            </w:r>
          </w:p>
        </w:tc>
        <w:tc>
          <w:tcPr>
            <w:tcW w:w="17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w w:val="95"/>
              </w:rPr>
              <w:t>Number of Ordinary Shares</w:t>
            </w: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w w:val="90"/>
              </w:rPr>
              <w:t>Aggregate Purchase Price ($)</w:t>
            </w:r>
          </w:p>
        </w:tc>
      </w:tr>
      <w:tr>
        <w:trPr>
          <w:trHeight w:val="410"/>
        </w:trPr>
        <w:tc>
          <w:tcPr>
            <w:tcW w:w="79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 xml:space="preserve">AT Impf GmbH </w:t>
            </w:r>
            <w:r>
              <w:rPr>
                <w:rFonts w:ascii="Arial" w:cs="Arial" w:eastAsia="Arial" w:hAnsi="Arial"/>
                <w:sz w:val="18"/>
                <w:szCs w:val="18"/>
                <w:color w:val="auto"/>
                <w:vertAlign w:val="superscript"/>
              </w:rPr>
              <w:t>(1)</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5,002,812</w:t>
            </w:r>
          </w:p>
        </w:tc>
        <w:tc>
          <w:tcPr>
            <w:tcW w:w="1660" w:type="dxa"/>
            <w:vAlign w:val="bottom"/>
          </w:tcPr>
          <w:p>
            <w:pPr>
              <w:jc w:val="right"/>
              <w:spacing w:after="0"/>
              <w:rPr>
                <w:sz w:val="20"/>
                <w:szCs w:val="20"/>
                <w:color w:val="auto"/>
              </w:rPr>
            </w:pPr>
            <w:r>
              <w:rPr>
                <w:rFonts w:ascii="Arial" w:cs="Arial" w:eastAsia="Arial" w:hAnsi="Arial"/>
                <w:sz w:val="13"/>
                <w:szCs w:val="13"/>
                <w:color w:val="auto"/>
              </w:rPr>
              <w:t>59,997,612.58</w:t>
            </w:r>
          </w:p>
        </w:tc>
      </w:tr>
    </w:tbl>
    <w:p>
      <w:pPr>
        <w:spacing w:after="0" w:line="81" w:lineRule="exact"/>
        <w:rPr>
          <w:sz w:val="20"/>
          <w:szCs w:val="20"/>
          <w:color w:val="auto"/>
        </w:rPr>
      </w:pPr>
    </w:p>
    <w:p>
      <w:pPr>
        <w:ind w:left="1000" w:hanging="440"/>
        <w:spacing w:after="0"/>
        <w:tabs>
          <w:tab w:leader="none" w:pos="1000" w:val="left"/>
        </w:tabs>
        <w:numPr>
          <w:ilvl w:val="0"/>
          <w:numId w:val="270"/>
        </w:numPr>
        <w:rPr>
          <w:rFonts w:ascii="Arial" w:cs="Arial" w:eastAsia="Arial" w:hAnsi="Arial"/>
          <w:sz w:val="11"/>
          <w:szCs w:val="11"/>
          <w:color w:val="auto"/>
        </w:rPr>
      </w:pPr>
      <w:r>
        <w:rPr>
          <w:rFonts w:ascii="Arial" w:cs="Arial" w:eastAsia="Arial" w:hAnsi="Arial"/>
          <w:sz w:val="13"/>
          <w:szCs w:val="13"/>
          <w:color w:val="auto"/>
        </w:rPr>
        <w:t>See “Major Shareholders” under this Item 7 for additional information about shares held by this entity or the parent company of this entity.</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 xml:space="preserve">Series </w:t>
      </w:r>
      <w:r>
        <w:rPr>
          <w:rFonts w:ascii="Arial" w:cs="Arial" w:eastAsia="Arial" w:hAnsi="Arial"/>
          <w:sz w:val="13"/>
          <w:szCs w:val="13"/>
          <w:b w:val="1"/>
          <w:bCs w:val="1"/>
          <w:color w:val="000000"/>
        </w:rPr>
        <w:t>B 2019 Financing</w:t>
      </w:r>
    </w:p>
    <w:p>
      <w:pPr>
        <w:spacing w:after="0" w:line="94"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231F20"/>
        </w:rPr>
        <w:t>In June and August 2019, we issued an aggregate of 12,465,288 ordinary shares (excluding 5,524,506 ordinary shares which were issued to a Hong Kong-based investor and subsequently transferred to us for no consideration) to certain new and existing shareholders at a price of $18.10 per share for aggregate proceeds of €1</w:t>
      </w:r>
      <w:r>
        <w:rPr>
          <w:rFonts w:ascii="Arial" w:cs="Arial" w:eastAsia="Arial" w:hAnsi="Arial"/>
          <w:sz w:val="13"/>
          <w:szCs w:val="13"/>
          <w:color w:val="000000"/>
        </w:rPr>
        <w:t>98.6</w:t>
      </w:r>
      <w:r>
        <w:rPr>
          <w:rFonts w:ascii="Arial" w:cs="Arial" w:eastAsia="Arial" w:hAnsi="Arial"/>
          <w:sz w:val="13"/>
          <w:szCs w:val="13"/>
          <w:color w:val="231F20"/>
        </w:rPr>
        <w:t xml:space="preserve"> million </w:t>
      </w:r>
      <w:r>
        <w:rPr>
          <w:rFonts w:ascii="Arial" w:cs="Arial" w:eastAsia="Arial" w:hAnsi="Arial"/>
          <w:sz w:val="13"/>
          <w:szCs w:val="13"/>
          <w:color w:val="000000"/>
        </w:rPr>
        <w:t>($225.6 million).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color w:val="231F20"/>
        </w:rPr>
        <w:t>following</w:t>
      </w:r>
      <w:r>
        <w:rPr>
          <w:rFonts w:ascii="Arial" w:cs="Arial" w:eastAsia="Arial" w:hAnsi="Arial"/>
          <w:sz w:val="13"/>
          <w:szCs w:val="13"/>
          <w:color w:val="auto"/>
        </w:rPr>
        <w:t xml:space="preserve"> table sets forth the aggregate number of ordinary shares that we issued and sold in this transaction to our related </w:t>
      </w:r>
      <w:r>
        <w:rPr>
          <w:rFonts w:ascii="Arial" w:cs="Arial" w:eastAsia="Arial" w:hAnsi="Arial"/>
          <w:sz w:val="13"/>
          <w:szCs w:val="13"/>
          <w:color w:val="231F20"/>
        </w:rPr>
        <w:t>parties</w:t>
      </w:r>
      <w:r>
        <w:rPr>
          <w:rFonts w:ascii="Arial" w:cs="Arial" w:eastAsia="Arial" w:hAnsi="Arial"/>
          <w:sz w:val="13"/>
          <w:szCs w:val="13"/>
          <w:color w:val="auto"/>
        </w:rPr>
        <w:t xml:space="preserve"> and the aggregate purchase price for such shares: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Participant</w:t>
            </w:r>
          </w:p>
        </w:tc>
        <w:tc>
          <w:tcPr>
            <w:tcW w:w="17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w w:val="95"/>
              </w:rPr>
              <w:t>Number of Ordinary Shares</w:t>
            </w: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w w:val="90"/>
              </w:rPr>
              <w:t>Aggregate Purchase Price ($)</w:t>
            </w:r>
          </w:p>
        </w:tc>
      </w:tr>
      <w:tr>
        <w:trPr>
          <w:trHeight w:val="410"/>
        </w:trPr>
        <w:tc>
          <w:tcPr>
            <w:tcW w:w="79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 xml:space="preserve">AT Impf GmbH </w:t>
            </w:r>
            <w:r>
              <w:rPr>
                <w:rFonts w:ascii="Arial" w:cs="Arial" w:eastAsia="Arial" w:hAnsi="Arial"/>
                <w:sz w:val="18"/>
                <w:szCs w:val="18"/>
                <w:color w:val="auto"/>
                <w:vertAlign w:val="superscript"/>
              </w:rPr>
              <w:t>(1)</w:t>
            </w:r>
          </w:p>
        </w:tc>
        <w:tc>
          <w:tcPr>
            <w:tcW w:w="17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1,657,332</w:t>
            </w:r>
          </w:p>
        </w:tc>
        <w:tc>
          <w:tcPr>
            <w:tcW w:w="1660" w:type="dxa"/>
            <w:vAlign w:val="bottom"/>
          </w:tcPr>
          <w:p>
            <w:pPr>
              <w:jc w:val="right"/>
              <w:spacing w:after="0"/>
              <w:rPr>
                <w:sz w:val="20"/>
                <w:szCs w:val="20"/>
                <w:color w:val="auto"/>
              </w:rPr>
            </w:pPr>
            <w:r>
              <w:rPr>
                <w:rFonts w:ascii="Arial" w:cs="Arial" w:eastAsia="Arial" w:hAnsi="Arial"/>
                <w:sz w:val="13"/>
                <w:szCs w:val="13"/>
                <w:color w:val="auto"/>
              </w:rPr>
              <w:t>29,999,550.68</w:t>
            </w:r>
          </w:p>
        </w:tc>
      </w:tr>
    </w:tbl>
    <w:p>
      <w:pPr>
        <w:spacing w:after="0" w:line="81" w:lineRule="exact"/>
        <w:rPr>
          <w:sz w:val="20"/>
          <w:szCs w:val="20"/>
          <w:color w:val="auto"/>
        </w:rPr>
      </w:pPr>
    </w:p>
    <w:p>
      <w:pPr>
        <w:ind w:left="1000" w:hanging="440"/>
        <w:spacing w:after="0"/>
        <w:tabs>
          <w:tab w:leader="none" w:pos="1000" w:val="left"/>
        </w:tabs>
        <w:numPr>
          <w:ilvl w:val="0"/>
          <w:numId w:val="271"/>
        </w:numPr>
        <w:rPr>
          <w:rFonts w:ascii="Arial" w:cs="Arial" w:eastAsia="Arial" w:hAnsi="Arial"/>
          <w:sz w:val="11"/>
          <w:szCs w:val="11"/>
          <w:color w:val="auto"/>
        </w:rPr>
      </w:pPr>
      <w:r>
        <w:rPr>
          <w:rFonts w:ascii="Arial" w:cs="Arial" w:eastAsia="Arial" w:hAnsi="Arial"/>
          <w:sz w:val="13"/>
          <w:szCs w:val="13"/>
          <w:color w:val="auto"/>
        </w:rPr>
        <w:t>See “Major Shareholders” under this Item 7 for additional information about shares held by this entity or the parent company of this entity.</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Initial Public Offering</w:t>
      </w:r>
    </w:p>
    <w:p>
      <w:pPr>
        <w:spacing w:after="0" w:line="94" w:lineRule="exact"/>
        <w:rPr>
          <w:sz w:val="20"/>
          <w:szCs w:val="20"/>
          <w:color w:val="auto"/>
        </w:rPr>
      </w:pPr>
    </w:p>
    <w:p>
      <w:pPr>
        <w:jc w:val="both"/>
        <w:ind w:right="360" w:firstLine="556"/>
        <w:spacing w:after="0" w:line="272" w:lineRule="auto"/>
        <w:rPr>
          <w:sz w:val="20"/>
          <w:szCs w:val="20"/>
          <w:color w:val="auto"/>
        </w:rPr>
      </w:pPr>
      <w:r>
        <w:rPr>
          <w:rFonts w:ascii="Arial" w:cs="Arial" w:eastAsia="Arial" w:hAnsi="Arial"/>
          <w:sz w:val="13"/>
          <w:szCs w:val="13"/>
          <w:color w:val="auto"/>
        </w:rPr>
        <w:t xml:space="preserve">In October 2019, we sold 10,517,408 ADSs representing 10,517,408 of our ordinary shares to certain new and existing </w:t>
      </w:r>
      <w:r>
        <w:rPr>
          <w:rFonts w:ascii="Arial" w:cs="Arial" w:eastAsia="Arial" w:hAnsi="Arial"/>
          <w:sz w:val="13"/>
          <w:szCs w:val="13"/>
          <w:color w:val="231F20"/>
        </w:rPr>
        <w:t>shareholders</w:t>
      </w:r>
      <w:r>
        <w:rPr>
          <w:rFonts w:ascii="Arial" w:cs="Arial" w:eastAsia="Arial" w:hAnsi="Arial"/>
          <w:sz w:val="13"/>
          <w:szCs w:val="13"/>
          <w:color w:val="auto"/>
        </w:rPr>
        <w:t xml:space="preserve"> at a price of $15.00 per ADS for proceeds of €135.4 ($149.1 million) in our initial public offering. The following </w:t>
      </w:r>
      <w:r>
        <w:rPr>
          <w:rFonts w:ascii="Arial" w:cs="Arial" w:eastAsia="Arial" w:hAnsi="Arial"/>
          <w:sz w:val="13"/>
          <w:szCs w:val="13"/>
          <w:color w:val="231F20"/>
        </w:rPr>
        <w:t>table</w:t>
      </w:r>
      <w:r>
        <w:rPr>
          <w:rFonts w:ascii="Arial" w:cs="Arial" w:eastAsia="Arial" w:hAnsi="Arial"/>
          <w:sz w:val="13"/>
          <w:szCs w:val="13"/>
          <w:color w:val="auto"/>
        </w:rPr>
        <w:t xml:space="preserve"> sets forth the aggregate number of ADSs that we issued and sold in this transaction to our related parties and the aggregate purchase price for such shares:</w:t>
      </w:r>
    </w:p>
    <w:p>
      <w:pPr>
        <w:sectPr>
          <w:pgSz w:w="11900" w:h="16838" w:orient="portrait"/>
          <w:cols w:equalWidth="0" w:num="1">
            <w:col w:w="11280"/>
          </w:cols>
          <w:pgMar w:left="300" w:top="367" w:right="31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w:t>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AT Impf GmbH </w:t>
      </w:r>
      <w:r>
        <w:rPr>
          <w:rFonts w:ascii="Arial" w:cs="Arial" w:eastAsia="Arial" w:hAnsi="Arial"/>
          <w:sz w:val="16"/>
          <w:szCs w:val="16"/>
          <w:color w:val="auto"/>
          <w:vertAlign w:val="superscript"/>
        </w:rPr>
        <w:t>(1)</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Helmut Jeggle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Ordinary Shares Aggregate Purchase Price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-85090</wp:posOffset>
            </wp:positionV>
            <wp:extent cx="7167880" cy="514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7880" cy="514350"/>
                    </a:xfrm>
                    <a:prstGeom prst="rect">
                      <a:avLst/>
                    </a:prstGeom>
                    <a:noFill/>
                  </pic:spPr>
                </pic:pic>
              </a:graphicData>
            </a:graphic>
          </wp:anchor>
        </w:drawing>
      </w:r>
    </w:p>
    <w:p>
      <w:pPr>
        <w:spacing w:after="0" w:line="256" w:lineRule="exact"/>
        <w:rPr>
          <w:sz w:val="20"/>
          <w:szCs w:val="20"/>
          <w:color w:val="auto"/>
        </w:rPr>
      </w:pPr>
    </w:p>
    <w:p>
      <w:pPr>
        <w:jc w:val="both"/>
        <w:ind w:left="1120"/>
        <w:spacing w:after="0"/>
        <w:tabs>
          <w:tab w:leader="none" w:pos="2560" w:val="left"/>
        </w:tabs>
        <w:rPr>
          <w:sz w:val="20"/>
          <w:szCs w:val="20"/>
          <w:color w:val="auto"/>
        </w:rPr>
      </w:pPr>
      <w:r>
        <w:rPr>
          <w:rFonts w:ascii="Arial" w:cs="Arial" w:eastAsia="Arial" w:hAnsi="Arial"/>
          <w:sz w:val="13"/>
          <w:szCs w:val="13"/>
          <w:color w:val="auto"/>
        </w:rPr>
        <w:t>2,800,000</w:t>
      </w:r>
      <w:r>
        <w:rPr>
          <w:sz w:val="20"/>
          <w:szCs w:val="20"/>
          <w:color w:val="auto"/>
        </w:rPr>
        <w:tab/>
      </w:r>
      <w:r>
        <w:rPr>
          <w:rFonts w:ascii="Arial" w:cs="Arial" w:eastAsia="Arial" w:hAnsi="Arial"/>
          <w:sz w:val="13"/>
          <w:szCs w:val="13"/>
          <w:color w:val="auto"/>
        </w:rPr>
        <w:t>42,000,000.00</w:t>
      </w:r>
    </w:p>
    <w:p>
      <w:pPr>
        <w:spacing w:after="0" w:line="60" w:lineRule="exact"/>
        <w:rPr>
          <w:sz w:val="20"/>
          <w:szCs w:val="20"/>
          <w:color w:val="auto"/>
        </w:rPr>
      </w:pPr>
    </w:p>
    <w:p>
      <w:pPr>
        <w:jc w:val="both"/>
        <w:ind w:left="1280"/>
        <w:spacing w:after="0"/>
        <w:tabs>
          <w:tab w:leader="none" w:pos="2720" w:val="left"/>
        </w:tabs>
        <w:rPr>
          <w:sz w:val="20"/>
          <w:szCs w:val="20"/>
          <w:color w:val="auto"/>
        </w:rPr>
      </w:pPr>
      <w:r>
        <w:rPr>
          <w:rFonts w:ascii="Arial" w:cs="Arial" w:eastAsia="Arial" w:hAnsi="Arial"/>
          <w:sz w:val="13"/>
          <w:szCs w:val="13"/>
          <w:color w:val="auto"/>
        </w:rPr>
        <w:t>51,219</w:t>
      </w:r>
      <w:r>
        <w:rPr>
          <w:sz w:val="20"/>
          <w:szCs w:val="20"/>
          <w:color w:val="auto"/>
        </w:rPr>
        <w:tab/>
      </w:r>
      <w:r>
        <w:rPr>
          <w:rFonts w:ascii="Arial" w:cs="Arial" w:eastAsia="Arial" w:hAnsi="Arial"/>
          <w:sz w:val="13"/>
          <w:szCs w:val="13"/>
          <w:color w:val="auto"/>
        </w:rPr>
        <w:t>768,285.00</w:t>
      </w:r>
    </w:p>
    <w:p>
      <w:pPr>
        <w:spacing w:after="0" w:line="264" w:lineRule="exact"/>
        <w:rPr>
          <w:sz w:val="20"/>
          <w:szCs w:val="20"/>
          <w:color w:val="auto"/>
        </w:rPr>
      </w:pPr>
    </w:p>
    <w:p>
      <w:pPr>
        <w:sectPr>
          <w:pgSz w:w="11900" w:h="16838" w:orient="portrait"/>
          <w:cols w:equalWidth="0" w:num="2">
            <w:col w:w="7220" w:space="720"/>
            <w:col w:w="3340"/>
          </w:cols>
          <w:pgMar w:left="300" w:top="367" w:right="31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80580" cy="127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67" w:right="319" w:bottom="1440" w:gutter="0" w:footer="0" w:header="0"/>
          <w:type w:val="continuous"/>
        </w:sectPr>
      </w:pPr>
    </w:p>
    <w:bookmarkStart w:id="227" w:name="page228"/>
    <w:bookmarkEnd w:id="227"/>
    <w:p>
      <w:pPr>
        <w:ind w:left="1000" w:right="4460" w:hanging="440"/>
        <w:spacing w:after="0" w:line="190" w:lineRule="auto"/>
        <w:tabs>
          <w:tab w:leader="none" w:pos="1000" w:val="left"/>
        </w:tabs>
        <w:numPr>
          <w:ilvl w:val="1"/>
          <w:numId w:val="272"/>
        </w:numPr>
        <w:rPr>
          <w:rFonts w:ascii="Arial" w:cs="Arial" w:eastAsia="Arial" w:hAnsi="Arial"/>
          <w:sz w:val="23"/>
          <w:szCs w:val="23"/>
          <w:color w:val="auto"/>
          <w:vertAlign w:val="superscript"/>
        </w:rPr>
      </w:pPr>
      <w:r>
        <w:rPr>
          <w:rFonts w:ascii="Arial" w:cs="Arial" w:eastAsia="Arial" w:hAnsi="Arial"/>
          <w:sz w:val="13"/>
          <w:szCs w:val="13"/>
          <w:color w:val="auto"/>
        </w:rPr>
        <w:t>See “Major Shareholders” under this Item 7 for additional information about shares held by this entity, the parent company of this entity or Supervisory Board member.</w:t>
      </w:r>
    </w:p>
    <w:p>
      <w:pPr>
        <w:spacing w:after="0" w:line="228" w:lineRule="exact"/>
        <w:rPr>
          <w:rFonts w:ascii="Arial" w:cs="Arial" w:eastAsia="Arial" w:hAnsi="Arial"/>
          <w:sz w:val="23"/>
          <w:szCs w:val="23"/>
          <w:color w:val="auto"/>
          <w:vertAlign w:val="superscript"/>
        </w:rPr>
      </w:pPr>
    </w:p>
    <w:p>
      <w:pPr>
        <w:ind w:left="1100" w:hanging="550"/>
        <w:spacing w:after="0"/>
        <w:tabs>
          <w:tab w:leader="none" w:pos="1100" w:val="left"/>
        </w:tabs>
        <w:numPr>
          <w:ilvl w:val="0"/>
          <w:numId w:val="273"/>
        </w:numPr>
        <w:rPr>
          <w:rFonts w:ascii="Arial" w:cs="Arial" w:eastAsia="Arial" w:hAnsi="Arial"/>
          <w:sz w:val="13"/>
          <w:szCs w:val="13"/>
          <w:b w:val="1"/>
          <w:bCs w:val="1"/>
          <w:color w:val="auto"/>
        </w:rPr>
      </w:pPr>
      <w:r>
        <w:rPr>
          <w:rFonts w:ascii="Arial" w:cs="Arial" w:eastAsia="Arial" w:hAnsi="Arial"/>
          <w:sz w:val="13"/>
          <w:szCs w:val="13"/>
          <w:b w:val="1"/>
          <w:bCs w:val="1"/>
          <w:color w:val="auto"/>
        </w:rPr>
        <w:t>Interests of Experts and Counsel</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 Financial Information</w:t>
      </w:r>
    </w:p>
    <w:p>
      <w:pPr>
        <w:spacing w:after="0" w:line="90" w:lineRule="exact"/>
        <w:rPr>
          <w:sz w:val="20"/>
          <w:szCs w:val="20"/>
          <w:color w:val="auto"/>
        </w:rPr>
      </w:pPr>
    </w:p>
    <w:p>
      <w:pPr>
        <w:ind w:left="1100" w:hanging="550"/>
        <w:spacing w:after="0"/>
        <w:tabs>
          <w:tab w:leader="none" w:pos="1100" w:val="left"/>
        </w:tabs>
        <w:numPr>
          <w:ilvl w:val="0"/>
          <w:numId w:val="274"/>
        </w:numPr>
        <w:rPr>
          <w:rFonts w:ascii="Arial" w:cs="Arial" w:eastAsia="Arial" w:hAnsi="Arial"/>
          <w:sz w:val="13"/>
          <w:szCs w:val="13"/>
          <w:b w:val="1"/>
          <w:bCs w:val="1"/>
          <w:color w:val="auto"/>
        </w:rPr>
      </w:pPr>
      <w:r>
        <w:rPr>
          <w:rFonts w:ascii="Arial" w:cs="Arial" w:eastAsia="Arial" w:hAnsi="Arial"/>
          <w:sz w:val="13"/>
          <w:szCs w:val="13"/>
          <w:b w:val="1"/>
          <w:bCs w:val="1"/>
          <w:color w:val="auto"/>
        </w:rPr>
        <w:t>Consolidated Statements and Other Financial Information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color w:val="231F20"/>
        </w:rPr>
        <w:t>Item 18.</w:t>
      </w:r>
    </w:p>
    <w:p>
      <w:pPr>
        <w:spacing w:after="0" w:line="246" w:lineRule="exact"/>
        <w:rPr>
          <w:sz w:val="20"/>
          <w:szCs w:val="20"/>
          <w:color w:val="auto"/>
        </w:rPr>
      </w:pPr>
    </w:p>
    <w:p>
      <w:pPr>
        <w:ind w:left="1100" w:hanging="550"/>
        <w:spacing w:after="0"/>
        <w:tabs>
          <w:tab w:leader="none" w:pos="1100" w:val="left"/>
        </w:tabs>
        <w:numPr>
          <w:ilvl w:val="0"/>
          <w:numId w:val="275"/>
        </w:numPr>
        <w:rPr>
          <w:rFonts w:ascii="Arial" w:cs="Arial" w:eastAsia="Arial" w:hAnsi="Arial"/>
          <w:sz w:val="13"/>
          <w:szCs w:val="13"/>
          <w:b w:val="1"/>
          <w:bCs w:val="1"/>
          <w:color w:val="auto"/>
        </w:rPr>
      </w:pPr>
      <w:r>
        <w:rPr>
          <w:rFonts w:ascii="Arial" w:cs="Arial" w:eastAsia="Arial" w:hAnsi="Arial"/>
          <w:sz w:val="13"/>
          <w:szCs w:val="13"/>
          <w:b w:val="1"/>
          <w:bCs w:val="1"/>
          <w:color w:val="auto"/>
        </w:rPr>
        <w:t>Significant Changes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 The Offer and Listing</w:t>
      </w:r>
    </w:p>
    <w:p>
      <w:pPr>
        <w:spacing w:after="0" w:line="90" w:lineRule="exact"/>
        <w:rPr>
          <w:sz w:val="20"/>
          <w:szCs w:val="20"/>
          <w:color w:val="auto"/>
        </w:rPr>
      </w:pPr>
    </w:p>
    <w:p>
      <w:pPr>
        <w:ind w:left="1100" w:hanging="550"/>
        <w:spacing w:after="0"/>
        <w:tabs>
          <w:tab w:leader="none" w:pos="1100" w:val="left"/>
        </w:tabs>
        <w:numPr>
          <w:ilvl w:val="0"/>
          <w:numId w:val="276"/>
        </w:numPr>
        <w:rPr>
          <w:rFonts w:ascii="Arial" w:cs="Arial" w:eastAsia="Arial" w:hAnsi="Arial"/>
          <w:sz w:val="13"/>
          <w:szCs w:val="13"/>
          <w:b w:val="1"/>
          <w:bCs w:val="1"/>
          <w:color w:val="auto"/>
        </w:rPr>
      </w:pPr>
      <w:r>
        <w:rPr>
          <w:rFonts w:ascii="Arial" w:cs="Arial" w:eastAsia="Arial" w:hAnsi="Arial"/>
          <w:sz w:val="13"/>
          <w:szCs w:val="13"/>
          <w:b w:val="1"/>
          <w:bCs w:val="1"/>
          <w:color w:val="auto"/>
        </w:rPr>
        <w:t>Offer Listing Details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1100" w:hanging="550"/>
        <w:spacing w:after="0"/>
        <w:tabs>
          <w:tab w:leader="none" w:pos="1100" w:val="left"/>
        </w:tabs>
        <w:numPr>
          <w:ilvl w:val="0"/>
          <w:numId w:val="277"/>
        </w:numPr>
        <w:rPr>
          <w:rFonts w:ascii="Arial" w:cs="Arial" w:eastAsia="Arial" w:hAnsi="Arial"/>
          <w:sz w:val="13"/>
          <w:szCs w:val="13"/>
          <w:b w:val="1"/>
          <w:bCs w:val="1"/>
          <w:color w:val="auto"/>
        </w:rPr>
      </w:pPr>
      <w:r>
        <w:rPr>
          <w:rFonts w:ascii="Arial" w:cs="Arial" w:eastAsia="Arial" w:hAnsi="Arial"/>
          <w:sz w:val="13"/>
          <w:szCs w:val="13"/>
          <w:b w:val="1"/>
          <w:bCs w:val="1"/>
          <w:color w:val="auto"/>
        </w:rPr>
        <w:t>Plan of Distribution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1100" w:hanging="550"/>
        <w:spacing w:after="0"/>
        <w:tabs>
          <w:tab w:leader="none" w:pos="1100" w:val="left"/>
        </w:tabs>
        <w:numPr>
          <w:ilvl w:val="0"/>
          <w:numId w:val="278"/>
        </w:numPr>
        <w:rPr>
          <w:rFonts w:ascii="Arial" w:cs="Arial" w:eastAsia="Arial" w:hAnsi="Arial"/>
          <w:sz w:val="13"/>
          <w:szCs w:val="13"/>
          <w:b w:val="1"/>
          <w:bCs w:val="1"/>
          <w:color w:val="auto"/>
        </w:rPr>
      </w:pPr>
      <w:r>
        <w:rPr>
          <w:rFonts w:ascii="Arial" w:cs="Arial" w:eastAsia="Arial" w:hAnsi="Arial"/>
          <w:sz w:val="13"/>
          <w:szCs w:val="13"/>
          <w:b w:val="1"/>
          <w:bCs w:val="1"/>
          <w:color w:val="auto"/>
        </w:rPr>
        <w:t>Markets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ADSs representing our ordinary shares have been listed on the Nasdaq Global Select Market under the symbol “BNTX” since October 10, 2019.</w:t>
      </w:r>
    </w:p>
    <w:p>
      <w:pPr>
        <w:spacing w:after="0" w:line="246" w:lineRule="exact"/>
        <w:rPr>
          <w:sz w:val="20"/>
          <w:szCs w:val="20"/>
          <w:color w:val="auto"/>
        </w:rPr>
      </w:pPr>
    </w:p>
    <w:p>
      <w:pPr>
        <w:ind w:left="1100" w:hanging="550"/>
        <w:spacing w:after="0"/>
        <w:tabs>
          <w:tab w:leader="none" w:pos="1100" w:val="left"/>
        </w:tabs>
        <w:numPr>
          <w:ilvl w:val="0"/>
          <w:numId w:val="279"/>
        </w:numPr>
        <w:rPr>
          <w:rFonts w:ascii="Arial" w:cs="Arial" w:eastAsia="Arial" w:hAnsi="Arial"/>
          <w:sz w:val="13"/>
          <w:szCs w:val="13"/>
          <w:b w:val="1"/>
          <w:bCs w:val="1"/>
          <w:color w:val="auto"/>
        </w:rPr>
      </w:pPr>
      <w:r>
        <w:rPr>
          <w:rFonts w:ascii="Arial" w:cs="Arial" w:eastAsia="Arial" w:hAnsi="Arial"/>
          <w:sz w:val="13"/>
          <w:szCs w:val="13"/>
          <w:b w:val="1"/>
          <w:bCs w:val="1"/>
          <w:color w:val="auto"/>
        </w:rPr>
        <w:t>Selling Shareholders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1100" w:hanging="550"/>
        <w:spacing w:after="0"/>
        <w:tabs>
          <w:tab w:leader="none" w:pos="1100" w:val="left"/>
        </w:tabs>
        <w:numPr>
          <w:ilvl w:val="0"/>
          <w:numId w:val="280"/>
        </w:numPr>
        <w:rPr>
          <w:rFonts w:ascii="Arial" w:cs="Arial" w:eastAsia="Arial" w:hAnsi="Arial"/>
          <w:sz w:val="13"/>
          <w:szCs w:val="13"/>
          <w:b w:val="1"/>
          <w:bCs w:val="1"/>
          <w:color w:val="auto"/>
        </w:rPr>
      </w:pPr>
      <w:r>
        <w:rPr>
          <w:rFonts w:ascii="Arial" w:cs="Arial" w:eastAsia="Arial" w:hAnsi="Arial"/>
          <w:sz w:val="13"/>
          <w:szCs w:val="13"/>
          <w:b w:val="1"/>
          <w:bCs w:val="1"/>
          <w:color w:val="auto"/>
        </w:rPr>
        <w:t>Dilution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1100" w:hanging="550"/>
        <w:spacing w:after="0"/>
        <w:tabs>
          <w:tab w:leader="none" w:pos="1100" w:val="left"/>
        </w:tabs>
        <w:numPr>
          <w:ilvl w:val="0"/>
          <w:numId w:val="281"/>
        </w:numPr>
        <w:rPr>
          <w:rFonts w:ascii="Arial" w:cs="Arial" w:eastAsia="Arial" w:hAnsi="Arial"/>
          <w:sz w:val="13"/>
          <w:szCs w:val="13"/>
          <w:b w:val="1"/>
          <w:bCs w:val="1"/>
          <w:color w:val="auto"/>
        </w:rPr>
      </w:pPr>
      <w:r>
        <w:rPr>
          <w:rFonts w:ascii="Arial" w:cs="Arial" w:eastAsia="Arial" w:hAnsi="Arial"/>
          <w:sz w:val="13"/>
          <w:szCs w:val="13"/>
          <w:b w:val="1"/>
          <w:bCs w:val="1"/>
          <w:color w:val="auto"/>
        </w:rPr>
        <w:t>Expenses of the Issue</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Additional Information</w:t>
      </w:r>
    </w:p>
    <w:p>
      <w:pPr>
        <w:spacing w:after="0" w:line="90" w:lineRule="exact"/>
        <w:rPr>
          <w:sz w:val="20"/>
          <w:szCs w:val="20"/>
          <w:color w:val="auto"/>
        </w:rPr>
      </w:pPr>
    </w:p>
    <w:p>
      <w:pPr>
        <w:ind w:left="1100" w:hanging="550"/>
        <w:spacing w:after="0"/>
        <w:tabs>
          <w:tab w:leader="none" w:pos="1100" w:val="left"/>
        </w:tabs>
        <w:numPr>
          <w:ilvl w:val="0"/>
          <w:numId w:val="282"/>
        </w:numPr>
        <w:rPr>
          <w:rFonts w:ascii="Arial" w:cs="Arial" w:eastAsia="Arial" w:hAnsi="Arial"/>
          <w:sz w:val="13"/>
          <w:szCs w:val="13"/>
          <w:b w:val="1"/>
          <w:bCs w:val="1"/>
          <w:color w:val="auto"/>
        </w:rPr>
      </w:pPr>
      <w:r>
        <w:rPr>
          <w:rFonts w:ascii="Arial" w:cs="Arial" w:eastAsia="Arial" w:hAnsi="Arial"/>
          <w:sz w:val="13"/>
          <w:szCs w:val="13"/>
          <w:b w:val="1"/>
          <w:bCs w:val="1"/>
          <w:color w:val="auto"/>
        </w:rPr>
        <w:t>Share Capital</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1100" w:hanging="550"/>
        <w:spacing w:after="0"/>
        <w:tabs>
          <w:tab w:leader="none" w:pos="1100" w:val="left"/>
        </w:tabs>
        <w:numPr>
          <w:ilvl w:val="0"/>
          <w:numId w:val="283"/>
        </w:numPr>
        <w:rPr>
          <w:rFonts w:ascii="Arial" w:cs="Arial" w:eastAsia="Arial" w:hAnsi="Arial"/>
          <w:sz w:val="13"/>
          <w:szCs w:val="13"/>
          <w:b w:val="1"/>
          <w:bCs w:val="1"/>
          <w:color w:val="auto"/>
        </w:rPr>
      </w:pPr>
      <w:r>
        <w:rPr>
          <w:rFonts w:ascii="Arial" w:cs="Arial" w:eastAsia="Arial" w:hAnsi="Arial"/>
          <w:sz w:val="13"/>
          <w:szCs w:val="13"/>
          <w:b w:val="1"/>
          <w:bCs w:val="1"/>
          <w:color w:val="auto"/>
        </w:rPr>
        <w:t>Memorandum and Articles of Association</w:t>
      </w:r>
    </w:p>
    <w:p>
      <w:pPr>
        <w:spacing w:after="0" w:line="90" w:lineRule="exact"/>
        <w:rPr>
          <w:rFonts w:ascii="Arial" w:cs="Arial" w:eastAsia="Arial" w:hAnsi="Arial"/>
          <w:sz w:val="13"/>
          <w:szCs w:val="13"/>
          <w:b w:val="1"/>
          <w:bCs w:val="1"/>
          <w:color w:val="auto"/>
        </w:rPr>
      </w:pPr>
    </w:p>
    <w:p>
      <w:pPr>
        <w:ind w:left="5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94" w:lineRule="exact"/>
        <w:rPr>
          <w:sz w:val="20"/>
          <w:szCs w:val="20"/>
          <w:color w:val="auto"/>
        </w:rPr>
      </w:pPr>
    </w:p>
    <w:p>
      <w:pPr>
        <w:jc w:val="both"/>
        <w:ind w:firstLine="556"/>
        <w:spacing w:after="0" w:line="267" w:lineRule="auto"/>
        <w:rPr>
          <w:sz w:val="20"/>
          <w:szCs w:val="20"/>
          <w:color w:val="auto"/>
        </w:rPr>
      </w:pPr>
      <w:r>
        <w:rPr>
          <w:rFonts w:ascii="Arial" w:cs="Arial" w:eastAsia="Arial" w:hAnsi="Arial"/>
          <w:sz w:val="13"/>
          <w:szCs w:val="13"/>
          <w:color w:val="231F20"/>
        </w:rPr>
        <w:t xml:space="preserve">We were </w:t>
      </w:r>
      <w:r>
        <w:rPr>
          <w:rFonts w:ascii="Arial" w:cs="Arial" w:eastAsia="Arial" w:hAnsi="Arial"/>
          <w:sz w:val="13"/>
          <w:szCs w:val="13"/>
          <w:color w:val="000000"/>
        </w:rPr>
        <w:t>incorporated</w:t>
      </w:r>
      <w:r>
        <w:rPr>
          <w:rFonts w:ascii="Arial" w:cs="Arial" w:eastAsia="Arial" w:hAnsi="Arial"/>
          <w:sz w:val="13"/>
          <w:szCs w:val="13"/>
          <w:color w:val="231F20"/>
        </w:rPr>
        <w:t xml:space="preserve"> as a German stock corporation (</w:t>
      </w:r>
      <w:r>
        <w:rPr>
          <w:rFonts w:ascii="Arial" w:cs="Arial" w:eastAsia="Arial" w:hAnsi="Arial"/>
          <w:sz w:val="13"/>
          <w:szCs w:val="13"/>
          <w:i w:val="1"/>
          <w:iCs w:val="1"/>
          <w:color w:val="231F20"/>
        </w:rPr>
        <w:t>Aktiengesellschaft</w:t>
      </w:r>
      <w:r>
        <w:rPr>
          <w:rFonts w:ascii="Arial" w:cs="Arial" w:eastAsia="Arial" w:hAnsi="Arial"/>
          <w:sz w:val="13"/>
          <w:szCs w:val="13"/>
          <w:color w:val="231F20"/>
        </w:rPr>
        <w:t xml:space="preserve">) with the legal name Petersberg 91. V AG under the </w:t>
      </w:r>
      <w:r>
        <w:rPr>
          <w:rFonts w:ascii="Arial" w:cs="Arial" w:eastAsia="Arial" w:hAnsi="Arial"/>
          <w:sz w:val="13"/>
          <w:szCs w:val="13"/>
          <w:color w:val="000000"/>
        </w:rPr>
        <w:t>laws</w:t>
      </w:r>
      <w:r>
        <w:rPr>
          <w:rFonts w:ascii="Arial" w:cs="Arial" w:eastAsia="Arial" w:hAnsi="Arial"/>
          <w:sz w:val="13"/>
          <w:szCs w:val="13"/>
          <w:color w:val="231F20"/>
        </w:rPr>
        <w:t xml:space="preserve"> of the Federal Republic of Germany on June 2, 2008. We changed our name to </w:t>
      </w:r>
      <w:r>
        <w:rPr>
          <w:rFonts w:ascii="Arial" w:cs="Arial" w:eastAsia="Arial" w:hAnsi="Arial"/>
          <w:sz w:val="13"/>
          <w:szCs w:val="13"/>
          <w:color w:val="000000"/>
        </w:rPr>
        <w:t>BioNTech</w:t>
      </w:r>
      <w:r>
        <w:rPr>
          <w:rFonts w:ascii="Arial" w:cs="Arial" w:eastAsia="Arial" w:hAnsi="Arial"/>
          <w:sz w:val="13"/>
          <w:szCs w:val="13"/>
          <w:color w:val="231F20"/>
        </w:rPr>
        <w:t xml:space="preserve"> AG on December 11, 2008. Effective as of March 8, </w:t>
      </w:r>
      <w:r>
        <w:rPr>
          <w:rFonts w:ascii="Arial" w:cs="Arial" w:eastAsia="Arial" w:hAnsi="Arial"/>
          <w:sz w:val="13"/>
          <w:szCs w:val="13"/>
          <w:color w:val="000000"/>
        </w:rPr>
        <w:t>2019</w:t>
      </w:r>
      <w:r>
        <w:rPr>
          <w:rFonts w:ascii="Arial" w:cs="Arial" w:eastAsia="Arial" w:hAnsi="Arial"/>
          <w:sz w:val="13"/>
          <w:szCs w:val="13"/>
          <w:color w:val="231F20"/>
        </w:rPr>
        <w:t>, the date on which the change of legal form and company was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of the local court (</w:t>
      </w:r>
      <w:r>
        <w:rPr>
          <w:rFonts w:ascii="Arial" w:cs="Arial" w:eastAsia="Arial" w:hAnsi="Arial"/>
          <w:sz w:val="13"/>
          <w:szCs w:val="13"/>
          <w:i w:val="1"/>
          <w:iCs w:val="1"/>
          <w:color w:val="231F20"/>
        </w:rPr>
        <w:t>Amtsgericht</w:t>
      </w:r>
      <w:r>
        <w:rPr>
          <w:rFonts w:ascii="Arial" w:cs="Arial" w:eastAsia="Arial" w:hAnsi="Arial"/>
          <w:sz w:val="13"/>
          <w:szCs w:val="13"/>
          <w:color w:val="231F20"/>
        </w:rPr>
        <w:t xml:space="preserve">) of Mainz, Germany, we converted to a </w:t>
      </w:r>
      <w:r>
        <w:rPr>
          <w:rFonts w:ascii="Arial" w:cs="Arial" w:eastAsia="Arial" w:hAnsi="Arial"/>
          <w:sz w:val="13"/>
          <w:szCs w:val="13"/>
          <w:i w:val="1"/>
          <w:iCs w:val="1"/>
          <w:color w:val="231F20"/>
        </w:rPr>
        <w:t>Societas Europaea</w:t>
      </w:r>
      <w:r>
        <w:rPr>
          <w:rFonts w:ascii="Arial" w:cs="Arial" w:eastAsia="Arial" w:hAnsi="Arial"/>
          <w:sz w:val="13"/>
          <w:szCs w:val="13"/>
          <w:color w:val="231F20"/>
        </w:rPr>
        <w:t xml:space="preserve"> with the legal name BioNTech SE. We completed our initial public offering in October 2019. The principal legislation under which we operate and our shares are issued are the Council Regulation (EC) No 2157/2001 of October 8,</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120"/>
          </w:cols>
          <w:pgMar w:left="300" w:top="131" w:right="479" w:bottom="1440" w:gutter="0" w:footer="0" w:header="0"/>
        </w:sectPr>
      </w:pPr>
    </w:p>
    <w:bookmarkStart w:id="228" w:name="page229"/>
    <w:bookmarkEnd w:id="228"/>
    <w:p>
      <w:pPr>
        <w:ind w:right="20"/>
        <w:spacing w:after="0" w:line="272" w:lineRule="auto"/>
        <w:rPr>
          <w:sz w:val="20"/>
          <w:szCs w:val="20"/>
          <w:color w:val="auto"/>
        </w:rPr>
      </w:pPr>
      <w:r>
        <w:rPr>
          <w:rFonts w:ascii="Arial" w:cs="Arial" w:eastAsia="Arial" w:hAnsi="Arial"/>
          <w:sz w:val="13"/>
          <w:szCs w:val="13"/>
          <w:color w:val="231F20"/>
        </w:rPr>
        <w:t>2001 on the Statute for a European company (SE), the German Law on the Implementation of Council Regulation (EC) No 2157/2001 of October 8, 2001 on the Statute for a European company (SE) (</w:t>
      </w:r>
      <w:r>
        <w:rPr>
          <w:rFonts w:ascii="Arial" w:cs="Arial" w:eastAsia="Arial" w:hAnsi="Arial"/>
          <w:sz w:val="13"/>
          <w:szCs w:val="13"/>
          <w:i w:val="1"/>
          <w:iCs w:val="1"/>
          <w:color w:val="231F20"/>
        </w:rPr>
        <w:t>Gesetz zur</w:t>
      </w:r>
      <w:r>
        <w:rPr>
          <w:rFonts w:ascii="Arial" w:cs="Arial" w:eastAsia="Arial" w:hAnsi="Arial"/>
          <w:sz w:val="13"/>
          <w:szCs w:val="13"/>
          <w:color w:val="231F20"/>
        </w:rPr>
        <w:t xml:space="preserve"> </w:t>
      </w:r>
      <w:r>
        <w:rPr>
          <w:rFonts w:ascii="Arial" w:cs="Arial" w:eastAsia="Arial" w:hAnsi="Arial"/>
          <w:sz w:val="13"/>
          <w:szCs w:val="13"/>
          <w:i w:val="1"/>
          <w:iCs w:val="1"/>
          <w:color w:val="231F20"/>
        </w:rPr>
        <w:t>Ausführung der Verordnung (EG) NR. 2157/2001 des Rates vom 8. Oktober 2001 über das Statut der Europäischen Gesellschaft (SE) (SE-Ausführungsgesetz—SEAG)</w:t>
      </w:r>
      <w:r>
        <w:rPr>
          <w:rFonts w:ascii="Arial" w:cs="Arial" w:eastAsia="Arial" w:hAnsi="Arial"/>
          <w:sz w:val="13"/>
          <w:szCs w:val="13"/>
          <w:color w:val="231F20"/>
        </w:rPr>
        <w:t>) and the German Stock Corporation Act</w:t>
      </w:r>
      <w:r>
        <w:rPr>
          <w:rFonts w:ascii="Arial" w:cs="Arial" w:eastAsia="Arial" w:hAnsi="Arial"/>
          <w:sz w:val="13"/>
          <w:szCs w:val="13"/>
          <w:i w:val="1"/>
          <w:iCs w:val="1"/>
          <w:color w:val="231F20"/>
        </w:rPr>
        <w:t xml:space="preserve"> </w:t>
      </w:r>
      <w:r>
        <w:rPr>
          <w:rFonts w:ascii="Arial" w:cs="Arial" w:eastAsia="Arial" w:hAnsi="Arial"/>
          <w:sz w:val="13"/>
          <w:szCs w:val="13"/>
          <w:color w:val="231F20"/>
        </w:rPr>
        <w:t>(</w:t>
      </w:r>
      <w:r>
        <w:rPr>
          <w:rFonts w:ascii="Arial" w:cs="Arial" w:eastAsia="Arial" w:hAnsi="Arial"/>
          <w:sz w:val="13"/>
          <w:szCs w:val="13"/>
          <w:i w:val="1"/>
          <w:iCs w:val="1"/>
          <w:color w:val="231F20"/>
        </w:rPr>
        <w:t>Aktiengesetz</w:t>
      </w:r>
      <w:r>
        <w:rPr>
          <w:rFonts w:ascii="Arial" w:cs="Arial" w:eastAsia="Arial" w:hAnsi="Arial"/>
          <w:sz w:val="13"/>
          <w:szCs w:val="13"/>
          <w:color w:val="231F20"/>
        </w:rPr>
        <w:t>), in each case as amended.</w:t>
      </w:r>
    </w:p>
    <w:p>
      <w:pPr>
        <w:spacing w:after="0" w:line="132" w:lineRule="exact"/>
        <w:rPr>
          <w:sz w:val="20"/>
          <w:szCs w:val="20"/>
          <w:color w:val="auto"/>
        </w:rPr>
      </w:pPr>
    </w:p>
    <w:p>
      <w:pPr>
        <w:ind w:right="140" w:firstLine="556"/>
        <w:spacing w:after="0" w:line="272" w:lineRule="auto"/>
        <w:rPr>
          <w:sz w:val="20"/>
          <w:szCs w:val="20"/>
          <w:color w:val="auto"/>
        </w:rPr>
      </w:pPr>
      <w:r>
        <w:rPr>
          <w:rFonts w:ascii="Arial" w:cs="Arial" w:eastAsia="Arial" w:hAnsi="Arial"/>
          <w:sz w:val="13"/>
          <w:szCs w:val="13"/>
          <w:color w:val="231F20"/>
        </w:rPr>
        <w:t xml:space="preserve">We </w:t>
      </w:r>
      <w:r>
        <w:rPr>
          <w:rFonts w:ascii="Arial" w:cs="Arial" w:eastAsia="Arial" w:hAnsi="Arial"/>
          <w:sz w:val="13"/>
          <w:szCs w:val="13"/>
          <w:color w:val="000000"/>
        </w:rPr>
        <w:t>are</w:t>
      </w:r>
      <w:r>
        <w:rPr>
          <w:rFonts w:ascii="Arial" w:cs="Arial" w:eastAsia="Arial" w:hAnsi="Arial"/>
          <w:sz w:val="13"/>
          <w:szCs w:val="13"/>
          <w:color w:val="231F20"/>
        </w:rPr>
        <w:t xml:space="preserve">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of the local court (</w:t>
      </w:r>
      <w:r>
        <w:rPr>
          <w:rFonts w:ascii="Arial" w:cs="Arial" w:eastAsia="Arial" w:hAnsi="Arial"/>
          <w:sz w:val="13"/>
          <w:szCs w:val="13"/>
          <w:i w:val="1"/>
          <w:iCs w:val="1"/>
          <w:color w:val="231F20"/>
        </w:rPr>
        <w:t>Amtsgericht</w:t>
      </w:r>
      <w:r>
        <w:rPr>
          <w:rFonts w:ascii="Arial" w:cs="Arial" w:eastAsia="Arial" w:hAnsi="Arial"/>
          <w:sz w:val="13"/>
          <w:szCs w:val="13"/>
          <w:color w:val="231F20"/>
        </w:rPr>
        <w:t>) in Mainz, Germany, under number HRB 48720. Our statutory seat is in Mainz, Germany, and our registered office is An der Goldgrube 12, 55131 Mainz, Germany. Copies of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will be publicly available from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at the local court of Mainz, Germany, electronically at www.unternehmensregister.de and as an exhibit to this Annual Report.</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Share Capital</w:t>
      </w:r>
    </w:p>
    <w:p>
      <w:pPr>
        <w:spacing w:after="0" w:line="94" w:lineRule="exact"/>
        <w:rPr>
          <w:sz w:val="20"/>
          <w:szCs w:val="20"/>
          <w:color w:val="auto"/>
        </w:rPr>
      </w:pPr>
    </w:p>
    <w:p>
      <w:pPr>
        <w:ind w:right="40" w:firstLine="556"/>
        <w:spacing w:after="0" w:line="287" w:lineRule="auto"/>
        <w:rPr>
          <w:sz w:val="20"/>
          <w:szCs w:val="20"/>
          <w:color w:val="auto"/>
        </w:rPr>
      </w:pPr>
      <w:r>
        <w:rPr>
          <w:rFonts w:ascii="Arial" w:cs="Arial" w:eastAsia="Arial" w:hAnsi="Arial"/>
          <w:sz w:val="13"/>
          <w:szCs w:val="13"/>
          <w:color w:val="231F20"/>
        </w:rPr>
        <w:t>We have share capital registered in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in the amount of €232,304,250, which is divided into 232,304,250 registered shares (</w:t>
      </w:r>
      <w:r>
        <w:rPr>
          <w:rFonts w:ascii="Arial" w:cs="Arial" w:eastAsia="Arial" w:hAnsi="Arial"/>
          <w:sz w:val="13"/>
          <w:szCs w:val="13"/>
          <w:i w:val="1"/>
          <w:iCs w:val="1"/>
          <w:color w:val="231F20"/>
        </w:rPr>
        <w:t>Namensaktien</w:t>
      </w:r>
      <w:r>
        <w:rPr>
          <w:rFonts w:ascii="Arial" w:cs="Arial" w:eastAsia="Arial" w:hAnsi="Arial"/>
          <w:sz w:val="13"/>
          <w:szCs w:val="13"/>
          <w:color w:val="231F20"/>
        </w:rPr>
        <w:t>). All shares are shares with no par value (</w:t>
      </w:r>
      <w:r>
        <w:rPr>
          <w:rFonts w:ascii="Arial" w:cs="Arial" w:eastAsia="Arial" w:hAnsi="Arial"/>
          <w:sz w:val="13"/>
          <w:szCs w:val="13"/>
          <w:i w:val="1"/>
          <w:iCs w:val="1"/>
          <w:color w:val="231F20"/>
        </w:rPr>
        <w:t>Stückaktien ohne Nennbetrag</w:t>
      </w:r>
      <w:r>
        <w:rPr>
          <w:rFonts w:ascii="Arial" w:cs="Arial" w:eastAsia="Arial" w:hAnsi="Arial"/>
          <w:sz w:val="13"/>
          <w:szCs w:val="13"/>
          <w:color w:val="231F20"/>
        </w:rPr>
        <w:t>) with a notional amount attributable to each ordinary share of €1. Each issued ordinary share is fully paid.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Form, Certification and Transferability of Shares</w:t>
      </w:r>
    </w:p>
    <w:p>
      <w:pPr>
        <w:spacing w:after="0" w:line="94"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231F20"/>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Our shares are freely transferable under German law.</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Changes in Our Share Capital During the Last Three Fiscal Years</w:t>
      </w:r>
    </w:p>
    <w:p>
      <w:pPr>
        <w:spacing w:after="0" w:line="94"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amounts to €232,304,250, including an amount of €5,524,506 relating to 5,524,506 ordinary shares held in treasury. Since January 1, 2017, (up until and including the capital increase of August 16, 2019, without giving effect to the 18-to-1 stock split which became effective on September 18, 2019), our share capital has changed as follows:</w:t>
      </w:r>
    </w:p>
    <w:p>
      <w:pPr>
        <w:spacing w:after="0" w:line="52" w:lineRule="exact"/>
        <w:rPr>
          <w:sz w:val="20"/>
          <w:szCs w:val="20"/>
          <w:color w:val="auto"/>
        </w:rPr>
      </w:pPr>
    </w:p>
    <w:p>
      <w:pPr>
        <w:ind w:left="1020" w:hanging="340"/>
        <w:spacing w:after="0"/>
        <w:tabs>
          <w:tab w:leader="none" w:pos="1020" w:val="left"/>
        </w:tabs>
        <w:numPr>
          <w:ilvl w:val="0"/>
          <w:numId w:val="284"/>
        </w:numPr>
        <w:rPr>
          <w:rFonts w:ascii="Arial" w:cs="Arial" w:eastAsia="Arial" w:hAnsi="Arial"/>
          <w:sz w:val="13"/>
          <w:szCs w:val="13"/>
          <w:color w:val="231F20"/>
        </w:rPr>
      </w:pPr>
      <w:r>
        <w:rPr>
          <w:rFonts w:ascii="Arial" w:cs="Arial" w:eastAsia="Arial" w:hAnsi="Arial"/>
          <w:sz w:val="13"/>
          <w:szCs w:val="13"/>
          <w:color w:val="231F20"/>
        </w:rPr>
        <w:t>On September 14, 2017,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9,083,000 shares;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4"/>
        </w:numPr>
        <w:rPr>
          <w:rFonts w:ascii="Arial" w:cs="Arial" w:eastAsia="Arial" w:hAnsi="Arial"/>
          <w:sz w:val="13"/>
          <w:szCs w:val="13"/>
          <w:color w:val="231F20"/>
        </w:rPr>
      </w:pPr>
      <w:r>
        <w:rPr>
          <w:rFonts w:ascii="Arial" w:cs="Arial" w:eastAsia="Arial" w:hAnsi="Arial"/>
          <w:sz w:val="13"/>
          <w:szCs w:val="13"/>
          <w:color w:val="231F20"/>
        </w:rPr>
        <w:t>On February 1, 2018,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1,254,884 shares;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4"/>
        </w:numPr>
        <w:rPr>
          <w:rFonts w:ascii="Arial" w:cs="Arial" w:eastAsia="Arial" w:hAnsi="Arial"/>
          <w:sz w:val="13"/>
          <w:szCs w:val="13"/>
          <w:color w:val="231F20"/>
        </w:rPr>
      </w:pPr>
      <w:r>
        <w:rPr>
          <w:rFonts w:ascii="Arial" w:cs="Arial" w:eastAsia="Arial" w:hAnsi="Arial"/>
          <w:sz w:val="13"/>
          <w:szCs w:val="13"/>
          <w:color w:val="231F20"/>
        </w:rPr>
        <w:t>On September 12, 2018,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32,373 shares;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4"/>
        </w:numPr>
        <w:rPr>
          <w:rFonts w:ascii="Arial" w:cs="Arial" w:eastAsia="Arial" w:hAnsi="Arial"/>
          <w:sz w:val="13"/>
          <w:szCs w:val="13"/>
          <w:color w:val="231F20"/>
        </w:rPr>
      </w:pPr>
      <w:r>
        <w:rPr>
          <w:rFonts w:ascii="Arial" w:cs="Arial" w:eastAsia="Arial" w:hAnsi="Arial"/>
          <w:sz w:val="13"/>
          <w:szCs w:val="13"/>
          <w:color w:val="231F20"/>
        </w:rPr>
        <w:t>On October 18, 2018,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186,715 shares;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4"/>
        </w:numPr>
        <w:rPr>
          <w:rFonts w:ascii="Arial" w:cs="Arial" w:eastAsia="Arial" w:hAnsi="Arial"/>
          <w:sz w:val="13"/>
          <w:szCs w:val="13"/>
          <w:color w:val="231F20"/>
        </w:rPr>
      </w:pPr>
      <w:r>
        <w:rPr>
          <w:rFonts w:ascii="Arial" w:cs="Arial" w:eastAsia="Arial" w:hAnsi="Arial"/>
          <w:sz w:val="13"/>
          <w:szCs w:val="13"/>
          <w:color w:val="231F20"/>
        </w:rPr>
        <w:t>On January 29, 2019,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282,678 shares;</w:t>
      </w:r>
    </w:p>
    <w:p>
      <w:pPr>
        <w:spacing w:after="0" w:line="90" w:lineRule="exact"/>
        <w:rPr>
          <w:rFonts w:ascii="Arial" w:cs="Arial" w:eastAsia="Arial" w:hAnsi="Arial"/>
          <w:sz w:val="13"/>
          <w:szCs w:val="13"/>
          <w:color w:val="231F20"/>
        </w:rPr>
      </w:pPr>
    </w:p>
    <w:p>
      <w:pPr>
        <w:ind w:left="1020" w:right="120" w:hanging="340"/>
        <w:spacing w:after="0" w:line="287" w:lineRule="auto"/>
        <w:tabs>
          <w:tab w:leader="none" w:pos="1020" w:val="left"/>
        </w:tabs>
        <w:numPr>
          <w:ilvl w:val="0"/>
          <w:numId w:val="284"/>
        </w:numPr>
        <w:rPr>
          <w:rFonts w:ascii="Arial" w:cs="Arial" w:eastAsia="Arial" w:hAnsi="Arial"/>
          <w:sz w:val="13"/>
          <w:szCs w:val="13"/>
          <w:color w:val="231F20"/>
        </w:rPr>
      </w:pPr>
      <w:r>
        <w:rPr>
          <w:rFonts w:ascii="Arial" w:cs="Arial" w:eastAsia="Arial" w:hAnsi="Arial"/>
          <w:sz w:val="13"/>
          <w:szCs w:val="13"/>
          <w:color w:val="231F20"/>
        </w:rPr>
        <w:t>On April 24, 2019,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131,933 shares against contributions in kind (swap of shares in our company against shares in one of our subsidiary companies);</w:t>
      </w:r>
    </w:p>
    <w:p>
      <w:pPr>
        <w:spacing w:after="0" w:line="42" w:lineRule="exact"/>
        <w:rPr>
          <w:rFonts w:ascii="Arial" w:cs="Arial" w:eastAsia="Arial" w:hAnsi="Arial"/>
          <w:sz w:val="13"/>
          <w:szCs w:val="13"/>
          <w:color w:val="231F20"/>
        </w:rPr>
      </w:pPr>
    </w:p>
    <w:p>
      <w:pPr>
        <w:ind w:left="1020" w:hanging="340"/>
        <w:spacing w:after="0"/>
        <w:tabs>
          <w:tab w:leader="none" w:pos="1020" w:val="left"/>
        </w:tabs>
        <w:numPr>
          <w:ilvl w:val="0"/>
          <w:numId w:val="284"/>
        </w:numPr>
        <w:rPr>
          <w:rFonts w:ascii="Arial" w:cs="Arial" w:eastAsia="Arial" w:hAnsi="Arial"/>
          <w:sz w:val="13"/>
          <w:szCs w:val="13"/>
          <w:color w:val="231F20"/>
        </w:rPr>
      </w:pPr>
      <w:r>
        <w:rPr>
          <w:rFonts w:ascii="Arial" w:cs="Arial" w:eastAsia="Arial" w:hAnsi="Arial"/>
          <w:sz w:val="13"/>
          <w:szCs w:val="13"/>
          <w:color w:val="231F20"/>
        </w:rPr>
        <w:t>On June 26, 2019,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666,123 shares;</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4"/>
        </w:numPr>
        <w:rPr>
          <w:rFonts w:ascii="Arial" w:cs="Arial" w:eastAsia="Arial" w:hAnsi="Arial"/>
          <w:sz w:val="13"/>
          <w:szCs w:val="13"/>
          <w:color w:val="231F20"/>
        </w:rPr>
      </w:pPr>
      <w:r>
        <w:rPr>
          <w:rFonts w:ascii="Arial" w:cs="Arial" w:eastAsia="Arial" w:hAnsi="Arial"/>
          <w:sz w:val="13"/>
          <w:szCs w:val="13"/>
          <w:color w:val="231F20"/>
        </w:rPr>
        <w:t>On August 16, 2019,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333,310 shares;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229" w:name="page230"/>
    <w:bookmarkEnd w:id="229"/>
    <w:p>
      <w:pPr>
        <w:ind w:left="1020" w:right="360" w:hanging="340"/>
        <w:spacing w:after="0" w:line="287" w:lineRule="auto"/>
        <w:tabs>
          <w:tab w:leader="none" w:pos="1020" w:val="left"/>
        </w:tabs>
        <w:numPr>
          <w:ilvl w:val="0"/>
          <w:numId w:val="285"/>
        </w:numPr>
        <w:rPr>
          <w:rFonts w:ascii="Arial" w:cs="Arial" w:eastAsia="Arial" w:hAnsi="Arial"/>
          <w:sz w:val="13"/>
          <w:szCs w:val="13"/>
          <w:color w:val="231F20"/>
        </w:rPr>
      </w:pPr>
      <w:r>
        <w:rPr>
          <w:rFonts w:ascii="Arial" w:cs="Arial" w:eastAsia="Arial" w:hAnsi="Arial"/>
          <w:sz w:val="13"/>
          <w:szCs w:val="13"/>
          <w:color w:val="231F20"/>
        </w:rPr>
        <w:t>On September 18, 2019,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206,595,492 shares by way of a capital increase from our funds; thus, no contribution by investors was made;</w:t>
      </w:r>
    </w:p>
    <w:p>
      <w:pPr>
        <w:spacing w:after="0" w:line="42" w:lineRule="exact"/>
        <w:rPr>
          <w:rFonts w:ascii="Arial" w:cs="Arial" w:eastAsia="Arial" w:hAnsi="Arial"/>
          <w:sz w:val="13"/>
          <w:szCs w:val="13"/>
          <w:color w:val="231F20"/>
        </w:rPr>
      </w:pPr>
    </w:p>
    <w:p>
      <w:pPr>
        <w:ind w:left="1020" w:right="80" w:hanging="340"/>
        <w:spacing w:after="0" w:line="272" w:lineRule="auto"/>
        <w:tabs>
          <w:tab w:leader="none" w:pos="1020" w:val="left"/>
        </w:tabs>
        <w:numPr>
          <w:ilvl w:val="0"/>
          <w:numId w:val="285"/>
        </w:numPr>
        <w:rPr>
          <w:rFonts w:ascii="Arial" w:cs="Arial" w:eastAsia="Arial" w:hAnsi="Arial"/>
          <w:sz w:val="13"/>
          <w:szCs w:val="13"/>
          <w:color w:val="231F20"/>
        </w:rPr>
      </w:pPr>
      <w:r>
        <w:rPr>
          <w:rFonts w:ascii="Arial" w:cs="Arial" w:eastAsia="Arial" w:hAnsi="Arial"/>
          <w:sz w:val="13"/>
          <w:szCs w:val="13"/>
          <w:color w:val="231F20"/>
        </w:rPr>
        <w:t>On August 30, 2019, we entered into an agreement with BMGF pursuant to which BMGF agreed to purchase up to 3,038,674 of our ordinary shares. This capital increase from our authorized capital was resolved upon by our Management Board (</w:t>
      </w:r>
      <w:r>
        <w:rPr>
          <w:rFonts w:ascii="Arial" w:cs="Arial" w:eastAsia="Arial" w:hAnsi="Arial"/>
          <w:sz w:val="13"/>
          <w:szCs w:val="13"/>
          <w:i w:val="1"/>
          <w:iCs w:val="1"/>
          <w:color w:val="231F20"/>
        </w:rPr>
        <w:t>Vorstand</w:t>
      </w:r>
      <w:r>
        <w:rPr>
          <w:rFonts w:ascii="Arial" w:cs="Arial" w:eastAsia="Arial" w:hAnsi="Arial"/>
          <w:sz w:val="13"/>
          <w:szCs w:val="13"/>
          <w:color w:val="231F20"/>
        </w:rPr>
        <w:t>) with the consent of the Supervisory Board (</w:t>
      </w:r>
      <w:r>
        <w:rPr>
          <w:rFonts w:ascii="Arial" w:cs="Arial" w:eastAsia="Arial" w:hAnsi="Arial"/>
          <w:sz w:val="13"/>
          <w:szCs w:val="13"/>
          <w:i w:val="1"/>
          <w:iCs w:val="1"/>
          <w:color w:val="231F20"/>
        </w:rPr>
        <w:t>Aufsichtsrat</w:t>
      </w:r>
      <w:r>
        <w:rPr>
          <w:rFonts w:ascii="Arial" w:cs="Arial" w:eastAsia="Arial" w:hAnsi="Arial"/>
          <w:sz w:val="13"/>
          <w:szCs w:val="13"/>
          <w:color w:val="231F20"/>
        </w:rPr>
        <w:t>) on September 18, 2019 and came into effect upon registration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w:t>
      </w:r>
    </w:p>
    <w:p>
      <w:pPr>
        <w:spacing w:after="0" w:line="51" w:lineRule="exact"/>
        <w:rPr>
          <w:rFonts w:ascii="Arial" w:cs="Arial" w:eastAsia="Arial" w:hAnsi="Arial"/>
          <w:sz w:val="13"/>
          <w:szCs w:val="13"/>
          <w:color w:val="231F20"/>
        </w:rPr>
      </w:pPr>
    </w:p>
    <w:p>
      <w:pPr>
        <w:ind w:left="1020" w:hanging="340"/>
        <w:spacing w:after="0"/>
        <w:tabs>
          <w:tab w:leader="none" w:pos="1020" w:val="left"/>
        </w:tabs>
        <w:numPr>
          <w:ilvl w:val="0"/>
          <w:numId w:val="285"/>
        </w:numPr>
        <w:rPr>
          <w:rFonts w:ascii="Arial" w:cs="Arial" w:eastAsia="Arial" w:hAnsi="Arial"/>
          <w:sz w:val="13"/>
          <w:szCs w:val="13"/>
          <w:color w:val="231F20"/>
        </w:rPr>
      </w:pPr>
      <w:r>
        <w:rPr>
          <w:rFonts w:ascii="Arial" w:cs="Arial" w:eastAsia="Arial" w:hAnsi="Arial"/>
          <w:sz w:val="13"/>
          <w:szCs w:val="13"/>
          <w:color w:val="231F20"/>
        </w:rPr>
        <w:t>On October 14, 2019,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10,000,000 shares; and</w:t>
      </w:r>
    </w:p>
    <w:p>
      <w:pPr>
        <w:spacing w:after="0" w:line="90" w:lineRule="exact"/>
        <w:rPr>
          <w:rFonts w:ascii="Arial" w:cs="Arial" w:eastAsia="Arial" w:hAnsi="Arial"/>
          <w:sz w:val="13"/>
          <w:szCs w:val="13"/>
          <w:color w:val="231F20"/>
        </w:rPr>
      </w:pPr>
    </w:p>
    <w:p>
      <w:pPr>
        <w:ind w:left="1020" w:hanging="340"/>
        <w:spacing w:after="0"/>
        <w:tabs>
          <w:tab w:leader="none" w:pos="1020" w:val="left"/>
        </w:tabs>
        <w:numPr>
          <w:ilvl w:val="0"/>
          <w:numId w:val="285"/>
        </w:numPr>
        <w:rPr>
          <w:rFonts w:ascii="Arial" w:cs="Arial" w:eastAsia="Arial" w:hAnsi="Arial"/>
          <w:sz w:val="13"/>
          <w:szCs w:val="13"/>
          <w:color w:val="231F20"/>
        </w:rPr>
      </w:pPr>
      <w:r>
        <w:rPr>
          <w:rFonts w:ascii="Arial" w:cs="Arial" w:eastAsia="Arial" w:hAnsi="Arial"/>
          <w:sz w:val="13"/>
          <w:szCs w:val="13"/>
          <w:color w:val="231F20"/>
        </w:rPr>
        <w:t>On November 6, 2019, our share capital as registered with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was increased by issuing 517,408 shares.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Anti-takeover Provisions of Our Charter Documents</w:t>
      </w:r>
    </w:p>
    <w:p>
      <w:pPr>
        <w:spacing w:after="0" w:line="94" w:lineRule="exact"/>
        <w:rPr>
          <w:sz w:val="20"/>
          <w:szCs w:val="20"/>
          <w:color w:val="auto"/>
        </w:rPr>
      </w:pPr>
    </w:p>
    <w:p>
      <w:pPr>
        <w:ind w:right="60" w:firstLine="556"/>
        <w:spacing w:after="0" w:line="296" w:lineRule="auto"/>
        <w:rPr>
          <w:sz w:val="20"/>
          <w:szCs w:val="20"/>
          <w:color w:val="auto"/>
        </w:rPr>
      </w:pPr>
      <w:r>
        <w:rPr>
          <w:rFonts w:ascii="Arial" w:cs="Arial" w:eastAsia="Arial" w:hAnsi="Arial"/>
          <w:sz w:val="12"/>
          <w:szCs w:val="12"/>
          <w:color w:val="231F20"/>
        </w:rPr>
        <w:t>Our Articles of Association (</w:t>
      </w:r>
      <w:r>
        <w:rPr>
          <w:rFonts w:ascii="Arial" w:cs="Arial" w:eastAsia="Arial" w:hAnsi="Arial"/>
          <w:sz w:val="12"/>
          <w:szCs w:val="12"/>
          <w:i w:val="1"/>
          <w:iCs w:val="1"/>
          <w:color w:val="231F20"/>
        </w:rPr>
        <w:t>Satzung</w:t>
      </w:r>
      <w:r>
        <w:rPr>
          <w:rFonts w:ascii="Arial" w:cs="Arial" w:eastAsia="Arial" w:hAnsi="Arial"/>
          <w:sz w:val="12"/>
          <w:szCs w:val="12"/>
          <w:color w:val="231F20"/>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Future Changes to the Share Capital</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Authorized Capital</w:t>
      </w:r>
    </w:p>
    <w:p>
      <w:pPr>
        <w:spacing w:after="0" w:line="90"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231F20"/>
        </w:rPr>
        <w:t>Under the relevant law, the general meeting of a European stock corporation (</w:t>
      </w:r>
      <w:r>
        <w:rPr>
          <w:rFonts w:ascii="Arial" w:cs="Arial" w:eastAsia="Arial" w:hAnsi="Arial"/>
          <w:sz w:val="13"/>
          <w:szCs w:val="13"/>
          <w:i w:val="1"/>
          <w:iCs w:val="1"/>
          <w:color w:val="231F20"/>
        </w:rPr>
        <w:t>Societas Europaea</w:t>
      </w:r>
      <w:r>
        <w:rPr>
          <w:rFonts w:ascii="Arial" w:cs="Arial" w:eastAsia="Arial" w:hAnsi="Arial"/>
          <w:sz w:val="13"/>
          <w:szCs w:val="13"/>
          <w:color w:val="231F20"/>
        </w:rPr>
        <w:t>) governed by German law can authorize the Management Board to, with the consent of the Supervisory Board, issue shares in a specified aggregate nominal amount of up to 50% of the issued share capital of such company at the time the resolution becomes effective. The shareholders’ authorization becomes effective upon registration in the commercial register (</w:t>
      </w:r>
      <w:r>
        <w:rPr>
          <w:rFonts w:ascii="Arial" w:cs="Arial" w:eastAsia="Arial" w:hAnsi="Arial"/>
          <w:sz w:val="13"/>
          <w:szCs w:val="13"/>
          <w:i w:val="1"/>
          <w:iCs w:val="1"/>
          <w:color w:val="231F20"/>
        </w:rPr>
        <w:t>Handelsregister</w:t>
      </w:r>
      <w:r>
        <w:rPr>
          <w:rFonts w:ascii="Arial" w:cs="Arial" w:eastAsia="Arial" w:hAnsi="Arial"/>
          <w:sz w:val="13"/>
          <w:szCs w:val="13"/>
          <w:color w:val="231F20"/>
        </w:rPr>
        <w:t>) and may extend for a period of no more than five years thereafter. Under § 4(5) of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the Management Board is authorized to increase our share capital, on one or more occasions, by a total of up to €105,818,002 by issuing, on one or more occasions, up to 105,818,002 new, registered shares with no par value (</w:t>
      </w:r>
      <w:r>
        <w:rPr>
          <w:rFonts w:ascii="Arial" w:cs="Arial" w:eastAsia="Arial" w:hAnsi="Arial"/>
          <w:sz w:val="13"/>
          <w:szCs w:val="13"/>
          <w:i w:val="1"/>
          <w:iCs w:val="1"/>
          <w:color w:val="231F20"/>
        </w:rPr>
        <w:t>Genehmigtes Kapital</w:t>
      </w:r>
      <w:r>
        <w:rPr>
          <w:rFonts w:ascii="Arial" w:cs="Arial" w:eastAsia="Arial" w:hAnsi="Arial"/>
          <w:sz w:val="13"/>
          <w:szCs w:val="13"/>
          <w:color w:val="231F20"/>
        </w:rPr>
        <w:t>), in each case with consent of the Supervisory Board. This authorization expires on August 18, 2024.</w:t>
      </w:r>
    </w:p>
    <w:p>
      <w:pPr>
        <w:spacing w:after="0" w:line="138"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231F20"/>
        </w:rPr>
        <w:t>Any new shares issued from the authorized capital will participate in the profits starting with the fiscal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Conditional Capital</w:t>
      </w:r>
    </w:p>
    <w:p>
      <w:pPr>
        <w:spacing w:after="0" w:line="90" w:lineRule="exact"/>
        <w:rPr>
          <w:sz w:val="20"/>
          <w:szCs w:val="20"/>
          <w:color w:val="auto"/>
        </w:rPr>
      </w:pPr>
    </w:p>
    <w:p>
      <w:pPr>
        <w:ind w:right="100" w:firstLine="556"/>
        <w:spacing w:after="0" w:line="331" w:lineRule="auto"/>
        <w:rPr>
          <w:sz w:val="20"/>
          <w:szCs w:val="20"/>
          <w:color w:val="auto"/>
        </w:rPr>
      </w:pPr>
      <w:r>
        <w:rPr>
          <w:rFonts w:ascii="Arial" w:cs="Arial" w:eastAsia="Arial" w:hAnsi="Arial"/>
          <w:sz w:val="12"/>
          <w:szCs w:val="12"/>
          <w:color w:val="231F20"/>
        </w:rPr>
        <w:t>Pursuant to § 4(6) of our Articles of Association (</w:t>
      </w:r>
      <w:r>
        <w:rPr>
          <w:rFonts w:ascii="Arial" w:cs="Arial" w:eastAsia="Arial" w:hAnsi="Arial"/>
          <w:sz w:val="12"/>
          <w:szCs w:val="12"/>
          <w:i w:val="1"/>
          <w:iCs w:val="1"/>
          <w:color w:val="231F20"/>
        </w:rPr>
        <w:t>Satzung</w:t>
      </w:r>
      <w:r>
        <w:rPr>
          <w:rFonts w:ascii="Arial" w:cs="Arial" w:eastAsia="Arial" w:hAnsi="Arial"/>
          <w:sz w:val="12"/>
          <w:szCs w:val="12"/>
          <w:color w:val="231F20"/>
        </w:rPr>
        <w:t>), our share capital is conditionally increased by €21,874,806 through issuance of new, registered shares with no par value (</w:t>
      </w:r>
      <w:r>
        <w:rPr>
          <w:rFonts w:ascii="Arial" w:cs="Arial" w:eastAsia="Arial" w:hAnsi="Arial"/>
          <w:sz w:val="12"/>
          <w:szCs w:val="12"/>
          <w:i w:val="1"/>
          <w:iCs w:val="1"/>
          <w:color w:val="231F20"/>
        </w:rPr>
        <w:t>Bedingtes Kapital</w:t>
      </w:r>
      <w:r>
        <w:rPr>
          <w:rFonts w:ascii="Arial" w:cs="Arial" w:eastAsia="Arial" w:hAnsi="Arial"/>
          <w:sz w:val="12"/>
          <w:szCs w:val="12"/>
          <w:color w:val="231F20"/>
        </w:rPr>
        <w:t xml:space="preserve"> </w:t>
      </w:r>
      <w:r>
        <w:rPr>
          <w:rFonts w:ascii="Arial" w:cs="Arial" w:eastAsia="Arial" w:hAnsi="Arial"/>
          <w:sz w:val="12"/>
          <w:szCs w:val="12"/>
          <w:i w:val="1"/>
          <w:iCs w:val="1"/>
          <w:color w:val="231F20"/>
        </w:rPr>
        <w:t>ESOP 2017/2019</w:t>
      </w:r>
      <w:r>
        <w:rPr>
          <w:rFonts w:ascii="Arial" w:cs="Arial" w:eastAsia="Arial" w:hAnsi="Arial"/>
          <w:sz w:val="12"/>
          <w:szCs w:val="12"/>
          <w:color w:val="231F20"/>
        </w:rPr>
        <w:t>). The conditional capital may only be used to issue shares to the holders of option rights granted under our ESOP to members of our Management Board and to certain of our employees.</w:t>
      </w:r>
    </w:p>
    <w:p>
      <w:pPr>
        <w:spacing w:after="0" w:line="99" w:lineRule="exact"/>
        <w:rPr>
          <w:sz w:val="20"/>
          <w:szCs w:val="20"/>
          <w:color w:val="auto"/>
        </w:rPr>
      </w:pPr>
    </w:p>
    <w:p>
      <w:pPr>
        <w:ind w:right="120" w:firstLine="556"/>
        <w:spacing w:after="0" w:line="267" w:lineRule="auto"/>
        <w:rPr>
          <w:sz w:val="20"/>
          <w:szCs w:val="20"/>
          <w:color w:val="auto"/>
        </w:rPr>
      </w:pPr>
      <w:r>
        <w:rPr>
          <w:rFonts w:ascii="Arial" w:cs="Arial" w:eastAsia="Arial" w:hAnsi="Arial"/>
          <w:sz w:val="13"/>
          <w:szCs w:val="13"/>
          <w:color w:val="231F20"/>
        </w:rPr>
        <w:t>The conditional capital increase will only be implemented to the extent that stock options under our ESOP are exercised and said stock options are not serviced by our providing treasury shares or through cash payments. Any new shares issued under the conditional capital pursuant to the said § 4(6) of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135"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231F20"/>
        </w:rPr>
        <w:t>Pursuant to § 4(7) of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our share capital is conditionally increased by €87,499,260 through issuance of new, registered shares with no par value (</w:t>
      </w:r>
      <w:r>
        <w:rPr>
          <w:rFonts w:ascii="Arial" w:cs="Arial" w:eastAsia="Arial" w:hAnsi="Arial"/>
          <w:sz w:val="13"/>
          <w:szCs w:val="13"/>
          <w:i w:val="1"/>
          <w:iCs w:val="1"/>
          <w:color w:val="231F20"/>
        </w:rPr>
        <w:t>Bedingtes Kapital</w:t>
      </w:r>
      <w:r>
        <w:rPr>
          <w:rFonts w:ascii="Arial" w:cs="Arial" w:eastAsia="Arial" w:hAnsi="Arial"/>
          <w:sz w:val="13"/>
          <w:szCs w:val="13"/>
          <w:color w:val="231F20"/>
        </w:rPr>
        <w:t xml:space="preserve"> </w:t>
      </w:r>
      <w:r>
        <w:rPr>
          <w:rFonts w:ascii="Arial" w:cs="Arial" w:eastAsia="Arial" w:hAnsi="Arial"/>
          <w:sz w:val="13"/>
          <w:szCs w:val="13"/>
          <w:i w:val="1"/>
          <w:iCs w:val="1"/>
          <w:color w:val="231F20"/>
        </w:rPr>
        <w:t>WSV 2019</w:t>
      </w:r>
      <w:r>
        <w:rPr>
          <w:rFonts w:ascii="Arial" w:cs="Arial" w:eastAsia="Arial" w:hAnsi="Arial"/>
          <w:sz w:val="13"/>
          <w:szCs w:val="13"/>
          <w:color w:val="231F20"/>
        </w:rPr>
        <w:t>). The conditional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30" w:name="page231"/>
    <w:bookmarkEnd w:id="230"/>
    <w:p>
      <w:pPr>
        <w:ind w:right="80"/>
        <w:spacing w:after="0" w:line="267" w:lineRule="auto"/>
        <w:rPr>
          <w:sz w:val="20"/>
          <w:szCs w:val="20"/>
          <w:color w:val="auto"/>
        </w:rPr>
      </w:pPr>
      <w:r>
        <w:rPr>
          <w:rFonts w:ascii="Arial" w:cs="Arial" w:eastAsia="Arial" w:hAnsi="Arial"/>
          <w:sz w:val="13"/>
          <w:szCs w:val="13"/>
          <w:color w:val="231F20"/>
        </w:rPr>
        <w:t>capital may only be used to issue shares to the holders or creditors of option rights or conversion rights or those under an obligation to convert under warrant-linked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utilized for servicing.</w:t>
      </w:r>
    </w:p>
    <w:p>
      <w:pPr>
        <w:spacing w:after="0" w:line="135" w:lineRule="exact"/>
        <w:rPr>
          <w:sz w:val="20"/>
          <w:szCs w:val="20"/>
          <w:color w:val="auto"/>
        </w:rPr>
      </w:pPr>
    </w:p>
    <w:p>
      <w:pPr>
        <w:ind w:right="260" w:firstLine="556"/>
        <w:spacing w:after="0" w:line="287" w:lineRule="auto"/>
        <w:rPr>
          <w:sz w:val="20"/>
          <w:szCs w:val="20"/>
          <w:color w:val="auto"/>
        </w:rPr>
      </w:pPr>
      <w:r>
        <w:rPr>
          <w:rFonts w:ascii="Arial" w:cs="Arial" w:eastAsia="Arial" w:hAnsi="Arial"/>
          <w:sz w:val="13"/>
          <w:szCs w:val="13"/>
          <w:color w:val="231F20"/>
        </w:rPr>
        <w:t>Any new shares issued under the said conditional capital pursuant to the said § 4(7) of our Articles of Association shall carry an entitlement to dividends from the beginning of the financial year in which they are created; however, as far as the law permits, the Management Board can confer dividend rights for new shares in derogation of the foregoing.</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Preemptive Rights</w:t>
      </w:r>
    </w:p>
    <w:p>
      <w:pPr>
        <w:spacing w:after="0" w:line="90" w:lineRule="exact"/>
        <w:rPr>
          <w:sz w:val="20"/>
          <w:szCs w:val="20"/>
          <w:color w:val="auto"/>
        </w:rPr>
      </w:pPr>
    </w:p>
    <w:p>
      <w:pPr>
        <w:ind w:right="520" w:firstLine="556"/>
        <w:spacing w:after="0" w:line="331" w:lineRule="auto"/>
        <w:rPr>
          <w:sz w:val="20"/>
          <w:szCs w:val="20"/>
          <w:color w:val="auto"/>
        </w:rPr>
      </w:pPr>
      <w:r>
        <w:rPr>
          <w:rFonts w:ascii="Arial" w:cs="Arial" w:eastAsia="Arial" w:hAnsi="Arial"/>
          <w:sz w:val="12"/>
          <w:szCs w:val="12"/>
          <w:color w:val="231F20"/>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Arial" w:cs="Arial" w:eastAsia="Arial" w:hAnsi="Arial"/>
          <w:sz w:val="12"/>
          <w:szCs w:val="12"/>
          <w:i w:val="1"/>
          <w:iCs w:val="1"/>
          <w:color w:val="231F20"/>
        </w:rPr>
        <w:t>mittelbares Bezugsrecht</w:t>
      </w:r>
      <w:r>
        <w:rPr>
          <w:rFonts w:ascii="Arial" w:cs="Arial" w:eastAsia="Arial" w:hAnsi="Arial"/>
          <w:sz w:val="12"/>
          <w:szCs w:val="12"/>
          <w:color w:val="231F20"/>
        </w:rPr>
        <w:t>).</w:t>
      </w:r>
    </w:p>
    <w:p>
      <w:pPr>
        <w:spacing w:after="0" w:line="99" w:lineRule="exact"/>
        <w:rPr>
          <w:sz w:val="20"/>
          <w:szCs w:val="20"/>
          <w:color w:val="auto"/>
        </w:rPr>
      </w:pPr>
    </w:p>
    <w:p>
      <w:pPr>
        <w:ind w:right="60" w:firstLine="556"/>
        <w:spacing w:after="0" w:line="263" w:lineRule="auto"/>
        <w:rPr>
          <w:sz w:val="20"/>
          <w:szCs w:val="20"/>
          <w:color w:val="auto"/>
        </w:rPr>
      </w:pPr>
      <w:r>
        <w:rPr>
          <w:rFonts w:ascii="Arial" w:cs="Arial" w:eastAsia="Arial" w:hAnsi="Arial"/>
          <w:sz w:val="13"/>
          <w:szCs w:val="13"/>
          <w:color w:val="231F20"/>
        </w:rPr>
        <w:t xml:space="preserve">Further, it is possible for a shareholder resolution approved by three-quarters of the share capital voting on the resolution to exclude preemptive rights both where the general meeting itself resolves that the new securities to be issued and in relation to the authorized capital, </w:t>
      </w:r>
      <w:r>
        <w:rPr>
          <w:rFonts w:ascii="Arial" w:cs="Arial" w:eastAsia="Arial" w:hAnsi="Arial"/>
          <w:sz w:val="13"/>
          <w:szCs w:val="13"/>
          <w:i w:val="1"/>
          <w:iCs w:val="1"/>
          <w:color w:val="231F20"/>
        </w:rPr>
        <w:t>i.e.,</w:t>
      </w:r>
      <w:r>
        <w:rPr>
          <w:rFonts w:ascii="Arial" w:cs="Arial" w:eastAsia="Arial" w:hAnsi="Arial"/>
          <w:sz w:val="13"/>
          <w:szCs w:val="13"/>
          <w:color w:val="231F20"/>
        </w:rPr>
        <w:t xml:space="preserve"> an authorization to the Management Board to, with the consent of the Supervisory Board, resolve on the issuance of new securities; provided, however, that in each case the exclusion or the authorization to so exclude preemptive rights, respectively, must be justified by specific facts, in accordance with established case law of the German Federal Court of Justice (</w:t>
      </w:r>
      <w:r>
        <w:rPr>
          <w:rFonts w:ascii="Arial" w:cs="Arial" w:eastAsia="Arial" w:hAnsi="Arial"/>
          <w:sz w:val="13"/>
          <w:szCs w:val="13"/>
          <w:i w:val="1"/>
          <w:iCs w:val="1"/>
          <w:color w:val="231F20"/>
        </w:rPr>
        <w:t>BGH</w:t>
      </w:r>
      <w:r>
        <w:rPr>
          <w:rFonts w:ascii="Arial" w:cs="Arial" w:eastAsia="Arial" w:hAnsi="Arial"/>
          <w:sz w:val="13"/>
          <w:szCs w:val="13"/>
          <w:color w:val="231F20"/>
        </w:rPr>
        <w:t>). The German Federal Court of Justice (</w:t>
      </w:r>
      <w:r>
        <w:rPr>
          <w:rFonts w:ascii="Arial" w:cs="Arial" w:eastAsia="Arial" w:hAnsi="Arial"/>
          <w:sz w:val="13"/>
          <w:szCs w:val="13"/>
          <w:i w:val="1"/>
          <w:iCs w:val="1"/>
          <w:color w:val="231F20"/>
        </w:rPr>
        <w:t>BGH</w:t>
      </w:r>
      <w:r>
        <w:rPr>
          <w:rFonts w:ascii="Arial" w:cs="Arial" w:eastAsia="Arial" w:hAnsi="Arial"/>
          <w:sz w:val="13"/>
          <w:szCs w:val="13"/>
          <w:color w:val="231F20"/>
        </w:rPr>
        <w:t>) considers the exclusion of subscription rights justified if it (i) 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37" w:lineRule="exact"/>
        <w:rPr>
          <w:sz w:val="20"/>
          <w:szCs w:val="20"/>
          <w:color w:val="auto"/>
        </w:rPr>
      </w:pPr>
    </w:p>
    <w:p>
      <w:pPr>
        <w:ind w:right="460" w:firstLine="556"/>
        <w:spacing w:after="0" w:line="287" w:lineRule="auto"/>
        <w:rPr>
          <w:sz w:val="20"/>
          <w:szCs w:val="20"/>
          <w:color w:val="auto"/>
        </w:rPr>
      </w:pPr>
      <w:r>
        <w:rPr>
          <w:rFonts w:ascii="Arial" w:cs="Arial" w:eastAsia="Arial" w:hAnsi="Arial"/>
          <w:sz w:val="13"/>
          <w:szCs w:val="13"/>
          <w:color w:val="231F20"/>
        </w:rPr>
        <w:t>Accordingly, under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the Management Board may, with the consent of the Supervisory Board, exclude such preemptive rights in a capital increase from the authorized capital in the following circumstances:</w:t>
      </w:r>
    </w:p>
    <w:p>
      <w:pPr>
        <w:spacing w:after="0" w:line="42" w:lineRule="exact"/>
        <w:rPr>
          <w:sz w:val="20"/>
          <w:szCs w:val="20"/>
          <w:color w:val="auto"/>
        </w:rPr>
      </w:pPr>
    </w:p>
    <w:p>
      <w:pPr>
        <w:ind w:left="1020" w:hanging="340"/>
        <w:spacing w:after="0"/>
        <w:tabs>
          <w:tab w:leader="none" w:pos="1020" w:val="left"/>
        </w:tabs>
        <w:numPr>
          <w:ilvl w:val="0"/>
          <w:numId w:val="286"/>
        </w:numPr>
        <w:rPr>
          <w:rFonts w:ascii="Arial" w:cs="Arial" w:eastAsia="Arial" w:hAnsi="Arial"/>
          <w:sz w:val="13"/>
          <w:szCs w:val="13"/>
          <w:color w:val="231F20"/>
        </w:rPr>
      </w:pPr>
      <w:r>
        <w:rPr>
          <w:rFonts w:ascii="Arial" w:cs="Arial" w:eastAsia="Arial" w:hAnsi="Arial"/>
          <w:sz w:val="13"/>
          <w:szCs w:val="13"/>
          <w:color w:val="231F20"/>
        </w:rPr>
        <w:t>to exclude fractional amounts from the subscription right;</w:t>
      </w:r>
    </w:p>
    <w:p>
      <w:pPr>
        <w:spacing w:after="0" w:line="90" w:lineRule="exact"/>
        <w:rPr>
          <w:rFonts w:ascii="Arial" w:cs="Arial" w:eastAsia="Arial" w:hAnsi="Arial"/>
          <w:sz w:val="13"/>
          <w:szCs w:val="13"/>
          <w:color w:val="231F20"/>
        </w:rPr>
      </w:pPr>
    </w:p>
    <w:p>
      <w:pPr>
        <w:ind w:left="1020" w:right="40" w:hanging="340"/>
        <w:spacing w:after="0" w:line="261" w:lineRule="auto"/>
        <w:tabs>
          <w:tab w:leader="none" w:pos="1020" w:val="left"/>
        </w:tabs>
        <w:numPr>
          <w:ilvl w:val="0"/>
          <w:numId w:val="286"/>
        </w:numPr>
        <w:rPr>
          <w:rFonts w:ascii="Arial" w:cs="Arial" w:eastAsia="Arial" w:hAnsi="Arial"/>
          <w:sz w:val="13"/>
          <w:szCs w:val="13"/>
          <w:color w:val="231F20"/>
        </w:rPr>
      </w:pPr>
      <w:r>
        <w:rPr>
          <w:rFonts w:ascii="Arial" w:cs="Arial" w:eastAsia="Arial" w:hAnsi="Arial"/>
          <w:sz w:val="13"/>
          <w:szCs w:val="13"/>
          <w:color w:val="231F20"/>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59" w:lineRule="exact"/>
        <w:rPr>
          <w:rFonts w:ascii="Arial" w:cs="Arial" w:eastAsia="Arial" w:hAnsi="Arial"/>
          <w:sz w:val="13"/>
          <w:szCs w:val="13"/>
          <w:color w:val="231F20"/>
        </w:rPr>
      </w:pPr>
    </w:p>
    <w:p>
      <w:pPr>
        <w:ind w:left="1020" w:right="320" w:hanging="340"/>
        <w:spacing w:after="0" w:line="287" w:lineRule="auto"/>
        <w:tabs>
          <w:tab w:leader="none" w:pos="1020" w:val="left"/>
        </w:tabs>
        <w:numPr>
          <w:ilvl w:val="0"/>
          <w:numId w:val="286"/>
        </w:numPr>
        <w:rPr>
          <w:rFonts w:ascii="Arial" w:cs="Arial" w:eastAsia="Arial" w:hAnsi="Arial"/>
          <w:sz w:val="13"/>
          <w:szCs w:val="13"/>
          <w:color w:val="231F20"/>
        </w:rPr>
      </w:pPr>
      <w:r>
        <w:rPr>
          <w:rFonts w:ascii="Arial" w:cs="Arial" w:eastAsia="Arial" w:hAnsi="Arial"/>
          <w:sz w:val="13"/>
          <w:szCs w:val="13"/>
          <w:color w:val="231F20"/>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42" w:lineRule="exact"/>
        <w:rPr>
          <w:rFonts w:ascii="Arial" w:cs="Arial" w:eastAsia="Arial" w:hAnsi="Arial"/>
          <w:sz w:val="13"/>
          <w:szCs w:val="13"/>
          <w:color w:val="231F20"/>
        </w:rPr>
      </w:pPr>
    </w:p>
    <w:p>
      <w:pPr>
        <w:ind w:left="1020" w:hanging="340"/>
        <w:spacing w:after="0" w:line="287" w:lineRule="auto"/>
        <w:tabs>
          <w:tab w:leader="none" w:pos="1020" w:val="left"/>
        </w:tabs>
        <w:numPr>
          <w:ilvl w:val="0"/>
          <w:numId w:val="286"/>
        </w:numPr>
        <w:rPr>
          <w:rFonts w:ascii="Arial" w:cs="Arial" w:eastAsia="Arial" w:hAnsi="Arial"/>
          <w:sz w:val="13"/>
          <w:szCs w:val="13"/>
          <w:color w:val="231F20"/>
        </w:rPr>
      </w:pPr>
      <w:r>
        <w:rPr>
          <w:rFonts w:ascii="Arial" w:cs="Arial" w:eastAsia="Arial" w:hAnsi="Arial"/>
          <w:sz w:val="13"/>
          <w:szCs w:val="13"/>
          <w:color w:val="231F20"/>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42" w:lineRule="exact"/>
        <w:rPr>
          <w:rFonts w:ascii="Arial" w:cs="Arial" w:eastAsia="Arial" w:hAnsi="Arial"/>
          <w:sz w:val="13"/>
          <w:szCs w:val="13"/>
          <w:color w:val="231F20"/>
        </w:rPr>
      </w:pPr>
    </w:p>
    <w:p>
      <w:pPr>
        <w:ind w:left="1020" w:right="20" w:hanging="340"/>
        <w:spacing w:after="0" w:line="287" w:lineRule="auto"/>
        <w:tabs>
          <w:tab w:leader="none" w:pos="1020" w:val="left"/>
        </w:tabs>
        <w:numPr>
          <w:ilvl w:val="0"/>
          <w:numId w:val="286"/>
        </w:numPr>
        <w:rPr>
          <w:rFonts w:ascii="Arial" w:cs="Arial" w:eastAsia="Arial" w:hAnsi="Arial"/>
          <w:sz w:val="13"/>
          <w:szCs w:val="13"/>
          <w:color w:val="231F20"/>
        </w:rPr>
      </w:pPr>
      <w:r>
        <w:rPr>
          <w:rFonts w:ascii="Arial" w:cs="Arial" w:eastAsia="Arial" w:hAnsi="Arial"/>
          <w:sz w:val="13"/>
          <w:szCs w:val="13"/>
          <w:color w:val="231F20"/>
        </w:rPr>
        <w:t>to implement an election dividend by which shareholders are given the option to contribute their dividend entitlements (either in whole or part) as a contribution in kind against issuance of our new shares;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231" w:name="page232"/>
    <w:bookmarkEnd w:id="231"/>
    <w:p>
      <w:pPr>
        <w:ind w:left="1020" w:right="40" w:hanging="340"/>
        <w:spacing w:after="0" w:line="272" w:lineRule="auto"/>
        <w:tabs>
          <w:tab w:leader="none" w:pos="1020" w:val="left"/>
        </w:tabs>
        <w:numPr>
          <w:ilvl w:val="0"/>
          <w:numId w:val="287"/>
        </w:numPr>
        <w:rPr>
          <w:rFonts w:ascii="Arial" w:cs="Arial" w:eastAsia="Arial" w:hAnsi="Arial"/>
          <w:sz w:val="13"/>
          <w:szCs w:val="13"/>
          <w:color w:val="231F20"/>
        </w:rPr>
      </w:pPr>
      <w:r>
        <w:rPr>
          <w:rFonts w:ascii="Arial" w:cs="Arial" w:eastAsia="Arial" w:hAnsi="Arial"/>
          <w:sz w:val="13"/>
          <w:szCs w:val="13"/>
          <w:color w:val="231F20"/>
        </w:rPr>
        <w:t>in case shares are to be issued to a member of our Management Board or to another person who is employed by us or one of our affiliates and a minimum holding period of at least one year and the obligation to transfer back the shares in the event that the beneficiary is not employed by us or one of our affiliated companies for the entire duration of the holding period or any other agreed period is agreed upon. Additional restrictions with regard to the shares issued may be agreed upon;</w:t>
      </w:r>
    </w:p>
    <w:p>
      <w:pPr>
        <w:spacing w:after="0" w:line="51" w:lineRule="exact"/>
        <w:rPr>
          <w:rFonts w:ascii="Arial" w:cs="Arial" w:eastAsia="Arial" w:hAnsi="Arial"/>
          <w:sz w:val="13"/>
          <w:szCs w:val="13"/>
          <w:color w:val="231F20"/>
        </w:rPr>
      </w:pPr>
    </w:p>
    <w:p>
      <w:pPr>
        <w:ind w:left="1020" w:hanging="340"/>
        <w:spacing w:after="0" w:line="272" w:lineRule="auto"/>
        <w:tabs>
          <w:tab w:leader="none" w:pos="1020" w:val="left"/>
        </w:tabs>
        <w:numPr>
          <w:ilvl w:val="0"/>
          <w:numId w:val="287"/>
        </w:numPr>
        <w:rPr>
          <w:rFonts w:ascii="Arial" w:cs="Arial" w:eastAsia="Arial" w:hAnsi="Arial"/>
          <w:sz w:val="13"/>
          <w:szCs w:val="13"/>
          <w:color w:val="231F20"/>
        </w:rPr>
      </w:pPr>
      <w:r>
        <w:rPr>
          <w:rFonts w:ascii="Arial" w:cs="Arial" w:eastAsia="Arial" w:hAnsi="Arial"/>
          <w:sz w:val="13"/>
          <w:szCs w:val="13"/>
          <w:color w:val="231F20"/>
        </w:rPr>
        <w:t>after listing on Nasdaq, if excluding subscription rights, according to the written declaration of an internationally renowned investment bank,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such declaration, does not exceed the extent necessary for a successful placement; and</w:t>
      </w:r>
    </w:p>
    <w:p>
      <w:pPr>
        <w:spacing w:after="0" w:line="51" w:lineRule="exact"/>
        <w:rPr>
          <w:rFonts w:ascii="Arial" w:cs="Arial" w:eastAsia="Arial" w:hAnsi="Arial"/>
          <w:sz w:val="13"/>
          <w:szCs w:val="13"/>
          <w:color w:val="231F20"/>
        </w:rPr>
      </w:pPr>
    </w:p>
    <w:p>
      <w:pPr>
        <w:ind w:left="1020" w:right="100" w:hanging="340"/>
        <w:spacing w:after="0" w:line="287" w:lineRule="auto"/>
        <w:tabs>
          <w:tab w:leader="none" w:pos="1020" w:val="left"/>
        </w:tabs>
        <w:numPr>
          <w:ilvl w:val="0"/>
          <w:numId w:val="287"/>
        </w:numPr>
        <w:rPr>
          <w:rFonts w:ascii="Arial" w:cs="Arial" w:eastAsia="Arial" w:hAnsi="Arial"/>
          <w:sz w:val="13"/>
          <w:szCs w:val="13"/>
          <w:color w:val="231F20"/>
        </w:rPr>
      </w:pPr>
      <w:r>
        <w:rPr>
          <w:rFonts w:ascii="Arial" w:cs="Arial" w:eastAsia="Arial" w:hAnsi="Arial"/>
          <w:sz w:val="13"/>
          <w:szCs w:val="13"/>
          <w:color w:val="231F20"/>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122" w:lineRule="exact"/>
        <w:rPr>
          <w:sz w:val="20"/>
          <w:szCs w:val="20"/>
          <w:color w:val="auto"/>
        </w:rPr>
      </w:pPr>
    </w:p>
    <w:p>
      <w:pPr>
        <w:ind w:right="140" w:firstLine="556"/>
        <w:spacing w:after="0" w:line="264" w:lineRule="auto"/>
        <w:rPr>
          <w:sz w:val="20"/>
          <w:szCs w:val="20"/>
          <w:color w:val="auto"/>
        </w:rPr>
      </w:pPr>
      <w:r>
        <w:rPr>
          <w:rFonts w:ascii="Arial" w:cs="Arial" w:eastAsia="Arial" w:hAnsi="Arial"/>
          <w:sz w:val="13"/>
          <w:szCs w:val="13"/>
          <w:color w:val="231F20"/>
        </w:rPr>
        <w:t>The total number of new shares issued from the authorized capital and under exclusion of subscription rights pursuant to bullets one through three and eight above may not exceed 20% of the share capital, either at the time this authorization becomes effective or, if lower, at the time it is utilized.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 during the term of this authorization (except in the case of certain exceptions of the resolution to item no. 8 of the general meeting of August 19, 2019).</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Corporate Purpose of our Company</w:t>
      </w:r>
    </w:p>
    <w:p>
      <w:pPr>
        <w:spacing w:after="0" w:line="94" w:lineRule="exact"/>
        <w:rPr>
          <w:sz w:val="20"/>
          <w:szCs w:val="20"/>
          <w:color w:val="auto"/>
        </w:rPr>
      </w:pPr>
    </w:p>
    <w:p>
      <w:pPr>
        <w:ind w:right="260" w:firstLine="556"/>
        <w:spacing w:after="0" w:line="287" w:lineRule="auto"/>
        <w:rPr>
          <w:sz w:val="20"/>
          <w:szCs w:val="20"/>
          <w:color w:val="auto"/>
        </w:rPr>
      </w:pPr>
      <w:r>
        <w:rPr>
          <w:rFonts w:ascii="Arial" w:cs="Arial" w:eastAsia="Arial" w:hAnsi="Arial"/>
          <w:sz w:val="13"/>
          <w:szCs w:val="13"/>
          <w:color w:val="231F20"/>
        </w:rPr>
        <w:t>Our business objective, as described in § 2 of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is to research and develop, as well as to manufacture and market immunological and RNA-based drugs and test methods for the diagnosis, prevention and treatment of cancer, infectious diseases and other serious diseases.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Shareholders’ Meetings and Voting Rights</w:t>
      </w:r>
    </w:p>
    <w:p>
      <w:pPr>
        <w:spacing w:after="0" w:line="94" w:lineRule="exact"/>
        <w:rPr>
          <w:sz w:val="20"/>
          <w:szCs w:val="20"/>
          <w:color w:val="auto"/>
        </w:rPr>
      </w:pPr>
    </w:p>
    <w:p>
      <w:pPr>
        <w:ind w:right="100" w:firstLine="556"/>
        <w:spacing w:after="0" w:line="264" w:lineRule="auto"/>
        <w:rPr>
          <w:sz w:val="20"/>
          <w:szCs w:val="20"/>
          <w:color w:val="auto"/>
        </w:rPr>
      </w:pPr>
      <w:r>
        <w:rPr>
          <w:rFonts w:ascii="Arial" w:cs="Arial" w:eastAsia="Arial" w:hAnsi="Arial"/>
          <w:sz w:val="13"/>
          <w:szCs w:val="13"/>
          <w:color w:val="231F20"/>
        </w:rPr>
        <w:t>Pursuant to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shareholders’ meetings may be held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Invitations to shareholders’ meetings must be published in the German Federal Gazette (</w:t>
      </w:r>
      <w:r>
        <w:rPr>
          <w:rFonts w:ascii="Arial" w:cs="Arial" w:eastAsia="Arial" w:hAnsi="Arial"/>
          <w:sz w:val="13"/>
          <w:szCs w:val="13"/>
          <w:i w:val="1"/>
          <w:iCs w:val="1"/>
          <w:color w:val="231F20"/>
        </w:rPr>
        <w:t>Bundesanzeiger</w:t>
      </w:r>
      <w:r>
        <w:rPr>
          <w:rFonts w:ascii="Arial" w:cs="Arial" w:eastAsia="Arial" w:hAnsi="Arial"/>
          <w:sz w:val="13"/>
          <w:szCs w:val="13"/>
          <w:color w:val="231F20"/>
        </w:rPr>
        <w:t>) at least 36 days before the meeting.</w:t>
      </w:r>
    </w:p>
    <w:p>
      <w:pPr>
        <w:spacing w:after="0" w:line="138"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231F20"/>
        </w:rPr>
        <w:t>Shareholders may participate in and vote in the shareholders’ meeting if they are registered as a shareholder with the Company’s share register. A shareholder who wishes to attend the shareholders’ meeting—either in person or by proxy, which may also be appointed by us (</w:t>
      </w:r>
      <w:r>
        <w:rPr>
          <w:rFonts w:ascii="Arial" w:cs="Arial" w:eastAsia="Arial" w:hAnsi="Arial"/>
          <w:sz w:val="13"/>
          <w:szCs w:val="13"/>
          <w:i w:val="1"/>
          <w:iCs w:val="1"/>
          <w:color w:val="231F20"/>
        </w:rPr>
        <w:t>Stimmrechtsvertreter</w:t>
      </w:r>
      <w:r>
        <w:rPr>
          <w:rFonts w:ascii="Arial" w:cs="Arial" w:eastAsia="Arial" w:hAnsi="Arial"/>
          <w:sz w:val="13"/>
          <w:szCs w:val="13"/>
          <w:color w:val="231F20"/>
        </w:rPr>
        <w:t>)—must register for the meeting, which registration must occur no later than six days before the meeting (or at a later date, if so determined by our Management Board).</w:t>
      </w:r>
    </w:p>
    <w:p>
      <w:pPr>
        <w:spacing w:after="0" w:line="132" w:lineRule="exact"/>
        <w:rPr>
          <w:sz w:val="20"/>
          <w:szCs w:val="20"/>
          <w:color w:val="auto"/>
        </w:rPr>
      </w:pPr>
    </w:p>
    <w:p>
      <w:pPr>
        <w:ind w:right="80" w:firstLine="556"/>
        <w:spacing w:after="0" w:line="267" w:lineRule="auto"/>
        <w:rPr>
          <w:sz w:val="20"/>
          <w:szCs w:val="20"/>
          <w:color w:val="auto"/>
        </w:rPr>
      </w:pPr>
      <w:r>
        <w:rPr>
          <w:rFonts w:ascii="Arial" w:cs="Arial" w:eastAsia="Arial" w:hAnsi="Arial"/>
          <w:sz w:val="13"/>
          <w:szCs w:val="13"/>
          <w:color w:val="231F20"/>
        </w:rPr>
        <w:t>Each share carries one vote at a shareholders’ meeting. Resolutions are, in accordance with our Articles of Association (</w:t>
      </w:r>
      <w:r>
        <w:rPr>
          <w:rFonts w:ascii="Arial" w:cs="Arial" w:eastAsia="Arial" w:hAnsi="Arial"/>
          <w:sz w:val="13"/>
          <w:szCs w:val="13"/>
          <w:i w:val="1"/>
          <w:iCs w:val="1"/>
          <w:color w:val="231F20"/>
        </w:rPr>
        <w:t>Satzung</w:t>
      </w:r>
      <w:r>
        <w:rPr>
          <w:rFonts w:ascii="Arial" w:cs="Arial" w:eastAsia="Arial" w:hAnsi="Arial"/>
          <w:sz w:val="13"/>
          <w:szCs w:val="13"/>
          <w:color w:val="231F20"/>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Claims against Directors and Shareholders’ Derivative Actions</w:t>
      </w:r>
    </w:p>
    <w:p>
      <w:pPr>
        <w:spacing w:after="0" w:line="94" w:lineRule="exact"/>
        <w:rPr>
          <w:sz w:val="20"/>
          <w:szCs w:val="20"/>
          <w:color w:val="auto"/>
        </w:rPr>
      </w:pPr>
    </w:p>
    <w:p>
      <w:pPr>
        <w:ind w:right="420" w:firstLine="556"/>
        <w:spacing w:after="0" w:line="287" w:lineRule="auto"/>
        <w:rPr>
          <w:sz w:val="20"/>
          <w:szCs w:val="20"/>
          <w:color w:val="auto"/>
        </w:rPr>
      </w:pPr>
      <w:r>
        <w:rPr>
          <w:rFonts w:ascii="Arial" w:cs="Arial" w:eastAsia="Arial" w:hAnsi="Arial"/>
          <w:sz w:val="13"/>
          <w:szCs w:val="13"/>
          <w:color w:val="231F20"/>
        </w:rPr>
        <w:t>Under German law, generally, the company, rather than its shareholders, is the proper claimant in an action with respect to a wrong committed against the company, or in cases where there is an irregularity in the company’s internal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32" w:name="page233"/>
    <w:bookmarkEnd w:id="232"/>
    <w:p>
      <w:pPr>
        <w:ind w:right="140"/>
        <w:spacing w:after="0" w:line="287" w:lineRule="auto"/>
        <w:rPr>
          <w:sz w:val="20"/>
          <w:szCs w:val="20"/>
          <w:color w:val="auto"/>
        </w:rPr>
      </w:pPr>
      <w:r>
        <w:rPr>
          <w:rFonts w:ascii="Arial" w:cs="Arial" w:eastAsia="Arial" w:hAnsi="Arial"/>
          <w:sz w:val="13"/>
          <w:szCs w:val="13"/>
          <w:color w:val="231F20"/>
        </w:rPr>
        <w:t>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22" w:lineRule="exact"/>
        <w:rPr>
          <w:sz w:val="20"/>
          <w:szCs w:val="20"/>
          <w:color w:val="auto"/>
        </w:rPr>
      </w:pPr>
    </w:p>
    <w:p>
      <w:pPr>
        <w:ind w:right="20" w:firstLine="556"/>
        <w:spacing w:after="0" w:line="296" w:lineRule="auto"/>
        <w:rPr>
          <w:sz w:val="20"/>
          <w:szCs w:val="20"/>
          <w:color w:val="auto"/>
        </w:rPr>
      </w:pPr>
      <w:r>
        <w:rPr>
          <w:rFonts w:ascii="Arial" w:cs="Arial" w:eastAsia="Arial" w:hAnsi="Arial"/>
          <w:sz w:val="12"/>
          <w:szCs w:val="12"/>
          <w:color w:val="231F20"/>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If the company is unable to fulfill its third-party obligations, the company’s creditors may pursue the company’s damage claims against members of the Management Board for certain wrongdoings.</w:t>
      </w:r>
    </w:p>
    <w:p>
      <w:pPr>
        <w:spacing w:after="0" w:line="182" w:lineRule="exact"/>
        <w:rPr>
          <w:sz w:val="20"/>
          <w:szCs w:val="20"/>
          <w:color w:val="auto"/>
        </w:rPr>
      </w:pPr>
    </w:p>
    <w:p>
      <w:pPr>
        <w:ind w:right="80" w:firstLine="556"/>
        <w:spacing w:after="0" w:line="267" w:lineRule="auto"/>
        <w:rPr>
          <w:sz w:val="20"/>
          <w:szCs w:val="20"/>
          <w:color w:val="auto"/>
        </w:rPr>
      </w:pPr>
      <w:r>
        <w:rPr>
          <w:rFonts w:ascii="Arial" w:cs="Arial" w:eastAsia="Arial" w:hAnsi="Arial"/>
          <w:sz w:val="13"/>
          <w:szCs w:val="13"/>
          <w:color w:val="231F20"/>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Dividend Rights</w:t>
      </w:r>
    </w:p>
    <w:p>
      <w:pPr>
        <w:spacing w:after="0" w:line="94"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231F20"/>
        </w:rPr>
        <w:t>Under German law, distributions of dividends on shares for a given fiscal year are generally determined by a process in which the Management Board and Supervisory Board submit a proposal to the company’s annual general shareholders’ meeting held in the subsequent fiscal year and such annual general shareholders’ meeting adopts a resolution.</w:t>
      </w:r>
    </w:p>
    <w:p>
      <w:pPr>
        <w:spacing w:after="0" w:line="122" w:lineRule="exact"/>
        <w:rPr>
          <w:sz w:val="20"/>
          <w:szCs w:val="20"/>
          <w:color w:val="auto"/>
        </w:rPr>
      </w:pPr>
    </w:p>
    <w:p>
      <w:pPr>
        <w:ind w:right="160" w:firstLine="556"/>
        <w:spacing w:after="0" w:line="272" w:lineRule="auto"/>
        <w:rPr>
          <w:sz w:val="20"/>
          <w:szCs w:val="20"/>
          <w:color w:val="auto"/>
        </w:rPr>
      </w:pPr>
      <w:r>
        <w:rPr>
          <w:rFonts w:ascii="Arial" w:cs="Arial" w:eastAsia="Arial" w:hAnsi="Arial"/>
          <w:sz w:val="13"/>
          <w:szCs w:val="13"/>
          <w:color w:val="231F20"/>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32" w:lineRule="exact"/>
        <w:rPr>
          <w:sz w:val="20"/>
          <w:szCs w:val="20"/>
          <w:color w:val="auto"/>
        </w:rPr>
      </w:pPr>
    </w:p>
    <w:p>
      <w:pPr>
        <w:ind w:right="120" w:firstLine="556"/>
        <w:spacing w:after="0" w:line="331" w:lineRule="auto"/>
        <w:rPr>
          <w:sz w:val="20"/>
          <w:szCs w:val="20"/>
          <w:color w:val="auto"/>
        </w:rPr>
      </w:pPr>
      <w:r>
        <w:rPr>
          <w:rFonts w:ascii="Arial" w:cs="Arial" w:eastAsia="Arial" w:hAnsi="Arial"/>
          <w:sz w:val="12"/>
          <w:szCs w:val="12"/>
          <w:color w:val="231F20"/>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Authorization to Purchase and Sell Our Own Shares</w:t>
      </w:r>
    </w:p>
    <w:p>
      <w:pPr>
        <w:spacing w:after="0" w:line="94" w:lineRule="exact"/>
        <w:rPr>
          <w:sz w:val="20"/>
          <w:szCs w:val="20"/>
          <w:color w:val="auto"/>
        </w:rPr>
      </w:pPr>
    </w:p>
    <w:p>
      <w:pPr>
        <w:ind w:firstLine="556"/>
        <w:spacing w:after="0" w:line="263" w:lineRule="auto"/>
        <w:rPr>
          <w:sz w:val="20"/>
          <w:szCs w:val="20"/>
          <w:color w:val="auto"/>
        </w:rPr>
      </w:pPr>
      <w:r>
        <w:rPr>
          <w:rFonts w:ascii="Arial" w:cs="Arial" w:eastAsia="Arial" w:hAnsi="Arial"/>
          <w:sz w:val="13"/>
          <w:szCs w:val="13"/>
          <w:color w:val="231F20"/>
        </w:rPr>
        <w:t>We may not purchase our own shares unless authorized by the shareholders’ meeting or in other very limited circumstances as set out in the German Stock Corporation Act. The Company’s shareholders’ meeting held on August 19, 2019 authorized the Management Board until August 18, 2024,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Squeeze-Out of Minority Shareholders</w:t>
      </w:r>
    </w:p>
    <w:p>
      <w:pPr>
        <w:spacing w:after="0" w:line="94" w:lineRule="exact"/>
        <w:rPr>
          <w:sz w:val="20"/>
          <w:szCs w:val="20"/>
          <w:color w:val="auto"/>
        </w:rPr>
      </w:pPr>
    </w:p>
    <w:p>
      <w:pPr>
        <w:ind w:right="340" w:firstLine="556"/>
        <w:spacing w:after="0" w:line="287" w:lineRule="auto"/>
        <w:rPr>
          <w:sz w:val="20"/>
          <w:szCs w:val="20"/>
          <w:color w:val="auto"/>
        </w:rPr>
      </w:pPr>
      <w:r>
        <w:rPr>
          <w:rFonts w:ascii="Arial" w:cs="Arial" w:eastAsia="Arial" w:hAnsi="Arial"/>
          <w:sz w:val="13"/>
          <w:szCs w:val="13"/>
          <w:color w:val="231F20"/>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13"/>
          <w:szCs w:val="13"/>
          <w:i w:val="1"/>
          <w:iCs w:val="1"/>
          <w:color w:val="231F20"/>
        </w:rPr>
        <w:t>Ausschluss von Minderheitsaktionären</w:t>
      </w:r>
      <w:r>
        <w:rPr>
          <w:rFonts w:ascii="Arial" w:cs="Arial" w:eastAsia="Arial" w:hAnsi="Arial"/>
          <w:sz w:val="13"/>
          <w:szCs w:val="13"/>
          <w:color w:val="231F20"/>
        </w:rPr>
        <w:t>). This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11" w:right="359" w:bottom="1440" w:gutter="0" w:footer="0" w:header="0"/>
        </w:sectPr>
      </w:pPr>
    </w:p>
    <w:bookmarkStart w:id="233" w:name="page234"/>
    <w:bookmarkEnd w:id="233"/>
    <w:p>
      <w:pPr>
        <w:spacing w:after="0"/>
        <w:rPr>
          <w:sz w:val="20"/>
          <w:szCs w:val="20"/>
          <w:color w:val="auto"/>
        </w:rPr>
      </w:pPr>
      <w:r>
        <w:rPr>
          <w:rFonts w:ascii="Arial" w:cs="Arial" w:eastAsia="Arial" w:hAnsi="Arial"/>
          <w:sz w:val="13"/>
          <w:szCs w:val="13"/>
          <w:color w:val="231F20"/>
        </w:rPr>
        <w:t>amount must take into account the full value of the company at the time of the resolution, which is generally determined using the future earnings value method (</w:t>
      </w:r>
      <w:r>
        <w:rPr>
          <w:rFonts w:ascii="Arial" w:cs="Arial" w:eastAsia="Arial" w:hAnsi="Arial"/>
          <w:sz w:val="13"/>
          <w:szCs w:val="13"/>
          <w:i w:val="1"/>
          <w:iCs w:val="1"/>
          <w:color w:val="231F20"/>
        </w:rPr>
        <w:t>Ertragswertmethode</w:t>
      </w:r>
      <w:r>
        <w:rPr>
          <w:rFonts w:ascii="Arial" w:cs="Arial" w:eastAsia="Arial" w:hAnsi="Arial"/>
          <w:sz w:val="13"/>
          <w:szCs w:val="13"/>
          <w:color w:val="231F20"/>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A squeeze-out in the context of a merger (</w:t>
      </w:r>
      <w:r>
        <w:rPr>
          <w:rFonts w:ascii="Arial" w:cs="Arial" w:eastAsia="Arial" w:hAnsi="Arial"/>
          <w:sz w:val="13"/>
          <w:szCs w:val="13"/>
          <w:i w:val="1"/>
          <w:iCs w:val="1"/>
          <w:color w:val="231F20"/>
        </w:rPr>
        <w:t>umwandlungsrechtlicher Squeeze-Out</w:t>
      </w:r>
      <w:r>
        <w:rPr>
          <w:rFonts w:ascii="Arial" w:cs="Arial" w:eastAsia="Arial" w:hAnsi="Arial"/>
          <w:sz w:val="13"/>
          <w:szCs w:val="13"/>
          <w:color w:val="231F20"/>
        </w:rPr>
        <w:t>) only requires a majority shareholder to hold at least 90% of the share capital.</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Liquidation Rights</w:t>
      </w:r>
    </w:p>
    <w:p>
      <w:pPr>
        <w:spacing w:after="0" w:line="94" w:lineRule="exact"/>
        <w:rPr>
          <w:sz w:val="20"/>
          <w:szCs w:val="20"/>
          <w:color w:val="auto"/>
        </w:rPr>
      </w:pPr>
    </w:p>
    <w:p>
      <w:pPr>
        <w:ind w:right="40" w:firstLine="556"/>
        <w:spacing w:after="0" w:line="304" w:lineRule="auto"/>
        <w:rPr>
          <w:sz w:val="20"/>
          <w:szCs w:val="20"/>
          <w:color w:val="auto"/>
        </w:rPr>
      </w:pPr>
      <w:r>
        <w:rPr>
          <w:rFonts w:ascii="Arial" w:cs="Arial" w:eastAsia="Arial" w:hAnsi="Arial"/>
          <w:sz w:val="12"/>
          <w:szCs w:val="12"/>
          <w:color w:val="231F20"/>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92" w:lineRule="exact"/>
        <w:rPr>
          <w:sz w:val="20"/>
          <w:szCs w:val="20"/>
          <w:color w:val="auto"/>
        </w:rPr>
      </w:pPr>
    </w:p>
    <w:p>
      <w:pPr>
        <w:ind w:left="1100" w:hanging="550"/>
        <w:spacing w:after="0"/>
        <w:tabs>
          <w:tab w:leader="none" w:pos="1100" w:val="left"/>
        </w:tabs>
        <w:numPr>
          <w:ilvl w:val="0"/>
          <w:numId w:val="288"/>
        </w:numPr>
        <w:rPr>
          <w:rFonts w:ascii="Arial" w:cs="Arial" w:eastAsia="Arial" w:hAnsi="Arial"/>
          <w:sz w:val="13"/>
          <w:szCs w:val="13"/>
          <w:b w:val="1"/>
          <w:bCs w:val="1"/>
          <w:color w:val="auto"/>
        </w:rPr>
      </w:pPr>
      <w:r>
        <w:rPr>
          <w:rFonts w:ascii="Arial" w:cs="Arial" w:eastAsia="Arial" w:hAnsi="Arial"/>
          <w:sz w:val="13"/>
          <w:szCs w:val="13"/>
          <w:b w:val="1"/>
          <w:bCs w:val="1"/>
          <w:color w:val="auto"/>
        </w:rPr>
        <w:t>Material Contracts</w:t>
      </w:r>
    </w:p>
    <w:p>
      <w:pPr>
        <w:spacing w:after="0" w:line="94" w:lineRule="exact"/>
        <w:rPr>
          <w:sz w:val="20"/>
          <w:szCs w:val="20"/>
          <w:color w:val="auto"/>
        </w:rPr>
      </w:pPr>
    </w:p>
    <w:p>
      <w:pPr>
        <w:ind w:right="240" w:firstLine="556"/>
        <w:spacing w:after="0" w:line="287" w:lineRule="auto"/>
        <w:rPr>
          <w:sz w:val="20"/>
          <w:szCs w:val="20"/>
          <w:color w:val="auto"/>
        </w:rPr>
      </w:pPr>
      <w:r>
        <w:rPr>
          <w:rFonts w:ascii="Arial" w:cs="Arial" w:eastAsia="Arial" w:hAnsi="Arial"/>
          <w:sz w:val="13"/>
          <w:szCs w:val="13"/>
          <w:color w:val="auto"/>
        </w:rPr>
        <w:t>Except as otherwise disclosed in this Annual Report (including the exhibits thereto), we are not currently, and have not been in the last two years, party to any material contract, other than contracts entered into in the ordinary course of our business.</w:t>
      </w:r>
    </w:p>
    <w:p>
      <w:pPr>
        <w:spacing w:after="0" w:line="198" w:lineRule="exact"/>
        <w:rPr>
          <w:sz w:val="20"/>
          <w:szCs w:val="20"/>
          <w:color w:val="auto"/>
        </w:rPr>
      </w:pPr>
    </w:p>
    <w:p>
      <w:pPr>
        <w:ind w:left="1100" w:hanging="550"/>
        <w:spacing w:after="0"/>
        <w:tabs>
          <w:tab w:leader="none" w:pos="1100" w:val="left"/>
        </w:tabs>
        <w:numPr>
          <w:ilvl w:val="0"/>
          <w:numId w:val="289"/>
        </w:numPr>
        <w:rPr>
          <w:rFonts w:ascii="Arial" w:cs="Arial" w:eastAsia="Arial" w:hAnsi="Arial"/>
          <w:sz w:val="13"/>
          <w:szCs w:val="13"/>
          <w:b w:val="1"/>
          <w:bCs w:val="1"/>
          <w:color w:val="auto"/>
        </w:rPr>
      </w:pPr>
      <w:r>
        <w:rPr>
          <w:rFonts w:ascii="Arial" w:cs="Arial" w:eastAsia="Arial" w:hAnsi="Arial"/>
          <w:sz w:val="13"/>
          <w:szCs w:val="13"/>
          <w:b w:val="1"/>
          <w:bCs w:val="1"/>
          <w:color w:val="auto"/>
        </w:rPr>
        <w:t>Exchange Controls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There are currently no legal restrictions in the Federal Republic of Germany on international capital movements and foreign exchange transactions, except in limited embargo circumstances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Teilembargo</w:t>
      </w:r>
      <w:r>
        <w:rPr>
          <w:rFonts w:ascii="Arial" w:cs="Arial" w:eastAsia="Arial" w:hAnsi="Arial"/>
          <w:sz w:val="12"/>
          <w:szCs w:val="12"/>
          <w:color w:val="auto"/>
        </w:rPr>
        <w:t>) relating to certain areas, entities or persons as a result of applicable resolutions adopted by the United Nations and the European Union. Restrictions currently exist with respect to, among others,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Belarus, Congo, Egypt, Eritrea, Guinea, Guinea-Bissau, Iran, Iraq, Lebanon, Libya, North Korea, Somalia, South Sudan, Sudan, Syria, Tunisia and Zimbabwe.</w:t>
      </w:r>
    </w:p>
    <w:p>
      <w:pPr>
        <w:spacing w:after="0" w:line="162" w:lineRule="exact"/>
        <w:rPr>
          <w:sz w:val="20"/>
          <w:szCs w:val="20"/>
          <w:color w:val="auto"/>
        </w:rPr>
      </w:pPr>
    </w:p>
    <w:p>
      <w:pPr>
        <w:ind w:right="140" w:firstLine="556"/>
        <w:spacing w:after="0" w:line="264" w:lineRule="auto"/>
        <w:rPr>
          <w:sz w:val="20"/>
          <w:szCs w:val="20"/>
          <w:color w:val="auto"/>
        </w:rPr>
      </w:pPr>
      <w:r>
        <w:rPr>
          <w:rFonts w:ascii="Arial" w:cs="Arial" w:eastAsia="Arial" w:hAnsi="Arial"/>
          <w:sz w:val="13"/>
          <w:szCs w:val="13"/>
          <w:color w:val="auto"/>
        </w:rPr>
        <w:t>For statistical purposes, there are, however, limited notification requirements regarding transactions involving cross-border monetary transfers. With some exceptions, every corporation or individual residing in the Federal Republic of Germany must report to the German Central Bank (</w:t>
      </w:r>
      <w:r>
        <w:rPr>
          <w:rFonts w:ascii="Arial" w:cs="Arial" w:eastAsia="Arial" w:hAnsi="Arial"/>
          <w:sz w:val="13"/>
          <w:szCs w:val="13"/>
          <w:i w:val="1"/>
          <w:iCs w:val="1"/>
          <w:color w:val="auto"/>
        </w:rPr>
        <w:t>Deutsche Bundesbank</w:t>
      </w:r>
      <w:r>
        <w:rPr>
          <w:rFonts w:ascii="Arial" w:cs="Arial" w:eastAsia="Arial" w:hAnsi="Arial"/>
          <w:sz w:val="13"/>
          <w:szCs w:val="13"/>
          <w:color w:val="auto"/>
        </w:rPr>
        <w:t xml:space="preserve">) (i) any payment received from, or made to, a non-resident corporation or </w:t>
      </w:r>
      <w:r>
        <w:rPr>
          <w:rFonts w:ascii="Arial" w:cs="Arial" w:eastAsia="Arial" w:hAnsi="Arial"/>
          <w:sz w:val="13"/>
          <w:szCs w:val="13"/>
          <w:color w:val="231F20"/>
        </w:rPr>
        <w:t>individual</w:t>
      </w:r>
      <w:r>
        <w:rPr>
          <w:rFonts w:ascii="Arial" w:cs="Arial" w:eastAsia="Arial" w:hAnsi="Arial"/>
          <w:sz w:val="13"/>
          <w:szCs w:val="13"/>
          <w:color w:val="auto"/>
        </w:rPr>
        <w:t xml:space="preserve">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214" w:lineRule="exact"/>
        <w:rPr>
          <w:sz w:val="20"/>
          <w:szCs w:val="20"/>
          <w:color w:val="auto"/>
        </w:rPr>
      </w:pPr>
    </w:p>
    <w:p>
      <w:pPr>
        <w:jc w:val="right"/>
        <w:ind w:left="560" w:right="9660" w:hanging="10"/>
        <w:spacing w:after="0" w:line="420" w:lineRule="auto"/>
        <w:tabs>
          <w:tab w:leader="none" w:pos="1103" w:val="left"/>
        </w:tabs>
        <w:numPr>
          <w:ilvl w:val="0"/>
          <w:numId w:val="29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Taxation </w:t>
      </w:r>
      <w:r>
        <w:rPr>
          <w:rFonts w:ascii="Arial" w:cs="Arial" w:eastAsia="Arial" w:hAnsi="Arial"/>
          <w:sz w:val="12"/>
          <w:szCs w:val="12"/>
          <w:b w:val="1"/>
          <w:bCs w:val="1"/>
          <w:color w:val="231F20"/>
        </w:rPr>
        <w:t>German Taxation</w:t>
      </w:r>
    </w:p>
    <w:p>
      <w:pPr>
        <w:spacing w:after="0" w:line="1" w:lineRule="exact"/>
        <w:rPr>
          <w:sz w:val="20"/>
          <w:szCs w:val="20"/>
          <w:color w:val="auto"/>
        </w:rPr>
      </w:pPr>
    </w:p>
    <w:p>
      <w:pPr>
        <w:jc w:val="both"/>
        <w:ind w:right="120" w:firstLine="556"/>
        <w:spacing w:after="0" w:line="272" w:lineRule="auto"/>
        <w:rPr>
          <w:sz w:val="20"/>
          <w:szCs w:val="20"/>
          <w:color w:val="auto"/>
        </w:rPr>
      </w:pPr>
      <w:r>
        <w:rPr>
          <w:rFonts w:ascii="Arial" w:cs="Arial" w:eastAsia="Arial" w:hAnsi="Arial"/>
          <w:sz w:val="13"/>
          <w:szCs w:val="13"/>
          <w:color w:val="231F20"/>
        </w:rPr>
        <w:t>The following discussion addresses certain German tax consequences of acquiring, owning or disposing of the ADSs. With the exception of “—Taxation of Holders Tax Resident in Germany” below, which provides an overview of dividend taxation and of capital gains taxation with respect to holders that are residents of Germany, this discussion applies only to U.S. treaty beneficiaries (defined below) that acquire our ADSs.</w:t>
      </w:r>
    </w:p>
    <w:p>
      <w:pPr>
        <w:spacing w:after="0" w:line="132"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This discussion is based on domestic German tax laws, including, but not limited to, circulars issued by German tax authorities, which are not binding on the German courts, and the Treaty (defined below). It is based upon tax laws in effect at the time of filing of this report. These laws are subject to change, possibly with retroactive effect. For example, certain member states of the European Union are considering introducing a financial transaction tax (</w:t>
      </w:r>
      <w:r>
        <w:rPr>
          <w:rFonts w:ascii="Arial" w:cs="Arial" w:eastAsia="Arial" w:hAnsi="Arial"/>
          <w:sz w:val="13"/>
          <w:szCs w:val="13"/>
          <w:i w:val="1"/>
          <w:iCs w:val="1"/>
          <w:color w:val="231F20"/>
        </w:rPr>
        <w:t>Finanztransaktionssteuer</w:t>
      </w:r>
      <w:r>
        <w:rPr>
          <w:rFonts w:ascii="Arial" w:cs="Arial" w:eastAsia="Arial" w:hAnsi="Arial"/>
          <w:sz w:val="13"/>
          <w:szCs w:val="13"/>
          <w:color w:val="231F20"/>
        </w:rPr>
        <w:t>) which, if and when introduced, may also be applicable on sales and/or transfer of ADSs. In addition, in Germany, for example, there are currently ongoing discussions on the raise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38"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231F20"/>
        </w:rPr>
        <w:t>In addition, this discussion is based upon the assumption that each obligation in the deposit agreement and any related agreement will be performed in accordance with its terms. It does not purport to be a comprehensive or exhaustive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11" w:right="339" w:bottom="1440" w:gutter="0" w:footer="0" w:header="0"/>
        </w:sectPr>
      </w:pPr>
    </w:p>
    <w:bookmarkStart w:id="234" w:name="page235"/>
    <w:bookmarkEnd w:id="234"/>
    <w:p>
      <w:pPr>
        <w:spacing w:after="0"/>
        <w:rPr>
          <w:sz w:val="20"/>
          <w:szCs w:val="20"/>
          <w:color w:val="auto"/>
        </w:rPr>
      </w:pPr>
      <w:r>
        <w:rPr>
          <w:rFonts w:ascii="Arial" w:cs="Arial" w:eastAsia="Arial" w:hAnsi="Arial"/>
          <w:sz w:val="13"/>
          <w:szCs w:val="13"/>
          <w:color w:val="231F20"/>
        </w:rPr>
        <w:t>description of all German tax considerations that may be of relevance in the context of acquiring, owning and disposing of ADSs.</w:t>
      </w:r>
    </w:p>
    <w:p>
      <w:pPr>
        <w:spacing w:after="0" w:line="170" w:lineRule="exact"/>
        <w:rPr>
          <w:sz w:val="20"/>
          <w:szCs w:val="20"/>
          <w:color w:val="auto"/>
        </w:rPr>
      </w:pPr>
    </w:p>
    <w:p>
      <w:pPr>
        <w:ind w:right="260" w:firstLine="556"/>
        <w:spacing w:after="0" w:line="267" w:lineRule="auto"/>
        <w:rPr>
          <w:sz w:val="20"/>
          <w:szCs w:val="20"/>
          <w:color w:val="auto"/>
        </w:rPr>
      </w:pPr>
      <w:r>
        <w:rPr>
          <w:rFonts w:ascii="Arial" w:cs="Arial" w:eastAsia="Arial" w:hAnsi="Arial"/>
          <w:sz w:val="13"/>
          <w:szCs w:val="13"/>
          <w:color w:val="231F20"/>
        </w:rPr>
        <w:t>The tax information presented in this report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Arial" w:cs="Arial" w:eastAsia="Arial" w:hAnsi="Arial"/>
          <w:sz w:val="13"/>
          <w:szCs w:val="13"/>
          <w:i w:val="1"/>
          <w:iCs w:val="1"/>
          <w:color w:val="231F20"/>
        </w:rPr>
        <w:t>Kapitalertragsteuer</w:t>
      </w:r>
      <w:r>
        <w:rPr>
          <w:rFonts w:ascii="Arial" w:cs="Arial" w:eastAsia="Arial" w:hAnsi="Arial"/>
          <w:sz w:val="13"/>
          <w:szCs w:val="13"/>
          <w:color w:val="231F20"/>
        </w:rPr>
        <w:t>) withheld. Only an individual tax consultation can appropriately account for the particular tax situation of each investor.</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General</w:t>
      </w:r>
    </w:p>
    <w:p>
      <w:pPr>
        <w:spacing w:after="0" w:line="90" w:lineRule="exact"/>
        <w:rPr>
          <w:sz w:val="20"/>
          <w:szCs w:val="20"/>
          <w:color w:val="auto"/>
        </w:rPr>
      </w:pPr>
    </w:p>
    <w:p>
      <w:pPr>
        <w:ind w:firstLine="556"/>
        <w:spacing w:after="0" w:line="285" w:lineRule="auto"/>
        <w:rPr>
          <w:sz w:val="20"/>
          <w:szCs w:val="20"/>
          <w:color w:val="auto"/>
        </w:rPr>
      </w:pPr>
      <w:r>
        <w:rPr>
          <w:rFonts w:ascii="Arial" w:cs="Arial" w:eastAsia="Arial" w:hAnsi="Arial"/>
          <w:sz w:val="12"/>
          <w:szCs w:val="12"/>
          <w:color w:val="231F20"/>
        </w:rPr>
        <w:t>Based on the circular issued by the German Federal Ministry of Finance (</w:t>
      </w:r>
      <w:r>
        <w:rPr>
          <w:rFonts w:ascii="Arial" w:cs="Arial" w:eastAsia="Arial" w:hAnsi="Arial"/>
          <w:sz w:val="12"/>
          <w:szCs w:val="12"/>
          <w:i w:val="1"/>
          <w:iCs w:val="1"/>
          <w:color w:val="231F20"/>
        </w:rPr>
        <w:t>BMF-Schreiben</w:t>
      </w:r>
      <w:r>
        <w:rPr>
          <w:rFonts w:ascii="Arial" w:cs="Arial" w:eastAsia="Arial" w:hAnsi="Arial"/>
          <w:sz w:val="12"/>
          <w:szCs w:val="12"/>
          <w:color w:val="231F20"/>
        </w:rPr>
        <w:t>), dated May 24, 2013, reference number IV C 1-S2204/12/10003, as amended by the circular dated December 18, 2018 (reference number IV C 1 – S 2204/12/10003), in respect of the taxation of American Depositary Receipts, or ADRs, on domestic shares, or the ADR Tax Circular, for German tax purposes, the ADSs represent a beneficial ownership interest in the underlying shares of BioNTech and qualify as ADRs for the purpose of the ADR Tax Circular. If the ADSs qualify as ADRs under the ADR Tax Circular, dividends would accordingly be attributable to holders of the ADSs for German tax purposes, and not to the legal owner of the ordinary shares (</w:t>
      </w:r>
      <w:r>
        <w:rPr>
          <w:rFonts w:ascii="Arial" w:cs="Arial" w:eastAsia="Arial" w:hAnsi="Arial"/>
          <w:sz w:val="12"/>
          <w:szCs w:val="12"/>
          <w:i w:val="1"/>
          <w:iCs w:val="1"/>
          <w:color w:val="231F20"/>
        </w:rPr>
        <w:t>i.e</w:t>
      </w:r>
      <w:r>
        <w:rPr>
          <w:rFonts w:ascii="Arial" w:cs="Arial" w:eastAsia="Arial" w:hAnsi="Arial"/>
          <w:sz w:val="12"/>
          <w:szCs w:val="12"/>
          <w:color w:val="231F20"/>
        </w:rPr>
        <w:t>., the financial institution on behalf of which the ordinary shares are stored at a domestic depository for the ADS holders). Furthermore, holders of the ADSs should be treated as beneficial owners of the capital of BioNTech with respect to capital gains (see below in section “—German Taxation of Capital Gains of the U.S. Treaty Beneficiaries of the ADSs”).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ADSs. For the purpose of this German tax section, it is assumed that the ADSs qualify as ADRs within the meaning of the ADR Tax Circular.</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Taxation of Holders Not Tax Resident in Germany</w:t>
      </w:r>
    </w:p>
    <w:p>
      <w:pPr>
        <w:spacing w:after="0" w:line="9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The following discussion describes the material German tax consequences for a holder that is a U.S. treaty beneficiary of acquiring, owning and disposing of the ADSs. For purposes of this discussion, a “U.S. treaty beneficiary” is a resident of the United States for purposes of the Agreement between the Federal Republic of Germany and United States of America for the Avoidance of Double Taxation and the Prevention of Fiscal Evasion with respect to Taxes on Income and on Capital as of June 4, 2008 (</w:t>
      </w:r>
      <w:r>
        <w:rPr>
          <w:rFonts w:ascii="Arial" w:cs="Arial" w:eastAsia="Arial" w:hAnsi="Arial"/>
          <w:sz w:val="13"/>
          <w:szCs w:val="13"/>
          <w:i w:val="1"/>
          <w:iCs w:val="1"/>
          <w:color w:val="231F20"/>
        </w:rPr>
        <w:t>Abkommen zwischen der Bundesrepublik Deutschland und den Vereinigten Staaten von Amerika zur Vermeidung</w:t>
      </w:r>
      <w:r>
        <w:rPr>
          <w:rFonts w:ascii="Arial" w:cs="Arial" w:eastAsia="Arial" w:hAnsi="Arial"/>
          <w:sz w:val="13"/>
          <w:szCs w:val="13"/>
          <w:color w:val="231F20"/>
        </w:rPr>
        <w:t xml:space="preserve"> </w:t>
      </w:r>
      <w:r>
        <w:rPr>
          <w:rFonts w:ascii="Arial" w:cs="Arial" w:eastAsia="Arial" w:hAnsi="Arial"/>
          <w:sz w:val="13"/>
          <w:szCs w:val="13"/>
          <w:i w:val="1"/>
          <w:iCs w:val="1"/>
          <w:color w:val="231F20"/>
        </w:rPr>
        <w:t>der Doppelbesteuerung und zur Verhinderung der Steuerverkürzung auf dem Gebiet der Steuern vom Einkommen und vom Vermögen und einiger anderer Steuern in der Fassung vom 4. Juni 2008</w:t>
      </w:r>
      <w:r>
        <w:rPr>
          <w:rFonts w:ascii="Arial" w:cs="Arial" w:eastAsia="Arial" w:hAnsi="Arial"/>
          <w:sz w:val="13"/>
          <w:szCs w:val="13"/>
          <w:color w:val="231F20"/>
        </w:rPr>
        <w:t>), hereinafter</w:t>
      </w:r>
      <w:r>
        <w:rPr>
          <w:rFonts w:ascii="Arial" w:cs="Arial" w:eastAsia="Arial" w:hAnsi="Arial"/>
          <w:sz w:val="13"/>
          <w:szCs w:val="13"/>
          <w:i w:val="1"/>
          <w:iCs w:val="1"/>
          <w:color w:val="231F20"/>
        </w:rPr>
        <w:t xml:space="preserve"> </w:t>
      </w:r>
      <w:r>
        <w:rPr>
          <w:rFonts w:ascii="Arial" w:cs="Arial" w:eastAsia="Arial" w:hAnsi="Arial"/>
          <w:sz w:val="13"/>
          <w:szCs w:val="13"/>
          <w:color w:val="231F20"/>
        </w:rPr>
        <w:t>referred to as the “Treaty,” who is fully eligible for benefits under the Treaty.</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A holder will be a U.S. treaty beneficiary entitled to full Treaty benefits in respect of the ADSs if it is, inter alia:</w:t>
      </w:r>
    </w:p>
    <w:p>
      <w:pPr>
        <w:spacing w:after="0" w:line="80" w:lineRule="exact"/>
        <w:rPr>
          <w:sz w:val="20"/>
          <w:szCs w:val="20"/>
          <w:color w:val="auto"/>
        </w:rPr>
      </w:pPr>
    </w:p>
    <w:p>
      <w:pPr>
        <w:ind w:left="1020" w:hanging="340"/>
        <w:spacing w:after="0"/>
        <w:tabs>
          <w:tab w:leader="none" w:pos="1020" w:val="left"/>
        </w:tabs>
        <w:numPr>
          <w:ilvl w:val="0"/>
          <w:numId w:val="291"/>
        </w:numPr>
        <w:rPr>
          <w:rFonts w:ascii="Arial" w:cs="Arial" w:eastAsia="Arial" w:hAnsi="Arial"/>
          <w:sz w:val="13"/>
          <w:szCs w:val="13"/>
          <w:color w:val="auto"/>
        </w:rPr>
      </w:pPr>
      <w:r>
        <w:rPr>
          <w:rFonts w:ascii="Arial" w:cs="Arial" w:eastAsia="Arial" w:hAnsi="Arial"/>
          <w:sz w:val="13"/>
          <w:szCs w:val="13"/>
          <w:color w:val="auto"/>
        </w:rPr>
        <w:t>the beneficial owner of the ADSs (and the dividends paid with respect thereto);</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91"/>
        </w:numPr>
        <w:rPr>
          <w:rFonts w:ascii="Arial" w:cs="Arial" w:eastAsia="Arial" w:hAnsi="Arial"/>
          <w:sz w:val="13"/>
          <w:szCs w:val="13"/>
          <w:color w:val="auto"/>
        </w:rPr>
      </w:pPr>
      <w:r>
        <w:rPr>
          <w:rFonts w:ascii="Arial" w:cs="Arial" w:eastAsia="Arial" w:hAnsi="Arial"/>
          <w:sz w:val="13"/>
          <w:szCs w:val="13"/>
          <w:color w:val="auto"/>
        </w:rPr>
        <w:t>a U.S. holder;</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91"/>
        </w:numPr>
        <w:rPr>
          <w:rFonts w:ascii="Arial" w:cs="Arial" w:eastAsia="Arial" w:hAnsi="Arial"/>
          <w:sz w:val="13"/>
          <w:szCs w:val="13"/>
          <w:color w:val="auto"/>
        </w:rPr>
      </w:pPr>
      <w:r>
        <w:rPr>
          <w:rFonts w:ascii="Arial" w:cs="Arial" w:eastAsia="Arial" w:hAnsi="Arial"/>
          <w:sz w:val="13"/>
          <w:szCs w:val="13"/>
          <w:color w:val="auto"/>
        </w:rPr>
        <w:t>not also a resident of Germany for German tax purposes;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91"/>
        </w:numPr>
        <w:rPr>
          <w:rFonts w:ascii="Arial" w:cs="Arial" w:eastAsia="Arial" w:hAnsi="Arial"/>
          <w:sz w:val="13"/>
          <w:szCs w:val="13"/>
          <w:color w:val="auto"/>
        </w:rPr>
      </w:pPr>
      <w:r>
        <w:rPr>
          <w:rFonts w:ascii="Arial" w:cs="Arial" w:eastAsia="Arial" w:hAnsi="Arial"/>
          <w:sz w:val="13"/>
          <w:szCs w:val="13"/>
          <w:color w:val="auto"/>
        </w:rPr>
        <w:t>not subject to the limitation on benefits (i.e., anti-treaty shopping) article of the Treaty that applies in limited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Special rules apply to pension funds and certain other tax-exempt investors.</w:t>
      </w:r>
    </w:p>
    <w:p>
      <w:pPr>
        <w:spacing w:after="0" w:line="170" w:lineRule="exact"/>
        <w:rPr>
          <w:sz w:val="20"/>
          <w:szCs w:val="20"/>
          <w:color w:val="auto"/>
        </w:rPr>
      </w:pPr>
    </w:p>
    <w:p>
      <w:pPr>
        <w:ind w:right="320" w:firstLine="556"/>
        <w:spacing w:after="0" w:line="287" w:lineRule="auto"/>
        <w:rPr>
          <w:sz w:val="20"/>
          <w:szCs w:val="20"/>
          <w:color w:val="auto"/>
        </w:rPr>
      </w:pPr>
      <w:r>
        <w:rPr>
          <w:rFonts w:ascii="Arial" w:cs="Arial" w:eastAsia="Arial" w:hAnsi="Arial"/>
          <w:sz w:val="13"/>
          <w:szCs w:val="13"/>
          <w:color w:val="231F20"/>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General Rules for the Taxation of Holders Not Tax Resident in Germany</w:t>
      </w:r>
    </w:p>
    <w:p>
      <w:pPr>
        <w:spacing w:after="0" w:line="94"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color w:val="231F20"/>
        </w:rPr>
        <w:t>Non-German resident holders of ADSs are subject to German taxation with respect to German source income (</w:t>
      </w:r>
      <w:r>
        <w:rPr>
          <w:rFonts w:ascii="Arial" w:cs="Arial" w:eastAsia="Arial" w:hAnsi="Arial"/>
          <w:sz w:val="13"/>
          <w:szCs w:val="13"/>
          <w:i w:val="1"/>
          <w:iCs w:val="1"/>
          <w:color w:val="231F20"/>
        </w:rPr>
        <w:t>beschränkte Steuerpflicht</w:t>
      </w:r>
      <w:r>
        <w:rPr>
          <w:rFonts w:ascii="Arial" w:cs="Arial" w:eastAsia="Arial" w:hAnsi="Arial"/>
          <w:sz w:val="13"/>
          <w:szCs w:val="13"/>
          <w:color w:val="231F20"/>
        </w:rPr>
        <w:t>). According to the ADR Tax Circular, income from the shares should be attributed to the holder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235" w:name="page236"/>
    <w:bookmarkEnd w:id="235"/>
    <w:p>
      <w:pPr>
        <w:spacing w:after="0"/>
        <w:rPr>
          <w:sz w:val="20"/>
          <w:szCs w:val="20"/>
          <w:color w:val="auto"/>
        </w:rPr>
      </w:pPr>
      <w:r>
        <w:rPr>
          <w:rFonts w:ascii="Arial" w:cs="Arial" w:eastAsia="Arial" w:hAnsi="Arial"/>
          <w:sz w:val="13"/>
          <w:szCs w:val="13"/>
          <w:color w:val="231F20"/>
        </w:rPr>
        <w:t>of the ADSs for German tax purposes. As a consequence, income from the ADSs should be treated as German source income.</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German Withholding Taxation of Dividends of the U.S. Treaty Beneficiaries of the ADSs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Generally, the full amount of a dividend distributed by BioNTech to a non-German resident holder which does not maintain a permanent establishment or other taxable presence in Germany is subject</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231F20"/>
        </w:rPr>
        <w:t>to (final) German withholding tax at an aggregate rate of 26.375%. German withholding tax is withheld and remitted to the German tax authorities by (i) the disbursing agent (</w:t>
      </w:r>
      <w:r>
        <w:rPr>
          <w:rFonts w:ascii="Arial" w:cs="Arial" w:eastAsia="Arial" w:hAnsi="Arial"/>
          <w:sz w:val="12"/>
          <w:szCs w:val="12"/>
          <w:i w:val="1"/>
          <w:iCs w:val="1"/>
          <w:color w:val="231F20"/>
        </w:rPr>
        <w:t>i.e.</w:t>
      </w:r>
      <w:r>
        <w:rPr>
          <w:rFonts w:ascii="Arial" w:cs="Arial" w:eastAsia="Arial" w:hAnsi="Arial"/>
          <w:sz w:val="12"/>
          <w:szCs w:val="12"/>
          <w:color w:val="231F20"/>
        </w:rPr>
        <w:t>, the German credit institution,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231F20"/>
        </w:rPr>
        <w:t>financial services institution, securities trading enterprise or securities trading bank (each as defined in the German Banking Act (</w:t>
      </w:r>
      <w:r>
        <w:rPr>
          <w:rFonts w:ascii="Arial" w:cs="Arial" w:eastAsia="Arial" w:hAnsi="Arial"/>
          <w:sz w:val="12"/>
          <w:szCs w:val="12"/>
          <w:i w:val="1"/>
          <w:iCs w:val="1"/>
          <w:color w:val="231F20"/>
        </w:rPr>
        <w:t>Kreditwesengesetz</w:t>
      </w:r>
      <w:r>
        <w:rPr>
          <w:rFonts w:ascii="Arial" w:cs="Arial" w:eastAsia="Arial" w:hAnsi="Arial"/>
          <w:sz w:val="12"/>
          <w:szCs w:val="12"/>
          <w:color w:val="231F20"/>
        </w:rPr>
        <w:t>) and in each case including a German branch of a foreign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231F20"/>
        </w:rPr>
        <w:t>enterprise, but excluding a foreign branch of a German enterprise)) that holds or administers the underlying shares in custody and (a) disburses or credits the dividend income from the underlying shares, (b)</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231F20"/>
        </w:rPr>
        <w:t>disburses or credits the dividend income from the underlying shares on delivery of the dividend coupons or (c) disburses such dividend income to a foreign agent; or (ii) the central securities depository</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231F20"/>
        </w:rPr>
        <w:t>(</w:t>
      </w:r>
      <w:r>
        <w:rPr>
          <w:rFonts w:ascii="Arial" w:cs="Arial" w:eastAsia="Arial" w:hAnsi="Arial"/>
          <w:sz w:val="12"/>
          <w:szCs w:val="12"/>
          <w:i w:val="1"/>
          <w:iCs w:val="1"/>
          <w:color w:val="231F20"/>
        </w:rPr>
        <w:t>Wertpapiersammelbank</w:t>
      </w:r>
      <w:r>
        <w:rPr>
          <w:rFonts w:ascii="Arial" w:cs="Arial" w:eastAsia="Arial" w:hAnsi="Arial"/>
          <w:sz w:val="12"/>
          <w:szCs w:val="12"/>
          <w:color w:val="231F20"/>
        </w:rPr>
        <w:t>) in terms of the German Depositary Act (</w:t>
      </w:r>
      <w:r>
        <w:rPr>
          <w:rFonts w:ascii="Arial" w:cs="Arial" w:eastAsia="Arial" w:hAnsi="Arial"/>
          <w:sz w:val="12"/>
          <w:szCs w:val="12"/>
          <w:i w:val="1"/>
          <w:iCs w:val="1"/>
          <w:color w:val="231F20"/>
        </w:rPr>
        <w:t>Depotgesetz</w:t>
      </w:r>
      <w:r>
        <w:rPr>
          <w:rFonts w:ascii="Arial" w:cs="Arial" w:eastAsia="Arial" w:hAnsi="Arial"/>
          <w:sz w:val="12"/>
          <w:szCs w:val="12"/>
          <w:color w:val="231F20"/>
        </w:rPr>
        <w:t>) holding the underlying shares in a collective deposit, if such central securities depository disburses the dividend income from the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231F20"/>
        </w:rPr>
        <w:t>underlying shares to a foreign agent, regardless of whether a holder must report the dividend for tax purposes and regardless of whether or not a holder is a resident of Germany. Dividend payments, to the extent</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231F20"/>
        </w:rPr>
        <w:t>funded from BioNTech’s tax-recognized contribution account (</w:t>
      </w:r>
      <w:r>
        <w:rPr>
          <w:rFonts w:ascii="Arial" w:cs="Arial" w:eastAsia="Arial" w:hAnsi="Arial"/>
          <w:sz w:val="12"/>
          <w:szCs w:val="12"/>
          <w:i w:val="1"/>
          <w:iCs w:val="1"/>
          <w:color w:val="231F20"/>
        </w:rPr>
        <w:t>steuerliches Einlagekonto</w:t>
      </w:r>
      <w:r>
        <w:rPr>
          <w:rFonts w:ascii="Arial" w:cs="Arial" w:eastAsia="Arial" w:hAnsi="Arial"/>
          <w:sz w:val="12"/>
          <w:szCs w:val="12"/>
          <w:color w:val="231F20"/>
        </w:rPr>
        <w:t>), do not, subject to certain prerequisites, form part of the taxable dividend income but lower the holder’s acquisition costs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231F20"/>
        </w:rPr>
        <w:t>for the ADSs.</w:t>
      </w:r>
    </w:p>
    <w:p>
      <w:pPr>
        <w:spacing w:after="0" w:line="162" w:lineRule="exact"/>
        <w:rPr>
          <w:sz w:val="20"/>
          <w:szCs w:val="20"/>
          <w:color w:val="auto"/>
        </w:rPr>
      </w:pPr>
    </w:p>
    <w:p>
      <w:pPr>
        <w:ind w:right="100" w:firstLine="556"/>
        <w:spacing w:after="0" w:line="261" w:lineRule="auto"/>
        <w:rPr>
          <w:sz w:val="20"/>
          <w:szCs w:val="20"/>
          <w:color w:val="auto"/>
        </w:rPr>
      </w:pPr>
      <w:r>
        <w:rPr>
          <w:rFonts w:ascii="Arial" w:cs="Arial" w:eastAsia="Arial" w:hAnsi="Arial"/>
          <w:sz w:val="13"/>
          <w:szCs w:val="13"/>
          <w:color w:val="231F20"/>
        </w:rPr>
        <w:t>Pursuant to the Treaty, the German withholding tax may generally not exceed (i) 15% of the gross amount of the dividends received by a U.S. treaty beneficiary other than a company holding ADSs which represent 10% or more of the voting shares in BioNTech, and (ii) 5% of the gross amount of the dividends received by a U.S. treaty beneficiary that is a company holding ADSs which represent 10% or more of the voting shares in BioNTech. The excess of the total withholding tax, including the solidarity surcharge,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The U.S. treaty beneficiary is entitled to a partial refund from the German tax authorities in the amount of 11.375% of the gross dividend (of 100). As a result, the U.S. treaty beneficiary ultimately receives a total of 85 (85% of the declared dividend) following the refund of the excess withholding. However, investors should note that it is unclear how the German tax authorities will apply the refund process to dividends on the ADSs with respect to non-German resident holders of the ADSs. Further, such refund is subject to the German anti-avoidance treaty shopping rule (as described below in “—Withholding Tax Refund for U.S. Treaty Beneficiaries”).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German Withholding Taxation of Capital Gains of the U.S. Treaty Beneficiaries of the ADSs</w:t>
      </w:r>
    </w:p>
    <w:p>
      <w:pPr>
        <w:spacing w:after="0" w:line="90"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The capital gains from the disposition of the ADSs realized by a non-German resident holder which does not maintain a permanent establishment or other taxable presence in Germany would be treated as German source income and be subject to German tax if the ADSs qualify as a Qualified Participation. A Qualified Participation is given if a holder at any time during the five years preceding the disposition, directly or indirectly, owned 1% or more of BioNTech’s share capital, irrespective of whether through the ADSs or shares of BioNTech. If such holder had acquired the ADSs without consideration, the previous owner’s holding period and quota would be taken into account.</w:t>
      </w:r>
    </w:p>
    <w:p>
      <w:pPr>
        <w:spacing w:after="0" w:line="135" w:lineRule="exact"/>
        <w:rPr>
          <w:sz w:val="20"/>
          <w:szCs w:val="20"/>
          <w:color w:val="auto"/>
        </w:rPr>
      </w:pPr>
    </w:p>
    <w:p>
      <w:pPr>
        <w:jc w:val="both"/>
        <w:ind w:right="20" w:firstLine="556"/>
        <w:spacing w:after="0" w:line="272" w:lineRule="auto"/>
        <w:rPr>
          <w:sz w:val="20"/>
          <w:szCs w:val="20"/>
          <w:color w:val="auto"/>
        </w:rPr>
      </w:pPr>
      <w:r>
        <w:rPr>
          <w:rFonts w:ascii="Arial" w:cs="Arial" w:eastAsia="Arial" w:hAnsi="Arial"/>
          <w:sz w:val="13"/>
          <w:szCs w:val="13"/>
          <w:color w:val="231F20"/>
        </w:rPr>
        <w:t>Pursuant to the Treaty, capital gains from the disposition of a Qualified Participation realized by a U.S. treaty beneficiary are, however, generally exempt from German taxation. Pursuant to the Treaty, U.S. treaty beneficiaries are not subject to German tax in relation to capital gains from the disposition of a Qualified Participation even under the circumstances described in the preceding paragraph and therefore should not be subject to German taxation on capital gains from the disposition of the ADSs.</w:t>
      </w:r>
    </w:p>
    <w:p>
      <w:pPr>
        <w:spacing w:after="0" w:line="132" w:lineRule="exact"/>
        <w:rPr>
          <w:sz w:val="20"/>
          <w:szCs w:val="20"/>
          <w:color w:val="auto"/>
        </w:rPr>
      </w:pPr>
    </w:p>
    <w:p>
      <w:pPr>
        <w:ind w:right="20" w:firstLine="556"/>
        <w:spacing w:after="0" w:line="291" w:lineRule="auto"/>
        <w:rPr>
          <w:sz w:val="20"/>
          <w:szCs w:val="20"/>
          <w:color w:val="auto"/>
        </w:rPr>
      </w:pPr>
      <w:r>
        <w:rPr>
          <w:rFonts w:ascii="Arial" w:cs="Arial" w:eastAsia="Arial" w:hAnsi="Arial"/>
          <w:sz w:val="12"/>
          <w:szCs w:val="12"/>
          <w:color w:val="231F20"/>
        </w:rPr>
        <w:t>German statutory law requires the disbursing agent to levy withholding tax on capital gains from the sale of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ADSs in custody or administers the ADSs for the investor or conducts sales or other dispositions and disburses or credits the income from the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236" w:name="page237"/>
    <w:bookmarkEnd w:id="236"/>
    <w:p>
      <w:pPr>
        <w:ind w:firstLine="556"/>
        <w:spacing w:after="0" w:line="261" w:lineRule="auto"/>
        <w:rPr>
          <w:sz w:val="20"/>
          <w:szCs w:val="20"/>
          <w:color w:val="auto"/>
        </w:rPr>
      </w:pPr>
      <w:r>
        <w:rPr>
          <w:rFonts w:ascii="Arial" w:cs="Arial" w:eastAsia="Arial" w:hAnsi="Arial"/>
          <w:sz w:val="13"/>
          <w:szCs w:val="13"/>
          <w:color w:val="231F20"/>
        </w:rPr>
        <w:t>However, a circular issued by the German Federal Ministry of Finance, dated January 18, 2016, reference number IV C 1-S2252/08/10004 :017, as most recently amended by circular dated September 16, 2019, reference number IV C 1-S2252/08/10004 :027,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1% or more of the share capital of a German company. While circulars issued by the German Federal Ministry of Finance are only binding on the German tax authorities but not on the German courts, in practice, the disbursing agents nevertheless typically rely on guidance contained in such circulars. Therefore, a disbursing agent would only withhold tax at 26.375% on capital gains derived by a U.S. treaty beneficiary from the sale of ADSs held in a custodial account in Germany in the event that the disbursing agent did not follow the abovementioned guidance. In this case, the U.S. treaty beneficiary may be entitled to claim a refund of the withholding tax from the German tax authorities under the Treaty, as described below in “—Withholding Tax Refund for U.S. Treaty Beneficiaries.” A refund of taxes withheld on capital gains from the disposition of the ADSs which do not qualify as Qualified Participations may also be claimed based on German statutory domestic law.</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Withholding Tax Refund for U.S. Treaty Beneficiaries</w:t>
      </w:r>
    </w:p>
    <w:p>
      <w:pPr>
        <w:spacing w:after="0" w:line="90" w:lineRule="exact"/>
        <w:rPr>
          <w:sz w:val="20"/>
          <w:szCs w:val="20"/>
          <w:color w:val="auto"/>
        </w:rPr>
      </w:pPr>
    </w:p>
    <w:p>
      <w:pPr>
        <w:ind w:right="120" w:firstLine="556"/>
        <w:spacing w:after="0" w:line="267" w:lineRule="auto"/>
        <w:rPr>
          <w:sz w:val="20"/>
          <w:szCs w:val="20"/>
          <w:color w:val="auto"/>
        </w:rPr>
      </w:pPr>
      <w:r>
        <w:rPr>
          <w:rFonts w:ascii="Arial" w:cs="Arial" w:eastAsia="Arial" w:hAnsi="Arial"/>
          <w:sz w:val="13"/>
          <w:szCs w:val="13"/>
          <w:color w:val="231F20"/>
        </w:rPr>
        <w:t>U.S. treaty beneficiaries are generally eligible for treaty benefits under the Treaty, as described above in “—Taxation of Holders Not Tax Resident in Germany.” Accordingly, U.S. treaty beneficiaries are in general entitled to claim a refund of (i) the portion of the otherwise applicable 26.375% German withholding tax (</w:t>
      </w:r>
      <w:r>
        <w:rPr>
          <w:rFonts w:ascii="Arial" w:cs="Arial" w:eastAsia="Arial" w:hAnsi="Arial"/>
          <w:sz w:val="13"/>
          <w:szCs w:val="13"/>
          <w:i w:val="1"/>
          <w:iCs w:val="1"/>
          <w:color w:val="231F20"/>
        </w:rPr>
        <w:t>Kapitalertragsteuer</w:t>
      </w:r>
      <w:r>
        <w:rPr>
          <w:rFonts w:ascii="Arial" w:cs="Arial" w:eastAsia="Arial" w:hAnsi="Arial"/>
          <w:sz w:val="13"/>
          <w:szCs w:val="13"/>
          <w:color w:val="231F20"/>
        </w:rPr>
        <w:t>) on dividends that exceeds the applicable Treaty rate and (ii) the full amount of German withholding tax (</w:t>
      </w:r>
      <w:r>
        <w:rPr>
          <w:rFonts w:ascii="Arial" w:cs="Arial" w:eastAsia="Arial" w:hAnsi="Arial"/>
          <w:sz w:val="13"/>
          <w:szCs w:val="13"/>
          <w:i w:val="1"/>
          <w:iCs w:val="1"/>
          <w:color w:val="231F20"/>
        </w:rPr>
        <w:t>Kapitalertragsteuer</w:t>
      </w:r>
      <w:r>
        <w:rPr>
          <w:rFonts w:ascii="Arial" w:cs="Arial" w:eastAsia="Arial" w:hAnsi="Arial"/>
          <w:sz w:val="13"/>
          <w:szCs w:val="13"/>
          <w:color w:val="231F20"/>
        </w:rPr>
        <w:t>) on capital gains from the disposition of ADSs. The application for such claim is generally to be filed with the Federal Central Office of Taxation (</w:t>
      </w:r>
      <w:r>
        <w:rPr>
          <w:rFonts w:ascii="Arial" w:cs="Arial" w:eastAsia="Arial" w:hAnsi="Arial"/>
          <w:sz w:val="13"/>
          <w:szCs w:val="13"/>
          <w:i w:val="1"/>
          <w:iCs w:val="1"/>
          <w:color w:val="231F20"/>
        </w:rPr>
        <w:t>Bundeszentralamt für Steuern</w:t>
      </w:r>
      <w:r>
        <w:rPr>
          <w:rFonts w:ascii="Arial" w:cs="Arial" w:eastAsia="Arial" w:hAnsi="Arial"/>
          <w:sz w:val="13"/>
          <w:szCs w:val="13"/>
          <w:color w:val="231F20"/>
        </w:rPr>
        <w:t>).</w:t>
      </w:r>
    </w:p>
    <w:p>
      <w:pPr>
        <w:spacing w:after="0" w:line="135" w:lineRule="exact"/>
        <w:rPr>
          <w:sz w:val="20"/>
          <w:szCs w:val="20"/>
          <w:color w:val="auto"/>
        </w:rPr>
      </w:pPr>
    </w:p>
    <w:p>
      <w:pPr>
        <w:ind w:right="60" w:firstLine="556"/>
        <w:spacing w:after="0" w:line="285" w:lineRule="auto"/>
        <w:rPr>
          <w:sz w:val="20"/>
          <w:szCs w:val="20"/>
          <w:color w:val="auto"/>
        </w:rPr>
      </w:pPr>
      <w:r>
        <w:rPr>
          <w:rFonts w:ascii="Arial" w:cs="Arial" w:eastAsia="Arial" w:hAnsi="Arial"/>
          <w:sz w:val="12"/>
          <w:szCs w:val="12"/>
          <w:color w:val="231F20"/>
        </w:rPr>
        <w:t>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2"/>
          <w:szCs w:val="12"/>
          <w:i w:val="1"/>
          <w:iCs w:val="1"/>
          <w:color w:val="231F20"/>
        </w:rPr>
        <w:t>Zufluss</w:t>
      </w:r>
      <w:r>
        <w:rPr>
          <w:rFonts w:ascii="Arial" w:cs="Arial" w:eastAsia="Arial" w:hAnsi="Arial"/>
          <w:sz w:val="12"/>
          <w:szCs w:val="12"/>
          <w:color w:val="231F20"/>
        </w:rPr>
        <w:t>) of the dividends.</w:t>
      </w:r>
    </w:p>
    <w:p>
      <w:pPr>
        <w:spacing w:after="0" w:line="129" w:lineRule="exact"/>
        <w:rPr>
          <w:sz w:val="20"/>
          <w:szCs w:val="20"/>
          <w:color w:val="auto"/>
        </w:rPr>
      </w:pPr>
    </w:p>
    <w:p>
      <w:pPr>
        <w:ind w:right="40" w:firstLine="556"/>
        <w:spacing w:after="0" w:line="285" w:lineRule="auto"/>
        <w:rPr>
          <w:sz w:val="20"/>
          <w:szCs w:val="20"/>
          <w:color w:val="auto"/>
        </w:rPr>
      </w:pPr>
      <w:r>
        <w:rPr>
          <w:rFonts w:ascii="Arial" w:cs="Arial" w:eastAsia="Arial" w:hAnsi="Arial"/>
          <w:sz w:val="12"/>
          <w:szCs w:val="12"/>
          <w:color w:val="231F20"/>
        </w:rPr>
        <w:t>In general, as previously discussed, investors should note that it is unclear how the German tax administration will apply the refund process to dividends on the ADSs. Further, such refund is subject to the German anti-avoidance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2"/>
          <w:szCs w:val="12"/>
          <w:i w:val="1"/>
          <w:iCs w:val="1"/>
          <w:color w:val="231F20"/>
        </w:rPr>
        <w:t>Investmentsteuergesetz</w:t>
      </w:r>
      <w:r>
        <w:rPr>
          <w:rFonts w:ascii="Arial" w:cs="Arial" w:eastAsia="Arial" w:hAnsi="Arial"/>
          <w:sz w:val="12"/>
          <w:szCs w:val="12"/>
          <w:color w:val="231F20"/>
        </w:rPr>
        <w:t>). Whether or not and to which extent the anti-avoidance treaty shopping rule applies to the ADSs has to be analyzed on a case by case basis taking into account all relevant tests. In addition, the interpretation of these tests is disputed and to date no published decisions of the German Federal Finance Court exist in this regard.</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Due to the legal structure of the ADSs, only limited guidance of the German tax authorities exists on the practical application of this procedure with respect to the ADSs.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37" w:name="page238"/>
    <w:bookmarkEnd w:id="237"/>
    <w:p>
      <w:pPr>
        <w:ind w:left="560"/>
        <w:spacing w:after="0"/>
        <w:rPr>
          <w:sz w:val="20"/>
          <w:szCs w:val="20"/>
          <w:color w:val="auto"/>
        </w:rPr>
      </w:pPr>
      <w:r>
        <w:rPr>
          <w:rFonts w:ascii="Arial" w:cs="Arial" w:eastAsia="Arial" w:hAnsi="Arial"/>
          <w:sz w:val="13"/>
          <w:szCs w:val="13"/>
          <w:b w:val="1"/>
          <w:bCs w:val="1"/>
          <w:i w:val="1"/>
          <w:iCs w:val="1"/>
          <w:color w:val="231F20"/>
        </w:rPr>
        <w:t>Taxation of Holders Tax Resident in Germany</w:t>
      </w:r>
    </w:p>
    <w:p>
      <w:pPr>
        <w:spacing w:after="0" w:line="90" w:lineRule="exact"/>
        <w:rPr>
          <w:sz w:val="20"/>
          <w:szCs w:val="20"/>
          <w:color w:val="auto"/>
        </w:rPr>
      </w:pPr>
    </w:p>
    <w:p>
      <w:pPr>
        <w:jc w:val="both"/>
        <w:ind w:right="20" w:firstLine="556"/>
        <w:spacing w:after="0" w:line="272" w:lineRule="auto"/>
        <w:rPr>
          <w:sz w:val="20"/>
          <w:szCs w:val="20"/>
          <w:color w:val="auto"/>
        </w:rPr>
      </w:pPr>
      <w:r>
        <w:rPr>
          <w:rFonts w:ascii="Arial" w:cs="Arial" w:eastAsia="Arial" w:hAnsi="Arial"/>
          <w:sz w:val="13"/>
          <w:szCs w:val="13"/>
          <w:color w:val="231F20"/>
        </w:rPr>
        <w:t>This subsection provides an overview of dividend taxation and of capital gains taxation with regard to the general principles applicable to ADS’s holders that are tax resident in Germany. A holder is a German tax resident if, in case of an individual, he or she maintains a domicile (</w:t>
      </w:r>
      <w:r>
        <w:rPr>
          <w:rFonts w:ascii="Arial" w:cs="Arial" w:eastAsia="Arial" w:hAnsi="Arial"/>
          <w:sz w:val="13"/>
          <w:szCs w:val="13"/>
          <w:i w:val="1"/>
          <w:iCs w:val="1"/>
          <w:color w:val="231F20"/>
        </w:rPr>
        <w:t>Wohnsitz</w:t>
      </w:r>
      <w:r>
        <w:rPr>
          <w:rFonts w:ascii="Arial" w:cs="Arial" w:eastAsia="Arial" w:hAnsi="Arial"/>
          <w:sz w:val="13"/>
          <w:szCs w:val="13"/>
          <w:color w:val="231F20"/>
        </w:rPr>
        <w:t>) or a usual residence (</w:t>
      </w:r>
      <w:r>
        <w:rPr>
          <w:rFonts w:ascii="Arial" w:cs="Arial" w:eastAsia="Arial" w:hAnsi="Arial"/>
          <w:sz w:val="13"/>
          <w:szCs w:val="13"/>
          <w:i w:val="1"/>
          <w:iCs w:val="1"/>
          <w:color w:val="231F20"/>
        </w:rPr>
        <w:t>gewöhnlicher Aufenthalt</w:t>
      </w:r>
      <w:r>
        <w:rPr>
          <w:rFonts w:ascii="Arial" w:cs="Arial" w:eastAsia="Arial" w:hAnsi="Arial"/>
          <w:sz w:val="13"/>
          <w:szCs w:val="13"/>
          <w:color w:val="231F20"/>
        </w:rPr>
        <w:t>) in Germany or if, in case of a corporation, it has its place of management (</w:t>
      </w:r>
      <w:r>
        <w:rPr>
          <w:rFonts w:ascii="Arial" w:cs="Arial" w:eastAsia="Arial" w:hAnsi="Arial"/>
          <w:sz w:val="13"/>
          <w:szCs w:val="13"/>
          <w:i w:val="1"/>
          <w:iCs w:val="1"/>
          <w:color w:val="231F20"/>
        </w:rPr>
        <w:t>Geschäftsleitung</w:t>
      </w:r>
      <w:r>
        <w:rPr>
          <w:rFonts w:ascii="Arial" w:cs="Arial" w:eastAsia="Arial" w:hAnsi="Arial"/>
          <w:sz w:val="13"/>
          <w:szCs w:val="13"/>
          <w:color w:val="231F20"/>
        </w:rPr>
        <w:t>) or registered office (Sitz) in Germany.</w:t>
      </w:r>
    </w:p>
    <w:p>
      <w:pPr>
        <w:spacing w:after="0" w:line="13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231F20"/>
        </w:rPr>
        <w:t>The German dividend and capital gains taxation rules applicable to German tax residents require a distinction between ADSs held as private assets (</w:t>
      </w:r>
      <w:r>
        <w:rPr>
          <w:rFonts w:ascii="Arial" w:cs="Arial" w:eastAsia="Arial" w:hAnsi="Arial"/>
          <w:sz w:val="13"/>
          <w:szCs w:val="13"/>
          <w:i w:val="1"/>
          <w:iCs w:val="1"/>
          <w:color w:val="231F20"/>
        </w:rPr>
        <w:t>Privatvermögen</w:t>
      </w:r>
      <w:r>
        <w:rPr>
          <w:rFonts w:ascii="Arial" w:cs="Arial" w:eastAsia="Arial" w:hAnsi="Arial"/>
          <w:sz w:val="13"/>
          <w:szCs w:val="13"/>
          <w:color w:val="231F20"/>
        </w:rPr>
        <w:t>) and ADSs held as business assets (</w:t>
      </w:r>
      <w:r>
        <w:rPr>
          <w:rFonts w:ascii="Arial" w:cs="Arial" w:eastAsia="Arial" w:hAnsi="Arial"/>
          <w:sz w:val="13"/>
          <w:szCs w:val="13"/>
          <w:i w:val="1"/>
          <w:iCs w:val="1"/>
          <w:color w:val="231F20"/>
        </w:rPr>
        <w:t>Betriebsvermögen</w:t>
      </w:r>
      <w:r>
        <w:rPr>
          <w:rFonts w:ascii="Arial" w:cs="Arial" w:eastAsia="Arial" w:hAnsi="Arial"/>
          <w:sz w:val="13"/>
          <w:szCs w:val="13"/>
          <w:color w:val="231F20"/>
        </w:rPr>
        <w: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ADSs as Private Assets (Privatvermögen)</w:t>
      </w:r>
    </w:p>
    <w:p>
      <w:pPr>
        <w:spacing w:after="0" w:line="90" w:lineRule="exact"/>
        <w:rPr>
          <w:sz w:val="20"/>
          <w:szCs w:val="20"/>
          <w:color w:val="auto"/>
        </w:rPr>
      </w:pPr>
    </w:p>
    <w:p>
      <w:pPr>
        <w:ind w:right="40" w:firstLine="556"/>
        <w:spacing w:after="0" w:line="264" w:lineRule="auto"/>
        <w:rPr>
          <w:sz w:val="20"/>
          <w:szCs w:val="20"/>
          <w:color w:val="auto"/>
        </w:rPr>
      </w:pPr>
      <w:r>
        <w:rPr>
          <w:rFonts w:ascii="Arial" w:cs="Arial" w:eastAsia="Arial" w:hAnsi="Arial"/>
          <w:sz w:val="13"/>
          <w:szCs w:val="13"/>
          <w:color w:val="231F20"/>
        </w:rPr>
        <w:t>If the ADSs are held as private assets by a German tax resident, dividends and capital gains (other than capital gains from the disposition of a Qualified Participation) are taxed as investment income and are principally subject to 25% German flat income tax on capital income (</w:t>
      </w:r>
      <w:r>
        <w:rPr>
          <w:rFonts w:ascii="Arial" w:cs="Arial" w:eastAsia="Arial" w:hAnsi="Arial"/>
          <w:sz w:val="13"/>
          <w:szCs w:val="13"/>
          <w:i w:val="1"/>
          <w:iCs w:val="1"/>
          <w:color w:val="231F20"/>
        </w:rPr>
        <w:t>Abgeltungsteuer</w:t>
      </w:r>
      <w:r>
        <w:rPr>
          <w:rFonts w:ascii="Arial" w:cs="Arial" w:eastAsia="Arial" w:hAnsi="Arial"/>
          <w:sz w:val="13"/>
          <w:szCs w:val="13"/>
          <w:color w:val="231F20"/>
        </w:rPr>
        <w:t>) (plus a 5.5% solidarity surcharge (</w:t>
      </w:r>
      <w:r>
        <w:rPr>
          <w:rFonts w:ascii="Arial" w:cs="Arial" w:eastAsia="Arial" w:hAnsi="Arial"/>
          <w:sz w:val="13"/>
          <w:szCs w:val="13"/>
          <w:i w:val="1"/>
          <w:iCs w:val="1"/>
          <w:color w:val="231F20"/>
        </w:rPr>
        <w:t>Solidaritätszuschlag</w:t>
      </w:r>
      <w:r>
        <w:rPr>
          <w:rFonts w:ascii="Arial" w:cs="Arial" w:eastAsia="Arial" w:hAnsi="Arial"/>
          <w:sz w:val="13"/>
          <w:szCs w:val="13"/>
          <w:color w:val="231F20"/>
        </w:rPr>
        <w:t>) thereon, resulting in an aggregate rate of 26.375%), which is levied in the form of withholding tax (</w:t>
      </w:r>
      <w:r>
        <w:rPr>
          <w:rFonts w:ascii="Arial" w:cs="Arial" w:eastAsia="Arial" w:hAnsi="Arial"/>
          <w:sz w:val="13"/>
          <w:szCs w:val="13"/>
          <w:i w:val="1"/>
          <w:iCs w:val="1"/>
          <w:color w:val="231F20"/>
        </w:rPr>
        <w:t>Kapitalertragsteuer</w:t>
      </w:r>
      <w:r>
        <w:rPr>
          <w:rFonts w:ascii="Arial" w:cs="Arial" w:eastAsia="Arial" w:hAnsi="Arial"/>
          <w:sz w:val="13"/>
          <w:szCs w:val="13"/>
          <w:color w:val="231F20"/>
        </w:rPr>
        <w:t>). In other words, once deducted, the holder’s income tax liability on the dividends will be settled. Dividend payments to the extent funded from BioNTech’s tax-recognized contribution account (</w:t>
      </w:r>
      <w:r>
        <w:rPr>
          <w:rFonts w:ascii="Arial" w:cs="Arial" w:eastAsia="Arial" w:hAnsi="Arial"/>
          <w:sz w:val="13"/>
          <w:szCs w:val="13"/>
          <w:i w:val="1"/>
          <w:iCs w:val="1"/>
          <w:color w:val="231F20"/>
        </w:rPr>
        <w:t>steuerliches Einlagekonto</w:t>
      </w:r>
      <w:r>
        <w:rPr>
          <w:rFonts w:ascii="Arial" w:cs="Arial" w:eastAsia="Arial" w:hAnsi="Arial"/>
          <w:sz w:val="13"/>
          <w:szCs w:val="13"/>
          <w:color w:val="231F20"/>
        </w:rPr>
        <w:t>), do not, subject to certain prerequisites, form part of the taxable dividend income but lower the holder’s acquisition costs for the ADSs.</w:t>
      </w:r>
    </w:p>
    <w:p>
      <w:pPr>
        <w:spacing w:after="0" w:line="138"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Holders of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ADSs), less the saver’s allowance of €801 for an individual or €1,602 for a married couple and a registered civil union (</w:t>
      </w:r>
      <w:r>
        <w:rPr>
          <w:rFonts w:ascii="Arial" w:cs="Arial" w:eastAsia="Arial" w:hAnsi="Arial"/>
          <w:sz w:val="13"/>
          <w:szCs w:val="13"/>
          <w:i w:val="1"/>
          <w:iCs w:val="1"/>
          <w:color w:val="231F20"/>
        </w:rPr>
        <w:t>eingetragene Lebenspartnerschaft</w:t>
      </w:r>
      <w:r>
        <w:rPr>
          <w:rFonts w:ascii="Arial" w:cs="Arial" w:eastAsia="Arial" w:hAnsi="Arial"/>
          <w:sz w:val="13"/>
          <w:szCs w:val="13"/>
          <w:color w:val="231F20"/>
        </w:rPr>
        <w:t>) filing taxes jointly. The deduction of expenses related to the investment income (including dividends or gains with respect to ADSs) is generally not possible for private investors.</w:t>
      </w:r>
    </w:p>
    <w:p>
      <w:pPr>
        <w:spacing w:after="0" w:line="135"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231F20"/>
        </w:rPr>
        <w:t>Losses resulting from the disposal of ADSs can only be offset against capital gains from the sale of any shares (</w:t>
      </w:r>
      <w:r>
        <w:rPr>
          <w:rFonts w:ascii="Arial" w:cs="Arial" w:eastAsia="Arial" w:hAnsi="Arial"/>
          <w:sz w:val="13"/>
          <w:szCs w:val="13"/>
          <w:i w:val="1"/>
          <w:iCs w:val="1"/>
          <w:color w:val="231F20"/>
        </w:rPr>
        <w:t>Aktien</w:t>
      </w:r>
      <w:r>
        <w:rPr>
          <w:rFonts w:ascii="Arial" w:cs="Arial" w:eastAsia="Arial" w:hAnsi="Arial"/>
          <w:sz w:val="13"/>
          <w:szCs w:val="13"/>
          <w:color w:val="231F20"/>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13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231F20"/>
        </w:rPr>
        <w:t>Church tax generally has to be withheld, if applicable, based on an automatic data access procedure, unless the holder of ADSs has filed a blocking notice (</w:t>
      </w:r>
      <w:r>
        <w:rPr>
          <w:rFonts w:ascii="Arial" w:cs="Arial" w:eastAsia="Arial" w:hAnsi="Arial"/>
          <w:sz w:val="13"/>
          <w:szCs w:val="13"/>
          <w:i w:val="1"/>
          <w:iCs w:val="1"/>
          <w:color w:val="231F20"/>
        </w:rPr>
        <w:t>Sperrvermerk</w:t>
      </w:r>
      <w:r>
        <w:rPr>
          <w:rFonts w:ascii="Arial" w:cs="Arial" w:eastAsia="Arial" w:hAnsi="Arial"/>
          <w:sz w:val="13"/>
          <w:szCs w:val="13"/>
          <w:color w:val="231F20"/>
        </w:rPr>
        <w:t>) with the Federal Central Tax Office. Where church tax is not levied by way of withholding, it is determined by means of income tax assessment.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ADSs as Business Assets (Betriebsvermögen)</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In case the ADSs are held as business assets, the taxation depends on the legal form of the holder (</w:t>
      </w:r>
      <w:r>
        <w:rPr>
          <w:rFonts w:ascii="Arial" w:cs="Arial" w:eastAsia="Arial" w:hAnsi="Arial"/>
          <w:sz w:val="13"/>
          <w:szCs w:val="13"/>
          <w:i w:val="1"/>
          <w:iCs w:val="1"/>
          <w:color w:val="231F20"/>
        </w:rPr>
        <w:t>i.e.</w:t>
      </w:r>
      <w:r>
        <w:rPr>
          <w:rFonts w:ascii="Arial" w:cs="Arial" w:eastAsia="Arial" w:hAnsi="Arial"/>
          <w:sz w:val="13"/>
          <w:szCs w:val="13"/>
          <w:color w:val="231F20"/>
        </w:rPr>
        <w:t>, whether the holder is a corporation or an individual).</w:t>
      </w:r>
    </w:p>
    <w:p>
      <w:pPr>
        <w:spacing w:after="0" w:line="170" w:lineRule="exact"/>
        <w:rPr>
          <w:sz w:val="20"/>
          <w:szCs w:val="20"/>
          <w:color w:val="auto"/>
        </w:rPr>
      </w:pPr>
    </w:p>
    <w:p>
      <w:pPr>
        <w:ind w:right="20" w:firstLine="556"/>
        <w:spacing w:after="0" w:line="284" w:lineRule="auto"/>
        <w:rPr>
          <w:sz w:val="20"/>
          <w:szCs w:val="20"/>
          <w:color w:val="auto"/>
        </w:rPr>
      </w:pPr>
      <w:r>
        <w:rPr>
          <w:rFonts w:ascii="Arial" w:cs="Arial" w:eastAsia="Arial" w:hAnsi="Arial"/>
          <w:sz w:val="12"/>
          <w:szCs w:val="12"/>
          <w:color w:val="231F20"/>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occurring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2"/>
          <w:szCs w:val="12"/>
          <w:i w:val="1"/>
          <w:iCs w:val="1"/>
          <w:color w:val="231F20"/>
        </w:rPr>
        <w:t>Zufluss</w:t>
      </w:r>
      <w:r>
        <w:rPr>
          <w:rFonts w:ascii="Arial" w:cs="Arial" w:eastAsia="Arial" w:hAnsi="Arial"/>
          <w:sz w:val="12"/>
          <w:szCs w:val="12"/>
          <w:color w:val="231F20"/>
        </w:rPr>
        <w:t>) of the dividends.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238" w:name="page239"/>
    <w:bookmarkEnd w:id="238"/>
    <w:p>
      <w:pPr>
        <w:ind w:left="560"/>
        <w:spacing w:after="0"/>
        <w:rPr>
          <w:sz w:val="20"/>
          <w:szCs w:val="20"/>
          <w:color w:val="auto"/>
        </w:rPr>
      </w:pPr>
      <w:r>
        <w:rPr>
          <w:rFonts w:ascii="Arial" w:cs="Arial" w:eastAsia="Arial" w:hAnsi="Arial"/>
          <w:sz w:val="12"/>
          <w:szCs w:val="12"/>
          <w:color w:val="231F20"/>
        </w:rPr>
        <w:t>To the extent the amount withheld exceeds the income tax liability, the withholding tax will be refunded, provided that certain requirements are met (including the aforementioned requirements).</w:t>
      </w:r>
    </w:p>
    <w:p>
      <w:pPr>
        <w:spacing w:after="0" w:line="18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231F20"/>
        </w:rPr>
        <w:t>Special rules apply to credit institutions (</w:t>
      </w:r>
      <w:r>
        <w:rPr>
          <w:rFonts w:ascii="Arial" w:cs="Arial" w:eastAsia="Arial" w:hAnsi="Arial"/>
          <w:sz w:val="13"/>
          <w:szCs w:val="13"/>
          <w:i w:val="1"/>
          <w:iCs w:val="1"/>
          <w:color w:val="231F20"/>
        </w:rPr>
        <w:t>Kreditinstitute</w:t>
      </w:r>
      <w:r>
        <w:rPr>
          <w:rFonts w:ascii="Arial" w:cs="Arial" w:eastAsia="Arial" w:hAnsi="Arial"/>
          <w:sz w:val="13"/>
          <w:szCs w:val="13"/>
          <w:color w:val="231F20"/>
        </w:rPr>
        <w:t>), financial services institutions (</w:t>
      </w:r>
      <w:r>
        <w:rPr>
          <w:rFonts w:ascii="Arial" w:cs="Arial" w:eastAsia="Arial" w:hAnsi="Arial"/>
          <w:sz w:val="13"/>
          <w:szCs w:val="13"/>
          <w:i w:val="1"/>
          <w:iCs w:val="1"/>
          <w:color w:val="231F20"/>
        </w:rPr>
        <w:t>Finanzdienstleistungsinstitute</w:t>
      </w:r>
      <w:r>
        <w:rPr>
          <w:rFonts w:ascii="Arial" w:cs="Arial" w:eastAsia="Arial" w:hAnsi="Arial"/>
          <w:sz w:val="13"/>
          <w:szCs w:val="13"/>
          <w:color w:val="231F20"/>
        </w:rPr>
        <w:t>), financial enterprises (</w:t>
      </w:r>
      <w:r>
        <w:rPr>
          <w:rFonts w:ascii="Arial" w:cs="Arial" w:eastAsia="Arial" w:hAnsi="Arial"/>
          <w:sz w:val="13"/>
          <w:szCs w:val="13"/>
          <w:i w:val="1"/>
          <w:iCs w:val="1"/>
          <w:color w:val="231F20"/>
        </w:rPr>
        <w:t>Finanzunternehmen</w:t>
      </w:r>
      <w:r>
        <w:rPr>
          <w:rFonts w:ascii="Arial" w:cs="Arial" w:eastAsia="Arial" w:hAnsi="Arial"/>
          <w:sz w:val="13"/>
          <w:szCs w:val="13"/>
          <w:color w:val="231F20"/>
        </w:rPr>
        <w:t>), life insurance and health insurance companies, and pension funds.</w:t>
      </w:r>
    </w:p>
    <w:p>
      <w:pPr>
        <w:spacing w:after="0" w:line="122" w:lineRule="exact"/>
        <w:rPr>
          <w:sz w:val="20"/>
          <w:szCs w:val="20"/>
          <w:color w:val="auto"/>
        </w:rPr>
      </w:pPr>
    </w:p>
    <w:p>
      <w:pPr>
        <w:ind w:firstLine="556"/>
        <w:spacing w:after="0" w:line="288" w:lineRule="auto"/>
        <w:rPr>
          <w:sz w:val="20"/>
          <w:szCs w:val="20"/>
          <w:color w:val="auto"/>
        </w:rPr>
      </w:pPr>
      <w:r>
        <w:rPr>
          <w:rFonts w:ascii="Arial" w:cs="Arial" w:eastAsia="Arial" w:hAnsi="Arial"/>
          <w:sz w:val="12"/>
          <w:szCs w:val="12"/>
          <w:color w:val="231F20"/>
        </w:rPr>
        <w:t>With regard to holders in the legal form of a corporation, capital gains are in general effectively 95% tax exempt from corporate income tax (including solidarity surcharge). Dividends are also generally 95% tax exempt from corporate income tax (including solidarity surcharge), inter alia, if the holder held at least 10% of the registered share capital (</w:t>
      </w:r>
      <w:r>
        <w:rPr>
          <w:rFonts w:ascii="Arial" w:cs="Arial" w:eastAsia="Arial" w:hAnsi="Arial"/>
          <w:sz w:val="12"/>
          <w:szCs w:val="12"/>
          <w:i w:val="1"/>
          <w:iCs w:val="1"/>
          <w:color w:val="231F20"/>
        </w:rPr>
        <w:t>Grundkapital oder Stammkapital</w:t>
      </w:r>
      <w:r>
        <w:rPr>
          <w:rFonts w:ascii="Arial" w:cs="Arial" w:eastAsia="Arial" w:hAnsi="Arial"/>
          <w:sz w:val="12"/>
          <w:szCs w:val="12"/>
          <w:color w:val="231F20"/>
        </w:rPr>
        <w:t>) of BioNTech at the beginning of the calendar year (“Qualifying Dividends”). Five percent of the capital gains and five percent of the Qualifying Dividends are treated as non-deductible business expenses, respectively, and, as such, are subject to corporate income tax (including solidarity surcharge);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Arial" w:cs="Arial" w:eastAsia="Arial" w:hAnsi="Arial"/>
          <w:sz w:val="12"/>
          <w:szCs w:val="12"/>
          <w:i w:val="1"/>
          <w:iCs w:val="1"/>
          <w:color w:val="231F20"/>
        </w:rPr>
        <w:t>Mitunternehmerschaften</w:t>
      </w:r>
      <w:r>
        <w:rPr>
          <w:rFonts w:ascii="Arial" w:cs="Arial" w:eastAsia="Arial" w:hAnsi="Arial"/>
          <w:sz w:val="12"/>
          <w:szCs w:val="12"/>
          <w:color w:val="231F20"/>
        </w:rPr>
        <w:t>), are attributable to the respective partner only on a pro rata basis at the ratio of its entitlement to the profits of the partnership.</w:t>
      </w:r>
    </w:p>
    <w:p>
      <w:pPr>
        <w:spacing w:after="0" w:line="126"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231F20"/>
        </w:rPr>
        <w:t>Further, capital gains and dividend income of a German tax resident corporation are generally subject to German trade tax. The aforementioned 95% exemption for capital gains generally applies also for trade tax purposes.</w:t>
      </w:r>
    </w:p>
    <w:p>
      <w:pPr>
        <w:spacing w:after="0" w:line="122" w:lineRule="exact"/>
        <w:rPr>
          <w:sz w:val="20"/>
          <w:szCs w:val="20"/>
          <w:color w:val="auto"/>
        </w:rPr>
      </w:pPr>
    </w:p>
    <w:p>
      <w:pPr>
        <w:ind w:right="20" w:firstLine="556"/>
        <w:spacing w:after="0" w:line="272" w:lineRule="auto"/>
        <w:rPr>
          <w:sz w:val="20"/>
          <w:szCs w:val="20"/>
          <w:color w:val="auto"/>
        </w:rPr>
      </w:pPr>
      <w:r>
        <w:rPr>
          <w:rFonts w:ascii="Arial" w:cs="Arial" w:eastAsia="Arial" w:hAnsi="Arial"/>
          <w:sz w:val="13"/>
          <w:szCs w:val="13"/>
          <w:color w:val="231F20"/>
        </w:rPr>
        <w:t>However, the amount of any dividends after deducting business expenses related to the dividends is not subject to trade tax if the corporation held at least 15% of BioNTech’s registered share capital at the beginning of the relevant tax assessment period. In the latter case, the aforementioned exemption of 95% of the dividend income also applies for trade tax purposes. Losses from the sale of ADSs are generally not tax deductible for corporate income tax and trade tax purposes.</w:t>
      </w:r>
    </w:p>
    <w:p>
      <w:pPr>
        <w:spacing w:after="0" w:line="132" w:lineRule="exact"/>
        <w:rPr>
          <w:sz w:val="20"/>
          <w:szCs w:val="20"/>
          <w:color w:val="auto"/>
        </w:rPr>
      </w:pPr>
    </w:p>
    <w:p>
      <w:pPr>
        <w:ind w:right="60" w:firstLine="556"/>
        <w:spacing w:after="0" w:line="296" w:lineRule="auto"/>
        <w:rPr>
          <w:sz w:val="20"/>
          <w:szCs w:val="20"/>
          <w:color w:val="auto"/>
        </w:rPr>
      </w:pPr>
      <w:r>
        <w:rPr>
          <w:rFonts w:ascii="Arial" w:cs="Arial" w:eastAsia="Arial" w:hAnsi="Arial"/>
          <w:sz w:val="12"/>
          <w:szCs w:val="12"/>
          <w:color w:val="231F20"/>
        </w:rPr>
        <w:t>With regard to individuals holding ADSs as business assets, 60% of dividends and capital gains are taxed at the individual’s personal income tax rate (plus 5.5% solidarity surcharge thereon). Correspondingly, only 60% of business expenses related to the dividends and capital gains as well as losses from the sale of ADSs are principally deductible for income tax purposes.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German Inheritance and Gift Tax (Erbschaft- und Schenkungsteuer)</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The transfer of ADSs to another person by inheritance or gift should be generally subject to German inheritance and gift tax only if:</w:t>
      </w:r>
    </w:p>
    <w:p>
      <w:pPr>
        <w:spacing w:after="0" w:line="60" w:lineRule="exact"/>
        <w:rPr>
          <w:sz w:val="20"/>
          <w:szCs w:val="20"/>
          <w:color w:val="auto"/>
        </w:rPr>
      </w:pPr>
    </w:p>
    <w:p>
      <w:pPr>
        <w:ind w:left="560" w:right="260" w:hanging="450"/>
        <w:spacing w:after="0" w:line="264" w:lineRule="auto"/>
        <w:tabs>
          <w:tab w:leader="none" w:pos="560" w:val="left"/>
        </w:tabs>
        <w:numPr>
          <w:ilvl w:val="0"/>
          <w:numId w:val="292"/>
        </w:numPr>
        <w:rPr>
          <w:rFonts w:ascii="Arial" w:cs="Arial" w:eastAsia="Arial" w:hAnsi="Arial"/>
          <w:sz w:val="13"/>
          <w:szCs w:val="13"/>
          <w:color w:val="231F20"/>
        </w:rPr>
      </w:pPr>
      <w:r>
        <w:rPr>
          <w:rFonts w:ascii="Arial" w:cs="Arial" w:eastAsia="Arial" w:hAnsi="Arial"/>
          <w:sz w:val="13"/>
          <w:szCs w:val="13"/>
          <w:color w:val="231F20"/>
        </w:rPr>
        <w:t>the decedent or donor or heir, beneficiary or other transferee (a) maintained his or her domicile or a usual residence in Germany, (b) had its place of management or registered office in Germany at the time of the transfer, (c) is a German citizen who has spent no more than five consecutive years outside of Germany without maintaining a domicile in Germany or (d)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27" w:lineRule="exact"/>
        <w:rPr>
          <w:rFonts w:ascii="Arial" w:cs="Arial" w:eastAsia="Arial" w:hAnsi="Arial"/>
          <w:sz w:val="13"/>
          <w:szCs w:val="13"/>
          <w:color w:val="231F20"/>
        </w:rPr>
      </w:pPr>
    </w:p>
    <w:p>
      <w:pPr>
        <w:ind w:left="560" w:right="720" w:hanging="450"/>
        <w:spacing w:after="0" w:line="287" w:lineRule="auto"/>
        <w:tabs>
          <w:tab w:leader="none" w:pos="560" w:val="left"/>
        </w:tabs>
        <w:numPr>
          <w:ilvl w:val="0"/>
          <w:numId w:val="292"/>
        </w:numPr>
        <w:rPr>
          <w:rFonts w:ascii="Arial" w:cs="Arial" w:eastAsia="Arial" w:hAnsi="Arial"/>
          <w:sz w:val="13"/>
          <w:szCs w:val="13"/>
          <w:color w:val="231F20"/>
        </w:rPr>
      </w:pPr>
      <w:r>
        <w:rPr>
          <w:rFonts w:ascii="Arial" w:cs="Arial" w:eastAsia="Arial" w:hAnsi="Arial"/>
          <w:sz w:val="13"/>
          <w:szCs w:val="13"/>
          <w:color w:val="231F20"/>
        </w:rPr>
        <w:t>at the time of the transfer, the ADSs are held by the decedent or donor as business assets forming part of a permanent establishment in Germany or for which a permanent representative in Germany has been appointed; or</w:t>
      </w:r>
    </w:p>
    <w:p>
      <w:pPr>
        <w:spacing w:after="0" w:line="12" w:lineRule="exact"/>
        <w:rPr>
          <w:rFonts w:ascii="Arial" w:cs="Arial" w:eastAsia="Arial" w:hAnsi="Arial"/>
          <w:sz w:val="13"/>
          <w:szCs w:val="13"/>
          <w:color w:val="231F20"/>
        </w:rPr>
      </w:pPr>
    </w:p>
    <w:p>
      <w:pPr>
        <w:ind w:left="560" w:right="600" w:hanging="450"/>
        <w:spacing w:after="0" w:line="287" w:lineRule="auto"/>
        <w:tabs>
          <w:tab w:leader="none" w:pos="560" w:val="left"/>
        </w:tabs>
        <w:numPr>
          <w:ilvl w:val="0"/>
          <w:numId w:val="292"/>
        </w:numPr>
        <w:rPr>
          <w:rFonts w:ascii="Arial" w:cs="Arial" w:eastAsia="Arial" w:hAnsi="Arial"/>
          <w:sz w:val="13"/>
          <w:szCs w:val="13"/>
          <w:color w:val="231F20"/>
        </w:rPr>
      </w:pPr>
      <w:r>
        <w:rPr>
          <w:rFonts w:ascii="Arial" w:cs="Arial" w:eastAsia="Arial" w:hAnsi="Arial"/>
          <w:sz w:val="13"/>
          <w:szCs w:val="13"/>
          <w:color w:val="231F20"/>
        </w:rPr>
        <w:t>the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239" w:name="page240"/>
    <w:bookmarkEnd w:id="239"/>
    <w:p>
      <w:pPr>
        <w:ind w:right="60" w:firstLine="556"/>
        <w:spacing w:after="0" w:line="296" w:lineRule="auto"/>
        <w:rPr>
          <w:sz w:val="20"/>
          <w:szCs w:val="20"/>
          <w:color w:val="auto"/>
        </w:rPr>
      </w:pPr>
      <w:r>
        <w:rPr>
          <w:rFonts w:ascii="Arial" w:cs="Arial" w:eastAsia="Arial" w:hAnsi="Arial"/>
          <w:sz w:val="12"/>
          <w:szCs w:val="12"/>
          <w:color w:val="231F20"/>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2"/>
          <w:szCs w:val="12"/>
          <w:i w:val="1"/>
          <w:iCs w:val="1"/>
          <w:color w:val="231F20"/>
        </w:rPr>
        <w:t>Abkommen zwischen der Bundesrepublik Deutschland und den Vereinigten Staaten von Amerika zur Vermeidung der Doppelbesteuerung auf dem Gebiet der Nachlass-, Erbschaft- und Schenkungssteuern</w:t>
      </w:r>
      <w:r>
        <w:rPr>
          <w:rFonts w:ascii="Arial" w:cs="Arial" w:eastAsia="Arial" w:hAnsi="Arial"/>
          <w:sz w:val="12"/>
          <w:szCs w:val="12"/>
          <w:color w:val="231F20"/>
        </w:rPr>
        <w:t xml:space="preserve"> </w:t>
      </w:r>
      <w:r>
        <w:rPr>
          <w:rFonts w:ascii="Arial" w:cs="Arial" w:eastAsia="Arial" w:hAnsi="Arial"/>
          <w:sz w:val="12"/>
          <w:szCs w:val="12"/>
          <w:i w:val="1"/>
          <w:iCs w:val="1"/>
          <w:color w:val="231F20"/>
        </w:rPr>
        <w:t>in der Fassung vom 21. Dezember 2000</w:t>
      </w:r>
      <w:r>
        <w:rPr>
          <w:rFonts w:ascii="Arial" w:cs="Arial" w:eastAsia="Arial" w:hAnsi="Arial"/>
          <w:sz w:val="12"/>
          <w:szCs w:val="12"/>
          <w:color w:val="231F20"/>
        </w:rPr>
        <w:t>), hereinafter referred to as the “United States-Germany Inheritance and Gifts Tax Treaty,” provides that the German inheritance tax or gift tax can, with certain</w:t>
      </w:r>
      <w:r>
        <w:rPr>
          <w:rFonts w:ascii="Arial" w:cs="Arial" w:eastAsia="Arial" w:hAnsi="Arial"/>
          <w:sz w:val="12"/>
          <w:szCs w:val="12"/>
          <w:i w:val="1"/>
          <w:iCs w:val="1"/>
          <w:color w:val="231F20"/>
        </w:rPr>
        <w:t xml:space="preserve"> </w:t>
      </w:r>
      <w:r>
        <w:rPr>
          <w:rFonts w:ascii="Arial" w:cs="Arial" w:eastAsia="Arial" w:hAnsi="Arial"/>
          <w:sz w:val="12"/>
          <w:szCs w:val="12"/>
          <w:color w:val="231F20"/>
        </w:rPr>
        <w:t>restrictions, only be levied in the cases of (i) and (ii) above. Special provisions apply to certain German citizens living outside of Germany and former German citizens.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Other Taxes</w:t>
      </w:r>
    </w:p>
    <w:p>
      <w:pPr>
        <w:spacing w:after="0" w:line="90" w:lineRule="exact"/>
        <w:rPr>
          <w:sz w:val="20"/>
          <w:szCs w:val="20"/>
          <w:color w:val="auto"/>
        </w:rPr>
      </w:pPr>
    </w:p>
    <w:p>
      <w:pPr>
        <w:jc w:val="both"/>
        <w:ind w:right="200" w:firstLine="556"/>
        <w:spacing w:after="0" w:line="343" w:lineRule="auto"/>
        <w:rPr>
          <w:sz w:val="20"/>
          <w:szCs w:val="20"/>
          <w:color w:val="auto"/>
        </w:rPr>
      </w:pPr>
      <w:r>
        <w:rPr>
          <w:rFonts w:ascii="Arial" w:cs="Arial" w:eastAsia="Arial" w:hAnsi="Arial"/>
          <w:sz w:val="11"/>
          <w:szCs w:val="11"/>
          <w:color w:val="231F20"/>
        </w:rPr>
        <w:t>No German transfer tax, value-added tax, stamp duty or similar taxes are assessed on the purchase, sale or other transfer of ADSs. Provided that certain requirements are met, an entrepreneur may, however, opt for value- added tax on transactions that are otherwise tax-exempt. Net wealth tax (</w:t>
      </w:r>
      <w:r>
        <w:rPr>
          <w:rFonts w:ascii="Arial" w:cs="Arial" w:eastAsia="Arial" w:hAnsi="Arial"/>
          <w:sz w:val="11"/>
          <w:szCs w:val="11"/>
          <w:i w:val="1"/>
          <w:iCs w:val="1"/>
          <w:color w:val="231F20"/>
        </w:rPr>
        <w:t>Vermögensteuer</w:t>
      </w:r>
      <w:r>
        <w:rPr>
          <w:rFonts w:ascii="Arial" w:cs="Arial" w:eastAsia="Arial" w:hAnsi="Arial"/>
          <w:sz w:val="11"/>
          <w:szCs w:val="11"/>
          <w:color w:val="231F20"/>
        </w:rPr>
        <w:t>) is currently not imposed in Germany. Certain member states of the European Union and also Germany on a standalone basis are considering introducing a financial transaction tax (</w:t>
      </w:r>
      <w:r>
        <w:rPr>
          <w:rFonts w:ascii="Arial" w:cs="Arial" w:eastAsia="Arial" w:hAnsi="Arial"/>
          <w:sz w:val="11"/>
          <w:szCs w:val="11"/>
          <w:i w:val="1"/>
          <w:iCs w:val="1"/>
          <w:color w:val="231F20"/>
        </w:rPr>
        <w:t>Finanztransaktionssteuer</w:t>
      </w:r>
      <w:r>
        <w:rPr>
          <w:rFonts w:ascii="Arial" w:cs="Arial" w:eastAsia="Arial" w:hAnsi="Arial"/>
          <w:sz w:val="11"/>
          <w:szCs w:val="11"/>
          <w:color w:val="231F20"/>
        </w:rPr>
        <w:t>) which, if and when introduced, may also be applicable on sales and/or transfer of ADSs.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Material United States Federal Income Tax Considerations</w:t>
      </w:r>
    </w:p>
    <w:p>
      <w:pPr>
        <w:spacing w:after="0" w:line="94"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The following discussion describes material U.S. federal income tax considerations relating to the acquisition, ownership and disposition of ADSs by a U.S. Holder (as defined below) that acquires our ADSs and holds them as a capital asset. This discussion is based on the tax laws of the United States, including the Internal Revenue Code of 1986, as amended, or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nor does it address the tax treatment under the laws of any state, local or foreign taxing jurisdiction.</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For purposes of this discussion, a “U.S. Holder” is a beneficial owner of our ADSs that, for U.S. federal income tax purposes, is:</w:t>
      </w:r>
    </w:p>
    <w:p>
      <w:pPr>
        <w:spacing w:after="0" w:line="80" w:lineRule="exact"/>
        <w:rPr>
          <w:sz w:val="20"/>
          <w:szCs w:val="20"/>
          <w:color w:val="auto"/>
        </w:rPr>
      </w:pPr>
    </w:p>
    <w:p>
      <w:pPr>
        <w:ind w:left="1020" w:hanging="340"/>
        <w:spacing w:after="0"/>
        <w:tabs>
          <w:tab w:leader="none" w:pos="1020" w:val="left"/>
        </w:tabs>
        <w:numPr>
          <w:ilvl w:val="0"/>
          <w:numId w:val="293"/>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93"/>
        </w:numPr>
        <w:rPr>
          <w:rFonts w:ascii="Arial" w:cs="Arial" w:eastAsia="Arial" w:hAnsi="Arial"/>
          <w:sz w:val="13"/>
          <w:szCs w:val="13"/>
          <w:color w:val="auto"/>
        </w:rPr>
      </w:pPr>
      <w:r>
        <w:rPr>
          <w:rFonts w:ascii="Arial" w:cs="Arial" w:eastAsia="Arial" w:hAnsi="Arial"/>
          <w:sz w:val="13"/>
          <w:szCs w:val="13"/>
          <w:color w:val="auto"/>
        </w:rPr>
        <w:t>a domestic corporation (or other entity taxable as a corporation);</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293"/>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taxation regardless of its source; or</w:t>
      </w:r>
    </w:p>
    <w:p>
      <w:pPr>
        <w:spacing w:after="0" w:line="80" w:lineRule="exact"/>
        <w:rPr>
          <w:rFonts w:ascii="Arial" w:cs="Arial" w:eastAsia="Arial" w:hAnsi="Arial"/>
          <w:sz w:val="13"/>
          <w:szCs w:val="13"/>
          <w:color w:val="auto"/>
        </w:rPr>
      </w:pPr>
    </w:p>
    <w:p>
      <w:pPr>
        <w:ind w:left="1020" w:right="260" w:hanging="340"/>
        <w:spacing w:after="0" w:line="287" w:lineRule="auto"/>
        <w:tabs>
          <w:tab w:leader="none" w:pos="1020" w:val="left"/>
        </w:tabs>
        <w:numPr>
          <w:ilvl w:val="0"/>
          <w:numId w:val="293"/>
        </w:numPr>
        <w:rPr>
          <w:rFonts w:ascii="Arial" w:cs="Arial" w:eastAsia="Arial" w:hAnsi="Arial"/>
          <w:sz w:val="13"/>
          <w:szCs w:val="13"/>
          <w:color w:val="auto"/>
        </w:rPr>
      </w:pPr>
      <w:r>
        <w:rPr>
          <w:rFonts w:ascii="Arial" w:cs="Arial" w:eastAsia="Arial" w:hAnsi="Arial"/>
          <w:sz w:val="13"/>
          <w:szCs w:val="13"/>
          <w:color w:val="auto"/>
        </w:rPr>
        <w:t>a trust if (i) a court within the United States is able to exercise primary supervision over the trust’s administration and one or more U.S. persons have the authority to control all substantial decisions of the trust or (ii) a valid election under the Treasury regulations is in effect for the trust to be treated as a U.S. person.</w:t>
      </w:r>
    </w:p>
    <w:p>
      <w:pPr>
        <w:spacing w:after="0" w:line="122"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to mark securities to market, regulated investment companies, real estate investment trusts, partnerships or other pass- through entities, corporations that accumulate earnings to avoid U.S. federal income tax, tax-exempt organizations, pension plans, persons that hold our shares as part of a straddle, hedge or other integrated investment, persons subject to alternative minimum tax or whose “functional currency” is not the U.S. dollar).</w:t>
      </w:r>
    </w:p>
    <w:p>
      <w:pPr>
        <w:spacing w:after="0" w:line="135" w:lineRule="exact"/>
        <w:rPr>
          <w:sz w:val="20"/>
          <w:szCs w:val="20"/>
          <w:color w:val="auto"/>
        </w:rPr>
      </w:pPr>
    </w:p>
    <w:p>
      <w:pPr>
        <w:jc w:val="both"/>
        <w:ind w:right="80" w:firstLine="556"/>
        <w:spacing w:after="0" w:line="272" w:lineRule="auto"/>
        <w:rPr>
          <w:sz w:val="20"/>
          <w:szCs w:val="20"/>
          <w:color w:val="auto"/>
        </w:rPr>
      </w:pPr>
      <w:r>
        <w:rPr>
          <w:rFonts w:ascii="Arial" w:cs="Arial" w:eastAsia="Arial" w:hAnsi="Arial"/>
          <w:sz w:val="13"/>
          <w:szCs w:val="13"/>
          <w:color w:val="231F20"/>
        </w:rPr>
        <w:t>If a partnership (including any entity or arrangement treated as a partnership for U.S. federal income tax purposes) holds our ADSs, the tax treatment of a person treated as a partner in the partnership for U.S. federal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2"/>
          <w:szCs w:val="12"/>
          <w:color w:val="231F20"/>
        </w:rPr>
        <w:t>In general, and taking into account the earlier assumptions, for U.S. federal income and German tax purposes, a holder of ADSs will be treated as the owner of the shares represented by those ADSs.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231F20"/>
        </w:rPr>
        <w:t>Exchanges of shares for ADSs, and ADSs for shares, generally will not be subject to U.S. federal income or to German tax.</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291" w:right="359" w:bottom="1440" w:gutter="0" w:footer="0" w:header="0"/>
        </w:sectPr>
      </w:pPr>
    </w:p>
    <w:bookmarkStart w:id="240" w:name="page241"/>
    <w:bookmarkEnd w:id="240"/>
    <w:p>
      <w:pPr>
        <w:ind w:firstLine="556"/>
        <w:spacing w:after="0" w:line="287" w:lineRule="auto"/>
        <w:rPr>
          <w:sz w:val="20"/>
          <w:szCs w:val="20"/>
          <w:color w:val="auto"/>
        </w:rPr>
      </w:pPr>
      <w:r>
        <w:rPr>
          <w:rFonts w:ascii="Arial" w:cs="Arial" w:eastAsia="Arial" w:hAnsi="Arial"/>
          <w:sz w:val="13"/>
          <w:szCs w:val="13"/>
          <w:b w:val="1"/>
          <w:bCs w:val="1"/>
          <w:i w:val="1"/>
          <w:iCs w:val="1"/>
          <w:color w:val="231F20"/>
        </w:rPr>
        <w:t>This discussion addresses only U.S. Holders and does not discuss any tax considerations other than U.S. federal income tax considerations. Prospective investors are urged to consult their own tax advisors regarding the U.S. federal, state and local, and foreign tax consequences of the purchase, ownership, and disposition of ADSs.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Dividends</w:t>
      </w:r>
    </w:p>
    <w:p>
      <w:pPr>
        <w:spacing w:after="0" w:line="90" w:lineRule="exact"/>
        <w:rPr>
          <w:sz w:val="20"/>
          <w:szCs w:val="20"/>
          <w:color w:val="auto"/>
        </w:rPr>
      </w:pPr>
    </w:p>
    <w:p>
      <w:pPr>
        <w:ind w:right="20" w:firstLine="556"/>
        <w:spacing w:after="0" w:line="296" w:lineRule="auto"/>
        <w:rPr>
          <w:sz w:val="20"/>
          <w:szCs w:val="20"/>
          <w:color w:val="auto"/>
        </w:rPr>
      </w:pPr>
      <w:r>
        <w:rPr>
          <w:rFonts w:ascii="Arial" w:cs="Arial" w:eastAsia="Arial" w:hAnsi="Arial"/>
          <w:sz w:val="12"/>
          <w:szCs w:val="12"/>
          <w:color w:val="231F20"/>
        </w:rPr>
        <w:t>Under the U.S. federal income tax laws, and subject to the passive foreign investment company, or PFIC, rules discussed below, the gross amount of any dividend we pay out of our current or accumulated earnings and profits (as determined for U.S. federal income tax purposes) is includible in income for a U.S. Holder and subject to U.S. federal income taxation. Dividends paid to a noncorporate U.S. Holder that constitute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119" w:lineRule="exact"/>
        <w:rPr>
          <w:sz w:val="20"/>
          <w:szCs w:val="20"/>
          <w:color w:val="auto"/>
        </w:rPr>
      </w:pPr>
    </w:p>
    <w:p>
      <w:pPr>
        <w:ind w:right="40" w:firstLine="556"/>
        <w:spacing w:after="0" w:line="287" w:lineRule="auto"/>
        <w:rPr>
          <w:sz w:val="20"/>
          <w:szCs w:val="20"/>
          <w:color w:val="auto"/>
        </w:rPr>
      </w:pPr>
      <w:r>
        <w:rPr>
          <w:rFonts w:ascii="Arial" w:cs="Arial" w:eastAsia="Arial" w:hAnsi="Arial"/>
          <w:sz w:val="12"/>
          <w:szCs w:val="12"/>
          <w:color w:val="231F20"/>
        </w:rPr>
        <w:t>A U.S. Holder must include any German tax withheld from the dividend payment, as described above under “—German Taxation—General Rules for the Taxation of Holders Not Tax Resident in Germany,” in the gross amount of dividend paid even though the holder does not in fact receive it. The dividend is taxable to the holder when the depositary receives the dividend, actually or constructively. Because we are not a U.S. corporation, the dividend will not be eligible for the dividends-received deduction generally allowed to U.S. corporations in respect of dividends received from other U.S. corporations. The amount of the dividend distribution includible in U.S. Holder’s income will be the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w:t>
      </w:r>
    </w:p>
    <w:p>
      <w:pPr>
        <w:spacing w:after="0" w:line="125"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231F20"/>
        </w:rPr>
        <w:t>To the extent a distribution with respect to ADSs exceeds our current or accumulated earnings and profits, as determined under U.S. federal income tax principles, the distribution will be treated, first, as a tax-free return of the U.S. Holder’s investment, up to the holder’s adjusted tax basis in its ADSs, and, thereafter, as capital gain, which is subject to the tax treatment described below in “—Gain on Sale, Exchange or Other Taxable Disposition.”</w:t>
      </w:r>
    </w:p>
    <w:p>
      <w:pPr>
        <w:spacing w:after="0" w:line="132" w:lineRule="exact"/>
        <w:rPr>
          <w:sz w:val="20"/>
          <w:szCs w:val="20"/>
          <w:color w:val="auto"/>
        </w:rPr>
      </w:pPr>
    </w:p>
    <w:p>
      <w:pPr>
        <w:ind w:right="100" w:firstLine="556"/>
        <w:spacing w:after="0" w:line="304" w:lineRule="auto"/>
        <w:rPr>
          <w:sz w:val="20"/>
          <w:szCs w:val="20"/>
          <w:color w:val="auto"/>
        </w:rPr>
      </w:pPr>
      <w:r>
        <w:rPr>
          <w:rFonts w:ascii="Arial" w:cs="Arial" w:eastAsia="Arial" w:hAnsi="Arial"/>
          <w:sz w:val="12"/>
          <w:szCs w:val="12"/>
          <w:color w:val="231F20"/>
        </w:rPr>
        <w:t>Subject to certain limitations, the German tax withheld in accordance with the Treaty and paid over to the German taxing authority will be creditable or deductible against a U.S. Holder’s U.S. federal income tax liability. To the extent a refund of the tax withheld is available to a U.S. Holder under German law or under the Treaty, the amount of tax withheld that is refundable will not be eligible for credit against a U.S. Holder’s U.S. federal income tax liability. See “—German Taxation—Withholding Tax Refund for U.S. Treaty Beneficiaries” above for the procedures for obtaining a tax refund.</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Gain On Sale, Exchange or Other Taxable Disposition</w:t>
      </w:r>
    </w:p>
    <w:p>
      <w:pPr>
        <w:spacing w:after="0" w:line="90" w:lineRule="exact"/>
        <w:rPr>
          <w:sz w:val="20"/>
          <w:szCs w:val="20"/>
          <w:color w:val="auto"/>
        </w:rPr>
      </w:pPr>
    </w:p>
    <w:p>
      <w:pPr>
        <w:ind w:right="120" w:firstLine="556"/>
        <w:spacing w:after="0" w:line="264" w:lineRule="auto"/>
        <w:rPr>
          <w:sz w:val="20"/>
          <w:szCs w:val="20"/>
          <w:color w:val="auto"/>
        </w:rPr>
      </w:pPr>
      <w:r>
        <w:rPr>
          <w:rFonts w:ascii="Arial" w:cs="Arial" w:eastAsia="Arial" w:hAnsi="Arial"/>
          <w:sz w:val="13"/>
          <w:szCs w:val="13"/>
          <w:color w:val="231F20"/>
        </w:rPr>
        <w:t>Subject to the PFIC rules described below under “—Passive Foreign Investment Company Considerations”, a U.S. Holder that sells, exchanges or otherwise disposes of ADSs in a taxable disposition generally will recognize capital gain or loss for U.S. federal income tax purposes equal to the difference between the U.S. dollar value of the amount realized and the holder’s tax basis, determined in U.S. dollars, in the ADSs. Gain or loss recognized on such a sale, exchange or other disposition of ADSs generally will be long-term capital gain if the U.S. Holder’s holding period in the ADSs exceeds one year. Long-term capital gains of non-corporate U.S. Holders are generally taxed at preferential rates. The gain or loss generally will be income or loss from sources within the United States for foreign tax credit limitation purposes. A U.S. Holder’s ability to deduct capital losses is subject to limitations.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Passive Foreign Investment Company Considerations</w:t>
      </w:r>
    </w:p>
    <w:p>
      <w:pPr>
        <w:spacing w:after="0" w:line="90" w:lineRule="exact"/>
        <w:rPr>
          <w:sz w:val="20"/>
          <w:szCs w:val="20"/>
          <w:color w:val="auto"/>
        </w:rPr>
      </w:pPr>
    </w:p>
    <w:p>
      <w:pPr>
        <w:ind w:right="480" w:firstLine="556"/>
        <w:spacing w:after="0" w:line="331" w:lineRule="auto"/>
        <w:rPr>
          <w:sz w:val="20"/>
          <w:szCs w:val="20"/>
          <w:color w:val="auto"/>
        </w:rPr>
      </w:pPr>
      <w:r>
        <w:rPr>
          <w:rFonts w:ascii="Arial" w:cs="Arial" w:eastAsia="Arial" w:hAnsi="Arial"/>
          <w:sz w:val="12"/>
          <w:szCs w:val="12"/>
          <w:color w:val="231F20"/>
        </w:rPr>
        <w:t>We do not believe that we should be treated as, and do not expect to become, a PFIC. Because the determination of our PFIC status is made annually based on the factual tests described below, however, we cannot provide any assurances regarding our PFIC status for the current or future taxable years or that the IRS will agree with our conclusion regarding our PFIC status.</w:t>
      </w:r>
    </w:p>
    <w:p>
      <w:pPr>
        <w:spacing w:after="0" w:line="99"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231F20"/>
        </w:rPr>
        <w:t>If we were classified as a PFIC in any taxable year, a U.S. Holder would be subject to special rules with respect to distributions on and sales, exchanges and other dispositions of the ADSs. We will be treated as a PFIC for any taxable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41" w:name="page242"/>
    <w:bookmarkEnd w:id="241"/>
    <w:p>
      <w:pPr>
        <w:spacing w:after="0" w:line="264" w:lineRule="auto"/>
        <w:rPr>
          <w:sz w:val="20"/>
          <w:szCs w:val="20"/>
          <w:color w:val="auto"/>
        </w:rPr>
      </w:pPr>
      <w:r>
        <w:rPr>
          <w:rFonts w:ascii="Arial" w:cs="Arial" w:eastAsia="Arial" w:hAnsi="Arial"/>
          <w:sz w:val="13"/>
          <w:szCs w:val="13"/>
          <w:color w:val="231F20"/>
        </w:rPr>
        <w:t>in which at least 75% of our gross income is “passive income” or at least 50% of our gross assets during the taxable year (based on the average of the fair market values of the assets determined at the end of each quarterly period) are assets that produce or are held for the production of passive income.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spacing w:after="0" w:line="138" w:lineRule="exact"/>
        <w:rPr>
          <w:sz w:val="20"/>
          <w:szCs w:val="20"/>
          <w:color w:val="auto"/>
        </w:rPr>
      </w:pPr>
    </w:p>
    <w:p>
      <w:pPr>
        <w:ind w:right="120" w:firstLine="556"/>
        <w:spacing w:after="0" w:line="260" w:lineRule="auto"/>
        <w:rPr>
          <w:sz w:val="20"/>
          <w:szCs w:val="20"/>
          <w:color w:val="auto"/>
        </w:rPr>
      </w:pPr>
      <w:r>
        <w:rPr>
          <w:rFonts w:ascii="Arial" w:cs="Arial" w:eastAsia="Arial" w:hAnsi="Arial"/>
          <w:sz w:val="13"/>
          <w:szCs w:val="13"/>
          <w:color w:val="231F20"/>
        </w:rPr>
        <w:t>If we were a PFIC with respect to a U.S. Holder, then unless such U.S. Holder makes one of the elections described below, a special tax regime would apply to the U.S. Holder with respect to (i) any “excess distribution” (generally, aggregate distributions in any year that are greater than 125% of the average annual distribution received by the holder in the shorter of the three preceding years or the holder’s holding period for the ADSs) and (ii) any gain realized on the sale or other disposition of the ADSs. Under this regime, any excess distribution and realized gain will be treated as ordinary income and will be subject to tax as if (a) the excess distribution or gain had been realized ratably over the U.S. Holder’s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If we were determined to be a PFIC, this tax treatment for U.S. Holders would apply also to indirect distributions and gains deemed realized by U.S. Holders in respect of stock of any of our subsidiaries determined to be PFICs. In addition, dividend distributions would not qualify for the lower rates of taxation applicable to long-term capital gains discussed above under “—Taxation of Dividends.”</w:t>
      </w:r>
    </w:p>
    <w:p>
      <w:pPr>
        <w:spacing w:after="0" w:line="142"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231F20"/>
        </w:rPr>
        <w:t>A U.S. Holder that holds the ADSs at any time during a taxable year in which we are classified as a PFIC generally will continue to treat such ADSs as ADSs in a PFIC, even if we no longer satisfy the income and asset tests described above, unless the U.S. Holder elects to recognize gain, which will be taxed under the excess distribution rules as if such ADSs had been sold on the last day of the last taxable year for which we were a PFIC.</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Certain elections by a U.S. Holder would alleviate some of the adverse consequences of PFIC status and would result in an alternative treatment of the ADSs, as described below.</w:t>
      </w:r>
    </w:p>
    <w:p>
      <w:pPr>
        <w:spacing w:after="0" w:line="170" w:lineRule="exact"/>
        <w:rPr>
          <w:sz w:val="20"/>
          <w:szCs w:val="20"/>
          <w:color w:val="auto"/>
        </w:rPr>
      </w:pPr>
    </w:p>
    <w:p>
      <w:pPr>
        <w:ind w:right="60" w:firstLine="556"/>
        <w:spacing w:after="0" w:line="287" w:lineRule="auto"/>
        <w:rPr>
          <w:sz w:val="20"/>
          <w:szCs w:val="20"/>
          <w:color w:val="auto"/>
        </w:rPr>
      </w:pPr>
      <w:r>
        <w:rPr>
          <w:rFonts w:ascii="Arial" w:cs="Arial" w:eastAsia="Arial" w:hAnsi="Arial"/>
          <w:sz w:val="13"/>
          <w:szCs w:val="13"/>
          <w:color w:val="231F20"/>
        </w:rPr>
        <w:t>If we were a PFIC, the rules above would not apply to a U.S. Holder that makes an election to treat ADSs as stock of a “qualified electing fund” or QEF. However, we do not expect that a U.S. Holder would be able to make this election because we do not intend to provide to U.S. Holders the required information to make a valid QEF election.</w:t>
      </w:r>
    </w:p>
    <w:p>
      <w:pPr>
        <w:spacing w:after="0" w:line="122" w:lineRule="exact"/>
        <w:rPr>
          <w:sz w:val="20"/>
          <w:szCs w:val="20"/>
          <w:color w:val="auto"/>
        </w:rPr>
      </w:pPr>
    </w:p>
    <w:p>
      <w:pPr>
        <w:ind w:right="40" w:firstLine="556"/>
        <w:spacing w:after="0" w:line="264" w:lineRule="auto"/>
        <w:rPr>
          <w:sz w:val="20"/>
          <w:szCs w:val="20"/>
          <w:color w:val="auto"/>
        </w:rPr>
      </w:pPr>
      <w:r>
        <w:rPr>
          <w:rFonts w:ascii="Arial" w:cs="Arial" w:eastAsia="Arial" w:hAnsi="Arial"/>
          <w:sz w:val="13"/>
          <w:szCs w:val="13"/>
          <w:color w:val="231F20"/>
        </w:rPr>
        <w:t xml:space="preserve">If we were a PFIC, the rules above also would not apply to a U.S. Holder that makes a “mark-to-market” election with respect to the ADSs, but this election will be available with respect to the ADSs only if they meet certain minimum trading requirements to be considered “marketable stock” for purposes of the PFIC rules. Generally, shares of ADSs will be treated as marketable stock if they are “regularly traded” on a “qualified exchange” within the meaning of applicable U.S. Treasury Regulations. ADSs generally will be considered regularly traded during any calendar year during which they are traded, other than in </w:t>
      </w:r>
      <w:r>
        <w:rPr>
          <w:rFonts w:ascii="Arial" w:cs="Arial" w:eastAsia="Arial" w:hAnsi="Arial"/>
          <w:sz w:val="13"/>
          <w:szCs w:val="13"/>
          <w:i w:val="1"/>
          <w:iCs w:val="1"/>
          <w:color w:val="231F20"/>
        </w:rPr>
        <w:t>de minimis</w:t>
      </w:r>
      <w:r>
        <w:rPr>
          <w:rFonts w:ascii="Arial" w:cs="Arial" w:eastAsia="Arial" w:hAnsi="Arial"/>
          <w:sz w:val="13"/>
          <w:szCs w:val="13"/>
          <w:color w:val="231F20"/>
        </w:rPr>
        <w:t xml:space="preserve"> quantities, on at least 15 days during each calendar quarter. Any trades that have as their principal purpose meeting this requirement will be disregarded. Our ADSs will be marketable stock as long as they remain listed on the Nasdaq Global Select Market and are regularly traded.</w:t>
      </w:r>
    </w:p>
    <w:p>
      <w:pPr>
        <w:spacing w:after="0" w:line="138" w:lineRule="exact"/>
        <w:rPr>
          <w:sz w:val="20"/>
          <w:szCs w:val="20"/>
          <w:color w:val="auto"/>
        </w:rPr>
      </w:pPr>
    </w:p>
    <w:p>
      <w:pPr>
        <w:ind w:firstLine="556"/>
        <w:spacing w:after="0" w:line="261" w:lineRule="auto"/>
        <w:rPr>
          <w:sz w:val="20"/>
          <w:szCs w:val="20"/>
          <w:color w:val="auto"/>
        </w:rPr>
      </w:pPr>
      <w:r>
        <w:rPr>
          <w:rFonts w:ascii="Arial" w:cs="Arial" w:eastAsia="Arial" w:hAnsi="Arial"/>
          <w:sz w:val="13"/>
          <w:szCs w:val="13"/>
          <w:color w:val="231F20"/>
        </w:rPr>
        <w:t>A U.S. Holder that makes a valid mark-to-market election for the first tax year in which the holder holds (or is deemed to hold) ADSs and for which we are a PFIC will be required to include each year an amount equal to the excess, if any, of the fair market value of such ADSs the holder owns as of the close of the taxable year over the holder’s adjusted tax basis in such ADSs. The U.S. Holder will be entitled to a deduction for the excess, if any, of the holder’s adjusted tax basis in the ADSs over the fair market value of such ADSs as of the close of the taxable year, but only to the extent of any net mark-to-market gains with respect to such ADSs included by the U.S. Holder under the election for prior taxable years. The U.S. Holder’s basis in such ADSs will be adjusted to reflect the amounts included or deducted pursuant to the election. Amounts included in income pursuant to a mark-to-market election, as well as gain on the sale, exchange or other taxable disposition of such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242" w:name="page243"/>
    <w:bookmarkEnd w:id="242"/>
    <w:p>
      <w:pPr>
        <w:ind w:right="40" w:firstLine="556"/>
        <w:spacing w:after="0" w:line="267" w:lineRule="auto"/>
        <w:rPr>
          <w:sz w:val="20"/>
          <w:szCs w:val="20"/>
          <w:color w:val="auto"/>
        </w:rPr>
      </w:pPr>
      <w:r>
        <w:rPr>
          <w:rFonts w:ascii="Arial" w:cs="Arial" w:eastAsia="Arial" w:hAnsi="Arial"/>
          <w:sz w:val="13"/>
          <w:szCs w:val="13"/>
          <w:color w:val="231F20"/>
        </w:rPr>
        <w:t>The mark-to-market election applies to the taxable year for which the election is made and all subsequent taxable years, unless the shares cease to be treated as marketable stock for purposes of the PFIC rules or the IRS consents to its revocation. The excess distribution rules described above generally will not apply to a U.S. Holder for tax years for which a mark-to-market election is in effect. However, if we were a PFIC for any year in which the U.S. Holder owns the ADSs but before a mark-to-market election is made, the interest charge rules described above would apply to any mark-to-market gain recognized in the year the election is made.</w:t>
      </w:r>
    </w:p>
    <w:p>
      <w:pPr>
        <w:spacing w:after="0" w:line="135" w:lineRule="exact"/>
        <w:rPr>
          <w:sz w:val="20"/>
          <w:szCs w:val="20"/>
          <w:color w:val="auto"/>
        </w:rPr>
      </w:pPr>
    </w:p>
    <w:p>
      <w:pPr>
        <w:ind w:right="480" w:firstLine="556"/>
        <w:spacing w:after="0" w:line="287" w:lineRule="auto"/>
        <w:rPr>
          <w:sz w:val="20"/>
          <w:szCs w:val="20"/>
          <w:color w:val="auto"/>
        </w:rPr>
      </w:pPr>
      <w:r>
        <w:rPr>
          <w:rFonts w:ascii="Arial" w:cs="Arial" w:eastAsia="Arial" w:hAnsi="Arial"/>
          <w:sz w:val="13"/>
          <w:szCs w:val="13"/>
          <w:color w:val="231F20"/>
        </w:rPr>
        <w:t>A U.S. Holder of PFIC shares must generally file an annual information return on IRS Form 8621 (Information Return by a Shareholder of a Passive Foreign Investment Company or Qualified Electing Fund). The failure to file IRS Form 8621 could result in the imposition of penalties and the extension of the statute of limitations with respect to U.S. federal income tax.</w:t>
      </w:r>
    </w:p>
    <w:p>
      <w:pPr>
        <w:spacing w:after="0" w:line="122"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b w:val="1"/>
          <w:bCs w:val="1"/>
          <w:i w:val="1"/>
          <w:iCs w:val="1"/>
          <w:color w:val="231F20"/>
        </w:rPr>
        <w:t>U.S. Holders are urged to consult their tax advisors as to our status as a PFIC, and the tax consequences to them if we were a PFIC, including the reporting requirements and the desirability of making, and the availability of, a QEF election or a mark-to-market election with respect to the ADSs.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Medicare Tax</w:t>
      </w:r>
    </w:p>
    <w:p>
      <w:pPr>
        <w:spacing w:after="0" w:line="90" w:lineRule="exact"/>
        <w:rPr>
          <w:sz w:val="20"/>
          <w:szCs w:val="20"/>
          <w:color w:val="auto"/>
        </w:rPr>
      </w:pPr>
    </w:p>
    <w:p>
      <w:pPr>
        <w:ind w:right="100" w:firstLine="556"/>
        <w:spacing w:after="0" w:line="272" w:lineRule="auto"/>
        <w:rPr>
          <w:sz w:val="20"/>
          <w:szCs w:val="20"/>
          <w:color w:val="auto"/>
        </w:rPr>
      </w:pPr>
      <w:r>
        <w:rPr>
          <w:rFonts w:ascii="Arial" w:cs="Arial" w:eastAsia="Arial" w:hAnsi="Arial"/>
          <w:sz w:val="13"/>
          <w:szCs w:val="13"/>
          <w:color w:val="231F20"/>
        </w:rPr>
        <w:t>Non-corporate U.S. Holders that are individuals, estates or trusts and whose income exceeds certain thresholds generally are subject to a 3.8% tax on all or a portion of their net investment income, which may include their gross dividend income and net gains from the disposition of ADSs. A U.S. person that is an individual, estate or trust is encouraged to consult its tax advisors regarding the applicability of this Medicare tax to its income and gains in respect of any investment in ADSs.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Information Reporting with Respect to Foreign Financial Assets</w:t>
      </w:r>
    </w:p>
    <w:p>
      <w:pPr>
        <w:spacing w:after="0" w:line="90"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Individual U.S. Holders may be subject to certain reporting obligations on IRS Form 8938 (Statement of Specified Foreign Financial Assets) with respect to the ADSs for any taxable year during which the U.S. Holder’s aggregate value of these and certain other “specified foreign financial assets” exceed a threshold amount that varies with the filing status of the individual. This reporting obligation also applies to domestic entities formed or availed of to hold, directly or indirectly, specified foreign financial assets, including the ADSs. Significant penalties can apply if U.S. Holders are required to make this disclosure and fail to do so.</w:t>
      </w:r>
    </w:p>
    <w:p>
      <w:pPr>
        <w:spacing w:after="0" w:line="135" w:lineRule="exact"/>
        <w:rPr>
          <w:sz w:val="20"/>
          <w:szCs w:val="20"/>
          <w:color w:val="auto"/>
        </w:rPr>
      </w:pPr>
    </w:p>
    <w:p>
      <w:pPr>
        <w:ind w:right="40" w:firstLine="556"/>
        <w:spacing w:after="0" w:line="267" w:lineRule="auto"/>
        <w:rPr>
          <w:sz w:val="20"/>
          <w:szCs w:val="20"/>
          <w:color w:val="auto"/>
        </w:rPr>
      </w:pPr>
      <w:r>
        <w:rPr>
          <w:rFonts w:ascii="Arial" w:cs="Arial" w:eastAsia="Arial" w:hAnsi="Arial"/>
          <w:sz w:val="13"/>
          <w:szCs w:val="13"/>
          <w:color w:val="231F20"/>
        </w:rPr>
        <w:t>U.S. Holders who acquire ADSs for cash may be required to file IRS Form 926 (Return by a U.S. Transferor of Property to a Foreign Corporation) with the IRS and to supply certain additional information to the IRS if (i) immediately after the transfer, the U.S. Holder owns directly or indirectly (or by attribution) at least 10% of our total voting power or value or (ii) the amount of cash transferred to us in exchange for ADSs, when aggregated with all related transfers under applicable regulations, exceeds $100,000. Substantial penalties may be imposed on a U.S. Holder that fails to comply with this reporting requirement.</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231F20"/>
        </w:rPr>
        <w:t>Information Reporting and Backup Withholding</w:t>
      </w:r>
    </w:p>
    <w:p>
      <w:pPr>
        <w:spacing w:after="0" w:line="90" w:lineRule="exact"/>
        <w:rPr>
          <w:sz w:val="20"/>
          <w:szCs w:val="20"/>
          <w:color w:val="auto"/>
        </w:rPr>
      </w:pPr>
    </w:p>
    <w:p>
      <w:pPr>
        <w:ind w:right="260" w:firstLine="556"/>
        <w:spacing w:after="0" w:line="304" w:lineRule="auto"/>
        <w:rPr>
          <w:sz w:val="20"/>
          <w:szCs w:val="20"/>
          <w:color w:val="auto"/>
        </w:rPr>
      </w:pPr>
      <w:r>
        <w:rPr>
          <w:rFonts w:ascii="Arial" w:cs="Arial" w:eastAsia="Arial" w:hAnsi="Arial"/>
          <w:sz w:val="12"/>
          <w:szCs w:val="12"/>
          <w:color w:val="231F20"/>
        </w:rPr>
        <w:t>In general, information reporting, on IRS Form 1099, will apply to dividends in respect of ADSs and the proceeds from the sale, exchange or redemption of ADSs that are paid to a holder of ADSs within the United States (and in certain cases, outside the United States), unless such holder is an exempt recipient such as a corporation. Backup withholding (currently at a 24% rate) may apply to such payments if a holder of ADSs fails to provide a taxpayer identification number (generally on an IRS Form W-9) or certification of other exempt status or fails to report in full dividend and interest income.</w:t>
      </w:r>
    </w:p>
    <w:p>
      <w:pPr>
        <w:spacing w:after="0" w:line="116" w:lineRule="exact"/>
        <w:rPr>
          <w:sz w:val="20"/>
          <w:szCs w:val="20"/>
          <w:color w:val="auto"/>
        </w:rPr>
      </w:pPr>
    </w:p>
    <w:p>
      <w:pPr>
        <w:ind w:right="420" w:firstLine="556"/>
        <w:spacing w:after="0" w:line="287" w:lineRule="auto"/>
        <w:rPr>
          <w:sz w:val="20"/>
          <w:szCs w:val="20"/>
          <w:color w:val="auto"/>
        </w:rPr>
      </w:pPr>
      <w:r>
        <w:rPr>
          <w:rFonts w:ascii="Arial" w:cs="Arial" w:eastAsia="Arial" w:hAnsi="Arial"/>
          <w:sz w:val="13"/>
          <w:szCs w:val="13"/>
          <w:color w:val="231F20"/>
        </w:rPr>
        <w:t>Backup withholding is not an additional tax. A U.S. Holder generally may obtain a refund of any amounts withheld under the backup withholding rules that exceed the U.S. Holder’s income tax liability by filing a refund claim with the IRS.</w:t>
      </w:r>
    </w:p>
    <w:p>
      <w:pPr>
        <w:spacing w:after="0" w:line="198" w:lineRule="exact"/>
        <w:rPr>
          <w:sz w:val="20"/>
          <w:szCs w:val="20"/>
          <w:color w:val="auto"/>
        </w:rPr>
      </w:pPr>
    </w:p>
    <w:p>
      <w:pPr>
        <w:ind w:left="1100" w:hanging="550"/>
        <w:spacing w:after="0"/>
        <w:tabs>
          <w:tab w:leader="none" w:pos="1100" w:val="left"/>
        </w:tabs>
        <w:numPr>
          <w:ilvl w:val="0"/>
          <w:numId w:val="294"/>
        </w:numPr>
        <w:rPr>
          <w:rFonts w:ascii="Arial" w:cs="Arial" w:eastAsia="Arial" w:hAnsi="Arial"/>
          <w:sz w:val="13"/>
          <w:szCs w:val="13"/>
          <w:b w:val="1"/>
          <w:bCs w:val="1"/>
          <w:color w:val="auto"/>
        </w:rPr>
      </w:pPr>
      <w:r>
        <w:rPr>
          <w:rFonts w:ascii="Arial" w:cs="Arial" w:eastAsia="Arial" w:hAnsi="Arial"/>
          <w:sz w:val="13"/>
          <w:szCs w:val="13"/>
          <w:b w:val="1"/>
          <w:bCs w:val="1"/>
          <w:color w:val="auto"/>
        </w:rPr>
        <w:t>Dividends and Paying Agents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43" w:name="page244"/>
    <w:bookmarkEnd w:id="243"/>
    <w:p>
      <w:pPr>
        <w:ind w:left="1100" w:hanging="550"/>
        <w:spacing w:after="0"/>
        <w:tabs>
          <w:tab w:leader="none" w:pos="1100" w:val="left"/>
        </w:tabs>
        <w:numPr>
          <w:ilvl w:val="0"/>
          <w:numId w:val="295"/>
        </w:numPr>
        <w:rPr>
          <w:rFonts w:ascii="Arial" w:cs="Arial" w:eastAsia="Arial" w:hAnsi="Arial"/>
          <w:sz w:val="13"/>
          <w:szCs w:val="13"/>
          <w:b w:val="1"/>
          <w:bCs w:val="1"/>
          <w:color w:val="auto"/>
        </w:rPr>
      </w:pPr>
      <w:r>
        <w:rPr>
          <w:rFonts w:ascii="Arial" w:cs="Arial" w:eastAsia="Arial" w:hAnsi="Arial"/>
          <w:sz w:val="13"/>
          <w:szCs w:val="13"/>
          <w:b w:val="1"/>
          <w:bCs w:val="1"/>
          <w:color w:val="auto"/>
        </w:rPr>
        <w:t>Statement by Experts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1100" w:hanging="550"/>
        <w:spacing w:after="0"/>
        <w:tabs>
          <w:tab w:leader="none" w:pos="1100" w:val="left"/>
        </w:tabs>
        <w:numPr>
          <w:ilvl w:val="0"/>
          <w:numId w:val="296"/>
        </w:numPr>
        <w:rPr>
          <w:rFonts w:ascii="Arial" w:cs="Arial" w:eastAsia="Arial" w:hAnsi="Arial"/>
          <w:sz w:val="13"/>
          <w:szCs w:val="13"/>
          <w:b w:val="1"/>
          <w:bCs w:val="1"/>
          <w:color w:val="auto"/>
        </w:rPr>
      </w:pPr>
      <w:r>
        <w:rPr>
          <w:rFonts w:ascii="Arial" w:cs="Arial" w:eastAsia="Arial" w:hAnsi="Arial"/>
          <w:sz w:val="13"/>
          <w:szCs w:val="13"/>
          <w:b w:val="1"/>
          <w:bCs w:val="1"/>
          <w:color w:val="auto"/>
        </w:rPr>
        <w:t>Documents on Display</w:t>
      </w:r>
    </w:p>
    <w:p>
      <w:pPr>
        <w:spacing w:after="0" w:line="94" w:lineRule="exact"/>
        <w:rPr>
          <w:sz w:val="20"/>
          <w:szCs w:val="20"/>
          <w:color w:val="auto"/>
        </w:rPr>
      </w:pPr>
    </w:p>
    <w:p>
      <w:pPr>
        <w:ind w:right="180" w:firstLine="556"/>
        <w:spacing w:after="0" w:line="331" w:lineRule="auto"/>
        <w:rPr>
          <w:sz w:val="20"/>
          <w:szCs w:val="20"/>
          <w:color w:val="auto"/>
        </w:rPr>
      </w:pPr>
      <w:r>
        <w:rPr>
          <w:rFonts w:ascii="Arial" w:cs="Arial" w:eastAsia="Arial" w:hAnsi="Arial"/>
          <w:sz w:val="12"/>
          <w:szCs w:val="12"/>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99"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www.biontech.de. The information contained on our website is not incorporated by reference in this Annual Report and our website address is included in this Annual Report as an inactive textual reference only.</w:t>
      </w:r>
    </w:p>
    <w:p>
      <w:pPr>
        <w:spacing w:after="0" w:line="208" w:lineRule="exact"/>
        <w:rPr>
          <w:sz w:val="20"/>
          <w:szCs w:val="20"/>
          <w:color w:val="auto"/>
        </w:rPr>
      </w:pPr>
    </w:p>
    <w:p>
      <w:pPr>
        <w:ind w:left="1100" w:hanging="550"/>
        <w:spacing w:after="0"/>
        <w:tabs>
          <w:tab w:leader="none" w:pos="1100" w:val="left"/>
        </w:tabs>
        <w:numPr>
          <w:ilvl w:val="0"/>
          <w:numId w:val="297"/>
        </w:numPr>
        <w:rPr>
          <w:rFonts w:ascii="Arial" w:cs="Arial" w:eastAsia="Arial" w:hAnsi="Arial"/>
          <w:sz w:val="13"/>
          <w:szCs w:val="13"/>
          <w:b w:val="1"/>
          <w:bCs w:val="1"/>
          <w:color w:val="auto"/>
        </w:rPr>
      </w:pPr>
      <w:r>
        <w:rPr>
          <w:rFonts w:ascii="Arial" w:cs="Arial" w:eastAsia="Arial" w:hAnsi="Arial"/>
          <w:sz w:val="13"/>
          <w:szCs w:val="13"/>
          <w:b w:val="1"/>
          <w:bCs w:val="1"/>
          <w:color w:val="auto"/>
        </w:rPr>
        <w:t>Subsidiary Information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Item 11. Quantitative and Qualitative Disclosures About Market Risk</w:t>
      </w:r>
    </w:p>
    <w:p>
      <w:pPr>
        <w:spacing w:after="0" w:line="94" w:lineRule="exact"/>
        <w:rPr>
          <w:sz w:val="20"/>
          <w:szCs w:val="20"/>
          <w:color w:val="auto"/>
        </w:rPr>
      </w:pPr>
    </w:p>
    <w:p>
      <w:pPr>
        <w:ind w:right="200" w:firstLine="556"/>
        <w:spacing w:after="0" w:line="287" w:lineRule="auto"/>
        <w:rPr>
          <w:sz w:val="20"/>
          <w:szCs w:val="20"/>
          <w:color w:val="auto"/>
        </w:rPr>
      </w:pPr>
      <w:r>
        <w:rPr>
          <w:rFonts w:ascii="Arial" w:cs="Arial" w:eastAsia="Arial" w:hAnsi="Arial"/>
          <w:sz w:val="13"/>
          <w:szCs w:val="13"/>
          <w:color w:val="231F20"/>
        </w:rPr>
        <w:t>We are exposed to various risks in relation to financial instruments, including currency risk. Our risk management is coordinated by our executive board. We do not engage in the trading of financial assets for speculative purposes. The most significant financial risks to which we are exposed include the risks discussed below.</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Currency Risk</w:t>
      </w:r>
    </w:p>
    <w:p>
      <w:pPr>
        <w:spacing w:after="0" w:line="94"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We are subject to currency risk, as our income and expenditures are denominated in Euro and the U.S. dollar. As such, we are exposed to exchange rate fluctuations between these currencies. Cash inflows denominated in U.S. dollar occurred in the course of our initial public offering on the Nasdaq Global Select Market in October 2019, or our IPO, and from our Genentech collaboration agreement. We aim to match U.S. dollar cash inflows with U.S. dollar cash outflows where possible, and we do not hedge this exposure. If we increase sales of our products in the United States, we would expect to have significant increases in cash balances, revenues and sales and marketing expenses denominated in U.S. dollars, while we would expect the majority of our development and operating expenses to remain denominated in Euro.</w:t>
      </w:r>
    </w:p>
    <w:p>
      <w:pPr>
        <w:spacing w:after="0" w:line="138" w:lineRule="exact"/>
        <w:rPr>
          <w:sz w:val="20"/>
          <w:szCs w:val="20"/>
          <w:color w:val="auto"/>
        </w:rPr>
      </w:pPr>
    </w:p>
    <w:p>
      <w:pPr>
        <w:jc w:val="both"/>
        <w:ind w:right="20" w:firstLine="556"/>
        <w:spacing w:after="0" w:line="272" w:lineRule="auto"/>
        <w:rPr>
          <w:sz w:val="20"/>
          <w:szCs w:val="20"/>
          <w:color w:val="auto"/>
        </w:rPr>
      </w:pPr>
      <w:r>
        <w:rPr>
          <w:rFonts w:ascii="Arial" w:cs="Arial" w:eastAsia="Arial" w:hAnsi="Arial"/>
          <w:sz w:val="13"/>
          <w:szCs w:val="13"/>
          <w:color w:val="231F20"/>
        </w:rPr>
        <w:t>We publish our consolidated financial statements in Euro. Revenue and expenses incurred in U.S. dollars will be translated into Euro when they are reported in our consolidated financial statements. As a result, any substantial future appreciation or decline of the U.S. dollar against the Euro could have a material effect on our revenue and profitability. As an example, if the U.S. dollar weakens by 5% against the Euro, cash and cash equivalents as of December 31, 2019 would decrease by €10.2 million, or 2%.</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231F20"/>
        </w:rPr>
        <w:t>For additional information about our quantitative and qualitative risks, see Note 12 to the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Description of Securities Other than Equity Securities</w:t>
      </w:r>
    </w:p>
    <w:p>
      <w:pPr>
        <w:spacing w:after="0" w:line="90" w:lineRule="exact"/>
        <w:rPr>
          <w:sz w:val="20"/>
          <w:szCs w:val="20"/>
          <w:color w:val="auto"/>
        </w:rPr>
      </w:pPr>
    </w:p>
    <w:p>
      <w:pPr>
        <w:ind w:left="1100" w:hanging="550"/>
        <w:spacing w:after="0"/>
        <w:tabs>
          <w:tab w:leader="none" w:pos="1100" w:val="left"/>
        </w:tabs>
        <w:numPr>
          <w:ilvl w:val="0"/>
          <w:numId w:val="298"/>
        </w:numPr>
        <w:rPr>
          <w:rFonts w:ascii="Arial" w:cs="Arial" w:eastAsia="Arial" w:hAnsi="Arial"/>
          <w:sz w:val="13"/>
          <w:szCs w:val="13"/>
          <w:b w:val="1"/>
          <w:bCs w:val="1"/>
          <w:color w:val="auto"/>
        </w:rPr>
      </w:pPr>
      <w:r>
        <w:rPr>
          <w:rFonts w:ascii="Arial" w:cs="Arial" w:eastAsia="Arial" w:hAnsi="Arial"/>
          <w:sz w:val="13"/>
          <w:szCs w:val="13"/>
          <w:b w:val="1"/>
          <w:bCs w:val="1"/>
          <w:color w:val="auto"/>
        </w:rPr>
        <w:t>Debt Securities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1100" w:hanging="550"/>
        <w:spacing w:after="0"/>
        <w:tabs>
          <w:tab w:leader="none" w:pos="1100" w:val="left"/>
        </w:tabs>
        <w:numPr>
          <w:ilvl w:val="0"/>
          <w:numId w:val="299"/>
        </w:numPr>
        <w:rPr>
          <w:rFonts w:ascii="Arial" w:cs="Arial" w:eastAsia="Arial" w:hAnsi="Arial"/>
          <w:sz w:val="13"/>
          <w:szCs w:val="13"/>
          <w:b w:val="1"/>
          <w:bCs w:val="1"/>
          <w:color w:val="auto"/>
        </w:rPr>
      </w:pPr>
      <w:r>
        <w:rPr>
          <w:rFonts w:ascii="Arial" w:cs="Arial" w:eastAsia="Arial" w:hAnsi="Arial"/>
          <w:sz w:val="13"/>
          <w:szCs w:val="13"/>
          <w:b w:val="1"/>
          <w:bCs w:val="1"/>
          <w:color w:val="auto"/>
        </w:rPr>
        <w:t>Warrants and Rights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4" w:name="page245"/>
    <w:bookmarkEnd w:id="244"/>
    <w:p>
      <w:pPr>
        <w:ind w:left="1100" w:hanging="550"/>
        <w:spacing w:after="0"/>
        <w:tabs>
          <w:tab w:leader="none" w:pos="1100" w:val="left"/>
        </w:tabs>
        <w:numPr>
          <w:ilvl w:val="0"/>
          <w:numId w:val="300"/>
        </w:numPr>
        <w:rPr>
          <w:rFonts w:ascii="Arial" w:cs="Arial" w:eastAsia="Arial" w:hAnsi="Arial"/>
          <w:sz w:val="13"/>
          <w:szCs w:val="13"/>
          <w:b w:val="1"/>
          <w:bCs w:val="1"/>
          <w:color w:val="auto"/>
        </w:rPr>
      </w:pPr>
      <w:r>
        <w:rPr>
          <w:rFonts w:ascii="Arial" w:cs="Arial" w:eastAsia="Arial" w:hAnsi="Arial"/>
          <w:sz w:val="13"/>
          <w:szCs w:val="13"/>
          <w:b w:val="1"/>
          <w:bCs w:val="1"/>
          <w:color w:val="auto"/>
        </w:rPr>
        <w:t>Other Securities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ind w:left="560" w:right="2660" w:hanging="10"/>
        <w:spacing w:after="0" w:line="385" w:lineRule="auto"/>
        <w:tabs>
          <w:tab w:leader="none" w:pos="1103" w:val="left"/>
        </w:tabs>
        <w:numPr>
          <w:ilvl w:val="0"/>
          <w:numId w:val="301"/>
        </w:numPr>
        <w:rPr>
          <w:rFonts w:ascii="Arial" w:cs="Arial" w:eastAsia="Arial" w:hAnsi="Arial"/>
          <w:sz w:val="13"/>
          <w:szCs w:val="13"/>
          <w:b w:val="1"/>
          <w:bCs w:val="1"/>
          <w:color w:val="auto"/>
        </w:rPr>
      </w:pPr>
      <w:r>
        <w:rPr>
          <w:rFonts w:ascii="Arial" w:cs="Arial" w:eastAsia="Arial" w:hAnsi="Arial"/>
          <w:sz w:val="13"/>
          <w:szCs w:val="13"/>
          <w:b w:val="1"/>
          <w:bCs w:val="1"/>
          <w:color w:val="auto"/>
        </w:rPr>
        <w:t>American Depositary Shares Fees and Expenses</w:t>
      </w:r>
    </w:p>
    <w:p>
      <w:pPr>
        <w:jc w:val="right"/>
        <w:ind w:right="1820"/>
        <w:spacing w:after="0" w:line="224" w:lineRule="auto"/>
        <w:rPr>
          <w:sz w:val="20"/>
          <w:szCs w:val="20"/>
          <w:color w:val="auto"/>
        </w:rPr>
      </w:pPr>
      <w:r>
        <w:rPr>
          <w:rFonts w:ascii="Arial" w:cs="Arial" w:eastAsia="Arial" w:hAnsi="Arial"/>
          <w:sz w:val="11"/>
          <w:szCs w:val="11"/>
          <w:b w:val="1"/>
          <w:bCs w:val="1"/>
          <w:i w:val="1"/>
          <w:iCs w:val="1"/>
          <w:color w:val="231F20"/>
        </w:rPr>
        <w:t>Persons depositing or withdrawing</w:t>
      </w:r>
    </w:p>
    <w:p>
      <w:pPr>
        <w:jc w:val="right"/>
        <w:ind w:right="1860"/>
        <w:spacing w:after="0"/>
        <w:rPr>
          <w:sz w:val="20"/>
          <w:szCs w:val="20"/>
          <w:color w:val="auto"/>
        </w:rPr>
      </w:pPr>
      <w:r>
        <w:rPr>
          <w:rFonts w:ascii="Arial" w:cs="Arial" w:eastAsia="Arial" w:hAnsi="Arial"/>
          <w:sz w:val="11"/>
          <w:szCs w:val="11"/>
          <w:b w:val="1"/>
          <w:bCs w:val="1"/>
          <w:i w:val="1"/>
          <w:iCs w:val="1"/>
          <w:color w:val="231F20"/>
        </w:rPr>
        <w:t>shares or ADS holders must pay: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3"/>
          <w:szCs w:val="13"/>
          <w:color w:val="231F20"/>
        </w:rPr>
        <w:t>$5.00 (or less) per 100 ADSs (or portion of 100 ADSs)</w:t>
      </w: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3"/>
          <w:szCs w:val="13"/>
          <w:color w:val="231F20"/>
        </w:rPr>
        <w:t>$.05 (or less) per ADS</w:t>
      </w:r>
    </w:p>
    <w:p>
      <w:pPr>
        <w:spacing w:after="0" w:line="170" w:lineRule="exact"/>
        <w:rPr>
          <w:sz w:val="20"/>
          <w:szCs w:val="20"/>
          <w:color w:val="auto"/>
        </w:rPr>
      </w:pPr>
    </w:p>
    <w:p>
      <w:pPr>
        <w:ind w:left="320"/>
        <w:spacing w:after="0" w:line="287" w:lineRule="auto"/>
        <w:rPr>
          <w:sz w:val="20"/>
          <w:szCs w:val="20"/>
          <w:color w:val="auto"/>
        </w:rPr>
      </w:pPr>
      <w:r>
        <w:rPr>
          <w:rFonts w:ascii="Arial" w:cs="Arial" w:eastAsia="Arial" w:hAnsi="Arial"/>
          <w:sz w:val="13"/>
          <w:szCs w:val="13"/>
          <w:color w:val="231F20"/>
        </w:rPr>
        <w:t>A fee equivalent to the fee that would be payable if securities distributed to an ADS holder had been shares and the shares had been deposited for issuance of ADSs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3"/>
          <w:szCs w:val="13"/>
          <w:color w:val="231F20"/>
        </w:rPr>
        <w:t>$.05 (or less) per ADS per calendar year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3"/>
          <w:szCs w:val="13"/>
          <w:color w:val="231F20"/>
        </w:rPr>
        <w:t>Registration or transfer fees</w:t>
      </w:r>
    </w:p>
    <w:p>
      <w:pPr>
        <w:spacing w:after="0" w:line="330" w:lineRule="exact"/>
        <w:rPr>
          <w:sz w:val="20"/>
          <w:szCs w:val="20"/>
          <w:color w:val="auto"/>
        </w:rPr>
      </w:pPr>
    </w:p>
    <w:p>
      <w:pPr>
        <w:ind w:left="320"/>
        <w:spacing w:after="0"/>
        <w:rPr>
          <w:sz w:val="20"/>
          <w:szCs w:val="20"/>
          <w:color w:val="auto"/>
        </w:rPr>
      </w:pPr>
      <w:r>
        <w:rPr>
          <w:rFonts w:ascii="Arial" w:cs="Arial" w:eastAsia="Arial" w:hAnsi="Arial"/>
          <w:sz w:val="13"/>
          <w:szCs w:val="13"/>
          <w:color w:val="231F20"/>
        </w:rPr>
        <w:t>Expenses of the depositary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00"/>
        <w:spacing w:after="0"/>
        <w:rPr>
          <w:sz w:val="20"/>
          <w:szCs w:val="20"/>
          <w:color w:val="auto"/>
        </w:rPr>
      </w:pPr>
      <w:r>
        <w:rPr>
          <w:rFonts w:ascii="Arial" w:cs="Arial" w:eastAsia="Arial" w:hAnsi="Arial"/>
          <w:sz w:val="11"/>
          <w:szCs w:val="11"/>
          <w:b w:val="1"/>
          <w:bCs w:val="1"/>
          <w:i w:val="1"/>
          <w:iCs w:val="1"/>
          <w:color w:val="231F20"/>
        </w:rPr>
        <w:t>For:</w:t>
      </w:r>
    </w:p>
    <w:p>
      <w:pPr>
        <w:spacing w:after="0" w:line="148" w:lineRule="exact"/>
        <w:rPr>
          <w:sz w:val="20"/>
          <w:szCs w:val="20"/>
          <w:color w:val="auto"/>
        </w:rPr>
      </w:pPr>
    </w:p>
    <w:p>
      <w:pPr>
        <w:ind w:right="240"/>
        <w:spacing w:after="0" w:line="287" w:lineRule="auto"/>
        <w:rPr>
          <w:sz w:val="20"/>
          <w:szCs w:val="20"/>
          <w:color w:val="auto"/>
        </w:rPr>
      </w:pPr>
      <w:r>
        <w:rPr>
          <w:rFonts w:ascii="Arial" w:cs="Arial" w:eastAsia="Arial" w:hAnsi="Arial"/>
          <w:sz w:val="13"/>
          <w:szCs w:val="13"/>
          <w:color w:val="231F20"/>
        </w:rPr>
        <w:t>Issuance of ADSs, including issuances resulting from a distribution of shares or rights or other property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231F20"/>
        </w:rPr>
        <w:t>Cancellation of ADSs for the purpose of withdrawal, including if the deposit agreement terminates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231F20"/>
        </w:rPr>
        <w:t>Any cash distribution to ADS holders</w:t>
      </w:r>
    </w:p>
    <w:p>
      <w:pPr>
        <w:spacing w:after="0" w:line="170" w:lineRule="exact"/>
        <w:rPr>
          <w:sz w:val="20"/>
          <w:szCs w:val="20"/>
          <w:color w:val="auto"/>
        </w:rPr>
      </w:pPr>
    </w:p>
    <w:p>
      <w:pPr>
        <w:ind w:right="180"/>
        <w:spacing w:after="0" w:line="287" w:lineRule="auto"/>
        <w:rPr>
          <w:sz w:val="20"/>
          <w:szCs w:val="20"/>
          <w:color w:val="auto"/>
        </w:rPr>
      </w:pPr>
      <w:r>
        <w:rPr>
          <w:rFonts w:ascii="Arial" w:cs="Arial" w:eastAsia="Arial" w:hAnsi="Arial"/>
          <w:sz w:val="13"/>
          <w:szCs w:val="13"/>
          <w:color w:val="231F20"/>
        </w:rPr>
        <w:t>Distribution of securities distributed to holders of deposited securities (including rights) that are distributed by the depositary to ADS holders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231F20"/>
        </w:rPr>
        <w:t>Depositary services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3"/>
          <w:szCs w:val="13"/>
          <w:color w:val="231F20"/>
        </w:rPr>
        <w:t>Transfer and registration of shares on our share register to or from the name of the depositary or its agent when an ADS holder deposits or withdraws shares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231F20"/>
        </w:rPr>
        <w:t>Cable and facsimile transmissions (when expressly provided in the deposit agreement)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231F20"/>
        </w:rPr>
        <w:t>Converting foreign currency to U.S. dollars</w:t>
      </w:r>
    </w:p>
    <w:p>
      <w:pPr>
        <w:spacing w:after="0" w:line="170" w:lineRule="exact"/>
        <w:rPr>
          <w:sz w:val="20"/>
          <w:szCs w:val="20"/>
          <w:color w:val="auto"/>
        </w:rPr>
      </w:pPr>
    </w:p>
    <w:p>
      <w:pPr>
        <w:sectPr>
          <w:pgSz w:w="11900" w:h="16838" w:orient="portrait"/>
          <w:cols w:equalWidth="0" w:num="2">
            <w:col w:w="5400" w:space="580"/>
            <w:col w:w="5280"/>
          </w:cols>
          <w:pgMar w:left="300" w:top="127" w:right="339" w:bottom="1440" w:gutter="0" w:footer="0" w:header="0"/>
        </w:sectPr>
      </w:pPr>
    </w:p>
    <w:p>
      <w:pPr>
        <w:ind w:left="320"/>
        <w:spacing w:after="0"/>
        <w:tabs>
          <w:tab w:leader="none" w:pos="5960" w:val="left"/>
        </w:tabs>
        <w:rPr>
          <w:sz w:val="20"/>
          <w:szCs w:val="20"/>
          <w:color w:val="auto"/>
        </w:rPr>
      </w:pPr>
      <w:r>
        <w:rPr>
          <w:rFonts w:ascii="Arial" w:cs="Arial" w:eastAsia="Arial" w:hAnsi="Arial"/>
          <w:sz w:val="13"/>
          <w:szCs w:val="13"/>
          <w:color w:val="231F20"/>
        </w:rPr>
        <w:t>Taxes and other governmental charges the depositary or the custodian has to pay on any ADSs or</w:t>
      </w:r>
      <w:r>
        <w:rPr>
          <w:sz w:val="20"/>
          <w:szCs w:val="20"/>
          <w:color w:val="auto"/>
        </w:rPr>
        <w:tab/>
      </w:r>
      <w:r>
        <w:rPr>
          <w:rFonts w:ascii="Arial" w:cs="Arial" w:eastAsia="Arial" w:hAnsi="Arial"/>
          <w:sz w:val="11"/>
          <w:szCs w:val="11"/>
          <w:color w:val="231F20"/>
        </w:rPr>
        <w:t>As necessary</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3"/>
          <w:szCs w:val="13"/>
          <w:color w:val="231F20"/>
        </w:rPr>
        <w:t>shares underlying ADSs, such as stock transfer taxes, stamp duty or withholding taxes</w:t>
      </w:r>
    </w:p>
    <w:p>
      <w:pPr>
        <w:spacing w:after="0" w:line="162" w:lineRule="exact"/>
        <w:rPr>
          <w:sz w:val="20"/>
          <w:szCs w:val="20"/>
          <w:color w:val="auto"/>
        </w:rPr>
      </w:pPr>
    </w:p>
    <w:p>
      <w:pPr>
        <w:ind w:left="320"/>
        <w:spacing w:after="0"/>
        <w:tabs>
          <w:tab w:leader="none" w:pos="5960" w:val="left"/>
        </w:tabs>
        <w:rPr>
          <w:sz w:val="20"/>
          <w:szCs w:val="20"/>
          <w:color w:val="auto"/>
        </w:rPr>
      </w:pPr>
      <w:r>
        <w:rPr>
          <w:rFonts w:ascii="Arial" w:cs="Arial" w:eastAsia="Arial" w:hAnsi="Arial"/>
          <w:sz w:val="13"/>
          <w:szCs w:val="13"/>
          <w:color w:val="231F20"/>
        </w:rPr>
        <w:t>Any charges incurred by the depositary or its agents for servicing the deposited securities</w:t>
      </w:r>
      <w:r>
        <w:rPr>
          <w:sz w:val="20"/>
          <w:szCs w:val="20"/>
          <w:color w:val="auto"/>
        </w:rPr>
        <w:tab/>
      </w:r>
      <w:r>
        <w:rPr>
          <w:rFonts w:ascii="Arial" w:cs="Arial" w:eastAsia="Arial" w:hAnsi="Arial"/>
          <w:sz w:val="11"/>
          <w:szCs w:val="11"/>
          <w:color w:val="231F20"/>
        </w:rPr>
        <w:t>As necessary</w:t>
      </w:r>
    </w:p>
    <w:p>
      <w:pPr>
        <w:spacing w:after="0" w:line="170" w:lineRule="exact"/>
        <w:rPr>
          <w:sz w:val="20"/>
          <w:szCs w:val="20"/>
          <w:color w:val="auto"/>
        </w:rPr>
      </w:pPr>
    </w:p>
    <w:p>
      <w:pPr>
        <w:ind w:firstLine="556"/>
        <w:spacing w:after="0" w:line="264" w:lineRule="auto"/>
        <w:rPr>
          <w:sz w:val="20"/>
          <w:szCs w:val="20"/>
          <w:color w:val="auto"/>
        </w:rPr>
      </w:pPr>
      <w:r>
        <w:rPr>
          <w:rFonts w:ascii="Arial" w:cs="Arial" w:eastAsia="Arial" w:hAnsi="Arial"/>
          <w:sz w:val="13"/>
          <w:szCs w:val="13"/>
          <w:color w:val="231F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8" w:lineRule="exact"/>
        <w:rPr>
          <w:sz w:val="20"/>
          <w:szCs w:val="20"/>
          <w:color w:val="auto"/>
        </w:rPr>
      </w:pPr>
    </w:p>
    <w:p>
      <w:pPr>
        <w:ind w:right="140" w:firstLine="556"/>
        <w:spacing w:after="0" w:line="272" w:lineRule="auto"/>
        <w:rPr>
          <w:sz w:val="20"/>
          <w:szCs w:val="20"/>
          <w:color w:val="auto"/>
        </w:rPr>
      </w:pPr>
      <w:r>
        <w:rPr>
          <w:rFonts w:ascii="Arial" w:cs="Arial" w:eastAsia="Arial" w:hAnsi="Arial"/>
          <w:sz w:val="13"/>
          <w:szCs w:val="13"/>
          <w:color w:val="231F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type w:val="continuous"/>
        </w:sectPr>
      </w:pPr>
    </w:p>
    <w:bookmarkStart w:id="245" w:name="page246"/>
    <w:bookmarkEnd w:id="245"/>
    <w:p>
      <w:pPr>
        <w:ind w:right="60" w:firstLine="556"/>
        <w:spacing w:after="0" w:line="263" w:lineRule="auto"/>
        <w:rPr>
          <w:sz w:val="20"/>
          <w:szCs w:val="20"/>
          <w:color w:val="auto"/>
        </w:rPr>
      </w:pPr>
      <w:r>
        <w:rPr>
          <w:rFonts w:ascii="Arial" w:cs="Arial" w:eastAsia="Arial" w:hAnsi="Arial"/>
          <w:sz w:val="13"/>
          <w:szCs w:val="13"/>
          <w:color w:val="231F20"/>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Payment of Taxes</w:t>
      </w:r>
    </w:p>
    <w:p>
      <w:pPr>
        <w:spacing w:after="0" w:line="94"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231F20"/>
        </w:rPr>
        <w:t xml:space="preserve">ADS holders will be responsible for any taxes or other governmental charges payable on their ADSs or on the deposited securities represented by any of their ADSs. The depositary may refuse to register any transfer of ADS holders ADSs or allow him or her to </w:t>
      </w:r>
      <w:r>
        <w:rPr>
          <w:rFonts w:ascii="Arial" w:cs="Arial" w:eastAsia="Arial" w:hAnsi="Arial"/>
          <w:sz w:val="13"/>
          <w:szCs w:val="13"/>
          <w:color w:val="000000"/>
        </w:rPr>
        <w:t>withdraw</w:t>
      </w:r>
      <w:r>
        <w:rPr>
          <w:rFonts w:ascii="Arial" w:cs="Arial" w:eastAsia="Arial" w:hAnsi="Arial"/>
          <w:sz w:val="13"/>
          <w:szCs w:val="13"/>
          <w:color w:val="231F20"/>
        </w:rPr>
        <w:t xml:space="preserve"> the deposited securities represented by his or her ADSs until those taxes or other charges are paid. It may apply payments owed to you or sell deposited securities represented by his or her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46" w:name="page247"/>
    <w:bookmarkEnd w:id="246"/>
    <w:p>
      <w:pPr>
        <w:spacing w:after="0"/>
        <w:rPr>
          <w:sz w:val="20"/>
          <w:szCs w:val="20"/>
          <w:color w:val="auto"/>
        </w:rPr>
      </w:pPr>
      <w:r>
        <w:rPr>
          <w:rFonts w:ascii="Arial" w:cs="Arial" w:eastAsia="Arial" w:hAnsi="Arial"/>
          <w:sz w:val="13"/>
          <w:szCs w:val="13"/>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Defaults, Dividend Arrearages and Delinquencies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Material Modifications to the Rights of Security Holders and Use of Proceeds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Controls and Procedures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Disclosure Controls and Procedures</w:t>
      </w:r>
    </w:p>
    <w:p>
      <w:pPr>
        <w:spacing w:after="0" w:line="94" w:lineRule="exact"/>
        <w:rPr>
          <w:sz w:val="20"/>
          <w:szCs w:val="20"/>
          <w:color w:val="auto"/>
        </w:rPr>
      </w:pPr>
    </w:p>
    <w:p>
      <w:pPr>
        <w:ind w:right="80" w:firstLine="556"/>
        <w:spacing w:after="0" w:line="323" w:lineRule="auto"/>
        <w:rPr>
          <w:sz w:val="20"/>
          <w:szCs w:val="20"/>
          <w:color w:val="auto"/>
        </w:rPr>
      </w:pPr>
      <w:r>
        <w:rPr>
          <w:rFonts w:ascii="Arial" w:cs="Arial" w:eastAsia="Arial" w:hAnsi="Arial"/>
          <w:sz w:val="11"/>
          <w:szCs w:val="11"/>
          <w:color w:val="auto"/>
        </w:rPr>
        <w:t>As required by Rule 13a-15 under the Exchange Act, management, including our chief executive officer and our chief financial officer, has evaluated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management, including our principal executive and principal financial officers, or persons performing similar functions, as appropriate to allow timely decisions regarding our required disclosures.</w:t>
      </w:r>
    </w:p>
    <w:p>
      <w:pPr>
        <w:spacing w:after="0" w:line="109" w:lineRule="exact"/>
        <w:rPr>
          <w:sz w:val="20"/>
          <w:szCs w:val="20"/>
          <w:color w:val="auto"/>
        </w:rPr>
      </w:pPr>
    </w:p>
    <w:p>
      <w:pPr>
        <w:ind w:right="160" w:firstLine="556"/>
        <w:spacing w:after="0" w:line="267" w:lineRule="auto"/>
        <w:rPr>
          <w:sz w:val="20"/>
          <w:szCs w:val="20"/>
          <w:color w:val="auto"/>
        </w:rPr>
      </w:pPr>
      <w:r>
        <w:rPr>
          <w:rFonts w:ascii="Arial" w:cs="Arial" w:eastAsia="Arial" w:hAnsi="Arial"/>
          <w:sz w:val="13"/>
          <w:szCs w:val="13"/>
          <w:color w:val="auto"/>
        </w:rPr>
        <w:t>Based on the foregoing, our chief executive officer and our chief financial officer have concluded that, as of December 31, 2019, our disclosure controls and procedures were not effective due to the material weakness in our internal control over financial reporting primarily related to (i) a lack of sufficient accounting and supervisory personnel who have the appropriate level of technical accounting experience and training, (ii) a lack of supervision over external consultants providing technical accounting services and (iii) a lack of consistent application of accounting processes and procedures by our accounting personnel.</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Management’s Annual Report on Internal Control over Financial Reporting</w:t>
      </w:r>
    </w:p>
    <w:p>
      <w:pPr>
        <w:spacing w:after="0" w:line="94" w:lineRule="exact"/>
        <w:rPr>
          <w:sz w:val="20"/>
          <w:szCs w:val="20"/>
          <w:color w:val="auto"/>
        </w:rPr>
      </w:pPr>
    </w:p>
    <w:p>
      <w:pPr>
        <w:ind w:right="420" w:firstLine="556"/>
        <w:spacing w:after="0" w:line="287" w:lineRule="auto"/>
        <w:rPr>
          <w:sz w:val="20"/>
          <w:szCs w:val="20"/>
          <w:color w:val="auto"/>
        </w:rPr>
      </w:pPr>
      <w:r>
        <w:rPr>
          <w:rFonts w:ascii="Arial" w:cs="Arial" w:eastAsia="Arial" w:hAnsi="Arial"/>
          <w:sz w:val="13"/>
          <w:szCs w:val="13"/>
          <w:color w:val="auto"/>
        </w:rPr>
        <w:t>This Annual Report does not include a report of management’s assessment regarding internal control over financial reporting due to a transition period established by rules of the Securities and Exchange Commission for newly public companies.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Attestation Report of the Registered Public Accounting Firm</w:t>
      </w:r>
    </w:p>
    <w:p>
      <w:pPr>
        <w:spacing w:after="0" w:line="94"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This Annual Report does not include an attestation report of the company’s registered public accounting firm due to a transition period established by rules of the Securities and Exchange Commission for newly public companies and because BioNTech is an emerging growth company under the JOBS Act.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Changes in Control over Financial Reporting</w:t>
      </w:r>
    </w:p>
    <w:p>
      <w:pPr>
        <w:spacing w:after="0" w:line="94" w:lineRule="exact"/>
        <w:rPr>
          <w:sz w:val="20"/>
          <w:szCs w:val="20"/>
          <w:color w:val="auto"/>
        </w:rPr>
      </w:pPr>
    </w:p>
    <w:p>
      <w:pPr>
        <w:ind w:right="300" w:firstLine="556"/>
        <w:spacing w:after="0" w:line="287" w:lineRule="auto"/>
        <w:rPr>
          <w:sz w:val="20"/>
          <w:szCs w:val="20"/>
          <w:color w:val="auto"/>
        </w:rPr>
      </w:pPr>
      <w:r>
        <w:rPr>
          <w:rFonts w:ascii="Arial" w:cs="Arial" w:eastAsia="Arial" w:hAnsi="Arial"/>
          <w:sz w:val="13"/>
          <w:szCs w:val="13"/>
          <w:color w:val="auto"/>
        </w:rPr>
        <w:t>This Annual Report does not include disclosure of changes in control over financial reporting due to a transition period established by rules of the Securities and Exchange Commission for newly public companies.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16A. Audit Committee Financial Expert</w:t>
      </w:r>
    </w:p>
    <w:p>
      <w:pPr>
        <w:spacing w:after="0" w:line="94" w:lineRule="exact"/>
        <w:rPr>
          <w:sz w:val="20"/>
          <w:szCs w:val="20"/>
          <w:color w:val="auto"/>
        </w:rPr>
      </w:pPr>
    </w:p>
    <w:p>
      <w:pPr>
        <w:ind w:right="140" w:firstLine="556"/>
        <w:spacing w:after="0" w:line="267" w:lineRule="auto"/>
        <w:rPr>
          <w:sz w:val="20"/>
          <w:szCs w:val="20"/>
          <w:color w:val="auto"/>
        </w:rPr>
      </w:pPr>
      <w:r>
        <w:rPr>
          <w:rFonts w:ascii="Arial" w:cs="Arial" w:eastAsia="Arial" w:hAnsi="Arial"/>
          <w:sz w:val="13"/>
          <w:szCs w:val="13"/>
          <w:color w:val="auto"/>
        </w:rPr>
        <w:t>Our Audit Committee consists of Dr. Ulrich Wandschneider, Michael Motschmann and Helmut Jeggle. Dr. Ulrich Wandschneider is the chair of the Audit Committee. Dr. Wandschneider and Mr. Motschmann qualify as “independent directors” as such term is defined in Rule 10A-3 under the Exchange Act and Nasdaq Rule 5605. We intend to have a fully independent audit committee within one year from effectiveness of our IPO registration statement, as permitted by Rule 10A-3. Additionally, our Supervisory Board has determined that Dr. Ulrich Wandschneider qualifies as an “audit committee financial expert” as that term is defined under the Exchange Act.</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247" w:name="page248"/>
    <w:bookmarkEnd w:id="247"/>
    <w:p>
      <w:pPr>
        <w:spacing w:after="0"/>
        <w:rPr>
          <w:sz w:val="20"/>
          <w:szCs w:val="20"/>
          <w:color w:val="auto"/>
        </w:rPr>
      </w:pPr>
      <w:r>
        <w:rPr>
          <w:rFonts w:ascii="Arial" w:cs="Arial" w:eastAsia="Arial" w:hAnsi="Arial"/>
          <w:sz w:val="13"/>
          <w:szCs w:val="13"/>
          <w:b w:val="1"/>
          <w:bCs w:val="1"/>
          <w:color w:val="auto"/>
        </w:rPr>
        <w:t>Item 16B. Code of Ethics</w:t>
      </w:r>
    </w:p>
    <w:p>
      <w:pPr>
        <w:spacing w:after="0" w:line="94" w:lineRule="exact"/>
        <w:rPr>
          <w:sz w:val="20"/>
          <w:szCs w:val="20"/>
          <w:color w:val="auto"/>
        </w:rPr>
      </w:pPr>
    </w:p>
    <w:p>
      <w:pPr>
        <w:ind w:right="80" w:firstLine="556"/>
        <w:spacing w:after="0" w:line="264" w:lineRule="auto"/>
        <w:rPr>
          <w:sz w:val="20"/>
          <w:szCs w:val="20"/>
          <w:color w:val="auto"/>
        </w:rPr>
      </w:pPr>
      <w:r>
        <w:rPr>
          <w:rFonts w:ascii="Arial" w:cs="Arial" w:eastAsia="Arial" w:hAnsi="Arial"/>
          <w:sz w:val="13"/>
          <w:szCs w:val="13"/>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our affiliates and employees. The full text of the Code of Conduct is available on our website at https://www.biontech.de. The information and other content appearing on our website are not part of this Annual Report and our website address is included in this Annual Report as an inactive textual reference only. Any amendments or waivers from the provisions of the Code of Conduct for members of our Supervisory or Management Boards will be made only after approval by our Supervisory Board and will be disclosed on our website promptly following the date of such amendment or waiver.</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16C. Principal Accountant Fees and Services</w:t>
      </w:r>
    </w:p>
    <w:p>
      <w:pPr>
        <w:spacing w:after="0" w:line="94" w:lineRule="exact"/>
        <w:rPr>
          <w:sz w:val="20"/>
          <w:szCs w:val="20"/>
          <w:color w:val="auto"/>
        </w:rPr>
      </w:pPr>
    </w:p>
    <w:p>
      <w:pPr>
        <w:ind w:right="460" w:firstLine="556"/>
        <w:spacing w:after="0" w:line="287" w:lineRule="auto"/>
        <w:rPr>
          <w:sz w:val="20"/>
          <w:szCs w:val="20"/>
          <w:color w:val="auto"/>
        </w:rPr>
      </w:pPr>
      <w:r>
        <w:rPr>
          <w:rFonts w:ascii="Arial" w:cs="Arial" w:eastAsia="Arial" w:hAnsi="Arial"/>
          <w:sz w:val="13"/>
          <w:szCs w:val="13"/>
          <w:color w:val="auto"/>
        </w:rPr>
        <w:t>Ernst &amp; Young GmbH Wirtschaftsprüfungsgesellschaft, or EY, has served as our independent registered public accounting firm for the years ended December 31, 2019, December 31, 2018 and December 31, 2017 for which audited financial statements appear in this Annual Report.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00" w:type="dxa"/>
            <w:vAlign w:val="bottom"/>
          </w:tcPr>
          <w:p>
            <w:pPr>
              <w:ind w:left="560"/>
              <w:spacing w:after="0"/>
              <w:rPr>
                <w:sz w:val="20"/>
                <w:szCs w:val="20"/>
                <w:color w:val="auto"/>
              </w:rPr>
            </w:pPr>
            <w:r>
              <w:rPr>
                <w:rFonts w:ascii="Arial" w:cs="Arial" w:eastAsia="Arial" w:hAnsi="Arial"/>
                <w:sz w:val="13"/>
                <w:szCs w:val="13"/>
                <w:color w:val="auto"/>
                <w:w w:val="94"/>
              </w:rPr>
              <w:t>The following table sets out the aggregate fees for professional audit services and other services rendered by EY in the periods indicated:</w:t>
            </w: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100" w:type="dxa"/>
            <w:vAlign w:val="bottom"/>
          </w:tcPr>
          <w:p>
            <w:pPr>
              <w:spacing w:after="0"/>
              <w:rPr>
                <w:sz w:val="24"/>
                <w:szCs w:val="24"/>
                <w:color w:val="auto"/>
              </w:rPr>
            </w:pPr>
          </w:p>
        </w:tc>
        <w:tc>
          <w:tcPr>
            <w:tcW w:w="2440" w:type="dxa"/>
            <w:vAlign w:val="bottom"/>
            <w:gridSpan w:val="2"/>
          </w:tcPr>
          <w:p>
            <w:pPr>
              <w:jc w:val="center"/>
              <w:ind w:left="653"/>
              <w:spacing w:after="0"/>
              <w:rPr>
                <w:sz w:val="20"/>
                <w:szCs w:val="20"/>
                <w:color w:val="auto"/>
              </w:rPr>
            </w:pPr>
            <w:r>
              <w:rPr>
                <w:rFonts w:ascii="Arial" w:cs="Arial" w:eastAsia="Arial" w:hAnsi="Arial"/>
                <w:sz w:val="13"/>
                <w:szCs w:val="13"/>
                <w:b w:val="1"/>
                <w:bCs w:val="1"/>
                <w:color w:val="auto"/>
                <w:w w:val="87"/>
              </w:rPr>
              <w:t>Years ended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100" w:type="dxa"/>
            <w:vAlign w:val="bottom"/>
          </w:tcPr>
          <w:p>
            <w:pPr>
              <w:spacing w:after="0"/>
              <w:rPr>
                <w:sz w:val="15"/>
                <w:szCs w:val="15"/>
                <w:color w:val="auto"/>
              </w:rPr>
            </w:pPr>
          </w:p>
        </w:tc>
        <w:tc>
          <w:tcPr>
            <w:tcW w:w="2440" w:type="dxa"/>
            <w:vAlign w:val="bottom"/>
            <w:gridSpan w:val="2"/>
          </w:tcPr>
          <w:p>
            <w:pPr>
              <w:jc w:val="center"/>
              <w:ind w:left="633"/>
              <w:spacing w:after="0"/>
              <w:rPr>
                <w:sz w:val="20"/>
                <w:szCs w:val="20"/>
                <w:color w:val="auto"/>
              </w:rPr>
            </w:pPr>
            <w:r>
              <w:rPr>
                <w:rFonts w:ascii="Arial" w:cs="Arial" w:eastAsia="Arial" w:hAnsi="Arial"/>
                <w:sz w:val="13"/>
                <w:szCs w:val="13"/>
                <w:b w:val="1"/>
                <w:bCs w:val="1"/>
                <w:color w:val="auto"/>
                <w:w w:val="92"/>
              </w:rPr>
              <w:t>December 31,</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0"/>
        </w:trPr>
        <w:tc>
          <w:tcPr>
            <w:tcW w:w="810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8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5E0B3"/>
          </w:tcPr>
          <w:p>
            <w:pPr>
              <w:spacing w:after="0"/>
              <w:rPr>
                <w:sz w:val="17"/>
                <w:szCs w:val="17"/>
                <w:color w:val="auto"/>
              </w:rPr>
            </w:pPr>
          </w:p>
        </w:tc>
        <w:tc>
          <w:tcPr>
            <w:tcW w:w="840" w:type="dxa"/>
            <w:vAlign w:val="bottom"/>
            <w:tcBorders>
              <w:bottom w:val="single" w:sz="8" w:color="70AD47"/>
            </w:tcBorders>
          </w:tcPr>
          <w:p>
            <w:pPr>
              <w:spacing w:after="0"/>
              <w:rPr>
                <w:sz w:val="17"/>
                <w:szCs w:val="17"/>
                <w:color w:val="auto"/>
              </w:rPr>
            </w:pPr>
          </w:p>
        </w:tc>
        <w:tc>
          <w:tcPr>
            <w:tcW w:w="740" w:type="dxa"/>
            <w:vAlign w:val="bottom"/>
            <w:tcBorders>
              <w:bottom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81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Audit fees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€578</w:t>
            </w:r>
          </w:p>
        </w:tc>
        <w:tc>
          <w:tcPr>
            <w:tcW w:w="8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210"/>
        </w:trPr>
        <w:tc>
          <w:tcPr>
            <w:tcW w:w="81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Audit-related fees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721</w:t>
            </w:r>
          </w:p>
        </w:tc>
        <w:tc>
          <w:tcPr>
            <w:tcW w:w="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1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Tax fees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132</w:t>
            </w:r>
          </w:p>
        </w:tc>
        <w:tc>
          <w:tcPr>
            <w:tcW w:w="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2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All other fees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49</w:t>
            </w:r>
          </w:p>
        </w:tc>
        <w:tc>
          <w:tcPr>
            <w:tcW w:w="840" w:type="dxa"/>
            <w:vAlign w:val="bottom"/>
            <w:tcBorders>
              <w:bottom w:val="single" w:sz="8" w:color="70AD47"/>
            </w:tcBorders>
          </w:tcPr>
          <w:p>
            <w:pPr>
              <w:spacing w:after="0"/>
              <w:rPr>
                <w:sz w:val="19"/>
                <w:szCs w:val="19"/>
                <w:color w:val="auto"/>
              </w:rPr>
            </w:pP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 fees for professional audit services and other services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€1,480</w:t>
            </w:r>
          </w:p>
        </w:tc>
        <w:tc>
          <w:tcPr>
            <w:tcW w:w="840" w:type="dxa"/>
            <w:vAlign w:val="bottom"/>
            <w:tcBorders>
              <w:bottom w:val="single" w:sz="8" w:color="70AD47"/>
            </w:tcBorders>
          </w:tcPr>
          <w:p>
            <w:pPr>
              <w:spacing w:after="0"/>
              <w:rPr>
                <w:sz w:val="17"/>
                <w:szCs w:val="17"/>
                <w:color w:val="auto"/>
              </w:rPr>
            </w:pPr>
          </w:p>
        </w:tc>
        <w:tc>
          <w:tcPr>
            <w:tcW w:w="7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€623</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40" w:firstLine="554"/>
        <w:spacing w:after="0" w:line="287" w:lineRule="auto"/>
        <w:rPr>
          <w:sz w:val="20"/>
          <w:szCs w:val="20"/>
          <w:color w:val="auto"/>
        </w:rPr>
      </w:pPr>
      <w:r>
        <w:rPr>
          <w:rFonts w:ascii="Arial" w:cs="Arial" w:eastAsia="Arial" w:hAnsi="Arial"/>
          <w:sz w:val="13"/>
          <w:szCs w:val="13"/>
          <w:color w:val="auto"/>
        </w:rPr>
        <w:t>Audit fees relate to the audit of the financial statements as set out in this Annual Report, certain procedures on our quarterly results and services related to our statutory and regulatory filings for our subsidiaries.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Audit-related fees billed for assurance and related services that are related to the issuance of a comfort letter in connection with our IPO in October 2019 and fees for other services relate to the IPO.</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Tax service fees were billed for services in conjunction with transactions, especially with our IPO in October 2019.</w:t>
      </w:r>
    </w:p>
    <w:p>
      <w:pPr>
        <w:spacing w:after="0" w:line="170" w:lineRule="exact"/>
        <w:rPr>
          <w:sz w:val="20"/>
          <w:szCs w:val="20"/>
          <w:color w:val="auto"/>
        </w:rPr>
      </w:pPr>
    </w:p>
    <w:p>
      <w:pPr>
        <w:ind w:right="180" w:firstLine="556"/>
        <w:spacing w:after="0" w:line="267" w:lineRule="auto"/>
        <w:rPr>
          <w:sz w:val="20"/>
          <w:szCs w:val="20"/>
          <w:color w:val="auto"/>
        </w:rPr>
      </w:pPr>
      <w:r>
        <w:rPr>
          <w:rFonts w:ascii="Arial" w:cs="Arial" w:eastAsia="Arial" w:hAnsi="Arial"/>
          <w:sz w:val="13"/>
          <w:szCs w:val="13"/>
          <w:color w:val="auto"/>
        </w:rPr>
        <w:t>The Audit Committee evaluates the qualifications, independence and performance of the independent auditor as well as pre-approves and reviews the audit and non-audit services to be performed by the independent auditor. The external audit plan and fees for professional audit services and other services rendered by EY for the year ended December 31, 2019 were approved by the Audit Committee. The external audit plan and fees for professional audit services and other services rendered by EY for the year ended December 31, 2018 were approved by the Supervisory Board. The Audit Committee monitors compliance with the German and U.S. rules on non-audit services provided by an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16D. Exemptions from the Listing Standards for Audit Committees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Please see “Board Practices—Supervisory Board Practices—Audit Committee” in Item 6C in this Annual Report for the information required by this Item 16D.</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16E. Purchases of Equity Securities by the Issuer and Affiliated Purchasers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67" w:right="319" w:bottom="1440" w:gutter="0" w:footer="0" w:header="0"/>
        </w:sectPr>
      </w:pPr>
    </w:p>
    <w:bookmarkStart w:id="248" w:name="page249"/>
    <w:bookmarkEnd w:id="248"/>
    <w:p>
      <w:pPr>
        <w:spacing w:after="0"/>
        <w:rPr>
          <w:sz w:val="20"/>
          <w:szCs w:val="20"/>
          <w:color w:val="auto"/>
        </w:rPr>
      </w:pPr>
      <w:r>
        <w:rPr>
          <w:rFonts w:ascii="Arial" w:cs="Arial" w:eastAsia="Arial" w:hAnsi="Arial"/>
          <w:sz w:val="13"/>
          <w:szCs w:val="13"/>
          <w:b w:val="1"/>
          <w:bCs w:val="1"/>
          <w:color w:val="auto"/>
        </w:rPr>
        <w:t>Item 16F. Change in Registrant’s Certifying Accountant</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16G. Corporate Governance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German Corporate Governance Code</w:t>
      </w:r>
    </w:p>
    <w:p>
      <w:pPr>
        <w:spacing w:after="0" w:line="94" w:lineRule="exact"/>
        <w:rPr>
          <w:sz w:val="20"/>
          <w:szCs w:val="20"/>
          <w:color w:val="auto"/>
        </w:rPr>
      </w:pPr>
    </w:p>
    <w:p>
      <w:pPr>
        <w:ind w:right="20" w:firstLine="556"/>
        <w:spacing w:after="0" w:line="291" w:lineRule="auto"/>
        <w:rPr>
          <w:sz w:val="20"/>
          <w:szCs w:val="20"/>
          <w:color w:val="auto"/>
        </w:rPr>
      </w:pPr>
      <w:r>
        <w:rPr>
          <w:rFonts w:ascii="Arial" w:cs="Arial" w:eastAsia="Arial" w:hAnsi="Arial"/>
          <w:sz w:val="12"/>
          <w:szCs w:val="12"/>
          <w:color w:val="231F20"/>
        </w:rPr>
        <w:t>The German Corporate Governance Code, or the Corporate Governance Code, was originally published by the German Federal Ministry of Justice (</w:t>
      </w:r>
      <w:r>
        <w:rPr>
          <w:rFonts w:ascii="Arial" w:cs="Arial" w:eastAsia="Arial" w:hAnsi="Arial"/>
          <w:sz w:val="12"/>
          <w:szCs w:val="12"/>
          <w:i w:val="1"/>
          <w:iCs w:val="1"/>
          <w:color w:val="231F20"/>
        </w:rPr>
        <w:t>Bundesministerium der Justiz</w:t>
      </w:r>
      <w:r>
        <w:rPr>
          <w:rFonts w:ascii="Arial" w:cs="Arial" w:eastAsia="Arial" w:hAnsi="Arial"/>
          <w:sz w:val="12"/>
          <w:szCs w:val="12"/>
          <w:color w:val="231F20"/>
        </w:rPr>
        <w:t>) in 2002. The version currently in effect, dated December 16, 2019, was published in the German Federal Gazette (</w:t>
      </w:r>
      <w:r>
        <w:rPr>
          <w:rFonts w:ascii="Arial" w:cs="Arial" w:eastAsia="Arial" w:hAnsi="Arial"/>
          <w:sz w:val="12"/>
          <w:szCs w:val="12"/>
          <w:i w:val="1"/>
          <w:iCs w:val="1"/>
          <w:color w:val="231F20"/>
        </w:rPr>
        <w:t>Bundesanzeiger</w:t>
      </w:r>
      <w:r>
        <w:rPr>
          <w:rFonts w:ascii="Arial" w:cs="Arial" w:eastAsia="Arial" w:hAnsi="Arial"/>
          <w:sz w:val="12"/>
          <w:szCs w:val="12"/>
          <w:color w:val="231F20"/>
        </w:rPr>
        <w:t>) on March 20, 2020. The Corporate Governance Code contains recommendations (</w:t>
      </w:r>
      <w:r>
        <w:rPr>
          <w:rFonts w:ascii="Arial" w:cs="Arial" w:eastAsia="Arial" w:hAnsi="Arial"/>
          <w:sz w:val="12"/>
          <w:szCs w:val="12"/>
          <w:i w:val="1"/>
          <w:iCs w:val="1"/>
          <w:color w:val="231F20"/>
        </w:rPr>
        <w:t>Empfehlungen</w:t>
      </w:r>
      <w:r>
        <w:rPr>
          <w:rFonts w:ascii="Arial" w:cs="Arial" w:eastAsia="Arial" w:hAnsi="Arial"/>
          <w:sz w:val="12"/>
          <w:szCs w:val="12"/>
          <w:color w:val="231F20"/>
        </w:rPr>
        <w:t>) and suggestions (</w:t>
      </w:r>
      <w:r>
        <w:rPr>
          <w:rFonts w:ascii="Arial" w:cs="Arial" w:eastAsia="Arial" w:hAnsi="Arial"/>
          <w:sz w:val="12"/>
          <w:szCs w:val="12"/>
          <w:i w:val="1"/>
          <w:iCs w:val="1"/>
          <w:color w:val="231F20"/>
        </w:rPr>
        <w:t>Anregungen</w:t>
      </w:r>
      <w:r>
        <w:rPr>
          <w:rFonts w:ascii="Arial" w:cs="Arial" w:eastAsia="Arial" w:hAnsi="Arial"/>
          <w:sz w:val="12"/>
          <w:szCs w:val="12"/>
          <w:color w:val="231F20"/>
        </w:rPr>
        <w:t>) relating to the management and supervision of German companies that are listed on a stock exchange. It follows internationally and nationally recognized standards for good and responsible corporate governance. The purpose of the Corporate Governance Code is to make the German system of corporate governance transparent for investors. The Corporate Governance Code includes corporate governance recommendations and suggestions with respect to shareholders and shareholders’ meetings, the management and supervisory boards, transparency, accounting policies and auditing.</w:t>
      </w:r>
    </w:p>
    <w:p>
      <w:pPr>
        <w:spacing w:after="0" w:line="123" w:lineRule="exact"/>
        <w:rPr>
          <w:sz w:val="20"/>
          <w:szCs w:val="20"/>
          <w:color w:val="auto"/>
        </w:rPr>
      </w:pPr>
    </w:p>
    <w:p>
      <w:pPr>
        <w:ind w:right="20" w:firstLine="556"/>
        <w:spacing w:after="0" w:line="261" w:lineRule="auto"/>
        <w:rPr>
          <w:sz w:val="20"/>
          <w:szCs w:val="20"/>
          <w:color w:val="auto"/>
        </w:rPr>
      </w:pPr>
      <w:r>
        <w:rPr>
          <w:rFonts w:ascii="Arial" w:cs="Arial" w:eastAsia="Arial" w:hAnsi="Arial"/>
          <w:sz w:val="13"/>
          <w:szCs w:val="13"/>
          <w:color w:val="231F20"/>
        </w:rPr>
        <w:t>There is no obligation to comply with the recommendations or suggestions of the Corporate Governance Code. The German Stock Corporation Act (</w:t>
      </w:r>
      <w:r>
        <w:rPr>
          <w:rFonts w:ascii="Arial" w:cs="Arial" w:eastAsia="Arial" w:hAnsi="Arial"/>
          <w:sz w:val="13"/>
          <w:szCs w:val="13"/>
          <w:i w:val="1"/>
          <w:iCs w:val="1"/>
          <w:color w:val="231F20"/>
        </w:rPr>
        <w:t>Aktiengesetz</w:t>
      </w:r>
      <w:r>
        <w:rPr>
          <w:rFonts w:ascii="Arial" w:cs="Arial" w:eastAsia="Arial" w:hAnsi="Arial"/>
          <w:sz w:val="13"/>
          <w:szCs w:val="13"/>
          <w:color w:val="231F20"/>
        </w:rPr>
        <w:t>) requires only that the management board and supervisory board of a German company listed on a trading facility (such as a stock exchange) which is regulated and supervised by government authorities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w:t>
      </w:r>
      <w:r>
        <w:rPr>
          <w:rFonts w:ascii="Arial" w:cs="Arial" w:eastAsia="Arial" w:hAnsi="Arial"/>
          <w:sz w:val="13"/>
          <w:szCs w:val="13"/>
          <w:i w:val="1"/>
          <w:iCs w:val="1"/>
          <w:color w:val="231F20"/>
        </w:rPr>
        <w:t>Entsprechenserklärung</w:t>
      </w:r>
      <w:r>
        <w:rPr>
          <w:rFonts w:ascii="Arial" w:cs="Arial" w:eastAsia="Arial" w:hAnsi="Arial"/>
          <w:sz w:val="13"/>
          <w:szCs w:val="13"/>
          <w:color w:val="231F20"/>
        </w:rPr>
        <w:t>). In addition, a listed company is also required to state in this annual declaration whether it intends to comply with the recommendations or list the recommendations it does not plan to comply with in the future. These declarations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42" w:lineRule="exact"/>
        <w:rPr>
          <w:sz w:val="20"/>
          <w:szCs w:val="20"/>
          <w:color w:val="auto"/>
        </w:rPr>
      </w:pPr>
    </w:p>
    <w:p>
      <w:pPr>
        <w:jc w:val="both"/>
        <w:ind w:right="80" w:firstLine="556"/>
        <w:spacing w:after="0" w:line="272" w:lineRule="auto"/>
        <w:rPr>
          <w:sz w:val="20"/>
          <w:szCs w:val="20"/>
          <w:color w:val="auto"/>
        </w:rPr>
      </w:pPr>
      <w:r>
        <w:rPr>
          <w:rFonts w:ascii="Arial" w:cs="Arial" w:eastAsia="Arial" w:hAnsi="Arial"/>
          <w:sz w:val="13"/>
          <w:szCs w:val="13"/>
          <w:color w:val="231F20"/>
        </w:rPr>
        <w:t>While in our opinion it is doubtful whether the above legal requirements and hence the Corporate Governance Code will apply following our listing on the Nasdaq Global Select Market, we intend to issue the annual declaration described above on a voluntary basis. Therefore, our Management Board and Supervisory Board will comply with the Corporate Governance Code except for such provisions which are explicitly listed in the annual declaration and for which they provide an explanation of non-compliance.</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Differences in Corporate Law</w:t>
      </w:r>
    </w:p>
    <w:p>
      <w:pPr>
        <w:spacing w:after="0" w:line="94"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pacing w:after="0" w:line="290" w:lineRule="exact"/>
        <w:rPr>
          <w:sz w:val="20"/>
          <w:szCs w:val="20"/>
          <w:color w:val="auto"/>
        </w:rPr>
      </w:pPr>
    </w:p>
    <w:p>
      <w:pPr>
        <w:ind w:left="3140"/>
        <w:spacing w:after="0"/>
        <w:tabs>
          <w:tab w:leader="none" w:pos="8680" w:val="left"/>
        </w:tabs>
        <w:rPr>
          <w:sz w:val="20"/>
          <w:szCs w:val="20"/>
          <w:color w:val="auto"/>
        </w:rPr>
      </w:pPr>
      <w:r>
        <w:rPr>
          <w:rFonts w:ascii="Arial" w:cs="Arial" w:eastAsia="Arial" w:hAnsi="Arial"/>
          <w:sz w:val="11"/>
          <w:szCs w:val="11"/>
          <w:b w:val="1"/>
          <w:bCs w:val="1"/>
          <w:i w:val="1"/>
          <w:iCs w:val="1"/>
          <w:color w:val="231F20"/>
        </w:rPr>
        <w:t>European Union/Federal Republic of Germany</w:t>
      </w:r>
      <w:r>
        <w:rPr>
          <w:sz w:val="20"/>
          <w:szCs w:val="20"/>
          <w:color w:val="auto"/>
        </w:rPr>
        <w:tab/>
      </w:r>
      <w:r>
        <w:rPr>
          <w:rFonts w:ascii="Arial" w:cs="Arial" w:eastAsia="Arial" w:hAnsi="Arial"/>
          <w:sz w:val="9"/>
          <w:szCs w:val="9"/>
          <w:b w:val="1"/>
          <w:bCs w:val="1"/>
          <w:i w:val="1"/>
          <w:iCs w:val="1"/>
          <w:color w:val="231F20"/>
        </w:rPr>
        <w:t>Delaware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367" w:right="359" w:bottom="1440" w:gutter="0" w:footer="0" w:header="0"/>
        </w:sectPr>
      </w:pPr>
    </w:p>
    <w:bookmarkStart w:id="249" w:name="page250"/>
    <w:bookmarkEnd w:id="249"/>
    <w:p>
      <w:pPr>
        <w:ind w:left="2820"/>
        <w:spacing w:after="0"/>
        <w:rPr>
          <w:sz w:val="20"/>
          <w:szCs w:val="20"/>
          <w:color w:val="auto"/>
        </w:rPr>
      </w:pPr>
      <w:r>
        <w:rPr>
          <w:rFonts w:ascii="Arial" w:cs="Arial" w:eastAsia="Arial" w:hAnsi="Arial"/>
          <w:sz w:val="11"/>
          <w:szCs w:val="11"/>
          <w:b w:val="1"/>
          <w:bCs w:val="1"/>
          <w:i w:val="1"/>
          <w:iCs w:val="1"/>
          <w:color w:val="231F20"/>
        </w:rPr>
        <w:t>European Union/Federal Republic of Germany</w:t>
      </w:r>
    </w:p>
    <w:p>
      <w:pPr>
        <w:spacing w:after="0" w:line="19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Board System</w:t>
      </w:r>
      <w:r>
        <w:rPr>
          <w:sz w:val="20"/>
          <w:szCs w:val="20"/>
          <w:color w:val="auto"/>
        </w:rPr>
        <w:tab/>
      </w:r>
      <w:r>
        <w:rPr>
          <w:rFonts w:ascii="Arial" w:cs="Arial" w:eastAsia="Arial" w:hAnsi="Arial"/>
          <w:sz w:val="12"/>
          <w:szCs w:val="12"/>
          <w:color w:val="231F20"/>
        </w:rPr>
        <w:t>A European stock corporation may choose to have a two-tier board structure</w:t>
      </w:r>
    </w:p>
    <w:p>
      <w:pPr>
        <w:spacing w:after="0" w:line="19" w:lineRule="exact"/>
        <w:rPr>
          <w:sz w:val="20"/>
          <w:szCs w:val="20"/>
          <w:color w:val="auto"/>
        </w:rPr>
      </w:pPr>
    </w:p>
    <w:p>
      <w:pPr>
        <w:ind w:left="1820" w:right="360"/>
        <w:spacing w:after="0" w:line="273" w:lineRule="auto"/>
        <w:rPr>
          <w:sz w:val="20"/>
          <w:szCs w:val="20"/>
          <w:color w:val="auto"/>
        </w:rPr>
      </w:pPr>
      <w:r>
        <w:rPr>
          <w:rFonts w:ascii="Arial" w:cs="Arial" w:eastAsia="Arial" w:hAnsi="Arial"/>
          <w:sz w:val="13"/>
          <w:szCs w:val="13"/>
          <w:color w:val="231F20"/>
        </w:rPr>
        <w:t>composed of the Management Board (</w:t>
      </w:r>
      <w:r>
        <w:rPr>
          <w:rFonts w:ascii="Arial" w:cs="Arial" w:eastAsia="Arial" w:hAnsi="Arial"/>
          <w:sz w:val="13"/>
          <w:szCs w:val="13"/>
          <w:i w:val="1"/>
          <w:iCs w:val="1"/>
          <w:color w:val="231F20"/>
        </w:rPr>
        <w:t>Vorstand</w:t>
      </w:r>
      <w:r>
        <w:rPr>
          <w:rFonts w:ascii="Arial" w:cs="Arial" w:eastAsia="Arial" w:hAnsi="Arial"/>
          <w:sz w:val="13"/>
          <w:szCs w:val="13"/>
          <w:color w:val="231F20"/>
        </w:rPr>
        <w:t>) and the Supervisory Board (</w:t>
      </w:r>
      <w:r>
        <w:rPr>
          <w:rFonts w:ascii="Arial" w:cs="Arial" w:eastAsia="Arial" w:hAnsi="Arial"/>
          <w:sz w:val="13"/>
          <w:szCs w:val="13"/>
          <w:i w:val="1"/>
          <w:iCs w:val="1"/>
          <w:color w:val="231F20"/>
        </w:rPr>
        <w:t>Aufsichtsrat</w:t>
      </w:r>
      <w:r>
        <w:rPr>
          <w:rFonts w:ascii="Arial" w:cs="Arial" w:eastAsia="Arial" w:hAnsi="Arial"/>
          <w:sz w:val="13"/>
          <w:szCs w:val="13"/>
          <w:color w:val="231F20"/>
        </w:rPr>
        <w:t>). We have chosen this structure.</w:t>
      </w:r>
    </w:p>
    <w:p>
      <w:pPr>
        <w:spacing w:after="0" w:line="51" w:lineRule="exact"/>
        <w:rPr>
          <w:sz w:val="20"/>
          <w:szCs w:val="20"/>
          <w:color w:val="auto"/>
        </w:rPr>
      </w:pPr>
    </w:p>
    <w:p>
      <w:pPr>
        <w:ind w:left="1820" w:right="280"/>
        <w:spacing w:after="0" w:line="287" w:lineRule="auto"/>
        <w:rPr>
          <w:sz w:val="20"/>
          <w:szCs w:val="20"/>
          <w:color w:val="auto"/>
        </w:rPr>
      </w:pPr>
      <w:r>
        <w:rPr>
          <w:rFonts w:ascii="Arial" w:cs="Arial" w:eastAsia="Arial" w:hAnsi="Arial"/>
          <w:sz w:val="13"/>
          <w:szCs w:val="13"/>
          <w:color w:val="231F20"/>
        </w:rPr>
        <w:t>The Management Board is responsible for running the company’s affairs and representing the company in dealings with third parties.</w:t>
      </w:r>
    </w:p>
    <w:p>
      <w:pPr>
        <w:spacing w:after="0" w:line="42" w:lineRule="exact"/>
        <w:rPr>
          <w:sz w:val="20"/>
          <w:szCs w:val="20"/>
          <w:color w:val="auto"/>
        </w:rPr>
      </w:pPr>
    </w:p>
    <w:p>
      <w:pPr>
        <w:ind w:left="1820" w:right="40"/>
        <w:spacing w:after="0" w:line="267" w:lineRule="auto"/>
        <w:rPr>
          <w:sz w:val="20"/>
          <w:szCs w:val="20"/>
          <w:color w:val="auto"/>
        </w:rPr>
      </w:pPr>
      <w:r>
        <w:rPr>
          <w:rFonts w:ascii="Arial" w:cs="Arial" w:eastAsia="Arial" w:hAnsi="Arial"/>
          <w:sz w:val="13"/>
          <w:szCs w:val="13"/>
          <w:color w:val="231F20"/>
        </w:rPr>
        <w:t>The Supervisory Board of a European stock corporation under German law has a control and supervisory function. The Supervisory Board does not actively manage the company but certain Management Board actions require the approval of the Supervisory Board.</w:t>
      </w:r>
    </w:p>
    <w:p>
      <w:pPr>
        <w:spacing w:after="0" w:line="135"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Appointment and Number</w:t>
      </w:r>
      <w:r>
        <w:rPr>
          <w:sz w:val="20"/>
          <w:szCs w:val="20"/>
          <w:color w:val="auto"/>
        </w:rPr>
        <w:tab/>
      </w:r>
      <w:r>
        <w:rPr>
          <w:rFonts w:ascii="Arial" w:cs="Arial" w:eastAsia="Arial" w:hAnsi="Arial"/>
          <w:sz w:val="11"/>
          <w:szCs w:val="11"/>
          <w:color w:val="231F20"/>
        </w:rPr>
        <w:t>Under applicable European and German law, a European stock corporation</w:t>
      </w:r>
    </w:p>
    <w:p>
      <w:pPr>
        <w:spacing w:after="0" w:line="1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of Directors</w:t>
      </w:r>
      <w:r>
        <w:rPr>
          <w:sz w:val="20"/>
          <w:szCs w:val="20"/>
          <w:color w:val="auto"/>
        </w:rPr>
        <w:tab/>
      </w:r>
      <w:r>
        <w:rPr>
          <w:rFonts w:ascii="Arial" w:cs="Arial" w:eastAsia="Arial" w:hAnsi="Arial"/>
          <w:sz w:val="12"/>
          <w:szCs w:val="12"/>
          <w:color w:val="231F20"/>
        </w:rPr>
        <w:t>governed by German law with a share capital of at least €3 million generally must</w:t>
      </w:r>
    </w:p>
    <w:p>
      <w:pPr>
        <w:spacing w:after="0" w:line="10" w:lineRule="exact"/>
        <w:rPr>
          <w:sz w:val="20"/>
          <w:szCs w:val="20"/>
          <w:color w:val="auto"/>
        </w:rPr>
      </w:pPr>
    </w:p>
    <w:p>
      <w:pPr>
        <w:ind w:left="1820" w:right="20"/>
        <w:spacing w:after="0" w:line="265" w:lineRule="auto"/>
        <w:rPr>
          <w:sz w:val="20"/>
          <w:szCs w:val="20"/>
          <w:color w:val="auto"/>
        </w:rPr>
      </w:pPr>
      <w:r>
        <w:rPr>
          <w:rFonts w:ascii="Arial" w:cs="Arial" w:eastAsia="Arial" w:hAnsi="Arial"/>
          <w:sz w:val="13"/>
          <w:szCs w:val="13"/>
          <w:color w:val="231F20"/>
        </w:rPr>
        <w:t>have at least two members on its Management Board and the number of members shall be determined by or in the manner provided in the company’s articles of association.</w:t>
      </w:r>
    </w:p>
    <w:p>
      <w:pPr>
        <w:spacing w:after="0" w:line="56" w:lineRule="exact"/>
        <w:rPr>
          <w:sz w:val="20"/>
          <w:szCs w:val="20"/>
          <w:color w:val="auto"/>
        </w:rPr>
      </w:pPr>
    </w:p>
    <w:p>
      <w:pPr>
        <w:ind w:left="1820" w:right="20"/>
        <w:spacing w:after="0" w:line="323" w:lineRule="auto"/>
        <w:rPr>
          <w:sz w:val="20"/>
          <w:szCs w:val="20"/>
          <w:color w:val="auto"/>
        </w:rPr>
      </w:pPr>
      <w:r>
        <w:rPr>
          <w:rFonts w:ascii="Arial" w:cs="Arial" w:eastAsia="Arial" w:hAnsi="Arial"/>
          <w:sz w:val="11"/>
          <w:szCs w:val="11"/>
          <w:color w:val="231F20"/>
        </w:rPr>
        <w:t>The Supervisory Board must consist of at least three but—depending on the share capital—no more than 21 Supervisory Board members, whereby the number of Supervisory Board members must be divisible by three if this is necessary for the fulfilment of co-determination requirements. The articles of association of the company must specify if the Supervisory Board has more than three members.</w:t>
      </w:r>
    </w:p>
    <w:p>
      <w:pPr>
        <w:spacing w:after="0" w:line="29" w:lineRule="exact"/>
        <w:rPr>
          <w:sz w:val="20"/>
          <w:szCs w:val="20"/>
          <w:color w:val="auto"/>
        </w:rPr>
      </w:pPr>
    </w:p>
    <w:p>
      <w:pPr>
        <w:ind w:left="1820"/>
        <w:spacing w:after="0" w:line="287" w:lineRule="auto"/>
        <w:rPr>
          <w:sz w:val="20"/>
          <w:szCs w:val="20"/>
          <w:color w:val="auto"/>
        </w:rPr>
      </w:pPr>
      <w:r>
        <w:rPr>
          <w:rFonts w:ascii="Arial" w:cs="Arial" w:eastAsia="Arial" w:hAnsi="Arial"/>
          <w:sz w:val="12"/>
          <w:szCs w:val="12"/>
          <w:color w:val="231F20"/>
        </w:rPr>
        <w:t>Supervisory Board members are either appointed by the shareholders’ meeting or delegated by one or more individual shareholders if so provided for in the company’s articles of association. If the Supervisory Board consists of fewer members than is required to meet the quorum for resolutions (either statutory or pursuant to the company’s articles of association), a competent court may appoint additional members as needed to meet the quorum. The provisions of German law in relation to employees’ co-determination do not apply to the Company.</w:t>
      </w:r>
    </w:p>
    <w:p>
      <w:pPr>
        <w:spacing w:after="0" w:line="125"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62865</wp:posOffset>
            </wp:positionV>
            <wp:extent cx="7180580" cy="127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Arial" w:cs="Arial" w:eastAsia="Arial" w:hAnsi="Arial"/>
          <w:sz w:val="11"/>
          <w:szCs w:val="11"/>
          <w:b w:val="1"/>
          <w:bCs w:val="1"/>
          <w:i w:val="1"/>
          <w:iCs w:val="1"/>
          <w:color w:val="231F20"/>
        </w:rPr>
        <w:t>Delaware</w:t>
      </w:r>
    </w:p>
    <w:p>
      <w:pPr>
        <w:spacing w:after="0" w:line="199"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231F20"/>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55" w:lineRule="exact"/>
        <w:rPr>
          <w:sz w:val="20"/>
          <w:szCs w:val="20"/>
          <w:color w:val="auto"/>
        </w:rPr>
      </w:pPr>
    </w:p>
    <w:p>
      <w:pPr>
        <w:ind w:right="40"/>
        <w:spacing w:after="0" w:line="287" w:lineRule="auto"/>
        <w:rPr>
          <w:sz w:val="20"/>
          <w:szCs w:val="20"/>
          <w:color w:val="auto"/>
        </w:rPr>
      </w:pPr>
      <w:r>
        <w:rPr>
          <w:rFonts w:ascii="Arial" w:cs="Arial" w:eastAsia="Arial" w:hAnsi="Arial"/>
          <w:sz w:val="13"/>
          <w:szCs w:val="13"/>
          <w:color w:val="231F20"/>
        </w:rPr>
        <w:t>Management is responsible for running the corporation and overseeing its day-to-day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331" w:lineRule="auto"/>
        <w:rPr>
          <w:sz w:val="20"/>
          <w:szCs w:val="20"/>
          <w:color w:val="auto"/>
        </w:rPr>
      </w:pPr>
      <w:r>
        <w:rPr>
          <w:rFonts w:ascii="Arial" w:cs="Arial" w:eastAsia="Arial" w:hAnsi="Arial"/>
          <w:sz w:val="12"/>
          <w:szCs w:val="12"/>
          <w:color w:val="231F20"/>
        </w:rPr>
        <w:t>Under Delaware law, a corporation must have at least one director and the number of directors shall be fixed by or in the manner provided in the bylaws.</w:t>
      </w:r>
    </w:p>
    <w:p>
      <w:pPr>
        <w:sectPr>
          <w:pgSz w:w="11900" w:h="16838" w:orient="portrait"/>
          <w:cols w:equalWidth="0" w:num="2">
            <w:col w:w="6200" w:space="360"/>
            <w:col w:w="4380"/>
          </w:cols>
          <w:pgMar w:left="620" w:top="126" w:right="339" w:bottom="1440" w:gutter="0" w:footer="0" w:header="0"/>
        </w:sectPr>
      </w:pPr>
    </w:p>
    <w:bookmarkStart w:id="250" w:name="page251"/>
    <w:bookmarkEnd w:id="250"/>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231F20"/>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3"/>
          <w:szCs w:val="13"/>
          <w:color w:val="231F20"/>
        </w:rPr>
        <w:t>Vacancies on the Board of Directors</w:t>
      </w:r>
    </w:p>
    <w:p>
      <w:pPr>
        <w:spacing w:after="0" w:line="20" w:lineRule="exact"/>
        <w:rPr>
          <w:sz w:val="20"/>
          <w:szCs w:val="20"/>
          <w:color w:val="auto"/>
        </w:rPr>
      </w:pPr>
      <w:r>
        <w:rPr>
          <w:sz w:val="20"/>
          <w:szCs w:val="20"/>
          <w:color w:val="auto"/>
        </w:rPr>
        <w:br w:type="column"/>
      </w:r>
    </w:p>
    <w:p>
      <w:pPr>
        <w:ind w:left="1000"/>
        <w:spacing w:after="0"/>
        <w:rPr>
          <w:sz w:val="20"/>
          <w:szCs w:val="20"/>
          <w:color w:val="auto"/>
        </w:rPr>
      </w:pPr>
      <w:r>
        <w:rPr>
          <w:rFonts w:ascii="Arial" w:cs="Arial" w:eastAsia="Arial" w:hAnsi="Arial"/>
          <w:sz w:val="11"/>
          <w:szCs w:val="11"/>
          <w:b w:val="1"/>
          <w:bCs w:val="1"/>
          <w:i w:val="1"/>
          <w:iCs w:val="1"/>
          <w:color w:val="231F20"/>
        </w:rPr>
        <w:t>European Union/Federal Republic of Germany</w:t>
      </w:r>
    </w:p>
    <w:p>
      <w:pPr>
        <w:spacing w:after="0" w:line="199" w:lineRule="exact"/>
        <w:rPr>
          <w:sz w:val="20"/>
          <w:szCs w:val="20"/>
          <w:color w:val="auto"/>
        </w:rPr>
      </w:pPr>
    </w:p>
    <w:p>
      <w:pPr>
        <w:ind w:right="100"/>
        <w:spacing w:after="0" w:line="288" w:lineRule="auto"/>
        <w:rPr>
          <w:sz w:val="20"/>
          <w:szCs w:val="20"/>
          <w:color w:val="auto"/>
        </w:rPr>
      </w:pPr>
      <w:r>
        <w:rPr>
          <w:rFonts w:ascii="Arial" w:cs="Arial" w:eastAsia="Arial" w:hAnsi="Arial"/>
          <w:sz w:val="12"/>
          <w:szCs w:val="12"/>
          <w:color w:val="231F20"/>
        </w:rPr>
        <w:t>Members of the Management Board of a European stock corporation are appointed by the Supervisory Board for a maximum period of six years with an opportunity to be reelected. The articles of association may provide for a shorter term, which in our case is up to five years. The members of the Management Board may be reelected, even repeatedly. The Supervisory Board may remove a member of the Management Board prior to the</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2"/>
          <w:szCs w:val="12"/>
          <w:color w:val="231F20"/>
        </w:rPr>
        <w:t>expiration of his or her term only for cause, such as gross breach of duties (</w:t>
      </w:r>
      <w:r>
        <w:rPr>
          <w:rFonts w:ascii="Arial" w:cs="Arial" w:eastAsia="Arial" w:hAnsi="Arial"/>
          <w:sz w:val="12"/>
          <w:szCs w:val="12"/>
          <w:i w:val="1"/>
          <w:iCs w:val="1"/>
          <w:color w:val="231F20"/>
        </w:rPr>
        <w:t>grobe</w:t>
      </w:r>
      <w:r>
        <w:rPr>
          <w:rFonts w:ascii="Arial" w:cs="Arial" w:eastAsia="Arial" w:hAnsi="Arial"/>
          <w:sz w:val="12"/>
          <w:szCs w:val="12"/>
          <w:color w:val="231F20"/>
        </w:rPr>
        <w:t xml:space="preserve"> </w:t>
      </w:r>
      <w:r>
        <w:rPr>
          <w:rFonts w:ascii="Arial" w:cs="Arial" w:eastAsia="Arial" w:hAnsi="Arial"/>
          <w:sz w:val="12"/>
          <w:szCs w:val="12"/>
          <w:i w:val="1"/>
          <w:iCs w:val="1"/>
          <w:color w:val="231F20"/>
        </w:rPr>
        <w:t>Pflichtverletzung</w:t>
      </w:r>
      <w:r>
        <w:rPr>
          <w:rFonts w:ascii="Arial" w:cs="Arial" w:eastAsia="Arial" w:hAnsi="Arial"/>
          <w:sz w:val="12"/>
          <w:szCs w:val="12"/>
          <w:color w:val="231F20"/>
        </w:rPr>
        <w:t>), the inability to manage the business properly (</w:t>
      </w:r>
      <w:r>
        <w:rPr>
          <w:rFonts w:ascii="Arial" w:cs="Arial" w:eastAsia="Arial" w:hAnsi="Arial"/>
          <w:sz w:val="12"/>
          <w:szCs w:val="12"/>
          <w:i w:val="1"/>
          <w:iCs w:val="1"/>
          <w:color w:val="231F20"/>
        </w:rPr>
        <w:t>Unfähigkeit zur ordnungsgemäßen Pflichtausübung</w:t>
      </w:r>
      <w:r>
        <w:rPr>
          <w:rFonts w:ascii="Arial" w:cs="Arial" w:eastAsia="Arial" w:hAnsi="Arial"/>
          <w:sz w:val="12"/>
          <w:szCs w:val="12"/>
          <w:color w:val="231F20"/>
        </w:rPr>
        <w:t>) or a vote of no-confidence during the</w:t>
      </w:r>
      <w:r>
        <w:rPr>
          <w:rFonts w:ascii="Arial" w:cs="Arial" w:eastAsia="Arial" w:hAnsi="Arial"/>
          <w:sz w:val="12"/>
          <w:szCs w:val="12"/>
          <w:i w:val="1"/>
          <w:iCs w:val="1"/>
          <w:color w:val="231F20"/>
        </w:rPr>
        <w:t xml:space="preserve"> </w:t>
      </w:r>
      <w:r>
        <w:rPr>
          <w:rFonts w:ascii="Arial" w:cs="Arial" w:eastAsia="Arial" w:hAnsi="Arial"/>
          <w:sz w:val="12"/>
          <w:szCs w:val="12"/>
          <w:color w:val="231F20"/>
        </w:rPr>
        <w:t>shareholders’ meeting (</w:t>
      </w:r>
      <w:r>
        <w:rPr>
          <w:rFonts w:ascii="Arial" w:cs="Arial" w:eastAsia="Arial" w:hAnsi="Arial"/>
          <w:sz w:val="12"/>
          <w:szCs w:val="12"/>
          <w:i w:val="1"/>
          <w:iCs w:val="1"/>
          <w:color w:val="231F20"/>
        </w:rPr>
        <w:t>Vertrauensentzug</w:t>
      </w:r>
      <w:r>
        <w:rPr>
          <w:rFonts w:ascii="Arial" w:cs="Arial" w:eastAsia="Arial" w:hAnsi="Arial"/>
          <w:sz w:val="12"/>
          <w:szCs w:val="12"/>
          <w:color w:val="231F20"/>
        </w:rPr>
        <w:t>). The shareholders themselves are not entitled to appoint or dismiss the members of the Management Board.</w:t>
      </w:r>
    </w:p>
    <w:p>
      <w:pPr>
        <w:spacing w:after="0" w:line="43" w:lineRule="exact"/>
        <w:rPr>
          <w:sz w:val="20"/>
          <w:szCs w:val="20"/>
          <w:color w:val="auto"/>
        </w:rPr>
      </w:pPr>
    </w:p>
    <w:p>
      <w:pPr>
        <w:spacing w:after="0" w:line="284" w:lineRule="auto"/>
        <w:rPr>
          <w:sz w:val="20"/>
          <w:szCs w:val="20"/>
          <w:color w:val="auto"/>
        </w:rPr>
      </w:pPr>
      <w:r>
        <w:rPr>
          <w:rFonts w:ascii="Arial" w:cs="Arial" w:eastAsia="Arial" w:hAnsi="Arial"/>
          <w:sz w:val="12"/>
          <w:szCs w:val="12"/>
          <w:color w:val="231F20"/>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13"/>
          <w:szCs w:val="13"/>
          <w:color w:val="231F20"/>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142"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62865</wp:posOffset>
            </wp:positionV>
            <wp:extent cx="7180580" cy="12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1"/>
          <w:szCs w:val="11"/>
          <w:b w:val="1"/>
          <w:bCs w:val="1"/>
          <w:i w:val="1"/>
          <w:iCs w:val="1"/>
          <w:color w:val="231F20"/>
        </w:rPr>
        <w:t>Delaware</w:t>
      </w:r>
    </w:p>
    <w:p>
      <w:pPr>
        <w:spacing w:after="0" w:line="199" w:lineRule="exact"/>
        <w:rPr>
          <w:sz w:val="20"/>
          <w:szCs w:val="20"/>
          <w:color w:val="auto"/>
        </w:rPr>
      </w:pPr>
    </w:p>
    <w:p>
      <w:pPr>
        <w:spacing w:after="0" w:line="284" w:lineRule="auto"/>
        <w:rPr>
          <w:sz w:val="20"/>
          <w:szCs w:val="20"/>
          <w:color w:val="auto"/>
        </w:rPr>
      </w:pPr>
      <w:r>
        <w:rPr>
          <w:rFonts w:ascii="Arial" w:cs="Arial" w:eastAsia="Arial" w:hAnsi="Arial"/>
          <w:sz w:val="12"/>
          <w:szCs w:val="12"/>
          <w:color w:val="231F20"/>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87" w:lineRule="auto"/>
        <w:rPr>
          <w:sz w:val="20"/>
          <w:szCs w:val="20"/>
          <w:color w:val="auto"/>
        </w:rPr>
      </w:pPr>
      <w:r>
        <w:rPr>
          <w:rFonts w:ascii="Arial" w:cs="Arial" w:eastAsia="Arial" w:hAnsi="Arial"/>
          <w:sz w:val="12"/>
          <w:szCs w:val="12"/>
          <w:color w:val="231F20"/>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3">
            <w:col w:w="1400" w:space="420"/>
            <w:col w:w="4380" w:space="360"/>
            <w:col w:w="4400"/>
          </w:cols>
          <w:pgMar w:left="620" w:top="126" w:right="319" w:bottom="1440" w:gutter="0" w:footer="0" w:header="0"/>
        </w:sectPr>
      </w:pPr>
    </w:p>
    <w:bookmarkStart w:id="251" w:name="page252"/>
    <w:bookmarkEnd w:id="251"/>
    <w:p>
      <w:pPr>
        <w:ind w:left="2820"/>
        <w:spacing w:after="0"/>
        <w:rPr>
          <w:sz w:val="20"/>
          <w:szCs w:val="20"/>
          <w:color w:val="auto"/>
        </w:rPr>
      </w:pPr>
      <w:r>
        <w:rPr>
          <w:rFonts w:ascii="Arial" w:cs="Arial" w:eastAsia="Arial" w:hAnsi="Arial"/>
          <w:sz w:val="11"/>
          <w:szCs w:val="11"/>
          <w:b w:val="1"/>
          <w:bCs w:val="1"/>
          <w:i w:val="1"/>
          <w:iCs w:val="1"/>
          <w:color w:val="231F20"/>
        </w:rPr>
        <w:t>European Union/Federal Republic of Germany</w:t>
      </w:r>
    </w:p>
    <w:p>
      <w:pPr>
        <w:spacing w:after="0" w:line="19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Annual General Meeting</w:t>
      </w:r>
      <w:r>
        <w:rPr>
          <w:sz w:val="20"/>
          <w:szCs w:val="20"/>
          <w:color w:val="auto"/>
        </w:rPr>
        <w:tab/>
      </w:r>
      <w:r>
        <w:rPr>
          <w:rFonts w:ascii="Arial" w:cs="Arial" w:eastAsia="Arial" w:hAnsi="Arial"/>
          <w:sz w:val="12"/>
          <w:szCs w:val="12"/>
          <w:color w:val="231F20"/>
        </w:rPr>
        <w:t>A European stock corporation which is governed by German law must hold an</w:t>
      </w:r>
    </w:p>
    <w:p>
      <w:pPr>
        <w:spacing w:after="0" w:line="19" w:lineRule="exact"/>
        <w:rPr>
          <w:sz w:val="20"/>
          <w:szCs w:val="20"/>
          <w:color w:val="auto"/>
        </w:rPr>
      </w:pPr>
    </w:p>
    <w:p>
      <w:pPr>
        <w:ind w:left="1820" w:right="20"/>
        <w:spacing w:after="0" w:line="261" w:lineRule="auto"/>
        <w:rPr>
          <w:sz w:val="20"/>
          <w:szCs w:val="20"/>
          <w:color w:val="auto"/>
        </w:rPr>
      </w:pPr>
      <w:r>
        <w:rPr>
          <w:rFonts w:ascii="Arial" w:cs="Arial" w:eastAsia="Arial" w:hAnsi="Arial"/>
          <w:sz w:val="13"/>
          <w:szCs w:val="13"/>
          <w:color w:val="231F20"/>
        </w:rPr>
        <w:t>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w:t>
      </w:r>
    </w:p>
    <w:p>
      <w:pPr>
        <w:spacing w:after="0" w:line="13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231F20"/>
        </w:rPr>
        <w:t>venue (in Germany) where its shares are listed.</w:t>
      </w:r>
    </w:p>
    <w:p>
      <w:pPr>
        <w:spacing w:after="0" w:line="170"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General Meeting</w:t>
      </w:r>
      <w:r>
        <w:rPr>
          <w:sz w:val="20"/>
          <w:szCs w:val="20"/>
          <w:color w:val="auto"/>
        </w:rPr>
        <w:tab/>
      </w:r>
      <w:r>
        <w:rPr>
          <w:rFonts w:ascii="Arial" w:cs="Arial" w:eastAsia="Arial" w:hAnsi="Arial"/>
          <w:sz w:val="12"/>
          <w:szCs w:val="12"/>
          <w:color w:val="231F20"/>
        </w:rPr>
        <w:t>Under the law, extraordinary shareholders’ meetings, in addition to the annual</w:t>
      </w:r>
    </w:p>
    <w:p>
      <w:pPr>
        <w:spacing w:after="0" w:line="19" w:lineRule="exact"/>
        <w:rPr>
          <w:sz w:val="20"/>
          <w:szCs w:val="20"/>
          <w:color w:val="auto"/>
        </w:rPr>
      </w:pPr>
    </w:p>
    <w:p>
      <w:pPr>
        <w:ind w:left="1820"/>
        <w:spacing w:after="0" w:line="285" w:lineRule="auto"/>
        <w:rPr>
          <w:sz w:val="20"/>
          <w:szCs w:val="20"/>
          <w:color w:val="auto"/>
        </w:rPr>
      </w:pPr>
      <w:r>
        <w:rPr>
          <w:rFonts w:ascii="Arial" w:cs="Arial" w:eastAsia="Arial" w:hAnsi="Arial"/>
          <w:sz w:val="12"/>
          <w:szCs w:val="12"/>
          <w:color w:val="231F20"/>
        </w:rPr>
        <w:t>shareholders’ meetings, may be called by either the Management Board, or by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128"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Notice of General Meetings</w:t>
      </w:r>
      <w:r>
        <w:rPr>
          <w:sz w:val="20"/>
          <w:szCs w:val="20"/>
          <w:color w:val="auto"/>
        </w:rPr>
        <w:tab/>
      </w:r>
      <w:r>
        <w:rPr>
          <w:rFonts w:ascii="Arial" w:cs="Arial" w:eastAsia="Arial" w:hAnsi="Arial"/>
          <w:sz w:val="11"/>
          <w:szCs w:val="11"/>
          <w:color w:val="231F20"/>
        </w:rPr>
        <w:t>Under applicable European and German law, unless a longer period is otherwise</w:t>
      </w:r>
    </w:p>
    <w:p>
      <w:pPr>
        <w:spacing w:after="0" w:line="19" w:lineRule="exact"/>
        <w:rPr>
          <w:sz w:val="20"/>
          <w:szCs w:val="20"/>
          <w:color w:val="auto"/>
        </w:rPr>
      </w:pPr>
    </w:p>
    <w:p>
      <w:pPr>
        <w:ind w:left="1820" w:right="80"/>
        <w:spacing w:after="0" w:line="283" w:lineRule="auto"/>
        <w:rPr>
          <w:sz w:val="20"/>
          <w:szCs w:val="20"/>
          <w:color w:val="auto"/>
        </w:rPr>
      </w:pPr>
      <w:r>
        <w:rPr>
          <w:rFonts w:ascii="Arial" w:cs="Arial" w:eastAsia="Arial" w:hAnsi="Arial"/>
          <w:sz w:val="12"/>
          <w:szCs w:val="12"/>
          <w:color w:val="231F20"/>
        </w:rPr>
        <w:t>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49" w:lineRule="exact"/>
        <w:rPr>
          <w:sz w:val="20"/>
          <w:szCs w:val="20"/>
          <w:color w:val="auto"/>
        </w:rPr>
      </w:pPr>
    </w:p>
    <w:p>
      <w:pPr>
        <w:ind w:left="1820" w:right="60"/>
        <w:spacing w:after="0" w:line="272" w:lineRule="auto"/>
        <w:rPr>
          <w:sz w:val="20"/>
          <w:szCs w:val="20"/>
          <w:color w:val="auto"/>
        </w:rPr>
      </w:pPr>
      <w:r>
        <w:rPr>
          <w:rFonts w:ascii="Arial" w:cs="Arial" w:eastAsia="Arial" w:hAnsi="Arial"/>
          <w:sz w:val="13"/>
          <w:szCs w:val="13"/>
          <w:color w:val="231F20"/>
        </w:rPr>
        <w:t>If all shareholders entitled to attend the shareholders’ meeting are present or represented and do not object to the meeting being held, the formalities of calling and holding of a shareholders’ meeting do not apply.</w:t>
      </w:r>
    </w:p>
    <w:p>
      <w:pPr>
        <w:spacing w:after="0" w:line="132"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Proxy</w:t>
      </w:r>
      <w:r>
        <w:rPr>
          <w:sz w:val="20"/>
          <w:szCs w:val="20"/>
          <w:color w:val="auto"/>
        </w:rPr>
        <w:tab/>
      </w:r>
      <w:r>
        <w:rPr>
          <w:rFonts w:ascii="Arial" w:cs="Arial" w:eastAsia="Arial" w:hAnsi="Arial"/>
          <w:sz w:val="13"/>
          <w:szCs w:val="13"/>
          <w:color w:val="231F20"/>
        </w:rPr>
        <w:t>A shareholder may designate another person to attend, speak and vote at a</w:t>
      </w:r>
    </w:p>
    <w:p>
      <w:pPr>
        <w:spacing w:after="0" w:line="19" w:lineRule="exact"/>
        <w:rPr>
          <w:sz w:val="20"/>
          <w:szCs w:val="20"/>
          <w:color w:val="auto"/>
        </w:rPr>
      </w:pPr>
    </w:p>
    <w:p>
      <w:pPr>
        <w:ind w:left="1820"/>
        <w:spacing w:after="0"/>
        <w:rPr>
          <w:sz w:val="20"/>
          <w:szCs w:val="20"/>
          <w:color w:val="auto"/>
        </w:rPr>
      </w:pPr>
      <w:r>
        <w:rPr>
          <w:rFonts w:ascii="Arial" w:cs="Arial" w:eastAsia="Arial" w:hAnsi="Arial"/>
          <w:sz w:val="12"/>
          <w:szCs w:val="12"/>
          <w:color w:val="231F20"/>
        </w:rPr>
        <w:t>shareholders’ meeting of the company on such shareholder’s behalf by proxy.</w:t>
      </w:r>
    </w:p>
    <w:p>
      <w:pPr>
        <w:spacing w:after="0" w:line="93" w:lineRule="exact"/>
        <w:rPr>
          <w:sz w:val="20"/>
          <w:szCs w:val="20"/>
          <w:color w:val="auto"/>
        </w:rPr>
      </w:pPr>
    </w:p>
    <w:p>
      <w:pPr>
        <w:ind w:left="1820"/>
        <w:spacing w:after="0"/>
        <w:rPr>
          <w:sz w:val="20"/>
          <w:szCs w:val="20"/>
          <w:color w:val="auto"/>
        </w:rPr>
      </w:pPr>
      <w:r>
        <w:rPr>
          <w:rFonts w:ascii="Arial" w:cs="Arial" w:eastAsia="Arial" w:hAnsi="Arial"/>
          <w:sz w:val="12"/>
          <w:szCs w:val="12"/>
          <w:color w:val="231F20"/>
        </w:rPr>
        <w:t>With respect to Management Board meetings, a Management Board member may</w:t>
      </w:r>
    </w:p>
    <w:p>
      <w:pPr>
        <w:spacing w:after="0" w:line="31" w:lineRule="exact"/>
        <w:rPr>
          <w:sz w:val="20"/>
          <w:szCs w:val="20"/>
          <w:color w:val="auto"/>
        </w:rPr>
      </w:pPr>
    </w:p>
    <w:p>
      <w:pPr>
        <w:ind w:left="1820"/>
        <w:spacing w:after="0"/>
        <w:rPr>
          <w:sz w:val="20"/>
          <w:szCs w:val="20"/>
          <w:color w:val="auto"/>
        </w:rPr>
      </w:pPr>
      <w:r>
        <w:rPr>
          <w:rFonts w:ascii="Arial" w:cs="Arial" w:eastAsia="Arial" w:hAnsi="Arial"/>
          <w:sz w:val="13"/>
          <w:szCs w:val="13"/>
          <w:color w:val="231F20"/>
        </w:rPr>
        <w:t>transmit its (written or verbal) vote via another Management Board member.</w:t>
      </w:r>
    </w:p>
    <w:p>
      <w:pPr>
        <w:spacing w:after="0" w:line="82" w:lineRule="exact"/>
        <w:rPr>
          <w:sz w:val="20"/>
          <w:szCs w:val="20"/>
          <w:color w:val="auto"/>
        </w:rPr>
      </w:pPr>
    </w:p>
    <w:p>
      <w:pPr>
        <w:ind w:left="1820"/>
        <w:spacing w:after="0"/>
        <w:rPr>
          <w:sz w:val="20"/>
          <w:szCs w:val="20"/>
          <w:color w:val="auto"/>
        </w:rPr>
      </w:pPr>
      <w:r>
        <w:rPr>
          <w:rFonts w:ascii="Arial" w:cs="Arial" w:eastAsia="Arial" w:hAnsi="Arial"/>
          <w:sz w:val="12"/>
          <w:szCs w:val="12"/>
          <w:color w:val="231F20"/>
        </w:rPr>
        <w:t>With respect to Supervisory Board meetings, a Supervisory Board member may</w:t>
      </w:r>
    </w:p>
    <w:p>
      <w:pPr>
        <w:spacing w:after="0" w:line="31" w:lineRule="exact"/>
        <w:rPr>
          <w:sz w:val="20"/>
          <w:szCs w:val="20"/>
          <w:color w:val="auto"/>
        </w:rPr>
      </w:pPr>
    </w:p>
    <w:p>
      <w:pPr>
        <w:ind w:left="1820"/>
        <w:spacing w:after="0"/>
        <w:rPr>
          <w:sz w:val="20"/>
          <w:szCs w:val="20"/>
          <w:color w:val="auto"/>
        </w:rPr>
      </w:pPr>
      <w:r>
        <w:rPr>
          <w:rFonts w:ascii="Arial" w:cs="Arial" w:eastAsia="Arial" w:hAnsi="Arial"/>
          <w:sz w:val="13"/>
          <w:szCs w:val="13"/>
          <w:color w:val="231F20"/>
        </w:rPr>
        <w:t>participate in voting by issuing a written vote to another Supervisory Board</w:t>
      </w:r>
    </w:p>
    <w:p>
      <w:pPr>
        <w:spacing w:after="0" w:line="10" w:lineRule="exact"/>
        <w:rPr>
          <w:sz w:val="20"/>
          <w:szCs w:val="20"/>
          <w:color w:val="auto"/>
        </w:rPr>
      </w:pPr>
    </w:p>
    <w:p>
      <w:pPr>
        <w:ind w:left="1820"/>
        <w:spacing w:after="0"/>
        <w:rPr>
          <w:sz w:val="20"/>
          <w:szCs w:val="20"/>
          <w:color w:val="auto"/>
        </w:rPr>
      </w:pPr>
      <w:r>
        <w:rPr>
          <w:rFonts w:ascii="Arial" w:cs="Arial" w:eastAsia="Arial" w:hAnsi="Arial"/>
          <w:sz w:val="13"/>
          <w:szCs w:val="13"/>
          <w:color w:val="231F20"/>
        </w:rPr>
        <w:t>member or any third party entitled to attend the Supervisory Board meeting.</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62865</wp:posOffset>
            </wp:positionV>
            <wp:extent cx="7180580" cy="127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1"/>
          <w:szCs w:val="11"/>
          <w:b w:val="1"/>
          <w:bCs w:val="1"/>
          <w:i w:val="1"/>
          <w:iCs w:val="1"/>
          <w:color w:val="231F20"/>
        </w:rPr>
        <w:t>Delaware</w:t>
      </w:r>
    </w:p>
    <w:p>
      <w:pPr>
        <w:spacing w:after="0" w:line="199"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231F20"/>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80"/>
        <w:spacing w:after="0" w:line="272" w:lineRule="auto"/>
        <w:rPr>
          <w:sz w:val="20"/>
          <w:szCs w:val="20"/>
          <w:color w:val="auto"/>
        </w:rPr>
      </w:pPr>
      <w:r>
        <w:rPr>
          <w:rFonts w:ascii="Arial" w:cs="Arial" w:eastAsia="Arial" w:hAnsi="Arial"/>
          <w:sz w:val="13"/>
          <w:szCs w:val="13"/>
          <w:color w:val="231F20"/>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231F20"/>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231F20"/>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6220" w:space="340"/>
            <w:col w:w="4400"/>
          </w:cols>
          <w:pgMar w:left="620" w:top="126" w:right="319" w:bottom="1440" w:gutter="0" w:footer="0" w:header="0"/>
        </w:sectPr>
      </w:pPr>
    </w:p>
    <w:bookmarkStart w:id="252" w:name="page253"/>
    <w:bookmarkEnd w:id="252"/>
    <w:p>
      <w:pPr>
        <w:ind w:left="2820"/>
        <w:spacing w:after="0"/>
        <w:rPr>
          <w:sz w:val="20"/>
          <w:szCs w:val="20"/>
          <w:color w:val="auto"/>
        </w:rPr>
      </w:pPr>
      <w:r>
        <w:rPr>
          <w:rFonts w:ascii="Arial" w:cs="Arial" w:eastAsia="Arial" w:hAnsi="Arial"/>
          <w:sz w:val="11"/>
          <w:szCs w:val="11"/>
          <w:b w:val="1"/>
          <w:bCs w:val="1"/>
          <w:i w:val="1"/>
          <w:iCs w:val="1"/>
          <w:color w:val="231F20"/>
        </w:rPr>
        <w:t>European Union/Federal Republic of Germany</w:t>
      </w:r>
    </w:p>
    <w:p>
      <w:pPr>
        <w:spacing w:after="0" w:line="19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Preemptive Rights</w:t>
      </w:r>
      <w:r>
        <w:rPr>
          <w:sz w:val="20"/>
          <w:szCs w:val="20"/>
          <w:color w:val="auto"/>
        </w:rPr>
        <w:tab/>
      </w:r>
      <w:r>
        <w:rPr>
          <w:rFonts w:ascii="Arial" w:cs="Arial" w:eastAsia="Arial" w:hAnsi="Arial"/>
          <w:sz w:val="12"/>
          <w:szCs w:val="12"/>
          <w:color w:val="231F20"/>
        </w:rPr>
        <w:t>Under the law applicable to European stock corporations governed by German</w:t>
      </w:r>
    </w:p>
    <w:p>
      <w:pPr>
        <w:spacing w:after="0" w:line="19" w:lineRule="exact"/>
        <w:rPr>
          <w:sz w:val="20"/>
          <w:szCs w:val="20"/>
          <w:color w:val="auto"/>
        </w:rPr>
      </w:pPr>
    </w:p>
    <w:p>
      <w:pPr>
        <w:ind w:left="1820"/>
        <w:spacing w:after="0" w:line="283" w:lineRule="auto"/>
        <w:rPr>
          <w:sz w:val="20"/>
          <w:szCs w:val="20"/>
          <w:color w:val="auto"/>
        </w:rPr>
      </w:pPr>
      <w:r>
        <w:rPr>
          <w:rFonts w:ascii="Arial" w:cs="Arial" w:eastAsia="Arial" w:hAnsi="Arial"/>
          <w:sz w:val="12"/>
          <w:szCs w:val="12"/>
          <w:color w:val="231F20"/>
        </w:rPr>
        <w:t>law, existing shareholders have a statutory subscription right for any additional issue of shares or any security convertible into shares pro rata to the nominal value of their respective holdings in the company, unless (i) 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p>
      <w:pPr>
        <w:spacing w:after="0" w:line="12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Authority to Allot</w:t>
      </w:r>
      <w:r>
        <w:rPr>
          <w:sz w:val="20"/>
          <w:szCs w:val="20"/>
          <w:color w:val="auto"/>
        </w:rPr>
        <w:tab/>
      </w:r>
      <w:r>
        <w:rPr>
          <w:rFonts w:ascii="Arial" w:cs="Arial" w:eastAsia="Arial" w:hAnsi="Arial"/>
          <w:sz w:val="11"/>
          <w:szCs w:val="11"/>
          <w:color w:val="231F20"/>
        </w:rPr>
        <w:t>Under applicable European and German law, the Management Board may not</w:t>
      </w:r>
    </w:p>
    <w:p>
      <w:pPr>
        <w:spacing w:after="0" w:line="19" w:lineRule="exact"/>
        <w:rPr>
          <w:sz w:val="20"/>
          <w:szCs w:val="20"/>
          <w:color w:val="auto"/>
        </w:rPr>
      </w:pPr>
    </w:p>
    <w:p>
      <w:pPr>
        <w:ind w:left="1820"/>
        <w:spacing w:after="0" w:line="287" w:lineRule="auto"/>
        <w:rPr>
          <w:sz w:val="20"/>
          <w:szCs w:val="20"/>
          <w:color w:val="auto"/>
        </w:rPr>
      </w:pPr>
      <w:r>
        <w:rPr>
          <w:rFonts w:ascii="Arial" w:cs="Arial" w:eastAsia="Arial" w:hAnsi="Arial"/>
          <w:sz w:val="12"/>
          <w:szCs w:val="12"/>
          <w:color w:val="231F20"/>
        </w:rPr>
        <w:t>allot shares, grant rights to subscribe for or to convert any security into shares unless a shareholder resolution to that effect has been passed at the company’s shareholders’ meeting granting the Management Board with such authority— subject to the approval of the Supervisory Board—in each case in accordance with the provisions of the German Stock Corporation Act.</w:t>
      </w:r>
    </w:p>
    <w:p>
      <w:pPr>
        <w:spacing w:after="0" w:line="286"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62865</wp:posOffset>
            </wp:positionV>
            <wp:extent cx="7180580" cy="127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1"/>
          <w:szCs w:val="11"/>
          <w:b w:val="1"/>
          <w:bCs w:val="1"/>
          <w:i w:val="1"/>
          <w:iCs w:val="1"/>
          <w:color w:val="231F20"/>
        </w:rPr>
        <w:t>Delaware</w:t>
      </w:r>
    </w:p>
    <w:p>
      <w:pPr>
        <w:spacing w:after="0" w:line="199" w:lineRule="exact"/>
        <w:rPr>
          <w:sz w:val="20"/>
          <w:szCs w:val="20"/>
          <w:color w:val="auto"/>
        </w:rPr>
      </w:pPr>
    </w:p>
    <w:p>
      <w:pPr>
        <w:spacing w:after="0" w:line="267" w:lineRule="auto"/>
        <w:rPr>
          <w:sz w:val="20"/>
          <w:szCs w:val="20"/>
          <w:color w:val="auto"/>
        </w:rPr>
      </w:pPr>
      <w:r>
        <w:rPr>
          <w:rFonts w:ascii="Arial" w:cs="Arial" w:eastAsia="Arial" w:hAnsi="Arial"/>
          <w:sz w:val="13"/>
          <w:szCs w:val="13"/>
          <w:color w:val="231F20"/>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87" w:lineRule="auto"/>
        <w:rPr>
          <w:sz w:val="20"/>
          <w:szCs w:val="20"/>
          <w:color w:val="auto"/>
        </w:rPr>
      </w:pPr>
      <w:r>
        <w:rPr>
          <w:rFonts w:ascii="Arial" w:cs="Arial" w:eastAsia="Arial" w:hAnsi="Arial"/>
          <w:sz w:val="12"/>
          <w:szCs w:val="12"/>
          <w:color w:val="231F20"/>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6220" w:space="340"/>
            <w:col w:w="4400"/>
          </w:cols>
          <w:pgMar w:left="620" w:top="126" w:right="319" w:bottom="1440" w:gutter="0" w:footer="0" w:header="0"/>
        </w:sectPr>
      </w:pPr>
    </w:p>
    <w:bookmarkStart w:id="253" w:name="page254"/>
    <w:bookmarkEnd w:id="253"/>
    <w:p>
      <w:pPr>
        <w:ind w:left="2820"/>
        <w:spacing w:after="0"/>
        <w:rPr>
          <w:sz w:val="20"/>
          <w:szCs w:val="20"/>
          <w:color w:val="auto"/>
        </w:rPr>
      </w:pPr>
      <w:r>
        <w:rPr>
          <w:rFonts w:ascii="Arial" w:cs="Arial" w:eastAsia="Arial" w:hAnsi="Arial"/>
          <w:sz w:val="11"/>
          <w:szCs w:val="11"/>
          <w:b w:val="1"/>
          <w:bCs w:val="1"/>
          <w:i w:val="1"/>
          <w:iCs w:val="1"/>
          <w:color w:val="231F20"/>
        </w:rPr>
        <w:t>European Union/Federal Republic of Germany</w:t>
      </w:r>
    </w:p>
    <w:p>
      <w:pPr>
        <w:spacing w:after="0" w:line="19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Liability of Directors and</w:t>
      </w:r>
      <w:r>
        <w:rPr>
          <w:sz w:val="20"/>
          <w:szCs w:val="20"/>
          <w:color w:val="auto"/>
        </w:rPr>
        <w:tab/>
      </w:r>
      <w:r>
        <w:rPr>
          <w:rFonts w:ascii="Arial" w:cs="Arial" w:eastAsia="Arial" w:hAnsi="Arial"/>
          <w:sz w:val="12"/>
          <w:szCs w:val="12"/>
          <w:color w:val="231F20"/>
        </w:rPr>
        <w:t>Under German law, any provision, whether contained in the company’s articles of</w:t>
      </w:r>
    </w:p>
    <w:p>
      <w:pPr>
        <w:spacing w:after="0" w:line="19" w:lineRule="exact"/>
        <w:rPr>
          <w:sz w:val="20"/>
          <w:szCs w:val="20"/>
          <w:color w:val="auto"/>
        </w:rPr>
      </w:pPr>
    </w:p>
    <w:p>
      <w:pPr>
        <w:spacing w:after="0"/>
        <w:tabs>
          <w:tab w:leader="none" w:pos="1800" w:val="left"/>
        </w:tabs>
        <w:rPr>
          <w:sz w:val="20"/>
          <w:szCs w:val="20"/>
          <w:color w:val="auto"/>
        </w:rPr>
      </w:pPr>
      <w:r>
        <w:rPr>
          <w:rFonts w:ascii="Arial" w:cs="Arial" w:eastAsia="Arial" w:hAnsi="Arial"/>
          <w:sz w:val="11"/>
          <w:szCs w:val="11"/>
          <w:color w:val="231F20"/>
        </w:rPr>
        <w:t>Officers</w:t>
      </w:r>
      <w:r>
        <w:rPr>
          <w:sz w:val="20"/>
          <w:szCs w:val="20"/>
          <w:color w:val="auto"/>
        </w:rPr>
        <w:tab/>
      </w:r>
      <w:r>
        <w:rPr>
          <w:rFonts w:ascii="Arial" w:cs="Arial" w:eastAsia="Arial" w:hAnsi="Arial"/>
          <w:sz w:val="11"/>
          <w:szCs w:val="11"/>
          <w:color w:val="231F20"/>
        </w:rPr>
        <w:t>association or any contract or otherwise, that purports to exempt a Management or</w:t>
      </w:r>
    </w:p>
    <w:p>
      <w:pPr>
        <w:spacing w:after="0" w:line="33" w:lineRule="exact"/>
        <w:rPr>
          <w:sz w:val="20"/>
          <w:szCs w:val="20"/>
          <w:color w:val="auto"/>
        </w:rPr>
      </w:pPr>
    </w:p>
    <w:p>
      <w:pPr>
        <w:ind w:left="1820" w:right="20"/>
        <w:spacing w:after="0" w:line="265" w:lineRule="auto"/>
        <w:rPr>
          <w:sz w:val="20"/>
          <w:szCs w:val="20"/>
          <w:color w:val="auto"/>
        </w:rPr>
      </w:pPr>
      <w:r>
        <w:rPr>
          <w:rFonts w:ascii="Arial" w:cs="Arial" w:eastAsia="Arial" w:hAnsi="Arial"/>
          <w:sz w:val="13"/>
          <w:szCs w:val="13"/>
          <w:color w:val="231F20"/>
        </w:rPr>
        <w:t>Supervisory Board member from any liability that would otherwise attach to such board member in connection with any negligence, default, breach of duty or breach of trust in relation to the company is void.</w:t>
      </w:r>
    </w:p>
    <w:p>
      <w:pPr>
        <w:spacing w:after="0" w:line="56" w:lineRule="exact"/>
        <w:rPr>
          <w:sz w:val="20"/>
          <w:szCs w:val="20"/>
          <w:color w:val="auto"/>
        </w:rPr>
      </w:pPr>
    </w:p>
    <w:p>
      <w:pPr>
        <w:ind w:left="1820" w:right="20"/>
        <w:spacing w:after="0" w:line="288" w:lineRule="auto"/>
        <w:rPr>
          <w:sz w:val="20"/>
          <w:szCs w:val="20"/>
          <w:color w:val="auto"/>
        </w:rPr>
      </w:pPr>
      <w:r>
        <w:rPr>
          <w:rFonts w:ascii="Arial" w:cs="Arial" w:eastAsia="Arial" w:hAnsi="Arial"/>
          <w:sz w:val="12"/>
          <w:szCs w:val="12"/>
          <w:color w:val="231F20"/>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claims for damages against a negligent Management</w:t>
      </w:r>
    </w:p>
    <w:p>
      <w:pPr>
        <w:spacing w:after="0" w:line="46" w:lineRule="exact"/>
        <w:rPr>
          <w:sz w:val="20"/>
          <w:szCs w:val="20"/>
          <w:color w:val="auto"/>
        </w:rPr>
      </w:pPr>
    </w:p>
    <w:p>
      <w:pPr>
        <w:ind w:left="1820"/>
        <w:spacing w:after="0"/>
        <w:rPr>
          <w:sz w:val="20"/>
          <w:szCs w:val="20"/>
          <w:color w:val="auto"/>
        </w:rPr>
      </w:pPr>
      <w:r>
        <w:rPr>
          <w:rFonts w:ascii="Arial" w:cs="Arial" w:eastAsia="Arial" w:hAnsi="Arial"/>
          <w:sz w:val="13"/>
          <w:szCs w:val="13"/>
          <w:color w:val="231F20"/>
        </w:rPr>
        <w:t>or Supervisory Board member only after the expiry of three years.</w:t>
      </w:r>
    </w:p>
    <w:p>
      <w:pPr>
        <w:spacing w:after="0" w:line="330"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Voting Rights</w:t>
      </w:r>
      <w:r>
        <w:rPr>
          <w:sz w:val="20"/>
          <w:szCs w:val="20"/>
          <w:color w:val="auto"/>
        </w:rPr>
        <w:tab/>
      </w:r>
      <w:r>
        <w:rPr>
          <w:rFonts w:ascii="Arial" w:cs="Arial" w:eastAsia="Arial" w:hAnsi="Arial"/>
          <w:sz w:val="11"/>
          <w:szCs w:val="11"/>
          <w:color w:val="231F20"/>
        </w:rPr>
        <w:t>Under the relevant European and German law, each share, except for statutory</w:t>
      </w:r>
    </w:p>
    <w:p>
      <w:pPr>
        <w:spacing w:after="0" w:line="19" w:lineRule="exact"/>
        <w:rPr>
          <w:sz w:val="20"/>
          <w:szCs w:val="20"/>
          <w:color w:val="auto"/>
        </w:rPr>
      </w:pPr>
    </w:p>
    <w:p>
      <w:pPr>
        <w:ind w:left="1820" w:right="60"/>
        <w:spacing w:after="0" w:line="314" w:lineRule="auto"/>
        <w:rPr>
          <w:sz w:val="20"/>
          <w:szCs w:val="20"/>
          <w:color w:val="auto"/>
        </w:rPr>
      </w:pPr>
      <w:r>
        <w:rPr>
          <w:rFonts w:ascii="Arial" w:cs="Arial" w:eastAsia="Arial" w:hAnsi="Arial"/>
          <w:sz w:val="11"/>
          <w:szCs w:val="11"/>
          <w:color w:val="231F20"/>
        </w:rPr>
        <w:t>non-voting preferred shares (</w:t>
      </w:r>
      <w:r>
        <w:rPr>
          <w:rFonts w:ascii="Arial" w:cs="Arial" w:eastAsia="Arial" w:hAnsi="Arial"/>
          <w:sz w:val="11"/>
          <w:szCs w:val="11"/>
          <w:i w:val="1"/>
          <w:iCs w:val="1"/>
          <w:color w:val="231F20"/>
        </w:rPr>
        <w:t>nicht stimmberechtigte Vorzugsaktien</w:t>
      </w:r>
      <w:r>
        <w:rPr>
          <w:rFonts w:ascii="Arial" w:cs="Arial" w:eastAsia="Arial" w:hAnsi="Arial"/>
          <w:sz w:val="11"/>
          <w:szCs w:val="11"/>
          <w:color w:val="231F20"/>
        </w:rPr>
        <w:t>), entitles its holder to vote at the shareholders’ meeting with, in the case of no-par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p>
      <w:pPr>
        <w:spacing w:after="0" w:line="113"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Shareholder Vote on</w:t>
      </w:r>
      <w:r>
        <w:rPr>
          <w:sz w:val="20"/>
          <w:szCs w:val="20"/>
          <w:color w:val="auto"/>
        </w:rPr>
        <w:tab/>
      </w:r>
      <w:r>
        <w:rPr>
          <w:rFonts w:ascii="Arial" w:cs="Arial" w:eastAsia="Arial" w:hAnsi="Arial"/>
          <w:sz w:val="12"/>
          <w:szCs w:val="12"/>
          <w:color w:val="231F20"/>
        </w:rPr>
        <w:t>Under applicable European and German law, certain shareholders’ resolutions of</w:t>
      </w:r>
    </w:p>
    <w:p>
      <w:pPr>
        <w:spacing w:after="0" w:line="1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Certain Transactions</w:t>
      </w:r>
      <w:r>
        <w:rPr>
          <w:sz w:val="20"/>
          <w:szCs w:val="20"/>
          <w:color w:val="auto"/>
        </w:rPr>
        <w:tab/>
      </w:r>
      <w:r>
        <w:rPr>
          <w:rFonts w:ascii="Arial" w:cs="Arial" w:eastAsia="Arial" w:hAnsi="Arial"/>
          <w:sz w:val="11"/>
          <w:szCs w:val="11"/>
          <w:color w:val="231F20"/>
        </w:rPr>
        <w:t>fundamental importance require the vote of at least three-quarters of the share</w:t>
      </w:r>
    </w:p>
    <w:p>
      <w:pPr>
        <w:spacing w:after="0" w:line="10" w:lineRule="exact"/>
        <w:rPr>
          <w:sz w:val="20"/>
          <w:szCs w:val="20"/>
          <w:color w:val="auto"/>
        </w:rPr>
      </w:pPr>
    </w:p>
    <w:p>
      <w:pPr>
        <w:ind w:left="1820" w:right="120"/>
        <w:spacing w:after="0" w:line="259" w:lineRule="auto"/>
        <w:rPr>
          <w:sz w:val="20"/>
          <w:szCs w:val="20"/>
          <w:color w:val="auto"/>
        </w:rPr>
      </w:pPr>
      <w:r>
        <w:rPr>
          <w:rFonts w:ascii="Arial" w:cs="Arial" w:eastAsia="Arial" w:hAnsi="Arial"/>
          <w:sz w:val="13"/>
          <w:szCs w:val="13"/>
          <w:color w:val="231F20"/>
        </w:rPr>
        <w:t>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3"/>
          <w:szCs w:val="13"/>
          <w:i w:val="1"/>
          <w:iCs w:val="1"/>
          <w:color w:val="231F20"/>
        </w:rPr>
        <w:t>Unternehmensverträge</w:t>
      </w:r>
      <w:r>
        <w:rPr>
          <w:rFonts w:ascii="Arial" w:cs="Arial" w:eastAsia="Arial" w:hAnsi="Arial"/>
          <w:sz w:val="13"/>
          <w:szCs w:val="13"/>
          <w:color w:val="231F20"/>
        </w:rPr>
        <w:t>), in particular domination agreements (</w:t>
      </w:r>
      <w:r>
        <w:rPr>
          <w:rFonts w:ascii="Arial" w:cs="Arial" w:eastAsia="Arial" w:hAnsi="Arial"/>
          <w:sz w:val="13"/>
          <w:szCs w:val="13"/>
          <w:i w:val="1"/>
          <w:iCs w:val="1"/>
          <w:color w:val="231F20"/>
        </w:rPr>
        <w:t>Beherrschungsverträge</w:t>
      </w:r>
      <w:r>
        <w:rPr>
          <w:rFonts w:ascii="Arial" w:cs="Arial" w:eastAsia="Arial" w:hAnsi="Arial"/>
          <w:sz w:val="13"/>
          <w:szCs w:val="13"/>
          <w:color w:val="231F20"/>
        </w:rPr>
        <w:t>) and profit and loss transfer agreements (</w:t>
      </w:r>
      <w:r>
        <w:rPr>
          <w:rFonts w:ascii="Arial" w:cs="Arial" w:eastAsia="Arial" w:hAnsi="Arial"/>
          <w:sz w:val="13"/>
          <w:szCs w:val="13"/>
          <w:i w:val="1"/>
          <w:iCs w:val="1"/>
          <w:color w:val="231F20"/>
        </w:rPr>
        <w:t>Ergebnisabführungsverträge</w:t>
      </w:r>
      <w:r>
        <w:rPr>
          <w:rFonts w:ascii="Arial" w:cs="Arial" w:eastAsia="Arial" w:hAnsi="Arial"/>
          <w:sz w:val="13"/>
          <w:szCs w:val="13"/>
          <w:color w:val="231F20"/>
        </w:rPr>
        <w:t>).</w:t>
      </w:r>
    </w:p>
    <w:p>
      <w:pPr>
        <w:spacing w:after="0" w:line="140"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62865</wp:posOffset>
            </wp:positionV>
            <wp:extent cx="7180580" cy="127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Arial" w:cs="Arial" w:eastAsia="Arial" w:hAnsi="Arial"/>
          <w:sz w:val="11"/>
          <w:szCs w:val="11"/>
          <w:b w:val="1"/>
          <w:bCs w:val="1"/>
          <w:i w:val="1"/>
          <w:iCs w:val="1"/>
          <w:color w:val="231F20"/>
        </w:rPr>
        <w:t>Delaware</w:t>
      </w:r>
    </w:p>
    <w:p>
      <w:pPr>
        <w:spacing w:after="0" w:line="199" w:lineRule="exact"/>
        <w:rPr>
          <w:sz w:val="20"/>
          <w:szCs w:val="20"/>
          <w:color w:val="auto"/>
        </w:rPr>
      </w:pPr>
    </w:p>
    <w:p>
      <w:pPr>
        <w:ind w:right="120"/>
        <w:spacing w:after="0" w:line="296" w:lineRule="auto"/>
        <w:rPr>
          <w:sz w:val="20"/>
          <w:szCs w:val="20"/>
          <w:color w:val="auto"/>
        </w:rPr>
      </w:pPr>
      <w:r>
        <w:rPr>
          <w:rFonts w:ascii="Arial" w:cs="Arial" w:eastAsia="Arial" w:hAnsi="Arial"/>
          <w:sz w:val="12"/>
          <w:szCs w:val="12"/>
          <w:color w:val="231F20"/>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39" w:lineRule="exact"/>
        <w:rPr>
          <w:sz w:val="20"/>
          <w:szCs w:val="20"/>
          <w:color w:val="auto"/>
        </w:rPr>
      </w:pPr>
    </w:p>
    <w:p>
      <w:pPr>
        <w:ind w:left="260" w:right="540" w:hanging="191"/>
        <w:spacing w:after="0" w:line="287" w:lineRule="auto"/>
        <w:tabs>
          <w:tab w:leader="none" w:pos="256" w:val="left"/>
        </w:tabs>
        <w:numPr>
          <w:ilvl w:val="0"/>
          <w:numId w:val="302"/>
        </w:numPr>
        <w:rPr>
          <w:rFonts w:ascii="Arial" w:cs="Arial" w:eastAsia="Arial" w:hAnsi="Arial"/>
          <w:sz w:val="13"/>
          <w:szCs w:val="13"/>
          <w:color w:val="231F20"/>
        </w:rPr>
      </w:pPr>
      <w:r>
        <w:rPr>
          <w:rFonts w:ascii="Arial" w:cs="Arial" w:eastAsia="Arial" w:hAnsi="Arial"/>
          <w:sz w:val="13"/>
          <w:szCs w:val="13"/>
          <w:color w:val="231F20"/>
        </w:rPr>
        <w:t>any breach of the director’s duty of loyalty to the corporation or its stockholders;</w:t>
      </w:r>
    </w:p>
    <w:p>
      <w:pPr>
        <w:spacing w:after="0" w:line="42" w:lineRule="exact"/>
        <w:rPr>
          <w:rFonts w:ascii="Arial" w:cs="Arial" w:eastAsia="Arial" w:hAnsi="Arial"/>
          <w:sz w:val="13"/>
          <w:szCs w:val="13"/>
          <w:color w:val="231F20"/>
        </w:rPr>
      </w:pPr>
    </w:p>
    <w:p>
      <w:pPr>
        <w:ind w:left="260" w:right="80" w:hanging="191"/>
        <w:spacing w:after="0" w:line="287" w:lineRule="auto"/>
        <w:tabs>
          <w:tab w:leader="none" w:pos="256" w:val="left"/>
        </w:tabs>
        <w:numPr>
          <w:ilvl w:val="0"/>
          <w:numId w:val="302"/>
        </w:numPr>
        <w:rPr>
          <w:rFonts w:ascii="Arial" w:cs="Arial" w:eastAsia="Arial" w:hAnsi="Arial"/>
          <w:sz w:val="13"/>
          <w:szCs w:val="13"/>
          <w:color w:val="231F20"/>
        </w:rPr>
      </w:pPr>
      <w:r>
        <w:rPr>
          <w:rFonts w:ascii="Arial" w:cs="Arial" w:eastAsia="Arial" w:hAnsi="Arial"/>
          <w:sz w:val="13"/>
          <w:szCs w:val="13"/>
          <w:color w:val="231F20"/>
        </w:rPr>
        <w:t>acts or omissions not in good faith or that involve intentional misconduct or a knowing violation of law;</w:t>
      </w:r>
    </w:p>
    <w:p>
      <w:pPr>
        <w:spacing w:after="0" w:line="42" w:lineRule="exact"/>
        <w:rPr>
          <w:rFonts w:ascii="Arial" w:cs="Arial" w:eastAsia="Arial" w:hAnsi="Arial"/>
          <w:sz w:val="13"/>
          <w:szCs w:val="13"/>
          <w:color w:val="231F20"/>
        </w:rPr>
      </w:pPr>
    </w:p>
    <w:p>
      <w:pPr>
        <w:ind w:left="260" w:right="160" w:hanging="191"/>
        <w:spacing w:after="0" w:line="287" w:lineRule="auto"/>
        <w:tabs>
          <w:tab w:leader="none" w:pos="256" w:val="left"/>
        </w:tabs>
        <w:numPr>
          <w:ilvl w:val="0"/>
          <w:numId w:val="302"/>
        </w:numPr>
        <w:rPr>
          <w:rFonts w:ascii="Arial" w:cs="Arial" w:eastAsia="Arial" w:hAnsi="Arial"/>
          <w:sz w:val="13"/>
          <w:szCs w:val="13"/>
          <w:color w:val="231F20"/>
        </w:rPr>
      </w:pPr>
      <w:r>
        <w:rPr>
          <w:rFonts w:ascii="Arial" w:cs="Arial" w:eastAsia="Arial" w:hAnsi="Arial"/>
          <w:sz w:val="13"/>
          <w:szCs w:val="13"/>
          <w:color w:val="231F20"/>
        </w:rPr>
        <w:t>intentional or negligent payment of unlawful dividends or stock purchases or redemptions; or</w:t>
      </w:r>
    </w:p>
    <w:p>
      <w:pPr>
        <w:spacing w:after="0" w:line="42" w:lineRule="exact"/>
        <w:rPr>
          <w:rFonts w:ascii="Arial" w:cs="Arial" w:eastAsia="Arial" w:hAnsi="Arial"/>
          <w:sz w:val="13"/>
          <w:szCs w:val="13"/>
          <w:color w:val="231F20"/>
        </w:rPr>
      </w:pPr>
    </w:p>
    <w:p>
      <w:pPr>
        <w:ind w:left="260" w:right="420" w:hanging="191"/>
        <w:spacing w:after="0" w:line="287" w:lineRule="auto"/>
        <w:tabs>
          <w:tab w:leader="none" w:pos="256" w:val="left"/>
        </w:tabs>
        <w:numPr>
          <w:ilvl w:val="0"/>
          <w:numId w:val="302"/>
        </w:numPr>
        <w:rPr>
          <w:rFonts w:ascii="Arial" w:cs="Arial" w:eastAsia="Arial" w:hAnsi="Arial"/>
          <w:sz w:val="13"/>
          <w:szCs w:val="13"/>
          <w:color w:val="231F20"/>
        </w:rPr>
      </w:pPr>
      <w:r>
        <w:rPr>
          <w:rFonts w:ascii="Arial" w:cs="Arial" w:eastAsia="Arial" w:hAnsi="Arial"/>
          <w:sz w:val="13"/>
          <w:szCs w:val="13"/>
          <w:color w:val="231F20"/>
        </w:rPr>
        <w:t>any transaction from which the director derives an improper personal benefit.</w:t>
      </w:r>
    </w:p>
    <w:p>
      <w:pPr>
        <w:spacing w:after="0" w:line="122" w:lineRule="exact"/>
        <w:rPr>
          <w:sz w:val="20"/>
          <w:szCs w:val="20"/>
          <w:color w:val="auto"/>
        </w:rPr>
      </w:pPr>
    </w:p>
    <w:p>
      <w:pPr>
        <w:ind w:right="200"/>
        <w:spacing w:after="0" w:line="272" w:lineRule="auto"/>
        <w:rPr>
          <w:sz w:val="20"/>
          <w:szCs w:val="20"/>
          <w:color w:val="auto"/>
        </w:rPr>
      </w:pPr>
      <w:r>
        <w:rPr>
          <w:rFonts w:ascii="Arial" w:cs="Arial" w:eastAsia="Arial" w:hAnsi="Arial"/>
          <w:sz w:val="13"/>
          <w:szCs w:val="13"/>
          <w:color w:val="231F20"/>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7" w:lineRule="auto"/>
        <w:rPr>
          <w:sz w:val="20"/>
          <w:szCs w:val="20"/>
          <w:color w:val="auto"/>
        </w:rPr>
      </w:pPr>
      <w:r>
        <w:rPr>
          <w:rFonts w:ascii="Arial" w:cs="Arial" w:eastAsia="Arial" w:hAnsi="Arial"/>
          <w:sz w:val="13"/>
          <w:szCs w:val="13"/>
          <w:color w:val="231F20"/>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55" w:lineRule="exact"/>
        <w:rPr>
          <w:sz w:val="20"/>
          <w:szCs w:val="20"/>
          <w:color w:val="auto"/>
        </w:rPr>
      </w:pPr>
    </w:p>
    <w:p>
      <w:pPr>
        <w:ind w:left="260" w:hanging="191"/>
        <w:spacing w:after="0"/>
        <w:tabs>
          <w:tab w:leader="none" w:pos="260" w:val="left"/>
        </w:tabs>
        <w:numPr>
          <w:ilvl w:val="0"/>
          <w:numId w:val="303"/>
        </w:numPr>
        <w:rPr>
          <w:rFonts w:ascii="Arial" w:cs="Arial" w:eastAsia="Arial" w:hAnsi="Arial"/>
          <w:sz w:val="13"/>
          <w:szCs w:val="13"/>
          <w:color w:val="231F20"/>
        </w:rPr>
      </w:pPr>
      <w:r>
        <w:rPr>
          <w:rFonts w:ascii="Arial" w:cs="Arial" w:eastAsia="Arial" w:hAnsi="Arial"/>
          <w:sz w:val="13"/>
          <w:szCs w:val="13"/>
          <w:color w:val="231F20"/>
        </w:rPr>
        <w:t>the approval of the board of directors; and</w:t>
      </w:r>
    </w:p>
    <w:p>
      <w:pPr>
        <w:spacing w:after="0" w:line="90" w:lineRule="exact"/>
        <w:rPr>
          <w:rFonts w:ascii="Arial" w:cs="Arial" w:eastAsia="Arial" w:hAnsi="Arial"/>
          <w:sz w:val="13"/>
          <w:szCs w:val="13"/>
          <w:color w:val="231F20"/>
        </w:rPr>
      </w:pPr>
    </w:p>
    <w:p>
      <w:pPr>
        <w:ind w:left="260" w:right="60" w:hanging="191"/>
        <w:spacing w:after="0" w:line="267" w:lineRule="auto"/>
        <w:tabs>
          <w:tab w:leader="none" w:pos="256" w:val="left"/>
        </w:tabs>
        <w:numPr>
          <w:ilvl w:val="0"/>
          <w:numId w:val="303"/>
        </w:numPr>
        <w:rPr>
          <w:rFonts w:ascii="Arial" w:cs="Arial" w:eastAsia="Arial" w:hAnsi="Arial"/>
          <w:sz w:val="13"/>
          <w:szCs w:val="13"/>
          <w:color w:val="231F20"/>
        </w:rPr>
      </w:pPr>
      <w:r>
        <w:rPr>
          <w:rFonts w:ascii="Arial" w:cs="Arial" w:eastAsia="Arial" w:hAnsi="Arial"/>
          <w:sz w:val="13"/>
          <w:szCs w:val="13"/>
          <w:color w:val="231F20"/>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2">
            <w:col w:w="6200" w:space="360"/>
            <w:col w:w="4380"/>
          </w:cols>
          <w:pgMar w:left="620" w:top="126" w:right="339" w:bottom="1440" w:gutter="0" w:footer="0" w:header="0"/>
        </w:sectPr>
      </w:pPr>
    </w:p>
    <w:bookmarkStart w:id="254" w:name="page255"/>
    <w:bookmarkEnd w:id="254"/>
    <w:p>
      <w:pPr>
        <w:ind w:left="2820"/>
        <w:spacing w:after="0"/>
        <w:rPr>
          <w:sz w:val="20"/>
          <w:szCs w:val="20"/>
          <w:color w:val="auto"/>
        </w:rPr>
      </w:pPr>
      <w:r>
        <w:rPr>
          <w:rFonts w:ascii="Arial" w:cs="Arial" w:eastAsia="Arial" w:hAnsi="Arial"/>
          <w:sz w:val="11"/>
          <w:szCs w:val="11"/>
          <w:b w:val="1"/>
          <w:bCs w:val="1"/>
          <w:i w:val="1"/>
          <w:iCs w:val="1"/>
          <w:color w:val="231F20"/>
        </w:rPr>
        <w:t>European Union/Federal Republic of Germany</w:t>
      </w:r>
    </w:p>
    <w:p>
      <w:pPr>
        <w:spacing w:after="0" w:line="19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Standard of Conduct for</w:t>
      </w:r>
      <w:r>
        <w:rPr>
          <w:sz w:val="20"/>
          <w:szCs w:val="20"/>
          <w:color w:val="auto"/>
        </w:rPr>
        <w:tab/>
      </w:r>
      <w:r>
        <w:rPr>
          <w:rFonts w:ascii="Arial" w:cs="Arial" w:eastAsia="Arial" w:hAnsi="Arial"/>
          <w:sz w:val="11"/>
          <w:szCs w:val="11"/>
          <w:color w:val="231F20"/>
        </w:rPr>
        <w:t>Under applicable European and German law, both Management and Supervisory</w:t>
      </w:r>
    </w:p>
    <w:p>
      <w:pPr>
        <w:spacing w:after="0" w:line="1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231F20"/>
        </w:rPr>
        <w:t>Directors</w:t>
      </w:r>
      <w:r>
        <w:rPr>
          <w:sz w:val="20"/>
          <w:szCs w:val="20"/>
          <w:color w:val="auto"/>
        </w:rPr>
        <w:tab/>
      </w:r>
      <w:r>
        <w:rPr>
          <w:rFonts w:ascii="Arial" w:cs="Arial" w:eastAsia="Arial" w:hAnsi="Arial"/>
          <w:sz w:val="13"/>
          <w:szCs w:val="13"/>
          <w:color w:val="231F20"/>
        </w:rPr>
        <w:t>Board members must conduct their affairs with “the care and diligence of a</w:t>
      </w:r>
    </w:p>
    <w:p>
      <w:pPr>
        <w:spacing w:after="0" w:line="10" w:lineRule="exact"/>
        <w:rPr>
          <w:sz w:val="20"/>
          <w:szCs w:val="20"/>
          <w:color w:val="auto"/>
        </w:rPr>
      </w:pPr>
    </w:p>
    <w:p>
      <w:pPr>
        <w:ind w:left="1820"/>
        <w:spacing w:after="0" w:line="297" w:lineRule="auto"/>
        <w:rPr>
          <w:sz w:val="20"/>
          <w:szCs w:val="20"/>
          <w:color w:val="auto"/>
        </w:rPr>
      </w:pPr>
      <w:r>
        <w:rPr>
          <w:rFonts w:ascii="Arial" w:cs="Arial" w:eastAsia="Arial" w:hAnsi="Arial"/>
          <w:sz w:val="12"/>
          <w:szCs w:val="12"/>
          <w:color w:val="231F20"/>
        </w:rPr>
        <w:t>prudent business man” and act in the best interest of the company. The scope of the fiduciary duties of Management and Supervisory Board members is generally determined by European and German legislation and by the courts.</w:t>
      </w:r>
    </w:p>
    <w:p>
      <w:pPr>
        <w:spacing w:after="0" w:line="39" w:lineRule="exact"/>
        <w:rPr>
          <w:sz w:val="20"/>
          <w:szCs w:val="20"/>
          <w:color w:val="auto"/>
        </w:rPr>
      </w:pPr>
    </w:p>
    <w:p>
      <w:pPr>
        <w:ind w:left="1820" w:right="340"/>
        <w:spacing w:after="0" w:line="287" w:lineRule="auto"/>
        <w:rPr>
          <w:sz w:val="20"/>
          <w:szCs w:val="20"/>
          <w:color w:val="auto"/>
        </w:rPr>
      </w:pPr>
      <w:r>
        <w:rPr>
          <w:rFonts w:ascii="Arial" w:cs="Arial" w:eastAsia="Arial" w:hAnsi="Arial"/>
          <w:sz w:val="13"/>
          <w:szCs w:val="13"/>
          <w:color w:val="231F20"/>
        </w:rPr>
        <w:t>Statutory and fiduciary duties of members of the Management Board to the company include, among others:</w:t>
      </w:r>
    </w:p>
    <w:p>
      <w:pPr>
        <w:spacing w:after="0" w:line="42" w:lineRule="exact"/>
        <w:rPr>
          <w:sz w:val="20"/>
          <w:szCs w:val="20"/>
          <w:color w:val="auto"/>
        </w:rPr>
      </w:pPr>
    </w:p>
    <w:p>
      <w:pPr>
        <w:ind w:left="1880"/>
        <w:spacing w:after="0"/>
        <w:tabs>
          <w:tab w:leader="none" w:pos="2060" w:val="left"/>
        </w:tabs>
        <w:rPr>
          <w:sz w:val="20"/>
          <w:szCs w:val="20"/>
          <w:color w:val="auto"/>
        </w:rPr>
      </w:pPr>
      <w:r>
        <w:rPr>
          <w:rFonts w:ascii="Arial" w:cs="Arial" w:eastAsia="Arial" w:hAnsi="Arial"/>
          <w:sz w:val="13"/>
          <w:szCs w:val="13"/>
          <w:color w:val="231F20"/>
        </w:rPr>
        <w:t>•</w:t>
        <w:tab/>
        <w:t>to act in accordance with the law, the company’s articles of</w:t>
      </w:r>
    </w:p>
    <w:p>
      <w:pPr>
        <w:spacing w:after="0" w:line="19" w:lineRule="exact"/>
        <w:rPr>
          <w:sz w:val="20"/>
          <w:szCs w:val="20"/>
          <w:color w:val="auto"/>
        </w:rPr>
      </w:pPr>
    </w:p>
    <w:p>
      <w:pPr>
        <w:ind w:left="2080"/>
        <w:spacing w:after="0"/>
        <w:rPr>
          <w:sz w:val="20"/>
          <w:szCs w:val="20"/>
          <w:color w:val="auto"/>
        </w:rPr>
      </w:pPr>
      <w:r>
        <w:rPr>
          <w:rFonts w:ascii="Arial" w:cs="Arial" w:eastAsia="Arial" w:hAnsi="Arial"/>
          <w:sz w:val="12"/>
          <w:szCs w:val="12"/>
          <w:color w:val="231F20"/>
        </w:rPr>
        <w:t>association and the rules of procedure for the Management Board, if any;</w:t>
      </w:r>
    </w:p>
    <w:p>
      <w:pPr>
        <w:spacing w:after="0" w:line="93" w:lineRule="exact"/>
        <w:rPr>
          <w:sz w:val="20"/>
          <w:szCs w:val="20"/>
          <w:color w:val="auto"/>
        </w:rPr>
      </w:pPr>
    </w:p>
    <w:p>
      <w:pPr>
        <w:ind w:left="1880"/>
        <w:spacing w:after="0"/>
        <w:tabs>
          <w:tab w:leader="none" w:pos="2060" w:val="left"/>
        </w:tabs>
        <w:rPr>
          <w:sz w:val="20"/>
          <w:szCs w:val="20"/>
          <w:color w:val="auto"/>
        </w:rPr>
      </w:pPr>
      <w:r>
        <w:rPr>
          <w:rFonts w:ascii="Arial" w:cs="Arial" w:eastAsia="Arial" w:hAnsi="Arial"/>
          <w:sz w:val="12"/>
          <w:szCs w:val="12"/>
          <w:color w:val="231F20"/>
        </w:rPr>
        <w:t>•</w:t>
        <w:tab/>
        <w:t>to report to the Supervisory Board on a regular basis as well as on certain</w:t>
      </w:r>
    </w:p>
    <w:p>
      <w:pPr>
        <w:spacing w:after="0" w:line="31" w:lineRule="exact"/>
        <w:rPr>
          <w:sz w:val="20"/>
          <w:szCs w:val="20"/>
          <w:color w:val="auto"/>
        </w:rPr>
      </w:pPr>
    </w:p>
    <w:p>
      <w:pPr>
        <w:ind w:left="2080"/>
        <w:spacing w:after="0"/>
        <w:rPr>
          <w:sz w:val="20"/>
          <w:szCs w:val="20"/>
          <w:color w:val="auto"/>
        </w:rPr>
      </w:pPr>
      <w:r>
        <w:rPr>
          <w:rFonts w:ascii="Arial" w:cs="Arial" w:eastAsia="Arial" w:hAnsi="Arial"/>
          <w:sz w:val="13"/>
          <w:szCs w:val="13"/>
          <w:color w:val="231F20"/>
        </w:rPr>
        <w:t>important occasions;</w:t>
      </w:r>
    </w:p>
    <w:p>
      <w:pPr>
        <w:spacing w:after="0" w:line="82" w:lineRule="exact"/>
        <w:rPr>
          <w:sz w:val="20"/>
          <w:szCs w:val="20"/>
          <w:color w:val="auto"/>
        </w:rPr>
      </w:pPr>
    </w:p>
    <w:p>
      <w:pPr>
        <w:ind w:left="1880"/>
        <w:spacing w:after="0"/>
        <w:tabs>
          <w:tab w:leader="none" w:pos="2060" w:val="left"/>
        </w:tabs>
        <w:rPr>
          <w:sz w:val="20"/>
          <w:szCs w:val="20"/>
          <w:color w:val="auto"/>
        </w:rPr>
      </w:pPr>
      <w:r>
        <w:rPr>
          <w:rFonts w:ascii="Arial" w:cs="Arial" w:eastAsia="Arial" w:hAnsi="Arial"/>
          <w:sz w:val="13"/>
          <w:szCs w:val="13"/>
          <w:color w:val="231F20"/>
        </w:rPr>
        <w:t>•</w:t>
        <w:tab/>
        <w:t>to exercise reasonable care, skill and diligence;</w:t>
      </w:r>
    </w:p>
    <w:p>
      <w:pPr>
        <w:spacing w:after="0" w:line="90" w:lineRule="exact"/>
        <w:rPr>
          <w:sz w:val="20"/>
          <w:szCs w:val="20"/>
          <w:color w:val="auto"/>
        </w:rPr>
      </w:pPr>
    </w:p>
    <w:p>
      <w:pPr>
        <w:ind w:left="1880"/>
        <w:spacing w:after="0"/>
        <w:tabs>
          <w:tab w:leader="none" w:pos="2060" w:val="left"/>
        </w:tabs>
        <w:rPr>
          <w:sz w:val="20"/>
          <w:szCs w:val="20"/>
          <w:color w:val="auto"/>
        </w:rPr>
      </w:pPr>
      <w:r>
        <w:rPr>
          <w:rFonts w:ascii="Arial" w:cs="Arial" w:eastAsia="Arial" w:hAnsi="Arial"/>
          <w:sz w:val="13"/>
          <w:szCs w:val="13"/>
          <w:color w:val="231F20"/>
        </w:rPr>
        <w:t>•</w:t>
        <w:tab/>
        <w:t>to maintain a proper accounting system;</w:t>
      </w:r>
    </w:p>
    <w:p>
      <w:pPr>
        <w:spacing w:after="0" w:line="90" w:lineRule="exact"/>
        <w:rPr>
          <w:sz w:val="20"/>
          <w:szCs w:val="20"/>
          <w:color w:val="auto"/>
        </w:rPr>
      </w:pPr>
    </w:p>
    <w:p>
      <w:pPr>
        <w:ind w:left="1880"/>
        <w:spacing w:after="0"/>
        <w:tabs>
          <w:tab w:leader="none" w:pos="2060" w:val="left"/>
        </w:tabs>
        <w:rPr>
          <w:sz w:val="20"/>
          <w:szCs w:val="20"/>
          <w:color w:val="auto"/>
        </w:rPr>
      </w:pPr>
      <w:r>
        <w:rPr>
          <w:rFonts w:ascii="Arial" w:cs="Arial" w:eastAsia="Arial" w:hAnsi="Arial"/>
          <w:sz w:val="12"/>
          <w:szCs w:val="12"/>
          <w:color w:val="231F20"/>
        </w:rPr>
        <w:t>•</w:t>
        <w:tab/>
        <w:t>to not compete, directly or indirectly, with the company without permission</w:t>
      </w:r>
    </w:p>
    <w:p>
      <w:pPr>
        <w:spacing w:after="0" w:line="31" w:lineRule="exact"/>
        <w:rPr>
          <w:sz w:val="20"/>
          <w:szCs w:val="20"/>
          <w:color w:val="auto"/>
        </w:rPr>
      </w:pPr>
    </w:p>
    <w:p>
      <w:pPr>
        <w:ind w:left="2080"/>
        <w:spacing w:after="0"/>
        <w:rPr>
          <w:sz w:val="20"/>
          <w:szCs w:val="20"/>
          <w:color w:val="auto"/>
        </w:rPr>
      </w:pPr>
      <w:r>
        <w:rPr>
          <w:rFonts w:ascii="Arial" w:cs="Arial" w:eastAsia="Arial" w:hAnsi="Arial"/>
          <w:sz w:val="13"/>
          <w:szCs w:val="13"/>
          <w:color w:val="231F20"/>
        </w:rPr>
        <w:t>by the supervisory board; and</w:t>
      </w:r>
    </w:p>
    <w:p>
      <w:pPr>
        <w:spacing w:after="0" w:line="82" w:lineRule="exact"/>
        <w:rPr>
          <w:sz w:val="20"/>
          <w:szCs w:val="20"/>
          <w:color w:val="auto"/>
        </w:rPr>
      </w:pPr>
    </w:p>
    <w:p>
      <w:pPr>
        <w:ind w:left="1880"/>
        <w:spacing w:after="0"/>
        <w:tabs>
          <w:tab w:leader="none" w:pos="2060" w:val="left"/>
        </w:tabs>
        <w:rPr>
          <w:sz w:val="20"/>
          <w:szCs w:val="20"/>
          <w:color w:val="auto"/>
        </w:rPr>
      </w:pPr>
      <w:r>
        <w:rPr>
          <w:rFonts w:ascii="Arial" w:cs="Arial" w:eastAsia="Arial" w:hAnsi="Arial"/>
          <w:sz w:val="13"/>
          <w:szCs w:val="13"/>
          <w:color w:val="231F20"/>
        </w:rPr>
        <w:t>•</w:t>
        <w:tab/>
        <w:t>to secure that no further transactions are made in case of insolvency.</w:t>
      </w:r>
    </w:p>
    <w:p>
      <w:pPr>
        <w:spacing w:after="0" w:line="170" w:lineRule="exact"/>
        <w:rPr>
          <w:sz w:val="20"/>
          <w:szCs w:val="20"/>
          <w:color w:val="auto"/>
        </w:rPr>
      </w:pPr>
    </w:p>
    <w:p>
      <w:pPr>
        <w:ind w:left="1820" w:right="380"/>
        <w:spacing w:after="0" w:line="287" w:lineRule="auto"/>
        <w:rPr>
          <w:sz w:val="20"/>
          <w:szCs w:val="20"/>
          <w:color w:val="auto"/>
        </w:rPr>
      </w:pPr>
      <w:r>
        <w:rPr>
          <w:rFonts w:ascii="Arial" w:cs="Arial" w:eastAsia="Arial" w:hAnsi="Arial"/>
          <w:sz w:val="13"/>
          <w:szCs w:val="13"/>
          <w:color w:val="231F20"/>
        </w:rPr>
        <w:t>Statutory and fiduciary duties of members of the Supervisory Board to the company include, among others:</w:t>
      </w:r>
    </w:p>
    <w:p>
      <w:pPr>
        <w:spacing w:after="0" w:line="42" w:lineRule="exact"/>
        <w:rPr>
          <w:sz w:val="20"/>
          <w:szCs w:val="20"/>
          <w:color w:val="auto"/>
        </w:rPr>
      </w:pPr>
    </w:p>
    <w:p>
      <w:pPr>
        <w:ind w:left="2080" w:hanging="190"/>
        <w:spacing w:after="0" w:line="287" w:lineRule="auto"/>
        <w:tabs>
          <w:tab w:leader="none" w:pos="2077" w:val="left"/>
        </w:tabs>
        <w:numPr>
          <w:ilvl w:val="0"/>
          <w:numId w:val="304"/>
        </w:numPr>
        <w:rPr>
          <w:rFonts w:ascii="Arial" w:cs="Arial" w:eastAsia="Arial" w:hAnsi="Arial"/>
          <w:sz w:val="13"/>
          <w:szCs w:val="13"/>
          <w:color w:val="231F20"/>
        </w:rPr>
      </w:pPr>
      <w:r>
        <w:rPr>
          <w:rFonts w:ascii="Arial" w:cs="Arial" w:eastAsia="Arial" w:hAnsi="Arial"/>
          <w:sz w:val="13"/>
          <w:szCs w:val="13"/>
          <w:color w:val="231F20"/>
        </w:rPr>
        <w:t>to effectively supervise the Management Board’s handling of the company’s affairs;</w:t>
      </w:r>
    </w:p>
    <w:p>
      <w:pPr>
        <w:spacing w:after="0" w:line="42" w:lineRule="exact"/>
        <w:rPr>
          <w:rFonts w:ascii="Arial" w:cs="Arial" w:eastAsia="Arial" w:hAnsi="Arial"/>
          <w:sz w:val="13"/>
          <w:szCs w:val="13"/>
          <w:color w:val="231F20"/>
        </w:rPr>
      </w:pPr>
    </w:p>
    <w:p>
      <w:pPr>
        <w:ind w:left="2080" w:right="60" w:hanging="190"/>
        <w:spacing w:after="0" w:line="272" w:lineRule="auto"/>
        <w:tabs>
          <w:tab w:leader="none" w:pos="2077" w:val="left"/>
        </w:tabs>
        <w:numPr>
          <w:ilvl w:val="0"/>
          <w:numId w:val="304"/>
        </w:numPr>
        <w:rPr>
          <w:rFonts w:ascii="Arial" w:cs="Arial" w:eastAsia="Arial" w:hAnsi="Arial"/>
          <w:sz w:val="13"/>
          <w:szCs w:val="13"/>
          <w:color w:val="231F20"/>
        </w:rPr>
      </w:pPr>
      <w:r>
        <w:rPr>
          <w:rFonts w:ascii="Arial" w:cs="Arial" w:eastAsia="Arial" w:hAnsi="Arial"/>
          <w:sz w:val="13"/>
          <w:szCs w:val="13"/>
          <w:color w:val="231F20"/>
        </w:rPr>
        <w:t>to evaluate and issue a resolution on certain transactions which can only be conducted by the Management Board after approval of the Supervisory Board;</w:t>
      </w:r>
    </w:p>
    <w:p>
      <w:pPr>
        <w:spacing w:after="0" w:line="51" w:lineRule="exact"/>
        <w:rPr>
          <w:rFonts w:ascii="Arial" w:cs="Arial" w:eastAsia="Arial" w:hAnsi="Arial"/>
          <w:sz w:val="13"/>
          <w:szCs w:val="13"/>
          <w:color w:val="231F20"/>
        </w:rPr>
      </w:pPr>
    </w:p>
    <w:p>
      <w:pPr>
        <w:ind w:left="2080" w:hanging="190"/>
        <w:spacing w:after="0"/>
        <w:tabs>
          <w:tab w:leader="none" w:pos="2080" w:val="left"/>
        </w:tabs>
        <w:numPr>
          <w:ilvl w:val="0"/>
          <w:numId w:val="304"/>
        </w:numPr>
        <w:rPr>
          <w:rFonts w:ascii="Arial" w:cs="Arial" w:eastAsia="Arial" w:hAnsi="Arial"/>
          <w:sz w:val="13"/>
          <w:szCs w:val="13"/>
          <w:color w:val="231F20"/>
        </w:rPr>
      </w:pPr>
      <w:r>
        <w:rPr>
          <w:rFonts w:ascii="Arial" w:cs="Arial" w:eastAsia="Arial" w:hAnsi="Arial"/>
          <w:sz w:val="13"/>
          <w:szCs w:val="13"/>
          <w:color w:val="231F20"/>
        </w:rPr>
        <w:t>to approve the company’s financial statements;</w:t>
      </w:r>
    </w:p>
    <w:p>
      <w:pPr>
        <w:spacing w:after="0" w:line="90" w:lineRule="exact"/>
        <w:rPr>
          <w:rFonts w:ascii="Arial" w:cs="Arial" w:eastAsia="Arial" w:hAnsi="Arial"/>
          <w:sz w:val="13"/>
          <w:szCs w:val="13"/>
          <w:color w:val="231F20"/>
        </w:rPr>
      </w:pPr>
    </w:p>
    <w:p>
      <w:pPr>
        <w:ind w:left="2080" w:right="120" w:hanging="190"/>
        <w:spacing w:after="0" w:line="272" w:lineRule="auto"/>
        <w:tabs>
          <w:tab w:leader="none" w:pos="2077" w:val="left"/>
        </w:tabs>
        <w:numPr>
          <w:ilvl w:val="0"/>
          <w:numId w:val="304"/>
        </w:numPr>
        <w:rPr>
          <w:rFonts w:ascii="Arial" w:cs="Arial" w:eastAsia="Arial" w:hAnsi="Arial"/>
          <w:sz w:val="13"/>
          <w:szCs w:val="13"/>
          <w:color w:val="231F20"/>
        </w:rPr>
      </w:pPr>
      <w:r>
        <w:rPr>
          <w:rFonts w:ascii="Arial" w:cs="Arial" w:eastAsia="Arial" w:hAnsi="Arial"/>
          <w:sz w:val="13"/>
          <w:szCs w:val="13"/>
          <w:color w:val="231F20"/>
        </w:rPr>
        <w:t>to appoint the Management Board members and to represent the company in transactions between the company and members of the Management Board; and</w:t>
      </w:r>
    </w:p>
    <w:p>
      <w:pPr>
        <w:spacing w:after="0" w:line="51" w:lineRule="exact"/>
        <w:rPr>
          <w:rFonts w:ascii="Arial" w:cs="Arial" w:eastAsia="Arial" w:hAnsi="Arial"/>
          <w:sz w:val="13"/>
          <w:szCs w:val="13"/>
          <w:color w:val="231F20"/>
        </w:rPr>
      </w:pPr>
    </w:p>
    <w:p>
      <w:pPr>
        <w:ind w:left="2100" w:right="660" w:hanging="207"/>
        <w:spacing w:after="0" w:line="287" w:lineRule="auto"/>
        <w:tabs>
          <w:tab w:leader="none" w:pos="2095" w:val="left"/>
        </w:tabs>
        <w:numPr>
          <w:ilvl w:val="0"/>
          <w:numId w:val="304"/>
        </w:numPr>
        <w:rPr>
          <w:rFonts w:ascii="Arial" w:cs="Arial" w:eastAsia="Arial" w:hAnsi="Arial"/>
          <w:sz w:val="13"/>
          <w:szCs w:val="13"/>
          <w:color w:val="231F20"/>
        </w:rPr>
      </w:pPr>
      <w:r>
        <w:rPr>
          <w:rFonts w:ascii="Arial" w:cs="Arial" w:eastAsia="Arial" w:hAnsi="Arial"/>
          <w:sz w:val="13"/>
          <w:szCs w:val="13"/>
          <w:color w:val="231F20"/>
        </w:rPr>
        <w:t>to approve service contracts between individual members of the Supervisory Board and the company.</w:t>
      </w:r>
    </w:p>
    <w:p>
      <w:pPr>
        <w:spacing w:after="0" w:line="122"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62865</wp:posOffset>
            </wp:positionV>
            <wp:extent cx="7180580" cy="127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1"/>
          <w:szCs w:val="11"/>
          <w:b w:val="1"/>
          <w:bCs w:val="1"/>
          <w:i w:val="1"/>
          <w:iCs w:val="1"/>
          <w:color w:val="231F20"/>
        </w:rPr>
        <w:t>Delaware</w:t>
      </w:r>
    </w:p>
    <w:p>
      <w:pPr>
        <w:spacing w:after="0" w:line="199" w:lineRule="exact"/>
        <w:rPr>
          <w:sz w:val="20"/>
          <w:szCs w:val="20"/>
          <w:color w:val="auto"/>
        </w:rPr>
      </w:pPr>
    </w:p>
    <w:p>
      <w:pPr>
        <w:ind w:right="160"/>
        <w:spacing w:after="0" w:line="291" w:lineRule="auto"/>
        <w:rPr>
          <w:sz w:val="20"/>
          <w:szCs w:val="20"/>
          <w:color w:val="auto"/>
        </w:rPr>
      </w:pPr>
      <w:r>
        <w:rPr>
          <w:rFonts w:ascii="Arial" w:cs="Arial" w:eastAsia="Arial" w:hAnsi="Arial"/>
          <w:sz w:val="12"/>
          <w:szCs w:val="12"/>
          <w:color w:val="231F20"/>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 informed basis and in a manner they reasonably believe to be in the best interest of the stockholders.</w:t>
      </w:r>
    </w:p>
    <w:p>
      <w:pPr>
        <w:spacing w:after="0" w:line="43" w:lineRule="exact"/>
        <w:rPr>
          <w:sz w:val="20"/>
          <w:szCs w:val="20"/>
          <w:color w:val="auto"/>
        </w:rPr>
      </w:pPr>
    </w:p>
    <w:p>
      <w:pPr>
        <w:spacing w:after="0" w:line="282" w:lineRule="auto"/>
        <w:rPr>
          <w:sz w:val="20"/>
          <w:szCs w:val="20"/>
          <w:color w:val="auto"/>
        </w:rPr>
      </w:pPr>
      <w:r>
        <w:rPr>
          <w:rFonts w:ascii="Arial" w:cs="Arial" w:eastAsia="Arial" w:hAnsi="Arial"/>
          <w:sz w:val="12"/>
          <w:szCs w:val="12"/>
          <w:color w:val="231F20"/>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47" w:lineRule="exact"/>
        <w:rPr>
          <w:sz w:val="20"/>
          <w:szCs w:val="20"/>
          <w:color w:val="auto"/>
        </w:rPr>
      </w:pPr>
    </w:p>
    <w:p>
      <w:pPr>
        <w:ind w:right="100"/>
        <w:spacing w:after="0" w:line="267" w:lineRule="auto"/>
        <w:rPr>
          <w:sz w:val="20"/>
          <w:szCs w:val="20"/>
          <w:color w:val="auto"/>
        </w:rPr>
      </w:pPr>
      <w:r>
        <w:rPr>
          <w:rFonts w:ascii="Arial" w:cs="Arial" w:eastAsia="Arial" w:hAnsi="Arial"/>
          <w:sz w:val="13"/>
          <w:szCs w:val="13"/>
          <w:color w:val="231F20"/>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ectPr>
          <w:pgSz w:w="11900" w:h="16838" w:orient="portrait"/>
          <w:cols w:equalWidth="0" w:num="2">
            <w:col w:w="6160" w:space="400"/>
            <w:col w:w="4400"/>
          </w:cols>
          <w:pgMar w:left="620" w:top="126" w:right="319" w:bottom="1440" w:gutter="0" w:footer="0" w:header="0"/>
        </w:sectPr>
      </w:pPr>
    </w:p>
    <w:bookmarkStart w:id="255" w:name="page256"/>
    <w:bookmarkEnd w:id="255"/>
    <w:p>
      <w:pPr>
        <w:ind w:left="3140"/>
        <w:spacing w:after="0"/>
        <w:tabs>
          <w:tab w:leader="none" w:pos="8680" w:val="left"/>
        </w:tabs>
        <w:rPr>
          <w:sz w:val="20"/>
          <w:szCs w:val="20"/>
          <w:color w:val="auto"/>
        </w:rPr>
      </w:pPr>
      <w:r>
        <w:rPr>
          <w:rFonts w:ascii="Arial" w:cs="Arial" w:eastAsia="Arial" w:hAnsi="Arial"/>
          <w:sz w:val="11"/>
          <w:szCs w:val="11"/>
          <w:b w:val="1"/>
          <w:bCs w:val="1"/>
          <w:i w:val="1"/>
          <w:iCs w:val="1"/>
          <w:color w:val="231F20"/>
        </w:rPr>
        <w:t>European Union/Federal Republic of Germany</w:t>
      </w:r>
      <w:r>
        <w:rPr>
          <w:sz w:val="20"/>
          <w:szCs w:val="20"/>
          <w:color w:val="auto"/>
        </w:rPr>
        <w:tab/>
      </w:r>
      <w:r>
        <w:rPr>
          <w:rFonts w:ascii="Arial" w:cs="Arial" w:eastAsia="Arial" w:hAnsi="Arial"/>
          <w:sz w:val="9"/>
          <w:szCs w:val="9"/>
          <w:b w:val="1"/>
          <w:bCs w:val="1"/>
          <w:i w:val="1"/>
          <w:iCs w:val="1"/>
          <w:color w:val="231F20"/>
        </w:rPr>
        <w:t>Delaware</w:t>
      </w:r>
    </w:p>
    <w:p>
      <w:pPr>
        <w:sectPr>
          <w:pgSz w:w="11900" w:h="16838" w:orient="portrait"/>
          <w:cols w:equalWidth="0" w:num="1">
            <w:col w:w="11140"/>
          </w:cols>
          <w:pgMar w:left="300" w:top="126" w:right="459" w:bottom="1440" w:gutter="0" w:footer="0" w:header="0"/>
        </w:sectPr>
      </w:pPr>
    </w:p>
    <w:p>
      <w:pPr>
        <w:spacing w:after="0" w:line="199" w:lineRule="exact"/>
        <w:rPr>
          <w:sz w:val="20"/>
          <w:szCs w:val="20"/>
          <w:color w:val="auto"/>
        </w:rPr>
      </w:pPr>
    </w:p>
    <w:p>
      <w:pPr>
        <w:ind w:left="320"/>
        <w:spacing w:after="0"/>
        <w:tabs>
          <w:tab w:leader="none" w:pos="2120" w:val="left"/>
        </w:tabs>
        <w:rPr>
          <w:sz w:val="20"/>
          <w:szCs w:val="20"/>
          <w:color w:val="auto"/>
        </w:rPr>
      </w:pPr>
      <w:r>
        <w:rPr>
          <w:rFonts w:ascii="Arial" w:cs="Arial" w:eastAsia="Arial" w:hAnsi="Arial"/>
          <w:sz w:val="13"/>
          <w:szCs w:val="13"/>
          <w:color w:val="231F20"/>
        </w:rPr>
        <w:t>Stockholder Actions</w:t>
      </w:r>
      <w:r>
        <w:rPr>
          <w:sz w:val="20"/>
          <w:szCs w:val="20"/>
          <w:color w:val="auto"/>
        </w:rPr>
        <w:tab/>
      </w:r>
      <w:r>
        <w:rPr>
          <w:rFonts w:ascii="Arial" w:cs="Arial" w:eastAsia="Arial" w:hAnsi="Arial"/>
          <w:sz w:val="11"/>
          <w:szCs w:val="11"/>
          <w:color w:val="231F20"/>
        </w:rPr>
        <w:t>Under German law, generally, the company, rather than its shareholders, is the</w:t>
      </w:r>
    </w:p>
    <w:p>
      <w:pPr>
        <w:spacing w:after="0" w:line="19" w:lineRule="exact"/>
        <w:rPr>
          <w:sz w:val="20"/>
          <w:szCs w:val="20"/>
          <w:color w:val="auto"/>
        </w:rPr>
      </w:pPr>
    </w:p>
    <w:p>
      <w:pPr>
        <w:ind w:left="2140" w:right="240"/>
        <w:spacing w:after="0" w:line="324" w:lineRule="auto"/>
        <w:rPr>
          <w:sz w:val="20"/>
          <w:szCs w:val="20"/>
          <w:color w:val="auto"/>
        </w:rPr>
      </w:pPr>
      <w:r>
        <w:rPr>
          <w:rFonts w:ascii="Arial" w:cs="Arial" w:eastAsia="Arial" w:hAnsi="Arial"/>
          <w:sz w:val="11"/>
          <w:szCs w:val="11"/>
          <w:color w:val="231F20"/>
        </w:rPr>
        <w:t>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w:t>
      </w:r>
    </w:p>
    <w:p>
      <w:pPr>
        <w:spacing w:after="0" w:line="108" w:lineRule="exact"/>
        <w:rPr>
          <w:sz w:val="20"/>
          <w:szCs w:val="20"/>
          <w:color w:val="auto"/>
        </w:rPr>
      </w:pPr>
    </w:p>
    <w:p>
      <w:pPr>
        <w:ind w:left="2140"/>
        <w:spacing w:after="0"/>
        <w:rPr>
          <w:sz w:val="20"/>
          <w:szCs w:val="20"/>
          <w:color w:val="auto"/>
        </w:rPr>
      </w:pPr>
      <w:r>
        <w:rPr>
          <w:rFonts w:ascii="Arial" w:cs="Arial" w:eastAsia="Arial" w:hAnsi="Arial"/>
          <w:sz w:val="12"/>
          <w:szCs w:val="12"/>
          <w:color w:val="231F20"/>
        </w:rPr>
        <w:t>committed by a member of the Management Board, by the Supervisory Board.</w:t>
      </w:r>
    </w:p>
    <w:p>
      <w:pPr>
        <w:spacing w:after="0" w:line="102" w:lineRule="exact"/>
        <w:rPr>
          <w:sz w:val="20"/>
          <w:szCs w:val="20"/>
          <w:color w:val="auto"/>
        </w:rPr>
      </w:pPr>
    </w:p>
    <w:p>
      <w:pPr>
        <w:ind w:left="2140"/>
        <w:spacing w:after="0" w:line="272" w:lineRule="auto"/>
        <w:rPr>
          <w:sz w:val="20"/>
          <w:szCs w:val="20"/>
          <w:color w:val="auto"/>
        </w:rPr>
      </w:pPr>
      <w:r>
        <w:rPr>
          <w:rFonts w:ascii="Arial" w:cs="Arial" w:eastAsia="Arial" w:hAnsi="Arial"/>
          <w:sz w:val="13"/>
          <w:szCs w:val="13"/>
          <w:color w:val="231F20"/>
        </w:rPr>
        <w:t>Additionally, pursuant to German case law, the Supervisory Board is obliged to pursue the company’s claims against the Management Board, unless the interest of the company keeps them from doing so.</w:t>
      </w:r>
    </w:p>
    <w:p>
      <w:pPr>
        <w:spacing w:after="0" w:line="52" w:lineRule="exact"/>
        <w:rPr>
          <w:sz w:val="20"/>
          <w:szCs w:val="20"/>
          <w:color w:val="auto"/>
        </w:rPr>
      </w:pPr>
    </w:p>
    <w:p>
      <w:pPr>
        <w:ind w:left="2140"/>
        <w:spacing w:after="0" w:line="291" w:lineRule="auto"/>
        <w:rPr>
          <w:sz w:val="20"/>
          <w:szCs w:val="20"/>
          <w:color w:val="auto"/>
        </w:rPr>
      </w:pPr>
      <w:r>
        <w:rPr>
          <w:rFonts w:ascii="Arial" w:cs="Arial" w:eastAsia="Arial" w:hAnsi="Arial"/>
          <w:sz w:val="12"/>
          <w:szCs w:val="12"/>
          <w:color w:val="231F20"/>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43" w:lineRule="exact"/>
        <w:rPr>
          <w:sz w:val="20"/>
          <w:szCs w:val="20"/>
          <w:color w:val="auto"/>
        </w:rPr>
      </w:pPr>
    </w:p>
    <w:p>
      <w:pPr>
        <w:ind w:left="2140"/>
        <w:spacing w:after="0"/>
        <w:rPr>
          <w:sz w:val="20"/>
          <w:szCs w:val="20"/>
          <w:color w:val="auto"/>
        </w:rPr>
      </w:pPr>
      <w:r>
        <w:rPr>
          <w:rFonts w:ascii="Arial" w:cs="Arial" w:eastAsia="Arial" w:hAnsi="Arial"/>
          <w:sz w:val="13"/>
          <w:szCs w:val="13"/>
          <w:color w:val="231F20"/>
        </w:rPr>
        <w:t>If the company is unable to fulfill its third- party obligations, the company’s</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13"/>
          <w:szCs w:val="13"/>
          <w:color w:val="231F20"/>
        </w:rPr>
        <w:t>creditors may pursue the company’s damage claims against members of the</w:t>
      </w:r>
    </w:p>
    <w:p>
      <w:pPr>
        <w:spacing w:after="0" w:line="10" w:lineRule="exact"/>
        <w:rPr>
          <w:sz w:val="20"/>
          <w:szCs w:val="20"/>
          <w:color w:val="auto"/>
        </w:rPr>
      </w:pPr>
    </w:p>
    <w:p>
      <w:pPr>
        <w:ind w:left="2140"/>
        <w:spacing w:after="0"/>
        <w:rPr>
          <w:sz w:val="20"/>
          <w:szCs w:val="20"/>
          <w:color w:val="auto"/>
        </w:rPr>
      </w:pPr>
      <w:r>
        <w:rPr>
          <w:rFonts w:ascii="Arial" w:cs="Arial" w:eastAsia="Arial" w:hAnsi="Arial"/>
          <w:sz w:val="13"/>
          <w:szCs w:val="13"/>
          <w:color w:val="231F20"/>
        </w:rPr>
        <w:t>Management Board for certain wrongdoings.</w:t>
      </w:r>
    </w:p>
    <w:p>
      <w:pPr>
        <w:spacing w:after="0" w:line="82" w:lineRule="exact"/>
        <w:rPr>
          <w:sz w:val="20"/>
          <w:szCs w:val="20"/>
          <w:color w:val="auto"/>
        </w:rPr>
      </w:pPr>
    </w:p>
    <w:p>
      <w:pPr>
        <w:ind w:left="2140"/>
        <w:spacing w:after="0" w:line="263" w:lineRule="auto"/>
        <w:rPr>
          <w:sz w:val="20"/>
          <w:szCs w:val="20"/>
          <w:color w:val="auto"/>
        </w:rPr>
      </w:pPr>
      <w:r>
        <w:rPr>
          <w:rFonts w:ascii="Arial" w:cs="Arial" w:eastAsia="Arial" w:hAnsi="Arial"/>
          <w:sz w:val="13"/>
          <w:szCs w:val="13"/>
          <w:color w:val="231F20"/>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231F20"/>
        </w:rPr>
        <w:t>Foreign Private Issuer Exemptions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272" w:lineRule="auto"/>
        <w:rPr>
          <w:sz w:val="20"/>
          <w:szCs w:val="20"/>
          <w:color w:val="auto"/>
        </w:rPr>
      </w:pPr>
      <w:r>
        <w:rPr>
          <w:rFonts w:ascii="Arial" w:cs="Arial" w:eastAsia="Arial" w:hAnsi="Arial"/>
          <w:sz w:val="13"/>
          <w:szCs w:val="13"/>
          <w:color w:val="231F20"/>
        </w:rPr>
        <w:t>Under Delaware law, a stockholder may initiate a derivative action to enforce a right of a corporation if the corporation fails to enforce the right itself. The complaint must:</w:t>
      </w:r>
    </w:p>
    <w:p>
      <w:pPr>
        <w:spacing w:after="0" w:line="52" w:lineRule="exact"/>
        <w:rPr>
          <w:sz w:val="20"/>
          <w:szCs w:val="20"/>
          <w:color w:val="auto"/>
        </w:rPr>
      </w:pPr>
    </w:p>
    <w:p>
      <w:pPr>
        <w:ind w:left="260" w:right="180" w:hanging="191"/>
        <w:spacing w:after="0" w:line="272" w:lineRule="auto"/>
        <w:tabs>
          <w:tab w:leader="none" w:pos="256" w:val="left"/>
        </w:tabs>
        <w:numPr>
          <w:ilvl w:val="0"/>
          <w:numId w:val="305"/>
        </w:numPr>
        <w:rPr>
          <w:rFonts w:ascii="Arial" w:cs="Arial" w:eastAsia="Arial" w:hAnsi="Arial"/>
          <w:sz w:val="13"/>
          <w:szCs w:val="13"/>
          <w:color w:val="231F20"/>
        </w:rPr>
      </w:pPr>
      <w:r>
        <w:rPr>
          <w:rFonts w:ascii="Arial" w:cs="Arial" w:eastAsia="Arial" w:hAnsi="Arial"/>
          <w:sz w:val="13"/>
          <w:szCs w:val="13"/>
          <w:color w:val="231F20"/>
        </w:rPr>
        <w:t>state that the plaintiff was a stockholder at the time of the transaction of which the plaintiff complains or that the plaintiffs shares thereafter devolved on the plaintiff by operation of law; and</w:t>
      </w:r>
    </w:p>
    <w:p>
      <w:pPr>
        <w:spacing w:after="0" w:line="51" w:lineRule="exact"/>
        <w:rPr>
          <w:rFonts w:ascii="Arial" w:cs="Arial" w:eastAsia="Arial" w:hAnsi="Arial"/>
          <w:sz w:val="13"/>
          <w:szCs w:val="13"/>
          <w:color w:val="231F20"/>
        </w:rPr>
      </w:pPr>
    </w:p>
    <w:p>
      <w:pPr>
        <w:ind w:left="260" w:hanging="191"/>
        <w:spacing w:after="0" w:line="267" w:lineRule="auto"/>
        <w:tabs>
          <w:tab w:leader="none" w:pos="256" w:val="left"/>
        </w:tabs>
        <w:numPr>
          <w:ilvl w:val="0"/>
          <w:numId w:val="305"/>
        </w:numPr>
        <w:rPr>
          <w:rFonts w:ascii="Arial" w:cs="Arial" w:eastAsia="Arial" w:hAnsi="Arial"/>
          <w:sz w:val="13"/>
          <w:szCs w:val="13"/>
          <w:color w:val="231F20"/>
        </w:rPr>
      </w:pPr>
      <w:r>
        <w:rPr>
          <w:rFonts w:ascii="Arial" w:cs="Arial" w:eastAsia="Arial" w:hAnsi="Arial"/>
          <w:sz w:val="13"/>
          <w:szCs w:val="13"/>
          <w:color w:val="231F20"/>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55"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Additionally, the plaintiff must remain a stockholder through the duration of the derivative suit. The action will not be dismissed or compromised without the approval of the Delaware Court of Chancery.</w:t>
      </w:r>
    </w:p>
    <w:p>
      <w:pPr>
        <w:spacing w:after="0" w:line="2210" w:lineRule="exact"/>
        <w:rPr>
          <w:sz w:val="20"/>
          <w:szCs w:val="20"/>
          <w:color w:val="auto"/>
        </w:rPr>
      </w:pPr>
    </w:p>
    <w:p>
      <w:pPr>
        <w:sectPr>
          <w:pgSz w:w="11900" w:h="16838" w:orient="portrait"/>
          <w:cols w:equalWidth="0" w:num="2">
            <w:col w:w="6540" w:space="340"/>
            <w:col w:w="4260"/>
          </w:cols>
          <w:pgMar w:left="300" w:top="126" w:right="459" w:bottom="1440" w:gutter="0" w:footer="0" w:header="0"/>
          <w:type w:val="continuous"/>
        </w:sectPr>
      </w:pPr>
    </w:p>
    <w:p>
      <w:pPr>
        <w:ind w:right="80" w:firstLine="556"/>
        <w:spacing w:after="0" w:line="272" w:lineRule="auto"/>
        <w:rPr>
          <w:sz w:val="20"/>
          <w:szCs w:val="20"/>
          <w:color w:val="auto"/>
        </w:rPr>
      </w:pPr>
      <w:r>
        <w:rPr>
          <w:rFonts w:ascii="Arial" w:cs="Arial" w:eastAsia="Arial" w:hAnsi="Arial"/>
          <w:sz w:val="13"/>
          <w:szCs w:val="13"/>
          <w:color w:val="231F20"/>
        </w:rPr>
        <w:t xml:space="preserve">As a “foreign private issuer,” as defined by the SEC, although we are permitted to follow certain corporate governance </w:t>
      </w:r>
      <w:r>
        <w:rPr>
          <w:rFonts w:ascii="Arial" w:cs="Arial" w:eastAsia="Arial" w:hAnsi="Arial"/>
          <w:sz w:val="13"/>
          <w:szCs w:val="13"/>
          <w:color w:val="000000"/>
        </w:rPr>
        <w:t>practices</w:t>
      </w:r>
      <w:r>
        <w:rPr>
          <w:rFonts w:ascii="Arial" w:cs="Arial" w:eastAsia="Arial" w:hAnsi="Arial"/>
          <w:sz w:val="13"/>
          <w:szCs w:val="13"/>
          <w:color w:val="231F20"/>
        </w:rPr>
        <w:t xml:space="preserve"> of the Federal Republic of Germany, instead of those otherwise required under the rules of the Nasdaq </w:t>
      </w:r>
      <w:r>
        <w:rPr>
          <w:rFonts w:ascii="Arial" w:cs="Arial" w:eastAsia="Arial" w:hAnsi="Arial"/>
          <w:sz w:val="13"/>
          <w:szCs w:val="13"/>
          <w:color w:val="000000"/>
        </w:rPr>
        <w:t>Stock</w:t>
      </w:r>
      <w:r>
        <w:rPr>
          <w:rFonts w:ascii="Arial" w:cs="Arial" w:eastAsia="Arial" w:hAnsi="Arial"/>
          <w:sz w:val="13"/>
          <w:szCs w:val="13"/>
          <w:color w:val="231F20"/>
        </w:rPr>
        <w:t xml:space="preserve"> Market LLC, or Nasdaq, for domestic issuers, we follow the Nasdaq corporate governance rules applicable to foreign private issuers. While we voluntarily follow most Nasdaq corporate governance rules, we intend to take advantage of the following limited exemptions:</w:t>
      </w:r>
    </w:p>
    <w:p>
      <w:pPr>
        <w:spacing w:after="0" w:line="52" w:lineRule="exact"/>
        <w:rPr>
          <w:sz w:val="20"/>
          <w:szCs w:val="20"/>
          <w:color w:val="auto"/>
        </w:rPr>
      </w:pPr>
    </w:p>
    <w:p>
      <w:pPr>
        <w:ind w:left="1020" w:right="140" w:hanging="340"/>
        <w:spacing w:after="0" w:line="287" w:lineRule="auto"/>
        <w:tabs>
          <w:tab w:leader="none" w:pos="1020" w:val="left"/>
        </w:tabs>
        <w:numPr>
          <w:ilvl w:val="0"/>
          <w:numId w:val="306"/>
        </w:numPr>
        <w:rPr>
          <w:rFonts w:ascii="Arial" w:cs="Arial" w:eastAsia="Arial" w:hAnsi="Arial"/>
          <w:sz w:val="13"/>
          <w:szCs w:val="13"/>
          <w:color w:val="231F20"/>
        </w:rPr>
      </w:pPr>
      <w:r>
        <w:rPr>
          <w:rFonts w:ascii="Arial" w:cs="Arial" w:eastAsia="Arial" w:hAnsi="Arial"/>
          <w:sz w:val="13"/>
          <w:szCs w:val="13"/>
          <w:color w:val="231F20"/>
        </w:rPr>
        <w:t>exemption from filing quarterly reports on Form 10-Q and providing current reports on Form 8-K disclosing significant events within four days of their occurrence (however, we intend to furnish quarterly financial information under cover of Form 6-K);</w:t>
      </w:r>
    </w:p>
    <w:p>
      <w:pPr>
        <w:spacing w:after="0" w:line="42" w:lineRule="exact"/>
        <w:rPr>
          <w:rFonts w:ascii="Arial" w:cs="Arial" w:eastAsia="Arial" w:hAnsi="Arial"/>
          <w:sz w:val="13"/>
          <w:szCs w:val="13"/>
          <w:color w:val="231F20"/>
        </w:rPr>
      </w:pPr>
    </w:p>
    <w:p>
      <w:pPr>
        <w:ind w:left="1020" w:right="100" w:hanging="340"/>
        <w:spacing w:after="0" w:line="287" w:lineRule="auto"/>
        <w:tabs>
          <w:tab w:leader="none" w:pos="1020" w:val="left"/>
        </w:tabs>
        <w:numPr>
          <w:ilvl w:val="0"/>
          <w:numId w:val="306"/>
        </w:numPr>
        <w:rPr>
          <w:rFonts w:ascii="Arial" w:cs="Arial" w:eastAsia="Arial" w:hAnsi="Arial"/>
          <w:sz w:val="13"/>
          <w:szCs w:val="13"/>
          <w:color w:val="231F20"/>
        </w:rPr>
      </w:pPr>
      <w:r>
        <w:rPr>
          <w:rFonts w:ascii="Arial" w:cs="Arial" w:eastAsia="Arial" w:hAnsi="Arial"/>
          <w:sz w:val="13"/>
          <w:szCs w:val="13"/>
          <w:color w:val="231F20"/>
        </w:rPr>
        <w:t>exemption from Section 16 rules regarding sales of ordinary shares by insiders, which will provide less data in this regard than the data provided to shareholders of U.S. companies that are subject to the Exchange Act; and</w:t>
      </w:r>
    </w:p>
    <w:p>
      <w:pPr>
        <w:spacing w:after="0" w:line="42" w:lineRule="exact"/>
        <w:rPr>
          <w:rFonts w:ascii="Arial" w:cs="Arial" w:eastAsia="Arial" w:hAnsi="Arial"/>
          <w:sz w:val="13"/>
          <w:szCs w:val="13"/>
          <w:color w:val="231F20"/>
        </w:rPr>
      </w:pPr>
    </w:p>
    <w:p>
      <w:pPr>
        <w:ind w:left="1020" w:right="200" w:hanging="340"/>
        <w:spacing w:after="0" w:line="272" w:lineRule="auto"/>
        <w:tabs>
          <w:tab w:leader="none" w:pos="1020" w:val="left"/>
        </w:tabs>
        <w:numPr>
          <w:ilvl w:val="0"/>
          <w:numId w:val="306"/>
        </w:numPr>
        <w:rPr>
          <w:rFonts w:ascii="Arial" w:cs="Arial" w:eastAsia="Arial" w:hAnsi="Arial"/>
          <w:sz w:val="13"/>
          <w:szCs w:val="13"/>
          <w:color w:val="231F20"/>
        </w:rPr>
      </w:pPr>
      <w:r>
        <w:rPr>
          <w:rFonts w:ascii="Arial" w:cs="Arial" w:eastAsia="Arial" w:hAnsi="Arial"/>
          <w:sz w:val="13"/>
          <w:szCs w:val="13"/>
          <w:color w:val="231F20"/>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140"/>
          </w:cols>
          <w:pgMar w:left="300" w:top="126" w:right="459" w:bottom="1440" w:gutter="0" w:footer="0" w:header="0"/>
          <w:type w:val="continuous"/>
        </w:sectPr>
      </w:pPr>
    </w:p>
    <w:bookmarkStart w:id="256" w:name="page257"/>
    <w:bookmarkEnd w:id="256"/>
    <w:p>
      <w:pPr>
        <w:ind w:firstLine="556"/>
        <w:spacing w:after="0" w:line="264" w:lineRule="auto"/>
        <w:rPr>
          <w:sz w:val="20"/>
          <w:szCs w:val="20"/>
          <w:color w:val="auto"/>
        </w:rPr>
      </w:pPr>
      <w:r>
        <w:rPr>
          <w:rFonts w:ascii="Arial" w:cs="Arial" w:eastAsia="Arial" w:hAnsi="Arial"/>
          <w:sz w:val="13"/>
          <w:szCs w:val="13"/>
          <w:color w:val="auto"/>
        </w:rPr>
        <w:t>Furthermore</w:t>
      </w:r>
      <w:r>
        <w:rPr>
          <w:rFonts w:ascii="Arial" w:cs="Arial" w:eastAsia="Arial" w:hAnsi="Arial"/>
          <w:sz w:val="13"/>
          <w:szCs w:val="13"/>
          <w:color w:val="231F20"/>
        </w:rPr>
        <w:t>, Nasdaq Rule 5615(a)(3) provides that a foreign private issuer, such as we, may rely on home country corporate governance practices in lieu of certain of the rules in the Nasdaq Rule 5600</w:t>
      </w:r>
      <w:r>
        <w:rPr>
          <w:rFonts w:ascii="Arial" w:cs="Arial" w:eastAsia="Arial" w:hAnsi="Arial"/>
          <w:sz w:val="13"/>
          <w:szCs w:val="13"/>
          <w:color w:val="auto"/>
        </w:rPr>
        <w:t xml:space="preserve"> </w:t>
      </w:r>
      <w:r>
        <w:rPr>
          <w:rFonts w:ascii="Arial" w:cs="Arial" w:eastAsia="Arial" w:hAnsi="Arial"/>
          <w:sz w:val="13"/>
          <w:szCs w:val="13"/>
          <w:color w:val="231F20"/>
        </w:rPr>
        <w:t xml:space="preserve">Series and Rule 5250(d), </w:t>
      </w:r>
      <w:r>
        <w:rPr>
          <w:rFonts w:ascii="Arial" w:cs="Arial" w:eastAsia="Arial" w:hAnsi="Arial"/>
          <w:sz w:val="13"/>
          <w:szCs w:val="13"/>
          <w:color w:val="000000"/>
        </w:rPr>
        <w:t>provided</w:t>
      </w:r>
      <w:r>
        <w:rPr>
          <w:rFonts w:ascii="Arial" w:cs="Arial" w:eastAsia="Arial" w:hAnsi="Arial"/>
          <w:sz w:val="13"/>
          <w:szCs w:val="13"/>
          <w:color w:val="231F20"/>
        </w:rPr>
        <w:t xml:space="preserve"> that we nevertheless comply with Nasdaq’s Notification of Noncompliance requirement (Rule 5625) and the Voting Rights requirement (Rule 5640) and that we have an audit committee that satisfies Rule 5605(c)(3), </w:t>
      </w:r>
      <w:r>
        <w:rPr>
          <w:rFonts w:ascii="Arial" w:cs="Arial" w:eastAsia="Arial" w:hAnsi="Arial"/>
          <w:sz w:val="13"/>
          <w:szCs w:val="13"/>
          <w:color w:val="000000"/>
        </w:rPr>
        <w:t>consisting</w:t>
      </w:r>
      <w:r>
        <w:rPr>
          <w:rFonts w:ascii="Arial" w:cs="Arial" w:eastAsia="Arial" w:hAnsi="Arial"/>
          <w:sz w:val="13"/>
          <w:szCs w:val="13"/>
          <w:color w:val="231F20"/>
        </w:rPr>
        <w:t xml:space="preserve"> of committee members that meet the independence requirements of Rule 5605(c)(2)(A)(ii). Although we are permitted to follow certain corporate governance rules that conform to German requirements in lieu of many of the Nasdaq corporate governance rules, we comply with the Nasdaq corporate governance rules applicable to foreign private issuers. We may utilize these exemptions for as long as we continue to qualify as a foreign </w:t>
      </w:r>
      <w:r>
        <w:rPr>
          <w:rFonts w:ascii="Arial" w:cs="Arial" w:eastAsia="Arial" w:hAnsi="Arial"/>
          <w:sz w:val="13"/>
          <w:szCs w:val="13"/>
          <w:color w:val="000000"/>
        </w:rPr>
        <w:t>private</w:t>
      </w:r>
      <w:r>
        <w:rPr>
          <w:rFonts w:ascii="Arial" w:cs="Arial" w:eastAsia="Arial" w:hAnsi="Arial"/>
          <w:sz w:val="13"/>
          <w:szCs w:val="13"/>
          <w:color w:val="231F20"/>
        </w:rPr>
        <w:t xml:space="preserve"> issuer.</w:t>
      </w:r>
    </w:p>
    <w:p>
      <w:pPr>
        <w:spacing w:after="0" w:line="214" w:lineRule="exact"/>
        <w:rPr>
          <w:sz w:val="20"/>
          <w:szCs w:val="20"/>
          <w:color w:val="auto"/>
        </w:rPr>
      </w:pPr>
    </w:p>
    <w:p>
      <w:pPr>
        <w:jc w:val="center"/>
        <w:ind w:right="9340"/>
        <w:spacing w:after="0"/>
        <w:rPr>
          <w:sz w:val="20"/>
          <w:szCs w:val="20"/>
          <w:color w:val="auto"/>
        </w:rPr>
      </w:pPr>
      <w:r>
        <w:rPr>
          <w:rFonts w:ascii="Arial" w:cs="Arial" w:eastAsia="Arial" w:hAnsi="Arial"/>
          <w:sz w:val="12"/>
          <w:szCs w:val="12"/>
          <w:b w:val="1"/>
          <w:bCs w:val="1"/>
          <w:color w:val="auto"/>
        </w:rPr>
        <w:t>Item 16H. Mine Safety Disclosure</w:t>
      </w:r>
    </w:p>
    <w:p>
      <w:pPr>
        <w:spacing w:after="0" w:line="106" w:lineRule="exact"/>
        <w:rPr>
          <w:sz w:val="20"/>
          <w:szCs w:val="20"/>
          <w:color w:val="auto"/>
        </w:rPr>
      </w:pPr>
    </w:p>
    <w:p>
      <w:pPr>
        <w:jc w:val="center"/>
        <w:ind w:right="9340"/>
        <w:spacing w:after="0"/>
        <w:rPr>
          <w:sz w:val="20"/>
          <w:szCs w:val="20"/>
          <w:color w:val="auto"/>
        </w:rPr>
      </w:pPr>
      <w:r>
        <w:rPr>
          <w:rFonts w:ascii="Arial" w:cs="Arial" w:eastAsia="Arial" w:hAnsi="Arial"/>
          <w:sz w:val="13"/>
          <w:szCs w:val="13"/>
          <w:color w:val="auto"/>
        </w:rPr>
        <w:t>Not applicable.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291" w:right="339" w:bottom="1440" w:gutter="0" w:footer="0" w:header="0"/>
        </w:sectPr>
      </w:pPr>
    </w:p>
    <w:bookmarkStart w:id="257" w:name="page258"/>
    <w:bookmarkEnd w:id="257"/>
    <w:p>
      <w:pPr>
        <w:jc w:val="right"/>
        <w:ind w:right="4239"/>
        <w:spacing w:after="0"/>
        <w:rPr>
          <w:sz w:val="20"/>
          <w:szCs w:val="20"/>
          <w:color w:val="auto"/>
        </w:rPr>
      </w:pPr>
      <w:r>
        <w:rPr>
          <w:rFonts w:ascii="Arial" w:cs="Arial" w:eastAsia="Arial" w:hAnsi="Arial"/>
          <w:sz w:val="13"/>
          <w:szCs w:val="13"/>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17. Financial Statements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See Item 18.</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18. Financial Statements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financial statements are filed as part of this Annual Report beginning on page F-1.</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59"/>
          </w:cols>
          <w:pgMar w:left="300" w:top="127" w:right="1440" w:bottom="1440" w:gutter="0" w:footer="0" w:header="0"/>
        </w:sectPr>
      </w:pPr>
    </w:p>
    <w:bookmarkStart w:id="258" w:name="page259"/>
    <w:bookmarkEnd w:id="258"/>
    <w:p>
      <w:pPr>
        <w:spacing w:after="0"/>
        <w:rPr>
          <w:sz w:val="20"/>
          <w:szCs w:val="20"/>
          <w:color w:val="auto"/>
        </w:rPr>
      </w:pPr>
      <w:r>
        <w:rPr>
          <w:rFonts w:ascii="Arial" w:cs="Arial" w:eastAsia="Arial" w:hAnsi="Arial"/>
          <w:sz w:val="13"/>
          <w:szCs w:val="13"/>
          <w:b w:val="1"/>
          <w:bCs w:val="1"/>
          <w:color w:val="auto"/>
        </w:rPr>
        <w:t>Item 19.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tcPr>
          <w:p>
            <w:pPr>
              <w:ind w:left="800"/>
              <w:spacing w:after="0"/>
              <w:rPr>
                <w:sz w:val="20"/>
                <w:szCs w:val="20"/>
                <w:color w:val="auto"/>
              </w:rPr>
            </w:pPr>
            <w:r>
              <w:rPr>
                <w:rFonts w:ascii="Arial" w:cs="Arial" w:eastAsia="Arial" w:hAnsi="Arial"/>
                <w:sz w:val="11"/>
                <w:szCs w:val="11"/>
                <w:b w:val="1"/>
                <w:bCs w:val="1"/>
                <w:color w:val="auto"/>
              </w:rPr>
              <w:t>Exhibit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20" w:type="dxa"/>
            <w:vAlign w:val="bottom"/>
            <w:gridSpan w:val="18"/>
            <w:vMerge w:val="restart"/>
          </w:tcPr>
          <w:p>
            <w:pPr>
              <w:ind w:left="140"/>
              <w:spacing w:after="0"/>
              <w:rPr>
                <w:sz w:val="20"/>
                <w:szCs w:val="20"/>
                <w:color w:val="auto"/>
              </w:rPr>
            </w:pPr>
            <w:r>
              <w:rPr>
                <w:rFonts w:ascii="Arial" w:cs="Arial" w:eastAsia="Arial" w:hAnsi="Arial"/>
                <w:sz w:val="11"/>
                <w:szCs w:val="11"/>
                <w:b w:val="1"/>
                <w:bCs w:val="1"/>
                <w:color w:val="auto"/>
              </w:rPr>
              <w:t>Description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2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20" w:type="dxa"/>
            <w:vAlign w:val="bottom"/>
            <w:tcBorders>
              <w:bottom w:val="single" w:sz="8" w:color="auto"/>
            </w:tcBorders>
            <w:gridSpan w:val="18"/>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920" w:type="dxa"/>
            <w:vAlign w:val="bottom"/>
          </w:tcPr>
          <w:p>
            <w:pPr>
              <w:spacing w:after="0" w:line="120"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20" w:type="dxa"/>
            <w:vAlign w:val="bottom"/>
            <w:gridSpan w:val="22"/>
          </w:tcPr>
          <w:p>
            <w:pPr>
              <w:spacing w:after="0" w:line="120" w:lineRule="exact"/>
              <w:rPr>
                <w:rFonts w:ascii="Arial" w:cs="Arial" w:eastAsia="Arial" w:hAnsi="Arial"/>
                <w:sz w:val="13"/>
                <w:szCs w:val="13"/>
                <w:color w:val="0000EE"/>
              </w:rPr>
            </w:pPr>
            <w:hyperlink w:anchor="page314">
              <w:r>
                <w:rPr>
                  <w:rFonts w:ascii="Arial" w:cs="Arial" w:eastAsia="Arial" w:hAnsi="Arial"/>
                  <w:sz w:val="13"/>
                  <w:szCs w:val="13"/>
                  <w:color w:val="0000EE"/>
                </w:rPr>
                <w:t>Articles of Association of the Registrant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4"/>
                <w:szCs w:val="24"/>
                <w:color w:val="auto"/>
              </w:rPr>
            </w:pPr>
          </w:p>
        </w:tc>
        <w:tc>
          <w:tcPr>
            <w:tcW w:w="3960" w:type="dxa"/>
            <w:vAlign w:val="bottom"/>
            <w:tcBorders>
              <w:bottom w:val="single" w:sz="8" w:color="0000EE"/>
            </w:tcBorders>
            <w:gridSpan w:val="4"/>
          </w:tcPr>
          <w:p>
            <w:pPr>
              <w:spacing w:after="0"/>
              <w:rPr>
                <w:rFonts w:ascii="Arial" w:cs="Arial" w:eastAsia="Arial" w:hAnsi="Arial"/>
                <w:sz w:val="13"/>
                <w:szCs w:val="13"/>
                <w:color w:val="0000EE"/>
                <w:w w:val="94"/>
              </w:rPr>
            </w:pPr>
            <w:hyperlink r:id="rId348">
              <w:r>
                <w:rPr>
                  <w:rFonts w:ascii="Arial" w:cs="Arial" w:eastAsia="Arial" w:hAnsi="Arial"/>
                  <w:sz w:val="13"/>
                  <w:szCs w:val="13"/>
                  <w:color w:val="0000EE"/>
                  <w:w w:val="94"/>
                </w:rPr>
                <w:t>Form of Specimen American Depositary Receipt (included in Exhibit 2.3)</w:t>
              </w:r>
            </w:hyperlink>
          </w:p>
        </w:tc>
        <w:tc>
          <w:tcPr>
            <w:tcW w:w="528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9220" w:type="dxa"/>
            <w:vAlign w:val="bottom"/>
            <w:tcBorders>
              <w:bottom w:val="single" w:sz="8" w:color="0000EE"/>
            </w:tcBorders>
            <w:gridSpan w:val="22"/>
          </w:tcPr>
          <w:p>
            <w:pPr>
              <w:spacing w:after="0"/>
              <w:rPr>
                <w:rFonts w:ascii="Arial" w:cs="Arial" w:eastAsia="Arial" w:hAnsi="Arial"/>
                <w:sz w:val="13"/>
                <w:szCs w:val="13"/>
                <w:color w:val="0000EE"/>
                <w:w w:val="93"/>
              </w:rPr>
            </w:pPr>
            <w:hyperlink r:id="rId349">
              <w:r>
                <w:rPr>
                  <w:rFonts w:ascii="Arial" w:cs="Arial" w:eastAsia="Arial" w:hAnsi="Arial"/>
                  <w:sz w:val="13"/>
                  <w:szCs w:val="13"/>
                  <w:color w:val="0000EE"/>
                  <w:w w:val="93"/>
                </w:rPr>
                <w:t>Registrant’s Specimen Certificate for Ordinary Shares (incorporated herein by reference to Exhibit 4.2 to the Registrant’s Registration Statement on Form F-1 (File No. 333-</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40" w:type="dxa"/>
            <w:vAlign w:val="bottom"/>
            <w:gridSpan w:val="23"/>
          </w:tcPr>
          <w:p>
            <w:pPr>
              <w:spacing w:after="0" w:line="140" w:lineRule="exact"/>
              <w:rPr>
                <w:rFonts w:ascii="Arial" w:cs="Arial" w:eastAsia="Arial" w:hAnsi="Arial"/>
                <w:sz w:val="13"/>
                <w:szCs w:val="13"/>
                <w:color w:val="0000EE"/>
              </w:rPr>
            </w:pPr>
            <w:hyperlink r:id="rId349">
              <w:r>
                <w:rPr>
                  <w:rFonts w:ascii="Arial" w:cs="Arial" w:eastAsia="Arial" w:hAnsi="Arial"/>
                  <w:sz w:val="13"/>
                  <w:szCs w:val="13"/>
                  <w:color w:val="0000EE"/>
                </w:rPr>
                <w:t>233688)</w:t>
              </w:r>
              <w:r>
                <w:rPr>
                  <w:rFonts w:ascii="Arial" w:cs="Arial" w:eastAsia="Arial" w:hAnsi="Arial"/>
                  <w:sz w:val="13"/>
                  <w:szCs w:val="13"/>
                  <w:u w:val="single" w:color="auto"/>
                  <w:color w:val="0000EE"/>
                </w:rPr>
                <w:t>,</w:t>
              </w:r>
              <w:r>
                <w:rPr>
                  <w:rFonts w:ascii="Arial" w:cs="Arial" w:eastAsia="Arial" w:hAnsi="Arial"/>
                  <w:sz w:val="13"/>
                  <w:szCs w:val="13"/>
                  <w:color w:val="0000EE"/>
                </w:rPr>
                <w:t xml:space="preserve"> filed with the SEC on September 9, 2019)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9240" w:type="dxa"/>
            <w:vAlign w:val="bottom"/>
            <w:gridSpan w:val="23"/>
          </w:tcPr>
          <w:p>
            <w:pPr>
              <w:spacing w:after="0"/>
              <w:rPr>
                <w:rFonts w:ascii="Arial" w:cs="Arial" w:eastAsia="Arial" w:hAnsi="Arial"/>
                <w:sz w:val="13"/>
                <w:szCs w:val="13"/>
                <w:color w:val="0000EE"/>
                <w:w w:val="92"/>
              </w:rPr>
            </w:pPr>
            <w:hyperlink r:id="rId348">
              <w:r>
                <w:rPr>
                  <w:rFonts w:ascii="Arial" w:cs="Arial" w:eastAsia="Arial" w:hAnsi="Arial"/>
                  <w:sz w:val="13"/>
                  <w:szCs w:val="13"/>
                  <w:color w:val="0000EE"/>
                  <w:w w:val="92"/>
                </w:rPr>
                <w:t>Form of Deposit Agreement among the Registrant, the depositary and holders and beneficial owners of the American Depositary Shares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0" w:type="dxa"/>
            <w:vAlign w:val="bottom"/>
            <w:tcBorders>
              <w:top w:val="single" w:sz="8" w:color="0000EE"/>
            </w:tcBorders>
            <w:gridSpan w:val="21"/>
          </w:tcPr>
          <w:p>
            <w:pPr>
              <w:spacing w:after="0" w:line="140" w:lineRule="exact"/>
              <w:rPr>
                <w:rFonts w:ascii="Arial" w:cs="Arial" w:eastAsia="Arial" w:hAnsi="Arial"/>
                <w:sz w:val="13"/>
                <w:szCs w:val="13"/>
                <w:color w:val="0000EE"/>
              </w:rPr>
            </w:pPr>
            <w:hyperlink r:id="rId348">
              <w:r>
                <w:rPr>
                  <w:rFonts w:ascii="Arial" w:cs="Arial" w:eastAsia="Arial" w:hAnsi="Arial"/>
                  <w:sz w:val="13"/>
                  <w:szCs w:val="13"/>
                  <w:color w:val="0000EE"/>
                </w:rPr>
                <w:t>Exhibit 1 to the Registration Statement on Form F-6 (File No. 333-233898), filed with the SEC on September 23,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4"/>
                <w:szCs w:val="24"/>
                <w:color w:val="auto"/>
              </w:rPr>
            </w:pPr>
          </w:p>
        </w:tc>
        <w:tc>
          <w:tcPr>
            <w:tcW w:w="9240" w:type="dxa"/>
            <w:vAlign w:val="bottom"/>
            <w:gridSpan w:val="23"/>
          </w:tcPr>
          <w:p>
            <w:pPr>
              <w:spacing w:after="0"/>
              <w:rPr>
                <w:rFonts w:ascii="Arial" w:cs="Arial" w:eastAsia="Arial" w:hAnsi="Arial"/>
                <w:sz w:val="13"/>
                <w:szCs w:val="13"/>
                <w:color w:val="0000EE"/>
                <w:w w:val="99"/>
              </w:rPr>
            </w:pPr>
            <w:hyperlink r:id="rId350">
              <w:r>
                <w:rPr>
                  <w:rFonts w:ascii="Arial" w:cs="Arial" w:eastAsia="Arial" w:hAnsi="Arial"/>
                  <w:sz w:val="13"/>
                  <w:szCs w:val="13"/>
                  <w:color w:val="0000EE"/>
                  <w:w w:val="99"/>
                </w:rPr>
                <w:t>Master Agreement for Research Services by and among the Registrant, BioNTech RNA Pharmaceuticals GmbH, BioNTech Diagnostics GmbH, BioNTech Protein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80" w:type="dxa"/>
            <w:vAlign w:val="bottom"/>
            <w:tcBorders>
              <w:top w:val="single" w:sz="8" w:color="0000EE"/>
            </w:tcBorders>
            <w:gridSpan w:val="10"/>
          </w:tcPr>
          <w:p>
            <w:pPr>
              <w:spacing w:after="0" w:line="140" w:lineRule="exact"/>
              <w:rPr>
                <w:rFonts w:ascii="Arial" w:cs="Arial" w:eastAsia="Arial" w:hAnsi="Arial"/>
                <w:sz w:val="13"/>
                <w:szCs w:val="13"/>
                <w:color w:val="0000EE"/>
                <w:w w:val="96"/>
              </w:rPr>
            </w:pPr>
            <w:hyperlink r:id="rId350">
              <w:r>
                <w:rPr>
                  <w:rFonts w:ascii="Arial" w:cs="Arial" w:eastAsia="Arial" w:hAnsi="Arial"/>
                  <w:sz w:val="13"/>
                  <w:szCs w:val="13"/>
                  <w:color w:val="0000EE"/>
                  <w:w w:val="96"/>
                </w:rPr>
                <w:t>Therapeutics GmbH, BioNTech Cell &amp; Gene Therapies GmbH, Eufets GmbH, JPT Peptide Technologies GmbH and TRON-Translationale Onkologie an der</w:t>
              </w:r>
            </w:hyperlink>
          </w:p>
        </w:tc>
        <w:tc>
          <w:tcPr>
            <w:tcW w:w="56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20" w:type="dxa"/>
            <w:vAlign w:val="bottom"/>
            <w:tcBorders>
              <w:bottom w:val="single" w:sz="8" w:color="0000EE"/>
            </w:tcBorders>
            <w:gridSpan w:val="13"/>
          </w:tcPr>
          <w:p>
            <w:pPr>
              <w:spacing w:after="0" w:line="140" w:lineRule="exact"/>
              <w:rPr>
                <w:rFonts w:ascii="Arial" w:cs="Arial" w:eastAsia="Arial" w:hAnsi="Arial"/>
                <w:sz w:val="13"/>
                <w:szCs w:val="13"/>
                <w:color w:val="0000EE"/>
                <w:w w:val="92"/>
              </w:rPr>
            </w:pPr>
            <w:hyperlink r:id="rId350">
              <w:r>
                <w:rPr>
                  <w:rFonts w:ascii="Arial" w:cs="Arial" w:eastAsia="Arial" w:hAnsi="Arial"/>
                  <w:sz w:val="13"/>
                  <w:szCs w:val="13"/>
                  <w:color w:val="0000EE"/>
                  <w:w w:val="92"/>
                </w:rPr>
                <w:t>Universitätsmedizin der Johannes Gutenberg Universität Mainz gemeinnützige GmbH, dated January 1, 2015 (incorporated herein by reference to Exhibit 10.1 to the</w:t>
              </w:r>
            </w:hyperlink>
          </w:p>
        </w:tc>
        <w:tc>
          <w:tcPr>
            <w:tcW w:w="42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140" w:type="dxa"/>
            <w:vAlign w:val="bottom"/>
            <w:tcBorders>
              <w:bottom w:val="single" w:sz="8" w:color="0000EE"/>
            </w:tcBorders>
            <w:gridSpan w:val="6"/>
          </w:tcPr>
          <w:p>
            <w:pPr>
              <w:spacing w:after="0" w:line="140" w:lineRule="exact"/>
              <w:rPr>
                <w:rFonts w:ascii="Arial" w:cs="Arial" w:eastAsia="Arial" w:hAnsi="Arial"/>
                <w:sz w:val="13"/>
                <w:szCs w:val="13"/>
                <w:color w:val="0000EE"/>
                <w:w w:val="93"/>
              </w:rPr>
            </w:pPr>
            <w:hyperlink r:id="rId350">
              <w:r>
                <w:rPr>
                  <w:rFonts w:ascii="Arial" w:cs="Arial" w:eastAsia="Arial" w:hAnsi="Arial"/>
                  <w:sz w:val="13"/>
                  <w:szCs w:val="13"/>
                  <w:color w:val="0000EE"/>
                  <w:w w:val="93"/>
                </w:rPr>
                <w:t>Registrant’s Registration Statement on Form F-1 (File No. 333-233688), filed with the SEC on September 9, 2019)</w:t>
              </w:r>
            </w:hyperlink>
          </w:p>
        </w:tc>
        <w:tc>
          <w:tcPr>
            <w:tcW w:w="3100" w:type="dxa"/>
            <w:vAlign w:val="bottom"/>
            <w:gridSpan w:val="1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9080" w:type="dxa"/>
            <w:vAlign w:val="bottom"/>
            <w:tcBorders>
              <w:bottom w:val="single" w:sz="8" w:color="0000EE"/>
            </w:tcBorders>
            <w:gridSpan w:val="18"/>
          </w:tcPr>
          <w:p>
            <w:pPr>
              <w:spacing w:after="0"/>
              <w:rPr>
                <w:rFonts w:ascii="Arial" w:cs="Arial" w:eastAsia="Arial" w:hAnsi="Arial"/>
                <w:sz w:val="13"/>
                <w:szCs w:val="13"/>
                <w:color w:val="0000EE"/>
                <w:w w:val="93"/>
              </w:rPr>
            </w:pPr>
            <w:hyperlink r:id="rId351">
              <w:r>
                <w:rPr>
                  <w:rFonts w:ascii="Arial" w:cs="Arial" w:eastAsia="Arial" w:hAnsi="Arial"/>
                  <w:sz w:val="13"/>
                  <w:szCs w:val="13"/>
                  <w:color w:val="0000EE"/>
                  <w:w w:val="93"/>
                </w:rPr>
                <w:t>Confirmation Letter by and among the Registrant, BioNTech RNA Pharmaceuticals GmbH and TRON-Translationale Onkologie an der Universitätsmedizin der Johannes</w:t>
              </w:r>
            </w:hyperlink>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100" w:type="dxa"/>
            <w:vAlign w:val="bottom"/>
            <w:tcBorders>
              <w:bottom w:val="single" w:sz="8" w:color="0000EE"/>
            </w:tcBorders>
            <w:gridSpan w:val="19"/>
          </w:tcPr>
          <w:p>
            <w:pPr>
              <w:spacing w:after="0" w:line="140" w:lineRule="exact"/>
              <w:rPr>
                <w:rFonts w:ascii="Arial" w:cs="Arial" w:eastAsia="Arial" w:hAnsi="Arial"/>
                <w:sz w:val="13"/>
                <w:szCs w:val="13"/>
                <w:color w:val="0000EE"/>
                <w:w w:val="92"/>
              </w:rPr>
            </w:pPr>
            <w:hyperlink r:id="rId351">
              <w:r>
                <w:rPr>
                  <w:rFonts w:ascii="Arial" w:cs="Arial" w:eastAsia="Arial" w:hAnsi="Arial"/>
                  <w:sz w:val="13"/>
                  <w:szCs w:val="13"/>
                  <w:color w:val="0000EE"/>
                  <w:w w:val="92"/>
                </w:rPr>
                <w:t>Gutenberg Universität Mainz gemeinnützige GmbH dated September 15, 2016 (incorporated herein by reference to Exhibit 10.2 to the Registrant’s Registration Statement</w:t>
              </w:r>
            </w:hyperlink>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20" w:type="dxa"/>
            <w:vAlign w:val="bottom"/>
            <w:tcBorders>
              <w:bottom w:val="single" w:sz="8" w:color="0000EE"/>
            </w:tcBorders>
            <w:gridSpan w:val="5"/>
          </w:tcPr>
          <w:p>
            <w:pPr>
              <w:spacing w:after="0" w:line="140" w:lineRule="exact"/>
              <w:rPr>
                <w:rFonts w:ascii="Arial" w:cs="Arial" w:eastAsia="Arial" w:hAnsi="Arial"/>
                <w:sz w:val="13"/>
                <w:szCs w:val="13"/>
                <w:color w:val="0000EE"/>
                <w:w w:val="93"/>
              </w:rPr>
            </w:pPr>
            <w:hyperlink r:id="rId351">
              <w:r>
                <w:rPr>
                  <w:rFonts w:ascii="Arial" w:cs="Arial" w:eastAsia="Arial" w:hAnsi="Arial"/>
                  <w:sz w:val="13"/>
                  <w:szCs w:val="13"/>
                  <w:color w:val="0000EE"/>
                  <w:w w:val="93"/>
                </w:rPr>
                <w:t>on Form F-1 (File No. 333-233688), filed with the SEC on September 9, 2019)</w:t>
              </w:r>
            </w:hyperlink>
          </w:p>
        </w:tc>
        <w:tc>
          <w:tcPr>
            <w:tcW w:w="5020" w:type="dxa"/>
            <w:vAlign w:val="bottom"/>
            <w:gridSpan w:val="1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4"/>
                <w:szCs w:val="24"/>
                <w:color w:val="auto"/>
              </w:rPr>
            </w:pPr>
          </w:p>
        </w:tc>
        <w:tc>
          <w:tcPr>
            <w:tcW w:w="9160" w:type="dxa"/>
            <w:vAlign w:val="bottom"/>
            <w:tcBorders>
              <w:bottom w:val="single" w:sz="8" w:color="0000EE"/>
            </w:tcBorders>
            <w:gridSpan w:val="20"/>
          </w:tcPr>
          <w:p>
            <w:pPr>
              <w:spacing w:after="0"/>
              <w:rPr>
                <w:rFonts w:ascii="Arial" w:cs="Arial" w:eastAsia="Arial" w:hAnsi="Arial"/>
                <w:sz w:val="13"/>
                <w:szCs w:val="13"/>
                <w:color w:val="0000EE"/>
                <w:w w:val="93"/>
              </w:rPr>
            </w:pPr>
            <w:hyperlink r:id="rId352">
              <w:r>
                <w:rPr>
                  <w:rFonts w:ascii="Arial" w:cs="Arial" w:eastAsia="Arial" w:hAnsi="Arial"/>
                  <w:sz w:val="13"/>
                  <w:szCs w:val="13"/>
                  <w:color w:val="0000EE"/>
                  <w:w w:val="93"/>
                </w:rPr>
                <w:t>Supplementary Agreement for IVAC Developments to the Master Agreement for Research Services by and among the Registrant, BioNTech RNA Pharmaceuticals GmbH,</w:t>
              </w:r>
            </w:hyperlink>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40" w:type="dxa"/>
            <w:vAlign w:val="bottom"/>
            <w:gridSpan w:val="23"/>
          </w:tcPr>
          <w:p>
            <w:pPr>
              <w:spacing w:after="0" w:line="140" w:lineRule="exact"/>
              <w:rPr>
                <w:rFonts w:ascii="Arial" w:cs="Arial" w:eastAsia="Arial" w:hAnsi="Arial"/>
                <w:sz w:val="13"/>
                <w:szCs w:val="13"/>
                <w:color w:val="0000EE"/>
                <w:w w:val="97"/>
              </w:rPr>
            </w:pPr>
            <w:hyperlink r:id="rId352">
              <w:r>
                <w:rPr>
                  <w:rFonts w:ascii="Arial" w:cs="Arial" w:eastAsia="Arial" w:hAnsi="Arial"/>
                  <w:sz w:val="13"/>
                  <w:szCs w:val="13"/>
                  <w:color w:val="0000EE"/>
                  <w:w w:val="97"/>
                </w:rPr>
                <w:t>BioNTech Diagnostics GmbH, BioNTech Protein Therapeutics GmbH, BioNTech Cell &amp; Gene Therapies GmbH, BioNTech Innovative Manufacturing Services GmbH</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760" w:type="dxa"/>
            <w:vAlign w:val="bottom"/>
            <w:tcBorders>
              <w:top w:val="single" w:sz="8" w:color="0000EE"/>
              <w:bottom w:val="single" w:sz="8" w:color="0000EE"/>
            </w:tcBorders>
            <w:gridSpan w:val="11"/>
          </w:tcPr>
          <w:p>
            <w:pPr>
              <w:spacing w:after="0" w:line="140" w:lineRule="exact"/>
              <w:rPr>
                <w:rFonts w:ascii="Arial" w:cs="Arial" w:eastAsia="Arial" w:hAnsi="Arial"/>
                <w:sz w:val="13"/>
                <w:szCs w:val="13"/>
                <w:color w:val="0000EE"/>
                <w:w w:val="93"/>
              </w:rPr>
            </w:pPr>
            <w:hyperlink r:id="rId352">
              <w:r>
                <w:rPr>
                  <w:rFonts w:ascii="Arial" w:cs="Arial" w:eastAsia="Arial" w:hAnsi="Arial"/>
                  <w:sz w:val="13"/>
                  <w:szCs w:val="13"/>
                  <w:color w:val="0000EE"/>
                  <w:w w:val="93"/>
                </w:rPr>
                <w:t>(f/k/a Eufets GmbH), JPT Peptide Technologies GmbH and TRON-Translationale Onkologie an der Universitätsmedizin der Johannes Gutenberg Universität Mainz</w:t>
              </w:r>
            </w:hyperlink>
          </w:p>
        </w:tc>
        <w:tc>
          <w:tcPr>
            <w:tcW w:w="180" w:type="dxa"/>
            <w:vAlign w:val="bottom"/>
            <w:tcBorders>
              <w:top w:val="single" w:sz="8" w:color="0000EE"/>
            </w:tcBorders>
            <w:gridSpan w:val="3"/>
          </w:tcPr>
          <w:p>
            <w:pPr>
              <w:spacing w:after="0"/>
              <w:rPr>
                <w:sz w:val="12"/>
                <w:szCs w:val="12"/>
                <w:color w:val="auto"/>
              </w:rPr>
            </w:pPr>
          </w:p>
        </w:tc>
        <w:tc>
          <w:tcPr>
            <w:tcW w:w="30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40" w:type="dxa"/>
            <w:vAlign w:val="bottom"/>
            <w:gridSpan w:val="23"/>
          </w:tcPr>
          <w:p>
            <w:pPr>
              <w:spacing w:after="0" w:line="140" w:lineRule="exact"/>
              <w:rPr>
                <w:rFonts w:ascii="Arial" w:cs="Arial" w:eastAsia="Arial" w:hAnsi="Arial"/>
                <w:sz w:val="13"/>
                <w:szCs w:val="13"/>
                <w:color w:val="0000EE"/>
                <w:w w:val="95"/>
              </w:rPr>
            </w:pPr>
            <w:hyperlink r:id="rId352">
              <w:r>
                <w:rPr>
                  <w:rFonts w:ascii="Arial" w:cs="Arial" w:eastAsia="Arial" w:hAnsi="Arial"/>
                  <w:sz w:val="13"/>
                  <w:szCs w:val="13"/>
                  <w:color w:val="0000EE"/>
                  <w:w w:val="95"/>
                </w:rPr>
                <w:t>gemeinnützige GmbH, dated November 28, 2017 (incorporated herein by reference to Exhibit 10.3 to the Registrant’s Registration Statement on Form F-1 (File No. 333-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20" w:type="dxa"/>
            <w:vAlign w:val="bottom"/>
            <w:tcBorders>
              <w:top w:val="single" w:sz="8" w:color="0000EE"/>
            </w:tcBorders>
            <w:gridSpan w:val="15"/>
          </w:tcPr>
          <w:p>
            <w:pPr>
              <w:spacing w:after="0" w:line="140" w:lineRule="exact"/>
              <w:rPr>
                <w:rFonts w:ascii="Arial" w:cs="Arial" w:eastAsia="Arial" w:hAnsi="Arial"/>
                <w:sz w:val="13"/>
                <w:szCs w:val="13"/>
                <w:color w:val="0000EE"/>
              </w:rPr>
            </w:pPr>
            <w:hyperlink r:id="rId352">
              <w:r>
                <w:rPr>
                  <w:rFonts w:ascii="Arial" w:cs="Arial" w:eastAsia="Arial" w:hAnsi="Arial"/>
                  <w:sz w:val="13"/>
                  <w:szCs w:val="13"/>
                  <w:color w:val="0000EE"/>
                </w:rPr>
                <w:t>233688)</w:t>
              </w:r>
              <w:r>
                <w:rPr>
                  <w:rFonts w:ascii="Arial" w:cs="Arial" w:eastAsia="Arial" w:hAnsi="Arial"/>
                  <w:sz w:val="13"/>
                  <w:szCs w:val="13"/>
                  <w:u w:val="single" w:color="auto"/>
                  <w:color w:val="0000EE"/>
                </w:rPr>
                <w:t>,</w:t>
              </w:r>
              <w:r>
                <w:rPr>
                  <w:rFonts w:ascii="Arial" w:cs="Arial" w:eastAsia="Arial" w:hAnsi="Arial"/>
                  <w:sz w:val="13"/>
                  <w:szCs w:val="13"/>
                  <w:color w:val="0000EE"/>
                </w:rPr>
                <w:t xml:space="preserve"> filed with the SEC on September 9, 2019)</w:t>
              </w:r>
            </w:hyperlink>
          </w:p>
        </w:tc>
        <w:tc>
          <w:tcPr>
            <w:tcW w:w="22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4"/>
                <w:szCs w:val="24"/>
                <w:color w:val="auto"/>
              </w:rPr>
            </w:pPr>
          </w:p>
        </w:tc>
        <w:tc>
          <w:tcPr>
            <w:tcW w:w="9040" w:type="dxa"/>
            <w:vAlign w:val="bottom"/>
            <w:tcBorders>
              <w:bottom w:val="single" w:sz="8" w:color="0000EE"/>
            </w:tcBorders>
            <w:gridSpan w:val="16"/>
          </w:tcPr>
          <w:p>
            <w:pPr>
              <w:spacing w:after="0"/>
              <w:rPr>
                <w:rFonts w:ascii="Arial" w:cs="Arial" w:eastAsia="Arial" w:hAnsi="Arial"/>
                <w:sz w:val="13"/>
                <w:szCs w:val="13"/>
                <w:color w:val="0000EE"/>
                <w:w w:val="92"/>
              </w:rPr>
            </w:pPr>
            <w:hyperlink r:id="rId353">
              <w:r>
                <w:rPr>
                  <w:rFonts w:ascii="Arial" w:cs="Arial" w:eastAsia="Arial" w:hAnsi="Arial"/>
                  <w:sz w:val="13"/>
                  <w:szCs w:val="13"/>
                  <w:color w:val="0000EE"/>
                  <w:w w:val="92"/>
                </w:rPr>
                <w:t>License Agreement by and among the Registrant, TRON-Translationale Onkologie an der Universitätsmedizin der Johannes Gutenberg Universität Mainz gemeinnützige</w:t>
              </w:r>
            </w:hyperlink>
          </w:p>
        </w:tc>
        <w:tc>
          <w:tcPr>
            <w:tcW w:w="2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40" w:type="dxa"/>
            <w:vAlign w:val="bottom"/>
            <w:gridSpan w:val="23"/>
          </w:tcPr>
          <w:p>
            <w:pPr>
              <w:spacing w:after="0" w:line="140" w:lineRule="exact"/>
              <w:rPr>
                <w:rFonts w:ascii="Arial" w:cs="Arial" w:eastAsia="Arial" w:hAnsi="Arial"/>
                <w:sz w:val="13"/>
                <w:szCs w:val="13"/>
                <w:color w:val="0000EE"/>
                <w:w w:val="97"/>
              </w:rPr>
            </w:pPr>
            <w:hyperlink r:id="rId353">
              <w:r>
                <w:rPr>
                  <w:rFonts w:ascii="Arial" w:cs="Arial" w:eastAsia="Arial" w:hAnsi="Arial"/>
                  <w:sz w:val="13"/>
                  <w:szCs w:val="13"/>
                  <w:color w:val="0000EE"/>
                  <w:w w:val="97"/>
                </w:rPr>
                <w:t>GmbH, Johannes Gutenberg-Universität Mainz, Universitätsmedizin der Johannes Gutenberg-Universität and Ganymed Pharmaceuticals AG, dated January 1, 2015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60" w:type="dxa"/>
            <w:vAlign w:val="bottom"/>
            <w:gridSpan w:val="8"/>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40" w:type="dxa"/>
            <w:vAlign w:val="bottom"/>
            <w:gridSpan w:val="23"/>
          </w:tcPr>
          <w:p>
            <w:pPr>
              <w:spacing w:after="0" w:line="140" w:lineRule="exact"/>
              <w:rPr>
                <w:rFonts w:ascii="Arial" w:cs="Arial" w:eastAsia="Arial" w:hAnsi="Arial"/>
                <w:sz w:val="13"/>
                <w:szCs w:val="13"/>
                <w:color w:val="0000EE"/>
                <w:w w:val="94"/>
              </w:rPr>
            </w:pPr>
            <w:hyperlink r:id="rId353">
              <w:r>
                <w:rPr>
                  <w:rFonts w:ascii="Arial" w:cs="Arial" w:eastAsia="Arial" w:hAnsi="Arial"/>
                  <w:sz w:val="13"/>
                  <w:szCs w:val="13"/>
                  <w:color w:val="0000EE"/>
                  <w:w w:val="94"/>
                </w:rPr>
                <w:t>(incorporated herein by reference to Exhibit 10.4 to the Registrant’s Registration Statement on Form F-1 (File No. 333-233688), filed with the SEC on September 9, 2019</w:t>
              </w:r>
            </w:hyperlink>
            <w:r>
              <w:rPr>
                <w:rFonts w:ascii="Arial" w:cs="Arial" w:eastAsia="Arial" w:hAnsi="Arial"/>
                <w:sz w:val="13"/>
                <w:szCs w:val="13"/>
                <w:color w:val="000000"/>
                <w:w w:val="94"/>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60" w:type="dxa"/>
            <w:vAlign w:val="bottom"/>
            <w:gridSpan w:val="8"/>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4"/>
                <w:szCs w:val="24"/>
                <w:color w:val="auto"/>
              </w:rPr>
            </w:pPr>
          </w:p>
        </w:tc>
        <w:tc>
          <w:tcPr>
            <w:tcW w:w="9240" w:type="dxa"/>
            <w:vAlign w:val="bottom"/>
            <w:gridSpan w:val="23"/>
          </w:tcPr>
          <w:p>
            <w:pPr>
              <w:spacing w:after="0"/>
              <w:rPr>
                <w:rFonts w:ascii="Arial" w:cs="Arial" w:eastAsia="Arial" w:hAnsi="Arial"/>
                <w:sz w:val="13"/>
                <w:szCs w:val="13"/>
                <w:color w:val="0000EE"/>
                <w:w w:val="93"/>
              </w:rPr>
            </w:pPr>
            <w:hyperlink r:id="rId354">
              <w:r>
                <w:rPr>
                  <w:rFonts w:ascii="Arial" w:cs="Arial" w:eastAsia="Arial" w:hAnsi="Arial"/>
                  <w:sz w:val="13"/>
                  <w:szCs w:val="13"/>
                  <w:color w:val="0000EE"/>
                  <w:w w:val="93"/>
                </w:rPr>
                <w:t>Framework Collaboration Agreement by and among the Registrant, BioNTech RNA Pharmaceuticals GmbH, BioNTech Diagnostics GmbH, BioNTech Protein Therapeutics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20" w:type="dxa"/>
            <w:vAlign w:val="bottom"/>
            <w:tcBorders>
              <w:top w:val="single" w:sz="8" w:color="0000EE"/>
            </w:tcBorders>
            <w:gridSpan w:val="22"/>
          </w:tcPr>
          <w:p>
            <w:pPr>
              <w:spacing w:after="0" w:line="140" w:lineRule="exact"/>
              <w:rPr>
                <w:rFonts w:ascii="Arial" w:cs="Arial" w:eastAsia="Arial" w:hAnsi="Arial"/>
                <w:sz w:val="13"/>
                <w:szCs w:val="13"/>
                <w:color w:val="0000EE"/>
                <w:w w:val="98"/>
              </w:rPr>
            </w:pPr>
            <w:hyperlink r:id="rId354">
              <w:r>
                <w:rPr>
                  <w:rFonts w:ascii="Arial" w:cs="Arial" w:eastAsia="Arial" w:hAnsi="Arial"/>
                  <w:sz w:val="13"/>
                  <w:szCs w:val="13"/>
                  <w:color w:val="0000EE"/>
                  <w:w w:val="98"/>
                </w:rPr>
                <w:t>GmbH, BioNTech Cell &amp; Gene Therapies GmbH, BioNTech Innovative Manufacturing Services GmbH, JPT Peptide Technologies GmbH and TRON-Translationale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20" w:type="dxa"/>
            <w:vAlign w:val="bottom"/>
            <w:tcBorders>
              <w:top w:val="single" w:sz="8" w:color="0000EE"/>
            </w:tcBorders>
            <w:gridSpan w:val="13"/>
          </w:tcPr>
          <w:p>
            <w:pPr>
              <w:spacing w:after="0" w:line="140" w:lineRule="exact"/>
              <w:rPr>
                <w:rFonts w:ascii="Arial" w:cs="Arial" w:eastAsia="Arial" w:hAnsi="Arial"/>
                <w:sz w:val="13"/>
                <w:szCs w:val="13"/>
                <w:color w:val="0000EE"/>
                <w:w w:val="93"/>
              </w:rPr>
            </w:pPr>
            <w:hyperlink r:id="rId354">
              <w:r>
                <w:rPr>
                  <w:rFonts w:ascii="Arial" w:cs="Arial" w:eastAsia="Arial" w:hAnsi="Arial"/>
                  <w:sz w:val="13"/>
                  <w:szCs w:val="13"/>
                  <w:color w:val="0000EE"/>
                  <w:w w:val="93"/>
                </w:rPr>
                <w:t>Onkologie an der Universitätsmedizin der Johannes Gutenberg Universität Mainz gemeinnützige GmbH, dated August 29, 2019 (incorporated herein by reference to</w:t>
              </w:r>
            </w:hyperlink>
          </w:p>
        </w:tc>
        <w:tc>
          <w:tcPr>
            <w:tcW w:w="42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780" w:type="dxa"/>
            <w:vAlign w:val="bottom"/>
            <w:tcBorders>
              <w:top w:val="single" w:sz="8" w:color="0000EE"/>
            </w:tcBorders>
            <w:gridSpan w:val="12"/>
          </w:tcPr>
          <w:p>
            <w:pPr>
              <w:spacing w:after="0" w:line="140" w:lineRule="exact"/>
              <w:rPr>
                <w:rFonts w:ascii="Arial" w:cs="Arial" w:eastAsia="Arial" w:hAnsi="Arial"/>
                <w:sz w:val="13"/>
                <w:szCs w:val="13"/>
                <w:color w:val="0000EE"/>
              </w:rPr>
            </w:pPr>
            <w:hyperlink r:id="rId354">
              <w:r>
                <w:rPr>
                  <w:rFonts w:ascii="Arial" w:cs="Arial" w:eastAsia="Arial" w:hAnsi="Arial"/>
                  <w:sz w:val="13"/>
                  <w:szCs w:val="13"/>
                  <w:color w:val="0000EE"/>
                </w:rPr>
                <w:t>Exhibit 10.5 to the Registrant’s Registration Statement on Form F-1 (File No. 333-233688), filed with the SEC on September 9, 2019)</w:t>
              </w:r>
            </w:hyperlink>
          </w:p>
        </w:tc>
        <w:tc>
          <w:tcPr>
            <w:tcW w:w="46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0"/>
        </w:trPr>
        <w:tc>
          <w:tcPr>
            <w:tcW w:w="1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940" w:type="dxa"/>
            <w:vAlign w:val="bottom"/>
            <w:tcBorders>
              <w:top w:val="single" w:sz="8" w:color="0000EE"/>
            </w:tcBorders>
            <w:gridSpan w:val="3"/>
          </w:tcPr>
          <w:p>
            <w:pPr>
              <w:jc w:val="right"/>
              <w:ind w:right="260"/>
              <w:spacing w:after="0"/>
              <w:rPr>
                <w:sz w:val="20"/>
                <w:szCs w:val="20"/>
                <w:color w:val="auto"/>
              </w:rPr>
            </w:pPr>
            <w:r>
              <w:rPr>
                <w:rFonts w:ascii="Arial" w:cs="Arial" w:eastAsia="Arial" w:hAnsi="Arial"/>
                <w:sz w:val="13"/>
                <w:szCs w:val="13"/>
                <w:color w:val="auto"/>
              </w:rPr>
              <w:t>257</w:t>
            </w:r>
          </w:p>
        </w:tc>
        <w:tc>
          <w:tcPr>
            <w:tcW w:w="26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367" w:right="2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20"/>
                <w:szCs w:val="20"/>
                <w:color w:val="auto"/>
              </w:rPr>
            </w:pPr>
            <w:r>
              <w:rPr>
                <w:rFonts w:ascii="Arial" w:cs="Arial" w:eastAsia="Arial" w:hAnsi="Arial"/>
                <w:sz w:val="13"/>
                <w:szCs w:val="13"/>
                <w:color w:val="auto"/>
              </w:rPr>
              <w:t>4.6</w:t>
            </w:r>
          </w:p>
        </w:tc>
        <w:tc>
          <w:tcPr>
            <w:tcW w:w="9260" w:type="dxa"/>
            <w:vAlign w:val="bottom"/>
            <w:gridSpan w:val="22"/>
          </w:tcPr>
          <w:p>
            <w:pPr>
              <w:spacing w:after="0"/>
              <w:rPr>
                <w:rFonts w:ascii="Arial" w:cs="Arial" w:eastAsia="Arial" w:hAnsi="Arial"/>
                <w:sz w:val="13"/>
                <w:szCs w:val="13"/>
                <w:color w:val="0000EE"/>
                <w:w w:val="95"/>
              </w:rPr>
            </w:pPr>
            <w:hyperlink r:id="rId357">
              <w:r>
                <w:rPr>
                  <w:rFonts w:ascii="Arial" w:cs="Arial" w:eastAsia="Arial" w:hAnsi="Arial"/>
                  <w:sz w:val="13"/>
                  <w:szCs w:val="13"/>
                  <w:color w:val="0000EE"/>
                  <w:w w:val="95"/>
                </w:rPr>
                <w:t>Amended Patent License Agreement by and among the Registrant, the Board of Supervisors of Louisiana State University and Agricultural and Mechanical College and</w:t>
              </w:r>
            </w:hyperlink>
          </w:p>
        </w:tc>
      </w:tr>
      <w:tr>
        <w:trPr>
          <w:trHeight w:val="140"/>
        </w:trPr>
        <w:tc>
          <w:tcPr>
            <w:tcW w:w="2040" w:type="dxa"/>
            <w:vAlign w:val="bottom"/>
          </w:tcPr>
          <w:p>
            <w:pPr>
              <w:spacing w:after="0"/>
              <w:rPr>
                <w:sz w:val="12"/>
                <w:szCs w:val="12"/>
                <w:color w:val="auto"/>
              </w:rPr>
            </w:pPr>
          </w:p>
        </w:tc>
        <w:tc>
          <w:tcPr>
            <w:tcW w:w="8860" w:type="dxa"/>
            <w:vAlign w:val="bottom"/>
            <w:tcBorders>
              <w:top w:val="single" w:sz="8" w:color="0000EE"/>
              <w:bottom w:val="single" w:sz="8" w:color="0000EE"/>
            </w:tcBorders>
            <w:gridSpan w:val="13"/>
          </w:tcPr>
          <w:p>
            <w:pPr>
              <w:spacing w:after="0" w:line="140" w:lineRule="exact"/>
              <w:rPr>
                <w:rFonts w:ascii="Arial" w:cs="Arial" w:eastAsia="Arial" w:hAnsi="Arial"/>
                <w:sz w:val="13"/>
                <w:szCs w:val="13"/>
                <w:color w:val="0000EE"/>
                <w:w w:val="93"/>
              </w:rPr>
            </w:pPr>
            <w:hyperlink r:id="rId357">
              <w:r>
                <w:rPr>
                  <w:rFonts w:ascii="Arial" w:cs="Arial" w:eastAsia="Arial" w:hAnsi="Arial"/>
                  <w:sz w:val="13"/>
                  <w:szCs w:val="13"/>
                  <w:color w:val="0000EE"/>
                  <w:w w:val="93"/>
                </w:rPr>
                <w:t>Uniwersytet Warszawski, dated May 12, 2015 (incorporated herein by reference to Exhibit 10.6 to the Registrant’s Registration Statement on Form F-1 (File No. 333-</w:t>
              </w:r>
            </w:hyperlink>
          </w:p>
        </w:tc>
        <w:tc>
          <w:tcPr>
            <w:tcW w:w="120" w:type="dxa"/>
            <w:vAlign w:val="bottom"/>
            <w:tcBorders>
              <w:top w:val="single" w:sz="8" w:color="0000EE"/>
            </w:tcBorders>
            <w:gridSpan w:val="3"/>
          </w:tcPr>
          <w:p>
            <w:pPr>
              <w:spacing w:after="0"/>
              <w:rPr>
                <w:sz w:val="12"/>
                <w:szCs w:val="12"/>
                <w:color w:val="auto"/>
              </w:rPr>
            </w:pPr>
          </w:p>
        </w:tc>
        <w:tc>
          <w:tcPr>
            <w:tcW w:w="280" w:type="dxa"/>
            <w:vAlign w:val="bottom"/>
            <w:gridSpan w:val="6"/>
          </w:tcPr>
          <w:p>
            <w:pPr>
              <w:spacing w:after="0"/>
              <w:rPr>
                <w:sz w:val="12"/>
                <w:szCs w:val="12"/>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2"/>
          </w:tcPr>
          <w:p>
            <w:pPr>
              <w:spacing w:after="0" w:line="140" w:lineRule="exact"/>
              <w:rPr>
                <w:rFonts w:ascii="Arial" w:cs="Arial" w:eastAsia="Arial" w:hAnsi="Arial"/>
                <w:sz w:val="13"/>
                <w:szCs w:val="13"/>
                <w:color w:val="0000EE"/>
              </w:rPr>
            </w:pPr>
            <w:hyperlink r:id="rId357">
              <w:r>
                <w:rPr>
                  <w:rFonts w:ascii="Arial" w:cs="Arial" w:eastAsia="Arial" w:hAnsi="Arial"/>
                  <w:sz w:val="13"/>
                  <w:szCs w:val="13"/>
                  <w:color w:val="0000EE"/>
                </w:rPr>
                <w:t>233688)</w:t>
              </w:r>
              <w:r>
                <w:rPr>
                  <w:rFonts w:ascii="Arial" w:cs="Arial" w:eastAsia="Arial" w:hAnsi="Arial"/>
                  <w:sz w:val="13"/>
                  <w:szCs w:val="13"/>
                  <w:u w:val="single" w:color="auto"/>
                  <w:color w:val="0000EE"/>
                </w:rPr>
                <w:t>,</w:t>
              </w:r>
              <w:r>
                <w:rPr>
                  <w:rFonts w:ascii="Arial" w:cs="Arial" w:eastAsia="Arial" w:hAnsi="Arial"/>
                  <w:sz w:val="13"/>
                  <w:szCs w:val="13"/>
                  <w:color w:val="0000EE"/>
                </w:rPr>
                <w:t xml:space="preserve"> filed with the SEC on September 9, 2019)</w:t>
              </w:r>
            </w:hyperlink>
          </w:p>
        </w:tc>
      </w:tr>
      <w:tr>
        <w:trPr>
          <w:trHeight w:val="20"/>
        </w:trPr>
        <w:tc>
          <w:tcPr>
            <w:tcW w:w="20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4.7</w:t>
            </w:r>
          </w:p>
        </w:tc>
        <w:tc>
          <w:tcPr>
            <w:tcW w:w="8740" w:type="dxa"/>
            <w:vAlign w:val="bottom"/>
            <w:tcBorders>
              <w:bottom w:val="single" w:sz="8" w:color="0000EE"/>
            </w:tcBorders>
            <w:gridSpan w:val="12"/>
          </w:tcPr>
          <w:p>
            <w:pPr>
              <w:spacing w:after="0"/>
              <w:rPr>
                <w:rFonts w:ascii="Arial" w:cs="Arial" w:eastAsia="Arial" w:hAnsi="Arial"/>
                <w:sz w:val="13"/>
                <w:szCs w:val="13"/>
                <w:color w:val="0000EE"/>
                <w:w w:val="92"/>
              </w:rPr>
            </w:pPr>
            <w:hyperlink r:id="rId358">
              <w:r>
                <w:rPr>
                  <w:rFonts w:ascii="Arial" w:cs="Arial" w:eastAsia="Arial" w:hAnsi="Arial"/>
                  <w:sz w:val="13"/>
                  <w:szCs w:val="13"/>
                  <w:color w:val="0000EE"/>
                  <w:w w:val="92"/>
                </w:rPr>
                <w:t>License and Collaboration Agreement by and between the Registrant and Genmab A/S, dated May 19, 2015 (incorporated herein by reference to Exhibit 10.7 to the</w:t>
              </w:r>
            </w:hyperlink>
          </w:p>
        </w:tc>
        <w:tc>
          <w:tcPr>
            <w:tcW w:w="520" w:type="dxa"/>
            <w:vAlign w:val="bottom"/>
            <w:gridSpan w:val="10"/>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6140" w:type="dxa"/>
            <w:vAlign w:val="bottom"/>
            <w:tcBorders>
              <w:bottom w:val="single" w:sz="8" w:color="0000EE"/>
            </w:tcBorders>
            <w:gridSpan w:val="4"/>
          </w:tcPr>
          <w:p>
            <w:pPr>
              <w:spacing w:after="0" w:line="140" w:lineRule="exact"/>
              <w:rPr>
                <w:rFonts w:ascii="Arial" w:cs="Arial" w:eastAsia="Arial" w:hAnsi="Arial"/>
                <w:sz w:val="13"/>
                <w:szCs w:val="13"/>
                <w:color w:val="0000EE"/>
                <w:w w:val="93"/>
              </w:rPr>
            </w:pPr>
            <w:hyperlink r:id="rId358">
              <w:r>
                <w:rPr>
                  <w:rFonts w:ascii="Arial" w:cs="Arial" w:eastAsia="Arial" w:hAnsi="Arial"/>
                  <w:sz w:val="13"/>
                  <w:szCs w:val="13"/>
                  <w:color w:val="0000EE"/>
                  <w:w w:val="93"/>
                </w:rPr>
                <w:t>Registrant’s Registration Statement on Form F-1 (File No. 333-233688), filed with the SEC on September 9, 2019)</w:t>
              </w:r>
            </w:hyperlink>
          </w:p>
        </w:tc>
        <w:tc>
          <w:tcPr>
            <w:tcW w:w="3120" w:type="dxa"/>
            <w:vAlign w:val="bottom"/>
            <w:gridSpan w:val="18"/>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4.8</w:t>
            </w:r>
          </w:p>
        </w:tc>
        <w:tc>
          <w:tcPr>
            <w:tcW w:w="9260" w:type="dxa"/>
            <w:vAlign w:val="bottom"/>
            <w:gridSpan w:val="22"/>
          </w:tcPr>
          <w:p>
            <w:pPr>
              <w:spacing w:after="0"/>
              <w:rPr>
                <w:rFonts w:ascii="Arial" w:cs="Arial" w:eastAsia="Arial" w:hAnsi="Arial"/>
                <w:sz w:val="13"/>
                <w:szCs w:val="13"/>
                <w:color w:val="0000EE"/>
                <w:w w:val="96"/>
              </w:rPr>
            </w:pPr>
            <w:hyperlink r:id="rId359">
              <w:r>
                <w:rPr>
                  <w:rFonts w:ascii="Arial" w:cs="Arial" w:eastAsia="Arial" w:hAnsi="Arial"/>
                  <w:sz w:val="13"/>
                  <w:szCs w:val="13"/>
                  <w:color w:val="0000EE"/>
                  <w:w w:val="96"/>
                </w:rPr>
                <w:t>Amendment No. 1 to License and Collaboration Agreement by and between the Registrant and Genmab A/S, dated May 18, 2017 (incorporated herein by reference to</w:t>
              </w:r>
            </w:hyperlink>
          </w:p>
        </w:tc>
      </w:tr>
      <w:tr>
        <w:trPr>
          <w:trHeight w:val="140"/>
        </w:trPr>
        <w:tc>
          <w:tcPr>
            <w:tcW w:w="2040" w:type="dxa"/>
            <w:vAlign w:val="bottom"/>
          </w:tcPr>
          <w:p>
            <w:pPr>
              <w:spacing w:after="0"/>
              <w:rPr>
                <w:sz w:val="12"/>
                <w:szCs w:val="12"/>
                <w:color w:val="auto"/>
              </w:rPr>
            </w:pPr>
          </w:p>
        </w:tc>
        <w:tc>
          <w:tcPr>
            <w:tcW w:w="7160" w:type="dxa"/>
            <w:vAlign w:val="bottom"/>
            <w:tcBorders>
              <w:top w:val="single" w:sz="8" w:color="0000EE"/>
              <w:bottom w:val="single" w:sz="8" w:color="0000EE"/>
            </w:tcBorders>
            <w:gridSpan w:val="7"/>
          </w:tcPr>
          <w:p>
            <w:pPr>
              <w:spacing w:after="0" w:line="140" w:lineRule="exact"/>
              <w:rPr>
                <w:rFonts w:ascii="Arial" w:cs="Arial" w:eastAsia="Arial" w:hAnsi="Arial"/>
                <w:sz w:val="13"/>
                <w:szCs w:val="13"/>
                <w:color w:val="0000EE"/>
                <w:w w:val="93"/>
              </w:rPr>
            </w:pPr>
            <w:hyperlink r:id="rId359">
              <w:r>
                <w:rPr>
                  <w:rFonts w:ascii="Arial" w:cs="Arial" w:eastAsia="Arial" w:hAnsi="Arial"/>
                  <w:sz w:val="13"/>
                  <w:szCs w:val="13"/>
                  <w:color w:val="0000EE"/>
                  <w:w w:val="93"/>
                </w:rPr>
                <w:t>Exhibit 10.8 to the Registrant’s Registration Statement on Form F-1 (File No. 333-233688), filed with the SEC on September 9, 2019)</w:t>
              </w:r>
            </w:hyperlink>
          </w:p>
        </w:tc>
        <w:tc>
          <w:tcPr>
            <w:tcW w:w="1700" w:type="dxa"/>
            <w:vAlign w:val="bottom"/>
            <w:tcBorders>
              <w:top w:val="single" w:sz="8" w:color="0000EE"/>
            </w:tcBorders>
            <w:gridSpan w:val="6"/>
          </w:tcPr>
          <w:p>
            <w:pPr>
              <w:spacing w:after="0"/>
              <w:rPr>
                <w:sz w:val="12"/>
                <w:szCs w:val="12"/>
                <w:color w:val="auto"/>
              </w:rPr>
            </w:pPr>
          </w:p>
        </w:tc>
        <w:tc>
          <w:tcPr>
            <w:tcW w:w="400" w:type="dxa"/>
            <w:vAlign w:val="bottom"/>
            <w:gridSpan w:val="9"/>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4.9</w:t>
            </w:r>
          </w:p>
        </w:tc>
        <w:tc>
          <w:tcPr>
            <w:tcW w:w="9260" w:type="dxa"/>
            <w:vAlign w:val="bottom"/>
            <w:gridSpan w:val="22"/>
          </w:tcPr>
          <w:p>
            <w:pPr>
              <w:spacing w:after="0"/>
              <w:rPr>
                <w:rFonts w:ascii="Arial" w:cs="Arial" w:eastAsia="Arial" w:hAnsi="Arial"/>
                <w:sz w:val="13"/>
                <w:szCs w:val="13"/>
                <w:color w:val="0000EE"/>
                <w:w w:val="95"/>
              </w:rPr>
            </w:pPr>
            <w:hyperlink r:id="rId360">
              <w:r>
                <w:rPr>
                  <w:rFonts w:ascii="Arial" w:cs="Arial" w:eastAsia="Arial" w:hAnsi="Arial"/>
                  <w:sz w:val="13"/>
                  <w:szCs w:val="13"/>
                  <w:color w:val="0000EE"/>
                  <w:w w:val="95"/>
                </w:rPr>
                <w:t>Amendment No. 2 to License and Collaboration Agreement by and between the Registrant and Genmab A/S, dated August 4, 2017 (incorporated herein by reference to</w:t>
              </w:r>
            </w:hyperlink>
          </w:p>
        </w:tc>
      </w:tr>
      <w:tr>
        <w:trPr>
          <w:trHeight w:val="140"/>
        </w:trPr>
        <w:tc>
          <w:tcPr>
            <w:tcW w:w="2040" w:type="dxa"/>
            <w:vAlign w:val="bottom"/>
          </w:tcPr>
          <w:p>
            <w:pPr>
              <w:spacing w:after="0"/>
              <w:rPr>
                <w:sz w:val="12"/>
                <w:szCs w:val="12"/>
                <w:color w:val="auto"/>
              </w:rPr>
            </w:pPr>
          </w:p>
        </w:tc>
        <w:tc>
          <w:tcPr>
            <w:tcW w:w="7160" w:type="dxa"/>
            <w:vAlign w:val="bottom"/>
            <w:tcBorders>
              <w:top w:val="single" w:sz="8" w:color="0000EE"/>
              <w:bottom w:val="single" w:sz="8" w:color="0000EE"/>
            </w:tcBorders>
            <w:gridSpan w:val="7"/>
          </w:tcPr>
          <w:p>
            <w:pPr>
              <w:spacing w:after="0" w:line="140" w:lineRule="exact"/>
              <w:rPr>
                <w:rFonts w:ascii="Arial" w:cs="Arial" w:eastAsia="Arial" w:hAnsi="Arial"/>
                <w:sz w:val="13"/>
                <w:szCs w:val="13"/>
                <w:color w:val="0000EE"/>
                <w:w w:val="93"/>
              </w:rPr>
            </w:pPr>
            <w:hyperlink r:id="rId360">
              <w:r>
                <w:rPr>
                  <w:rFonts w:ascii="Arial" w:cs="Arial" w:eastAsia="Arial" w:hAnsi="Arial"/>
                  <w:sz w:val="13"/>
                  <w:szCs w:val="13"/>
                  <w:color w:val="0000EE"/>
                  <w:w w:val="93"/>
                </w:rPr>
                <w:t>Exhibit 10.9 to the Registrant’s Registration Statement on Form F-1 (File No. 333-233688), filed with the SEC on September 9, 2019)</w:t>
              </w:r>
            </w:hyperlink>
          </w:p>
        </w:tc>
        <w:tc>
          <w:tcPr>
            <w:tcW w:w="1780" w:type="dxa"/>
            <w:vAlign w:val="bottom"/>
            <w:tcBorders>
              <w:top w:val="single" w:sz="8" w:color="0000EE"/>
            </w:tcBorders>
            <w:gridSpan w:val="8"/>
          </w:tcPr>
          <w:p>
            <w:pPr>
              <w:spacing w:after="0"/>
              <w:rPr>
                <w:sz w:val="12"/>
                <w:szCs w:val="12"/>
                <w:color w:val="auto"/>
              </w:rPr>
            </w:pPr>
          </w:p>
        </w:tc>
        <w:tc>
          <w:tcPr>
            <w:tcW w:w="320" w:type="dxa"/>
            <w:vAlign w:val="bottom"/>
            <w:gridSpan w:val="7"/>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4.10</w:t>
            </w:r>
          </w:p>
        </w:tc>
        <w:tc>
          <w:tcPr>
            <w:tcW w:w="9260" w:type="dxa"/>
            <w:vAlign w:val="bottom"/>
            <w:gridSpan w:val="22"/>
          </w:tcPr>
          <w:p>
            <w:pPr>
              <w:spacing w:after="0"/>
              <w:rPr>
                <w:rFonts w:ascii="Arial" w:cs="Arial" w:eastAsia="Arial" w:hAnsi="Arial"/>
                <w:sz w:val="13"/>
                <w:szCs w:val="13"/>
                <w:color w:val="0000EE"/>
                <w:w w:val="96"/>
              </w:rPr>
            </w:pPr>
            <w:hyperlink r:id="rId361">
              <w:r>
                <w:rPr>
                  <w:rFonts w:ascii="Arial" w:cs="Arial" w:eastAsia="Arial" w:hAnsi="Arial"/>
                  <w:sz w:val="13"/>
                  <w:szCs w:val="13"/>
                  <w:color w:val="0000EE"/>
                  <w:w w:val="96"/>
                </w:rPr>
                <w:t>Amendment No. 3 to License and Collaboration Agreement by and between the Registrant and Genmab A/S, dated May 18, 2018 (incorporated herein by reference to</w:t>
              </w:r>
            </w:hyperlink>
          </w:p>
        </w:tc>
      </w:tr>
      <w:tr>
        <w:trPr>
          <w:trHeight w:val="140"/>
        </w:trPr>
        <w:tc>
          <w:tcPr>
            <w:tcW w:w="2040" w:type="dxa"/>
            <w:vAlign w:val="bottom"/>
          </w:tcPr>
          <w:p>
            <w:pPr>
              <w:spacing w:after="0"/>
              <w:rPr>
                <w:sz w:val="12"/>
                <w:szCs w:val="12"/>
                <w:color w:val="auto"/>
              </w:rPr>
            </w:pPr>
          </w:p>
        </w:tc>
        <w:tc>
          <w:tcPr>
            <w:tcW w:w="8860" w:type="dxa"/>
            <w:vAlign w:val="bottom"/>
            <w:tcBorders>
              <w:top w:val="single" w:sz="8" w:color="0000EE"/>
            </w:tcBorders>
            <w:gridSpan w:val="13"/>
          </w:tcPr>
          <w:p>
            <w:pPr>
              <w:spacing w:after="0" w:line="140" w:lineRule="exact"/>
              <w:rPr>
                <w:rFonts w:ascii="Arial" w:cs="Arial" w:eastAsia="Arial" w:hAnsi="Arial"/>
                <w:sz w:val="13"/>
                <w:szCs w:val="13"/>
                <w:color w:val="0000EE"/>
              </w:rPr>
            </w:pPr>
            <w:hyperlink r:id="rId361">
              <w:r>
                <w:rPr>
                  <w:rFonts w:ascii="Arial" w:cs="Arial" w:eastAsia="Arial" w:hAnsi="Arial"/>
                  <w:sz w:val="13"/>
                  <w:szCs w:val="13"/>
                  <w:color w:val="0000EE"/>
                </w:rPr>
                <w:t>Exhibit 10.10 to the Registrant’s Registration Statement on Form F-1 (File No. 333-233688), filed with the SEC on September 9, 2019)</w:t>
              </w:r>
            </w:hyperlink>
          </w:p>
        </w:tc>
        <w:tc>
          <w:tcPr>
            <w:tcW w:w="400" w:type="dxa"/>
            <w:vAlign w:val="bottom"/>
            <w:gridSpan w:val="9"/>
          </w:tcPr>
          <w:p>
            <w:pPr>
              <w:spacing w:after="0"/>
              <w:rPr>
                <w:sz w:val="12"/>
                <w:szCs w:val="12"/>
                <w:color w:val="auto"/>
              </w:rPr>
            </w:pPr>
          </w:p>
        </w:tc>
      </w:tr>
      <w:tr>
        <w:trPr>
          <w:trHeight w:val="20"/>
        </w:trPr>
        <w:tc>
          <w:tcPr>
            <w:tcW w:w="20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4.11</w:t>
            </w:r>
          </w:p>
        </w:tc>
        <w:tc>
          <w:tcPr>
            <w:tcW w:w="9180" w:type="dxa"/>
            <w:vAlign w:val="bottom"/>
            <w:tcBorders>
              <w:bottom w:val="single" w:sz="8" w:color="0000EE"/>
            </w:tcBorders>
            <w:gridSpan w:val="19"/>
          </w:tcPr>
          <w:p>
            <w:pPr>
              <w:spacing w:after="0"/>
              <w:rPr>
                <w:rFonts w:ascii="Arial" w:cs="Arial" w:eastAsia="Arial" w:hAnsi="Arial"/>
                <w:sz w:val="13"/>
                <w:szCs w:val="13"/>
                <w:color w:val="0000EE"/>
                <w:w w:val="92"/>
              </w:rPr>
            </w:pPr>
            <w:hyperlink r:id="rId362">
              <w:r>
                <w:rPr>
                  <w:rFonts w:ascii="Arial" w:cs="Arial" w:eastAsia="Arial" w:hAnsi="Arial"/>
                  <w:sz w:val="13"/>
                  <w:szCs w:val="13"/>
                  <w:color w:val="0000EE"/>
                  <w:w w:val="92"/>
                </w:rPr>
                <w:t>Collaboration and License Agreement by and between Sanofi S.A. and BioNTech RNA Pharmaceuticals GmbH, dated November 2, 2015 (incorporated herein by reference</w:t>
              </w:r>
            </w:hyperlink>
          </w:p>
        </w:tc>
        <w:tc>
          <w:tcPr>
            <w:tcW w:w="80" w:type="dxa"/>
            <w:vAlign w:val="bottom"/>
            <w:gridSpan w:val="3"/>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7360" w:type="dxa"/>
            <w:vAlign w:val="bottom"/>
            <w:tcBorders>
              <w:bottom w:val="single" w:sz="8" w:color="0000EE"/>
            </w:tcBorders>
            <w:gridSpan w:val="9"/>
          </w:tcPr>
          <w:p>
            <w:pPr>
              <w:spacing w:after="0" w:line="140" w:lineRule="exact"/>
              <w:rPr>
                <w:rFonts w:ascii="Arial" w:cs="Arial" w:eastAsia="Arial" w:hAnsi="Arial"/>
                <w:sz w:val="13"/>
                <w:szCs w:val="13"/>
                <w:color w:val="0000EE"/>
                <w:w w:val="93"/>
              </w:rPr>
            </w:pPr>
            <w:hyperlink r:id="rId362">
              <w:r>
                <w:rPr>
                  <w:rFonts w:ascii="Arial" w:cs="Arial" w:eastAsia="Arial" w:hAnsi="Arial"/>
                  <w:sz w:val="13"/>
                  <w:szCs w:val="13"/>
                  <w:color w:val="0000EE"/>
                  <w:w w:val="93"/>
                </w:rPr>
                <w:t>to Exhibit 10.11 to the Registrant’s Registration Statement on Form F-1 (File No. 333-233688), filed with the SEC on September 9, 2019)</w:t>
              </w:r>
            </w:hyperlink>
          </w:p>
        </w:tc>
        <w:tc>
          <w:tcPr>
            <w:tcW w:w="1900" w:type="dxa"/>
            <w:vAlign w:val="bottom"/>
            <w:gridSpan w:val="13"/>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4.12</w:t>
            </w:r>
          </w:p>
        </w:tc>
        <w:tc>
          <w:tcPr>
            <w:tcW w:w="9260" w:type="dxa"/>
            <w:vAlign w:val="bottom"/>
            <w:gridSpan w:val="22"/>
          </w:tcPr>
          <w:p>
            <w:pPr>
              <w:spacing w:after="0"/>
              <w:rPr>
                <w:rFonts w:ascii="Arial" w:cs="Arial" w:eastAsia="Arial" w:hAnsi="Arial"/>
                <w:sz w:val="13"/>
                <w:szCs w:val="13"/>
                <w:color w:val="0000EE"/>
                <w:w w:val="95"/>
              </w:rPr>
            </w:pPr>
            <w:hyperlink r:id="rId363">
              <w:r>
                <w:rPr>
                  <w:rFonts w:ascii="Arial" w:cs="Arial" w:eastAsia="Arial" w:hAnsi="Arial"/>
                  <w:sz w:val="13"/>
                  <w:szCs w:val="13"/>
                  <w:color w:val="0000EE"/>
                  <w:w w:val="95"/>
                </w:rPr>
                <w:t>Amendment to Collaboration and License Agreement by and between Sanofi S.A. and BioNTech RNA Pharmaceuticals GmbH, dated December 22, 2018 (incorporated</w:t>
              </w:r>
            </w:hyperlink>
          </w:p>
        </w:tc>
      </w:tr>
      <w:tr>
        <w:trPr>
          <w:trHeight w:val="140"/>
        </w:trPr>
        <w:tc>
          <w:tcPr>
            <w:tcW w:w="2040" w:type="dxa"/>
            <w:vAlign w:val="bottom"/>
          </w:tcPr>
          <w:p>
            <w:pPr>
              <w:spacing w:after="0"/>
              <w:rPr>
                <w:sz w:val="12"/>
                <w:szCs w:val="12"/>
                <w:color w:val="auto"/>
              </w:rPr>
            </w:pPr>
          </w:p>
        </w:tc>
        <w:tc>
          <w:tcPr>
            <w:tcW w:w="8980" w:type="dxa"/>
            <w:vAlign w:val="bottom"/>
            <w:tcBorders>
              <w:top w:val="single" w:sz="8" w:color="0000EE"/>
            </w:tcBorders>
            <w:gridSpan w:val="16"/>
          </w:tcPr>
          <w:p>
            <w:pPr>
              <w:spacing w:after="0" w:line="140" w:lineRule="exact"/>
              <w:rPr>
                <w:rFonts w:ascii="Arial" w:cs="Arial" w:eastAsia="Arial" w:hAnsi="Arial"/>
                <w:sz w:val="13"/>
                <w:szCs w:val="13"/>
                <w:color w:val="0000EE"/>
                <w:w w:val="99"/>
              </w:rPr>
            </w:pPr>
            <w:hyperlink r:id="rId363">
              <w:r>
                <w:rPr>
                  <w:rFonts w:ascii="Arial" w:cs="Arial" w:eastAsia="Arial" w:hAnsi="Arial"/>
                  <w:sz w:val="13"/>
                  <w:szCs w:val="13"/>
                  <w:color w:val="0000EE"/>
                  <w:w w:val="99"/>
                </w:rPr>
                <w:t>herein by reference to Exhibit 10.12 to the Registrant’s Registration Statement on Form F-1 (File No. 333-233688), filed with the SEC on September 9, 2019)</w:t>
              </w:r>
            </w:hyperlink>
          </w:p>
        </w:tc>
        <w:tc>
          <w:tcPr>
            <w:tcW w:w="280" w:type="dxa"/>
            <w:vAlign w:val="bottom"/>
            <w:gridSpan w:val="6"/>
          </w:tcPr>
          <w:p>
            <w:pPr>
              <w:spacing w:after="0"/>
              <w:rPr>
                <w:sz w:val="12"/>
                <w:szCs w:val="12"/>
                <w:color w:val="auto"/>
              </w:rPr>
            </w:pPr>
          </w:p>
        </w:tc>
      </w:tr>
      <w:tr>
        <w:trPr>
          <w:trHeight w:val="20"/>
        </w:trPr>
        <w:tc>
          <w:tcPr>
            <w:tcW w:w="20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4.13</w:t>
            </w:r>
          </w:p>
        </w:tc>
        <w:tc>
          <w:tcPr>
            <w:tcW w:w="9240" w:type="dxa"/>
            <w:vAlign w:val="bottom"/>
            <w:tcBorders>
              <w:bottom w:val="single" w:sz="8" w:color="0000EE"/>
            </w:tcBorders>
            <w:gridSpan w:val="21"/>
          </w:tcPr>
          <w:p>
            <w:pPr>
              <w:spacing w:after="0"/>
              <w:rPr>
                <w:rFonts w:ascii="Arial" w:cs="Arial" w:eastAsia="Arial" w:hAnsi="Arial"/>
                <w:sz w:val="13"/>
                <w:szCs w:val="13"/>
                <w:color w:val="0000EE"/>
                <w:w w:val="93"/>
              </w:rPr>
            </w:pPr>
            <w:hyperlink r:id="rId364">
              <w:r>
                <w:rPr>
                  <w:rFonts w:ascii="Arial" w:cs="Arial" w:eastAsia="Arial" w:hAnsi="Arial"/>
                  <w:sz w:val="13"/>
                  <w:szCs w:val="13"/>
                  <w:color w:val="0000EE"/>
                  <w:w w:val="93"/>
                </w:rPr>
                <w:t>Development Agreement by and between Sanofi S.A. and BioNTech RNA Pharmaceuticals GmbH, dated March 29, 2018 (incorporated herein by reference to Exhibit 10.13</w:t>
              </w:r>
            </w:hyperlink>
          </w:p>
        </w:tc>
        <w:tc>
          <w:tcPr>
            <w:tcW w:w="20" w:type="dxa"/>
            <w:vAlign w:val="bottom"/>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2"/>
          </w:tcPr>
          <w:p>
            <w:pPr>
              <w:spacing w:after="0" w:line="140" w:lineRule="exact"/>
              <w:rPr>
                <w:rFonts w:ascii="Arial" w:cs="Arial" w:eastAsia="Arial" w:hAnsi="Arial"/>
                <w:sz w:val="13"/>
                <w:szCs w:val="13"/>
                <w:color w:val="0000EE"/>
              </w:rPr>
            </w:pPr>
            <w:hyperlink r:id="rId364">
              <w:r>
                <w:rPr>
                  <w:rFonts w:ascii="Arial" w:cs="Arial" w:eastAsia="Arial" w:hAnsi="Arial"/>
                  <w:sz w:val="13"/>
                  <w:szCs w:val="13"/>
                  <w:color w:val="0000EE"/>
                </w:rPr>
                <w:t>to the Registrant’s Registration Statement on Form F-1 (File No. 333-233688), filed with the SEC on September 9, 2019)</w:t>
              </w:r>
            </w:hyperlink>
          </w:p>
        </w:tc>
      </w:tr>
      <w:tr>
        <w:trPr>
          <w:trHeight w:val="20"/>
        </w:trPr>
        <w:tc>
          <w:tcPr>
            <w:tcW w:w="20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4.14</w:t>
            </w:r>
          </w:p>
        </w:tc>
        <w:tc>
          <w:tcPr>
            <w:tcW w:w="9260" w:type="dxa"/>
            <w:vAlign w:val="bottom"/>
            <w:gridSpan w:val="22"/>
          </w:tcPr>
          <w:p>
            <w:pPr>
              <w:spacing w:after="0"/>
              <w:rPr>
                <w:rFonts w:ascii="Arial" w:cs="Arial" w:eastAsia="Arial" w:hAnsi="Arial"/>
                <w:sz w:val="13"/>
                <w:szCs w:val="13"/>
                <w:color w:val="0000EE"/>
                <w:w w:val="93"/>
              </w:rPr>
            </w:pPr>
            <w:hyperlink r:id="rId365">
              <w:r>
                <w:rPr>
                  <w:rFonts w:ascii="Arial" w:cs="Arial" w:eastAsia="Arial" w:hAnsi="Arial"/>
                  <w:sz w:val="13"/>
                  <w:szCs w:val="13"/>
                  <w:color w:val="0000EE"/>
                  <w:w w:val="93"/>
                </w:rPr>
                <w:t>Collaboration Agreement by and among the Registrant, BioNTech RNA Pharmaceuticals GmbH, Genentech, Inc. and F. Hoffman-La Roche Ltd, dated September 20, 2016</w:t>
              </w:r>
            </w:hyperlink>
          </w:p>
        </w:tc>
      </w:tr>
      <w:tr>
        <w:trPr>
          <w:trHeight w:val="20"/>
        </w:trPr>
        <w:tc>
          <w:tcPr>
            <w:tcW w:w="20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60" w:type="dxa"/>
            <w:vAlign w:val="bottom"/>
            <w:gridSpan w:val="4"/>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2"/>
          </w:tcPr>
          <w:p>
            <w:pPr>
              <w:spacing w:after="0" w:line="140" w:lineRule="exact"/>
              <w:rPr>
                <w:rFonts w:ascii="Arial" w:cs="Arial" w:eastAsia="Arial" w:hAnsi="Arial"/>
                <w:sz w:val="13"/>
                <w:szCs w:val="13"/>
                <w:color w:val="0000EE"/>
                <w:w w:val="94"/>
              </w:rPr>
            </w:pPr>
            <w:hyperlink r:id="rId365">
              <w:r>
                <w:rPr>
                  <w:rFonts w:ascii="Arial" w:cs="Arial" w:eastAsia="Arial" w:hAnsi="Arial"/>
                  <w:sz w:val="13"/>
                  <w:szCs w:val="13"/>
                  <w:color w:val="0000EE"/>
                  <w:w w:val="94"/>
                </w:rPr>
                <w:t>(incorporated herein by reference to Exhibit 10.14 to the Registrant’s Registration Statement on Form F-1 (File No. 333-233688), filed with the SEC on September 9, 2019)</w:t>
              </w:r>
            </w:hyperlink>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4.15*</w:t>
            </w:r>
          </w:p>
        </w:tc>
        <w:tc>
          <w:tcPr>
            <w:tcW w:w="9200" w:type="dxa"/>
            <w:vAlign w:val="bottom"/>
            <w:tcBorders>
              <w:top w:val="single" w:sz="8" w:color="0000EE"/>
            </w:tcBorders>
            <w:gridSpan w:val="20"/>
          </w:tcPr>
          <w:p>
            <w:pPr>
              <w:spacing w:after="0"/>
              <w:rPr>
                <w:rFonts w:ascii="Arial" w:cs="Arial" w:eastAsia="Arial" w:hAnsi="Arial"/>
                <w:sz w:val="13"/>
                <w:szCs w:val="13"/>
                <w:color w:val="0000EE"/>
                <w:w w:val="94"/>
              </w:rPr>
            </w:pPr>
            <w:hyperlink w:anchor="page328">
              <w:r>
                <w:rPr>
                  <w:rFonts w:ascii="Arial" w:cs="Arial" w:eastAsia="Arial" w:hAnsi="Arial"/>
                  <w:sz w:val="13"/>
                  <w:szCs w:val="13"/>
                  <w:color w:val="0000EE"/>
                  <w:w w:val="94"/>
                </w:rPr>
                <w:t>First Amendment to the Collaboration Agreement by and among the Registrant, BioNTech RNA Pharmaceuticals GmbH, Genentech, Inc. and F. Hoffman-La Roche Ltd,</w:t>
              </w:r>
            </w:hyperlink>
          </w:p>
        </w:tc>
        <w:tc>
          <w:tcPr>
            <w:tcW w:w="60" w:type="dxa"/>
            <w:vAlign w:val="bottom"/>
            <w:gridSpan w:val="2"/>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1000" w:type="dxa"/>
            <w:vAlign w:val="bottom"/>
            <w:tcBorders>
              <w:top w:val="single" w:sz="8" w:color="0000EE"/>
              <w:bottom w:val="single" w:sz="8" w:color="0000EE"/>
            </w:tcBorders>
          </w:tcPr>
          <w:p>
            <w:pPr>
              <w:spacing w:after="0" w:line="140" w:lineRule="exact"/>
              <w:rPr>
                <w:rFonts w:ascii="Arial" w:cs="Arial" w:eastAsia="Arial" w:hAnsi="Arial"/>
                <w:sz w:val="13"/>
                <w:szCs w:val="13"/>
                <w:color w:val="0000EE"/>
                <w:w w:val="88"/>
              </w:rPr>
            </w:pPr>
            <w:hyperlink w:anchor="page328">
              <w:r>
                <w:rPr>
                  <w:rFonts w:ascii="Arial" w:cs="Arial" w:eastAsia="Arial" w:hAnsi="Arial"/>
                  <w:sz w:val="13"/>
                  <w:szCs w:val="13"/>
                  <w:color w:val="0000EE"/>
                  <w:w w:val="88"/>
                </w:rPr>
                <w:t>dated June 1, 2018</w:t>
              </w:r>
            </w:hyperlink>
          </w:p>
        </w:tc>
        <w:tc>
          <w:tcPr>
            <w:tcW w:w="8040" w:type="dxa"/>
            <w:vAlign w:val="bottom"/>
            <w:tcBorders>
              <w:top w:val="single" w:sz="8" w:color="0000EE"/>
            </w:tcBorders>
            <w:gridSpan w:val="16"/>
          </w:tcPr>
          <w:p>
            <w:pPr>
              <w:spacing w:after="0"/>
              <w:rPr>
                <w:sz w:val="12"/>
                <w:szCs w:val="12"/>
                <w:color w:val="auto"/>
              </w:rPr>
            </w:pPr>
          </w:p>
        </w:tc>
        <w:tc>
          <w:tcPr>
            <w:tcW w:w="220" w:type="dxa"/>
            <w:vAlign w:val="bottom"/>
            <w:gridSpan w:val="5"/>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4.16*</w:t>
            </w:r>
          </w:p>
        </w:tc>
        <w:tc>
          <w:tcPr>
            <w:tcW w:w="9260" w:type="dxa"/>
            <w:vAlign w:val="bottom"/>
            <w:gridSpan w:val="22"/>
          </w:tcPr>
          <w:p>
            <w:pPr>
              <w:spacing w:after="0"/>
              <w:rPr>
                <w:rFonts w:ascii="Arial" w:cs="Arial" w:eastAsia="Arial" w:hAnsi="Arial"/>
                <w:sz w:val="13"/>
                <w:szCs w:val="13"/>
                <w:color w:val="0000EE"/>
                <w:w w:val="93"/>
              </w:rPr>
            </w:pPr>
            <w:hyperlink w:anchor="page331">
              <w:r>
                <w:rPr>
                  <w:rFonts w:ascii="Arial" w:cs="Arial" w:eastAsia="Arial" w:hAnsi="Arial"/>
                  <w:sz w:val="13"/>
                  <w:szCs w:val="13"/>
                  <w:color w:val="0000EE"/>
                  <w:w w:val="93"/>
                </w:rPr>
                <w:t>Second Amendment to the Collaboration Agreement by and among the Registrant, BioNTech RNA Pharmaceuticals GmbH, Genentech, Inc. and F. Hoffman-La Roche Ltd,</w:t>
              </w:r>
            </w:hyperlink>
          </w:p>
        </w:tc>
      </w:tr>
      <w:tr>
        <w:trPr>
          <w:trHeight w:val="140"/>
        </w:trPr>
        <w:tc>
          <w:tcPr>
            <w:tcW w:w="2040" w:type="dxa"/>
            <w:vAlign w:val="bottom"/>
          </w:tcPr>
          <w:p>
            <w:pPr>
              <w:spacing w:after="0"/>
              <w:rPr>
                <w:sz w:val="12"/>
                <w:szCs w:val="12"/>
                <w:color w:val="auto"/>
              </w:rPr>
            </w:pPr>
          </w:p>
        </w:tc>
        <w:tc>
          <w:tcPr>
            <w:tcW w:w="9180" w:type="dxa"/>
            <w:vAlign w:val="bottom"/>
            <w:tcBorders>
              <w:top w:val="single" w:sz="8" w:color="0000EE"/>
            </w:tcBorders>
            <w:gridSpan w:val="19"/>
          </w:tcPr>
          <w:p>
            <w:pPr>
              <w:spacing w:after="0" w:line="140" w:lineRule="exact"/>
              <w:rPr>
                <w:rFonts w:ascii="Arial" w:cs="Arial" w:eastAsia="Arial" w:hAnsi="Arial"/>
                <w:sz w:val="13"/>
                <w:szCs w:val="13"/>
                <w:color w:val="0000EE"/>
              </w:rPr>
            </w:pPr>
            <w:hyperlink w:anchor="page331">
              <w:r>
                <w:rPr>
                  <w:rFonts w:ascii="Arial" w:cs="Arial" w:eastAsia="Arial" w:hAnsi="Arial"/>
                  <w:sz w:val="13"/>
                  <w:szCs w:val="13"/>
                  <w:color w:val="0000EE"/>
                </w:rPr>
                <w:t>dated December 6, 2019</w:t>
              </w:r>
            </w:hyperlink>
          </w:p>
        </w:tc>
        <w:tc>
          <w:tcPr>
            <w:tcW w:w="80" w:type="dxa"/>
            <w:vAlign w:val="bottom"/>
            <w:gridSpan w:val="3"/>
          </w:tcPr>
          <w:p>
            <w:pPr>
              <w:spacing w:after="0"/>
              <w:rPr>
                <w:sz w:val="12"/>
                <w:szCs w:val="12"/>
                <w:color w:val="auto"/>
              </w:rPr>
            </w:pPr>
          </w:p>
        </w:tc>
      </w:tr>
      <w:tr>
        <w:trPr>
          <w:trHeight w:val="20"/>
        </w:trPr>
        <w:tc>
          <w:tcPr>
            <w:tcW w:w="20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4.17</w:t>
            </w:r>
          </w:p>
        </w:tc>
        <w:tc>
          <w:tcPr>
            <w:tcW w:w="9240" w:type="dxa"/>
            <w:vAlign w:val="bottom"/>
            <w:tcBorders>
              <w:bottom w:val="single" w:sz="8" w:color="0000EE"/>
            </w:tcBorders>
            <w:gridSpan w:val="21"/>
          </w:tcPr>
          <w:p>
            <w:pPr>
              <w:spacing w:after="0"/>
              <w:rPr>
                <w:rFonts w:ascii="Arial" w:cs="Arial" w:eastAsia="Arial" w:hAnsi="Arial"/>
                <w:sz w:val="13"/>
                <w:szCs w:val="13"/>
                <w:color w:val="0000EE"/>
                <w:w w:val="93"/>
              </w:rPr>
            </w:pPr>
            <w:hyperlink r:id="rId366">
              <w:r>
                <w:rPr>
                  <w:rFonts w:ascii="Arial" w:cs="Arial" w:eastAsia="Arial" w:hAnsi="Arial"/>
                  <w:sz w:val="13"/>
                  <w:szCs w:val="13"/>
                  <w:color w:val="0000EE"/>
                  <w:w w:val="93"/>
                </w:rPr>
                <w:t>Patent Sublicense Agreement by and between CellScript, LLC and BioNTech RNA Pharmaceuticals GmbH, dated July 14, 2017 (incorporated herein by reference to Exhibit</w:t>
              </w:r>
            </w:hyperlink>
          </w:p>
        </w:tc>
        <w:tc>
          <w:tcPr>
            <w:tcW w:w="20" w:type="dxa"/>
            <w:vAlign w:val="bottom"/>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2"/>
          </w:tcPr>
          <w:p>
            <w:pPr>
              <w:spacing w:after="0" w:line="140" w:lineRule="exact"/>
              <w:rPr>
                <w:rFonts w:ascii="Arial" w:cs="Arial" w:eastAsia="Arial" w:hAnsi="Arial"/>
                <w:sz w:val="13"/>
                <w:szCs w:val="13"/>
                <w:color w:val="0000EE"/>
              </w:rPr>
            </w:pPr>
            <w:hyperlink r:id="rId366">
              <w:r>
                <w:rPr>
                  <w:rFonts w:ascii="Arial" w:cs="Arial" w:eastAsia="Arial" w:hAnsi="Arial"/>
                  <w:sz w:val="13"/>
                  <w:szCs w:val="13"/>
                  <w:color w:val="0000EE"/>
                </w:rPr>
                <w:t>10.</w:t>
              </w:r>
              <w:r>
                <w:rPr>
                  <w:rFonts w:ascii="Arial" w:cs="Arial" w:eastAsia="Arial" w:hAnsi="Arial"/>
                  <w:sz w:val="13"/>
                  <w:szCs w:val="13"/>
                  <w:u w:val="single" w:color="auto"/>
                  <w:color w:val="0000EE"/>
                </w:rPr>
                <w:t>15</w:t>
              </w:r>
              <w:r>
                <w:rPr>
                  <w:rFonts w:ascii="Arial" w:cs="Arial" w:eastAsia="Arial" w:hAnsi="Arial"/>
                  <w:sz w:val="13"/>
                  <w:szCs w:val="13"/>
                  <w:color w:val="0000EE"/>
                </w:rPr>
                <w:t xml:space="preserve"> to the Registrant’s Registration Statement on Form F-1 (File No. 333-233688), filed with the SEC on September 9,2019)</w:t>
              </w:r>
            </w:hyperlink>
          </w:p>
        </w:tc>
      </w:tr>
      <w:tr>
        <w:trPr>
          <w:trHeight w:val="20"/>
        </w:trPr>
        <w:tc>
          <w:tcPr>
            <w:tcW w:w="2040" w:type="dxa"/>
            <w:vAlign w:val="bottom"/>
          </w:tcPr>
          <w:p>
            <w:pPr>
              <w:spacing w:after="0" w:line="20" w:lineRule="exact"/>
              <w:rPr>
                <w:sz w:val="1"/>
                <w:szCs w:val="1"/>
                <w:color w:val="auto"/>
              </w:rPr>
            </w:pPr>
          </w:p>
        </w:tc>
        <w:tc>
          <w:tcPr>
            <w:tcW w:w="6760" w:type="dxa"/>
            <w:vAlign w:val="bottom"/>
            <w:gridSpan w:val="6"/>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4.18</w:t>
            </w:r>
          </w:p>
        </w:tc>
        <w:tc>
          <w:tcPr>
            <w:tcW w:w="9260" w:type="dxa"/>
            <w:vAlign w:val="bottom"/>
            <w:gridSpan w:val="22"/>
          </w:tcPr>
          <w:p>
            <w:pPr>
              <w:spacing w:after="0"/>
              <w:rPr>
                <w:rFonts w:ascii="Arial" w:cs="Arial" w:eastAsia="Arial" w:hAnsi="Arial"/>
                <w:sz w:val="13"/>
                <w:szCs w:val="13"/>
                <w:color w:val="0000EE"/>
                <w:w w:val="96"/>
              </w:rPr>
            </w:pPr>
            <w:hyperlink r:id="rId367">
              <w:r>
                <w:rPr>
                  <w:rFonts w:ascii="Arial" w:cs="Arial" w:eastAsia="Arial" w:hAnsi="Arial"/>
                  <w:sz w:val="13"/>
                  <w:szCs w:val="13"/>
                  <w:color w:val="0000EE"/>
                  <w:w w:val="96"/>
                </w:rPr>
                <w:t>Patent Sublicense Agreement by and between mRNA RiboTherapeutics, Inc. and BioNTech RNA Pharmaceuticals GmbH, dated July 14, 2017 (incorporated herein by</w:t>
              </w:r>
            </w:hyperlink>
          </w:p>
        </w:tc>
      </w:tr>
      <w:tr>
        <w:trPr>
          <w:trHeight w:val="140"/>
        </w:trPr>
        <w:tc>
          <w:tcPr>
            <w:tcW w:w="2040" w:type="dxa"/>
            <w:vAlign w:val="bottom"/>
          </w:tcPr>
          <w:p>
            <w:pPr>
              <w:spacing w:after="0"/>
              <w:rPr>
                <w:sz w:val="12"/>
                <w:szCs w:val="12"/>
                <w:color w:val="auto"/>
              </w:rPr>
            </w:pPr>
          </w:p>
        </w:tc>
        <w:tc>
          <w:tcPr>
            <w:tcW w:w="8920" w:type="dxa"/>
            <w:vAlign w:val="bottom"/>
            <w:tcBorders>
              <w:top w:val="single" w:sz="8" w:color="0000EE"/>
            </w:tcBorders>
            <w:gridSpan w:val="14"/>
          </w:tcPr>
          <w:p>
            <w:pPr>
              <w:spacing w:after="0" w:line="140" w:lineRule="exact"/>
              <w:rPr>
                <w:rFonts w:ascii="Arial" w:cs="Arial" w:eastAsia="Arial" w:hAnsi="Arial"/>
                <w:sz w:val="13"/>
                <w:szCs w:val="13"/>
                <w:color w:val="0000EE"/>
              </w:rPr>
            </w:pPr>
            <w:hyperlink r:id="rId367">
              <w:r>
                <w:rPr>
                  <w:rFonts w:ascii="Arial" w:cs="Arial" w:eastAsia="Arial" w:hAnsi="Arial"/>
                  <w:sz w:val="13"/>
                  <w:szCs w:val="13"/>
                  <w:color w:val="0000EE"/>
                </w:rPr>
                <w:t>reference to Exhibit 10.16 to the Registrant’s Registration Statement on Form F-1 (File No. 333-233688), filed with the SEC on September 9, 2019)</w:t>
              </w:r>
            </w:hyperlink>
          </w:p>
        </w:tc>
        <w:tc>
          <w:tcPr>
            <w:tcW w:w="340" w:type="dxa"/>
            <w:vAlign w:val="bottom"/>
            <w:gridSpan w:val="8"/>
          </w:tcPr>
          <w:p>
            <w:pPr>
              <w:spacing w:after="0"/>
              <w:rPr>
                <w:sz w:val="12"/>
                <w:szCs w:val="12"/>
                <w:color w:val="auto"/>
              </w:rPr>
            </w:pPr>
          </w:p>
        </w:tc>
      </w:tr>
      <w:tr>
        <w:trPr>
          <w:trHeight w:val="330"/>
        </w:trPr>
        <w:tc>
          <w:tcPr>
            <w:tcW w:w="2040" w:type="dxa"/>
            <w:vAlign w:val="bottom"/>
          </w:tcPr>
          <w:p>
            <w:pPr>
              <w:spacing w:after="0"/>
              <w:rPr>
                <w:sz w:val="24"/>
                <w:szCs w:val="24"/>
                <w:color w:val="auto"/>
              </w:rPr>
            </w:pPr>
          </w:p>
        </w:tc>
        <w:tc>
          <w:tcPr>
            <w:tcW w:w="6140" w:type="dxa"/>
            <w:vAlign w:val="bottom"/>
            <w:tcBorders>
              <w:top w:val="single" w:sz="8" w:color="0000EE"/>
            </w:tcBorders>
            <w:gridSpan w:val="4"/>
          </w:tcPr>
          <w:p>
            <w:pPr>
              <w:ind w:left="3500"/>
              <w:spacing w:after="0"/>
              <w:rPr>
                <w:sz w:val="20"/>
                <w:szCs w:val="20"/>
                <w:color w:val="auto"/>
              </w:rPr>
            </w:pPr>
            <w:r>
              <w:rPr>
                <w:rFonts w:ascii="Arial" w:cs="Arial" w:eastAsia="Arial" w:hAnsi="Arial"/>
                <w:sz w:val="13"/>
                <w:szCs w:val="13"/>
                <w:color w:val="auto"/>
              </w:rPr>
              <w:t>258</w:t>
            </w: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20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49"/>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4.19</w:t>
            </w:r>
          </w:p>
        </w:tc>
        <w:tc>
          <w:tcPr>
            <w:tcW w:w="9120" w:type="dxa"/>
            <w:vAlign w:val="bottom"/>
            <w:tcBorders>
              <w:bottom w:val="single" w:sz="8" w:color="0000EE"/>
            </w:tcBorders>
            <w:gridSpan w:val="15"/>
          </w:tcPr>
          <w:p>
            <w:pPr>
              <w:spacing w:after="0"/>
              <w:rPr>
                <w:rFonts w:ascii="Arial" w:cs="Arial" w:eastAsia="Arial" w:hAnsi="Arial"/>
                <w:sz w:val="13"/>
                <w:szCs w:val="13"/>
                <w:color w:val="0000EE"/>
                <w:w w:val="92"/>
              </w:rPr>
            </w:pPr>
            <w:hyperlink r:id="rId370">
              <w:r>
                <w:rPr>
                  <w:rFonts w:ascii="Arial" w:cs="Arial" w:eastAsia="Arial" w:hAnsi="Arial"/>
                  <w:sz w:val="13"/>
                  <w:szCs w:val="13"/>
                  <w:color w:val="0000EE"/>
                  <w:w w:val="92"/>
                </w:rPr>
                <w:t>License and Co-Development Agreement by and between Genevant Sciences GmbH and BioNTech RNA Pharmaceuticals GmbH, dated July 4, 2018 (incorporated herein</w:t>
              </w:r>
            </w:hyperlink>
          </w:p>
        </w:tc>
        <w:tc>
          <w:tcPr>
            <w:tcW w:w="140" w:type="dxa"/>
            <w:vAlign w:val="bottom"/>
            <w:gridSpan w:val="5"/>
          </w:tcPr>
          <w:p>
            <w:pPr>
              <w:spacing w:after="0"/>
              <w:rPr>
                <w:sz w:val="13"/>
                <w:szCs w:val="13"/>
                <w:color w:val="auto"/>
              </w:rPr>
            </w:pPr>
          </w:p>
        </w:tc>
      </w:tr>
      <w:tr>
        <w:trPr>
          <w:trHeight w:val="140"/>
        </w:trPr>
        <w:tc>
          <w:tcPr>
            <w:tcW w:w="2040" w:type="dxa"/>
            <w:vAlign w:val="bottom"/>
          </w:tcPr>
          <w:p>
            <w:pPr>
              <w:spacing w:after="0"/>
              <w:rPr>
                <w:sz w:val="12"/>
                <w:szCs w:val="12"/>
                <w:color w:val="auto"/>
              </w:rPr>
            </w:pPr>
          </w:p>
        </w:tc>
        <w:tc>
          <w:tcPr>
            <w:tcW w:w="8060" w:type="dxa"/>
            <w:vAlign w:val="bottom"/>
            <w:tcBorders>
              <w:bottom w:val="single" w:sz="8" w:color="0000EE"/>
            </w:tcBorders>
            <w:gridSpan w:val="5"/>
          </w:tcPr>
          <w:p>
            <w:pPr>
              <w:spacing w:after="0" w:line="140" w:lineRule="exact"/>
              <w:rPr>
                <w:rFonts w:ascii="Arial" w:cs="Arial" w:eastAsia="Arial" w:hAnsi="Arial"/>
                <w:sz w:val="13"/>
                <w:szCs w:val="13"/>
                <w:color w:val="0000EE"/>
                <w:w w:val="93"/>
              </w:rPr>
            </w:pPr>
            <w:hyperlink r:id="rId370">
              <w:r>
                <w:rPr>
                  <w:rFonts w:ascii="Arial" w:cs="Arial" w:eastAsia="Arial" w:hAnsi="Arial"/>
                  <w:sz w:val="13"/>
                  <w:szCs w:val="13"/>
                  <w:color w:val="0000EE"/>
                  <w:w w:val="93"/>
                </w:rPr>
                <w:t>by reference to Exhibit 10.17 to the Registrant’s Registration Statement on Form F-1 (File No. 333-233688), filed with the SEC on September 9, 2019)</w:t>
              </w:r>
            </w:hyperlink>
          </w:p>
        </w:tc>
        <w:tc>
          <w:tcPr>
            <w:tcW w:w="1200" w:type="dxa"/>
            <w:vAlign w:val="bottom"/>
            <w:gridSpan w:val="15"/>
          </w:tcPr>
          <w:p>
            <w:pPr>
              <w:spacing w:after="0"/>
              <w:rPr>
                <w:sz w:val="12"/>
                <w:szCs w:val="12"/>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4.20</w:t>
            </w:r>
          </w:p>
        </w:tc>
        <w:tc>
          <w:tcPr>
            <w:tcW w:w="9060" w:type="dxa"/>
            <w:vAlign w:val="bottom"/>
            <w:tcBorders>
              <w:bottom w:val="single" w:sz="8" w:color="0000EE"/>
            </w:tcBorders>
            <w:gridSpan w:val="12"/>
          </w:tcPr>
          <w:p>
            <w:pPr>
              <w:spacing w:after="0"/>
              <w:rPr>
                <w:rFonts w:ascii="Arial" w:cs="Arial" w:eastAsia="Arial" w:hAnsi="Arial"/>
                <w:sz w:val="13"/>
                <w:szCs w:val="13"/>
                <w:color w:val="0000EE"/>
                <w:w w:val="92"/>
              </w:rPr>
            </w:pPr>
            <w:hyperlink r:id="rId371">
              <w:r>
                <w:rPr>
                  <w:rFonts w:ascii="Arial" w:cs="Arial" w:eastAsia="Arial" w:hAnsi="Arial"/>
                  <w:sz w:val="13"/>
                  <w:szCs w:val="13"/>
                  <w:color w:val="0000EE"/>
                  <w:w w:val="92"/>
                </w:rPr>
                <w:t>Research Collaboration and License Agreement by and among the Registrant, BioNTech RNA Pharmaceuticals GmbH and Pfizer, Inc., dated July 20, 2018 (incorporated</w:t>
              </w:r>
            </w:hyperlink>
          </w:p>
        </w:tc>
        <w:tc>
          <w:tcPr>
            <w:tcW w:w="200" w:type="dxa"/>
            <w:vAlign w:val="bottom"/>
            <w:gridSpan w:val="8"/>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0"/>
          </w:tcPr>
          <w:p>
            <w:pPr>
              <w:spacing w:after="0" w:line="140" w:lineRule="exact"/>
              <w:rPr>
                <w:rFonts w:ascii="Arial" w:cs="Arial" w:eastAsia="Arial" w:hAnsi="Arial"/>
                <w:sz w:val="13"/>
                <w:szCs w:val="13"/>
                <w:color w:val="0000EE"/>
              </w:rPr>
            </w:pPr>
            <w:hyperlink r:id="rId371">
              <w:r>
                <w:rPr>
                  <w:rFonts w:ascii="Arial" w:cs="Arial" w:eastAsia="Arial" w:hAnsi="Arial"/>
                  <w:sz w:val="13"/>
                  <w:szCs w:val="13"/>
                  <w:color w:val="0000EE"/>
                </w:rPr>
                <w:t>herein by reference to Exhibit 10.18 to the Registrant’s Registration Statement on Form F-1 (File No. 333-233688), filed with the SEC on September 9, 2019)</w:t>
              </w:r>
            </w:hyperlink>
          </w:p>
        </w:tc>
      </w:tr>
      <w:tr>
        <w:trPr>
          <w:trHeight w:val="20"/>
        </w:trPr>
        <w:tc>
          <w:tcPr>
            <w:tcW w:w="2040" w:type="dxa"/>
            <w:vAlign w:val="bottom"/>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4.21</w:t>
            </w:r>
          </w:p>
        </w:tc>
        <w:tc>
          <w:tcPr>
            <w:tcW w:w="9080" w:type="dxa"/>
            <w:vAlign w:val="bottom"/>
            <w:tcBorders>
              <w:bottom w:val="single" w:sz="8" w:color="0000EE"/>
            </w:tcBorders>
            <w:gridSpan w:val="13"/>
          </w:tcPr>
          <w:p>
            <w:pPr>
              <w:spacing w:after="0"/>
              <w:rPr>
                <w:rFonts w:ascii="Arial" w:cs="Arial" w:eastAsia="Arial" w:hAnsi="Arial"/>
                <w:sz w:val="13"/>
                <w:szCs w:val="13"/>
                <w:color w:val="0000EE"/>
                <w:w w:val="92"/>
              </w:rPr>
            </w:pPr>
            <w:hyperlink r:id="rId372">
              <w:r>
                <w:rPr>
                  <w:rFonts w:ascii="Arial" w:cs="Arial" w:eastAsia="Arial" w:hAnsi="Arial"/>
                  <w:sz w:val="13"/>
                  <w:szCs w:val="13"/>
                  <w:color w:val="0000EE"/>
                  <w:w w:val="92"/>
                </w:rPr>
                <w:t>Collaboration and License Agreement by and between the Trustees of the University of Pennsylvania and BioNTech RNA Pharmaceuticals GmbH, dated October 9, 2018</w:t>
              </w:r>
            </w:hyperlink>
          </w:p>
        </w:tc>
        <w:tc>
          <w:tcPr>
            <w:tcW w:w="180" w:type="dxa"/>
            <w:vAlign w:val="bottom"/>
            <w:gridSpan w:val="7"/>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180" w:type="dxa"/>
            <w:vAlign w:val="bottom"/>
            <w:tcBorders>
              <w:bottom w:val="single" w:sz="8" w:color="0000EE"/>
            </w:tcBorders>
            <w:gridSpan w:val="17"/>
          </w:tcPr>
          <w:p>
            <w:pPr>
              <w:spacing w:after="0" w:line="140" w:lineRule="exact"/>
              <w:rPr>
                <w:rFonts w:ascii="Arial" w:cs="Arial" w:eastAsia="Arial" w:hAnsi="Arial"/>
                <w:sz w:val="13"/>
                <w:szCs w:val="13"/>
                <w:color w:val="0000EE"/>
                <w:w w:val="93"/>
              </w:rPr>
            </w:pPr>
            <w:hyperlink r:id="rId372">
              <w:r>
                <w:rPr>
                  <w:rFonts w:ascii="Arial" w:cs="Arial" w:eastAsia="Arial" w:hAnsi="Arial"/>
                  <w:sz w:val="13"/>
                  <w:szCs w:val="13"/>
                  <w:color w:val="0000EE"/>
                  <w:w w:val="93"/>
                </w:rPr>
                <w:t>(incorporated herein by reference to Exhibit 10.19 to the Registrant’s Registration Statement on Form F-1 (File No. 333-233688), filed with the SEC on September 9, 2019)</w:t>
              </w:r>
            </w:hyperlink>
          </w:p>
        </w:tc>
        <w:tc>
          <w:tcPr>
            <w:tcW w:w="80" w:type="dxa"/>
            <w:vAlign w:val="bottom"/>
            <w:gridSpan w:val="3"/>
          </w:tcPr>
          <w:p>
            <w:pPr>
              <w:spacing w:after="0"/>
              <w:rPr>
                <w:sz w:val="12"/>
                <w:szCs w:val="12"/>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4.22</w:t>
            </w:r>
          </w:p>
        </w:tc>
        <w:tc>
          <w:tcPr>
            <w:tcW w:w="8920" w:type="dxa"/>
            <w:vAlign w:val="bottom"/>
            <w:tcBorders>
              <w:bottom w:val="single" w:sz="8" w:color="0000EE"/>
            </w:tcBorders>
            <w:gridSpan w:val="8"/>
          </w:tcPr>
          <w:p>
            <w:pPr>
              <w:spacing w:after="0"/>
              <w:rPr>
                <w:rFonts w:ascii="Arial" w:cs="Arial" w:eastAsia="Arial" w:hAnsi="Arial"/>
                <w:sz w:val="13"/>
                <w:szCs w:val="13"/>
                <w:color w:val="0000EE"/>
                <w:w w:val="92"/>
              </w:rPr>
            </w:pPr>
            <w:hyperlink r:id="rId373">
              <w:r>
                <w:rPr>
                  <w:rFonts w:ascii="Arial" w:cs="Arial" w:eastAsia="Arial" w:hAnsi="Arial"/>
                  <w:sz w:val="13"/>
                  <w:szCs w:val="13"/>
                  <w:color w:val="0000EE"/>
                  <w:w w:val="92"/>
                </w:rPr>
                <w:t>Sublease Agreement by and among the Registrant and Universitätsmedizin der Johannes Gutenberg-Universität Mainz, dated January 14, 2013 (incorporated herein by</w:t>
              </w:r>
            </w:hyperlink>
          </w:p>
        </w:tc>
        <w:tc>
          <w:tcPr>
            <w:tcW w:w="340" w:type="dxa"/>
            <w:vAlign w:val="bottom"/>
            <w:gridSpan w:val="12"/>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7900" w:type="dxa"/>
            <w:vAlign w:val="bottom"/>
            <w:tcBorders>
              <w:bottom w:val="single" w:sz="8" w:color="0000EE"/>
            </w:tcBorders>
            <w:gridSpan w:val="4"/>
          </w:tcPr>
          <w:p>
            <w:pPr>
              <w:spacing w:after="0" w:line="140" w:lineRule="exact"/>
              <w:rPr>
                <w:rFonts w:ascii="Arial" w:cs="Arial" w:eastAsia="Arial" w:hAnsi="Arial"/>
                <w:sz w:val="13"/>
                <w:szCs w:val="13"/>
                <w:color w:val="0000EE"/>
                <w:w w:val="93"/>
              </w:rPr>
            </w:pPr>
            <w:hyperlink r:id="rId373">
              <w:r>
                <w:rPr>
                  <w:rFonts w:ascii="Arial" w:cs="Arial" w:eastAsia="Arial" w:hAnsi="Arial"/>
                  <w:sz w:val="13"/>
                  <w:szCs w:val="13"/>
                  <w:color w:val="0000EE"/>
                  <w:w w:val="93"/>
                </w:rPr>
                <w:t>reference to Exhibit 10.21 to the Registrant’s Registration Statement on Form F-1 (File No. 333-233688), filed with the SEC on September 9, 2019)</w:t>
              </w:r>
            </w:hyperlink>
          </w:p>
        </w:tc>
        <w:tc>
          <w:tcPr>
            <w:tcW w:w="1360" w:type="dxa"/>
            <w:vAlign w:val="bottom"/>
            <w:gridSpan w:val="16"/>
          </w:tcPr>
          <w:p>
            <w:pPr>
              <w:spacing w:after="0"/>
              <w:rPr>
                <w:sz w:val="12"/>
                <w:szCs w:val="12"/>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4.23</w:t>
            </w:r>
          </w:p>
        </w:tc>
        <w:tc>
          <w:tcPr>
            <w:tcW w:w="9260" w:type="dxa"/>
            <w:vAlign w:val="bottom"/>
            <w:gridSpan w:val="20"/>
          </w:tcPr>
          <w:p>
            <w:pPr>
              <w:spacing w:after="0"/>
              <w:rPr>
                <w:rFonts w:ascii="Arial" w:cs="Arial" w:eastAsia="Arial" w:hAnsi="Arial"/>
                <w:sz w:val="13"/>
                <w:szCs w:val="13"/>
                <w:color w:val="0000EE"/>
                <w:w w:val="95"/>
              </w:rPr>
            </w:pPr>
            <w:hyperlink r:id="rId374">
              <w:r>
                <w:rPr>
                  <w:rFonts w:ascii="Arial" w:cs="Arial" w:eastAsia="Arial" w:hAnsi="Arial"/>
                  <w:sz w:val="13"/>
                  <w:szCs w:val="13"/>
                  <w:color w:val="0000EE"/>
                  <w:w w:val="95"/>
                </w:rPr>
                <w:t>Amendment to Sublease Agreement by and among the Registrant and Universitätsmedizin der Johannes Gutenberg-Universität Mainz, dated July 5, 2014 (incorporated</w:t>
              </w:r>
            </w:hyperlink>
          </w:p>
        </w:tc>
      </w:tr>
      <w:tr>
        <w:trPr>
          <w:trHeight w:val="140"/>
        </w:trPr>
        <w:tc>
          <w:tcPr>
            <w:tcW w:w="2040" w:type="dxa"/>
            <w:vAlign w:val="bottom"/>
          </w:tcPr>
          <w:p>
            <w:pPr>
              <w:spacing w:after="0"/>
              <w:rPr>
                <w:sz w:val="12"/>
                <w:szCs w:val="12"/>
                <w:color w:val="auto"/>
              </w:rPr>
            </w:pPr>
          </w:p>
        </w:tc>
        <w:tc>
          <w:tcPr>
            <w:tcW w:w="8940" w:type="dxa"/>
            <w:vAlign w:val="bottom"/>
            <w:tcBorders>
              <w:top w:val="single" w:sz="8" w:color="0000EE"/>
            </w:tcBorders>
            <w:gridSpan w:val="9"/>
          </w:tcPr>
          <w:p>
            <w:pPr>
              <w:spacing w:after="0" w:line="140" w:lineRule="exact"/>
              <w:rPr>
                <w:rFonts w:ascii="Arial" w:cs="Arial" w:eastAsia="Arial" w:hAnsi="Arial"/>
                <w:sz w:val="13"/>
                <w:szCs w:val="13"/>
                <w:color w:val="0000EE"/>
                <w:w w:val="98"/>
              </w:rPr>
            </w:pPr>
            <w:hyperlink r:id="rId374">
              <w:r>
                <w:rPr>
                  <w:rFonts w:ascii="Arial" w:cs="Arial" w:eastAsia="Arial" w:hAnsi="Arial"/>
                  <w:sz w:val="13"/>
                  <w:szCs w:val="13"/>
                  <w:color w:val="0000EE"/>
                  <w:w w:val="98"/>
                </w:rPr>
                <w:t>herein by reference to Exhibit 10.22 to the Registrant’s Registration Statement on Form F-1 (File No. 333-233688), filed with the SEC on September 9, 2019)</w:t>
              </w:r>
            </w:hyperlink>
          </w:p>
        </w:tc>
        <w:tc>
          <w:tcPr>
            <w:tcW w:w="320" w:type="dxa"/>
            <w:vAlign w:val="bottom"/>
            <w:gridSpan w:val="11"/>
          </w:tcPr>
          <w:p>
            <w:pPr>
              <w:spacing w:after="0"/>
              <w:rPr>
                <w:sz w:val="12"/>
                <w:szCs w:val="12"/>
                <w:color w:val="auto"/>
              </w:rPr>
            </w:pPr>
          </w:p>
        </w:tc>
      </w:tr>
      <w:tr>
        <w:trPr>
          <w:trHeight w:val="20"/>
        </w:trPr>
        <w:tc>
          <w:tcPr>
            <w:tcW w:w="2040" w:type="dxa"/>
            <w:vAlign w:val="bottom"/>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4.24</w:t>
            </w:r>
          </w:p>
        </w:tc>
        <w:tc>
          <w:tcPr>
            <w:tcW w:w="8980" w:type="dxa"/>
            <w:vAlign w:val="bottom"/>
            <w:tcBorders>
              <w:bottom w:val="single" w:sz="8" w:color="0000EE"/>
            </w:tcBorders>
            <w:gridSpan w:val="10"/>
          </w:tcPr>
          <w:p>
            <w:pPr>
              <w:spacing w:after="0"/>
              <w:rPr>
                <w:rFonts w:ascii="Arial" w:cs="Arial" w:eastAsia="Arial" w:hAnsi="Arial"/>
                <w:sz w:val="13"/>
                <w:szCs w:val="13"/>
                <w:color w:val="0000EE"/>
                <w:w w:val="92"/>
              </w:rPr>
            </w:pPr>
            <w:hyperlink r:id="rId375">
              <w:r>
                <w:rPr>
                  <w:rFonts w:ascii="Arial" w:cs="Arial" w:eastAsia="Arial" w:hAnsi="Arial"/>
                  <w:sz w:val="13"/>
                  <w:szCs w:val="13"/>
                  <w:color w:val="0000EE"/>
                  <w:w w:val="92"/>
                </w:rPr>
                <w:t>Amendment to Sublease Agreement by and among the Registrant and Universitätsmedizin der Johannes Gutenberg-Universität Mainz, dated June 8, 2015 (incorporated</w:t>
              </w:r>
            </w:hyperlink>
          </w:p>
        </w:tc>
        <w:tc>
          <w:tcPr>
            <w:tcW w:w="280" w:type="dxa"/>
            <w:vAlign w:val="bottom"/>
            <w:gridSpan w:val="10"/>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0"/>
          </w:tcPr>
          <w:p>
            <w:pPr>
              <w:spacing w:after="0" w:line="140" w:lineRule="exact"/>
              <w:rPr>
                <w:rFonts w:ascii="Arial" w:cs="Arial" w:eastAsia="Arial" w:hAnsi="Arial"/>
                <w:sz w:val="13"/>
                <w:szCs w:val="13"/>
                <w:color w:val="0000EE"/>
              </w:rPr>
            </w:pPr>
            <w:hyperlink r:id="rId375">
              <w:r>
                <w:rPr>
                  <w:rFonts w:ascii="Arial" w:cs="Arial" w:eastAsia="Arial" w:hAnsi="Arial"/>
                  <w:sz w:val="13"/>
                  <w:szCs w:val="13"/>
                  <w:color w:val="0000EE"/>
                </w:rPr>
                <w:t>herein by reference to Exhibit 10.23 to the Registrant’s Registration Statement on Form F-1 (File No. 333-233688), filed with the SEC on September 9, 2019)</w:t>
              </w:r>
            </w:hyperlink>
          </w:p>
        </w:tc>
      </w:tr>
      <w:tr>
        <w:trPr>
          <w:trHeight w:val="20"/>
        </w:trPr>
        <w:tc>
          <w:tcPr>
            <w:tcW w:w="2040" w:type="dxa"/>
            <w:vAlign w:val="bottom"/>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4.25</w:t>
            </w:r>
          </w:p>
        </w:tc>
        <w:tc>
          <w:tcPr>
            <w:tcW w:w="9260" w:type="dxa"/>
            <w:vAlign w:val="bottom"/>
            <w:gridSpan w:val="20"/>
          </w:tcPr>
          <w:p>
            <w:pPr>
              <w:spacing w:after="0"/>
              <w:rPr>
                <w:rFonts w:ascii="Arial" w:cs="Arial" w:eastAsia="Arial" w:hAnsi="Arial"/>
                <w:sz w:val="13"/>
                <w:szCs w:val="13"/>
                <w:color w:val="0000EE"/>
                <w:w w:val="92"/>
              </w:rPr>
            </w:pPr>
            <w:hyperlink r:id="rId376">
              <w:r>
                <w:rPr>
                  <w:rFonts w:ascii="Arial" w:cs="Arial" w:eastAsia="Arial" w:hAnsi="Arial"/>
                  <w:sz w:val="13"/>
                  <w:szCs w:val="13"/>
                  <w:color w:val="0000EE"/>
                  <w:w w:val="92"/>
                </w:rPr>
                <w:t>Amendment to Sublease Agreement by and among the Registrant and Universitätsmedizin der Johannes Gutenberg-Universität Mainz, dated January 18, 2017 (incorporated</w:t>
              </w:r>
            </w:hyperlink>
          </w:p>
        </w:tc>
      </w:tr>
      <w:tr>
        <w:trPr>
          <w:trHeight w:val="140"/>
        </w:trPr>
        <w:tc>
          <w:tcPr>
            <w:tcW w:w="2040" w:type="dxa"/>
            <w:vAlign w:val="bottom"/>
          </w:tcPr>
          <w:p>
            <w:pPr>
              <w:spacing w:after="0"/>
              <w:rPr>
                <w:sz w:val="12"/>
                <w:szCs w:val="12"/>
                <w:color w:val="auto"/>
              </w:rPr>
            </w:pPr>
          </w:p>
        </w:tc>
        <w:tc>
          <w:tcPr>
            <w:tcW w:w="9200" w:type="dxa"/>
            <w:vAlign w:val="bottom"/>
            <w:tcBorders>
              <w:top w:val="single" w:sz="8" w:color="0000EE"/>
            </w:tcBorders>
            <w:gridSpan w:val="18"/>
          </w:tcPr>
          <w:p>
            <w:pPr>
              <w:spacing w:after="0" w:line="140" w:lineRule="exact"/>
              <w:rPr>
                <w:rFonts w:ascii="Arial" w:cs="Arial" w:eastAsia="Arial" w:hAnsi="Arial"/>
                <w:sz w:val="13"/>
                <w:szCs w:val="13"/>
                <w:color w:val="0000EE"/>
              </w:rPr>
            </w:pPr>
            <w:hyperlink r:id="rId376">
              <w:r>
                <w:rPr>
                  <w:rFonts w:ascii="Arial" w:cs="Arial" w:eastAsia="Arial" w:hAnsi="Arial"/>
                  <w:sz w:val="13"/>
                  <w:szCs w:val="13"/>
                  <w:color w:val="0000EE"/>
                </w:rPr>
                <w:t>herein by reference to Exhibit 10.24 to the Registrant’s Registration Statement on Form F-1 (File No. 333-233688), filed with the SEC on September 9, 2019)</w:t>
              </w:r>
            </w:hyperlink>
          </w:p>
        </w:tc>
        <w:tc>
          <w:tcPr>
            <w:tcW w:w="60" w:type="dxa"/>
            <w:vAlign w:val="bottom"/>
            <w:gridSpan w:val="2"/>
          </w:tcPr>
          <w:p>
            <w:pPr>
              <w:spacing w:after="0"/>
              <w:rPr>
                <w:sz w:val="12"/>
                <w:szCs w:val="12"/>
                <w:color w:val="auto"/>
              </w:rPr>
            </w:pPr>
          </w:p>
        </w:tc>
      </w:tr>
      <w:tr>
        <w:trPr>
          <w:trHeight w:val="20"/>
        </w:trPr>
        <w:tc>
          <w:tcPr>
            <w:tcW w:w="2040" w:type="dxa"/>
            <w:vAlign w:val="bottom"/>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4.26</w:t>
            </w:r>
          </w:p>
        </w:tc>
        <w:tc>
          <w:tcPr>
            <w:tcW w:w="8640" w:type="dxa"/>
            <w:vAlign w:val="bottom"/>
            <w:tcBorders>
              <w:bottom w:val="single" w:sz="8" w:color="0000EE"/>
            </w:tcBorders>
            <w:gridSpan w:val="7"/>
          </w:tcPr>
          <w:p>
            <w:pPr>
              <w:spacing w:after="0"/>
              <w:rPr>
                <w:rFonts w:ascii="Arial" w:cs="Arial" w:eastAsia="Arial" w:hAnsi="Arial"/>
                <w:sz w:val="13"/>
                <w:szCs w:val="13"/>
                <w:color w:val="0000EE"/>
                <w:w w:val="92"/>
              </w:rPr>
            </w:pPr>
            <w:hyperlink r:id="rId377">
              <w:r>
                <w:rPr>
                  <w:rFonts w:ascii="Arial" w:cs="Arial" w:eastAsia="Arial" w:hAnsi="Arial"/>
                  <w:sz w:val="13"/>
                  <w:szCs w:val="13"/>
                  <w:color w:val="0000EE"/>
                  <w:w w:val="92"/>
                </w:rPr>
                <w:t>Lease Agreement by and among the Registrant and Wolfram Richter, dated August 17, 2011 (incorporated herein by reference to Exhibit 10.25 to the Registrant’s</w:t>
              </w:r>
            </w:hyperlink>
          </w:p>
        </w:tc>
        <w:tc>
          <w:tcPr>
            <w:tcW w:w="620" w:type="dxa"/>
            <w:vAlign w:val="bottom"/>
            <w:gridSpan w:val="13"/>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0"/>
          </w:tcPr>
          <w:p>
            <w:pPr>
              <w:spacing w:after="0" w:line="140" w:lineRule="exact"/>
              <w:rPr>
                <w:rFonts w:ascii="Arial" w:cs="Arial" w:eastAsia="Arial" w:hAnsi="Arial"/>
                <w:sz w:val="13"/>
                <w:szCs w:val="13"/>
                <w:color w:val="0000EE"/>
              </w:rPr>
            </w:pPr>
            <w:hyperlink r:id="rId377">
              <w:r>
                <w:rPr>
                  <w:rFonts w:ascii="Arial" w:cs="Arial" w:eastAsia="Arial" w:hAnsi="Arial"/>
                  <w:sz w:val="13"/>
                  <w:szCs w:val="13"/>
                  <w:color w:val="0000EE"/>
                </w:rPr>
                <w:t>Registration Statement on Form F-1 (File No. 333-233688), filed with the SEC on September 9, 2019)</w:t>
              </w:r>
            </w:hyperlink>
          </w:p>
        </w:tc>
      </w:tr>
      <w:tr>
        <w:trPr>
          <w:trHeight w:val="20"/>
        </w:trPr>
        <w:tc>
          <w:tcPr>
            <w:tcW w:w="2040" w:type="dxa"/>
            <w:vAlign w:val="bottom"/>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4.27</w:t>
            </w:r>
          </w:p>
        </w:tc>
        <w:tc>
          <w:tcPr>
            <w:tcW w:w="9220" w:type="dxa"/>
            <w:vAlign w:val="bottom"/>
            <w:tcBorders>
              <w:bottom w:val="single" w:sz="8" w:color="0000EE"/>
            </w:tcBorders>
            <w:gridSpan w:val="19"/>
          </w:tcPr>
          <w:p>
            <w:pPr>
              <w:spacing w:after="0"/>
              <w:rPr>
                <w:rFonts w:ascii="Arial" w:cs="Arial" w:eastAsia="Arial" w:hAnsi="Arial"/>
                <w:sz w:val="13"/>
                <w:szCs w:val="13"/>
                <w:color w:val="0000EE"/>
                <w:w w:val="92"/>
              </w:rPr>
            </w:pPr>
            <w:hyperlink r:id="rId378">
              <w:r>
                <w:rPr>
                  <w:rFonts w:ascii="Arial" w:cs="Arial" w:eastAsia="Arial" w:hAnsi="Arial"/>
                  <w:sz w:val="13"/>
                  <w:szCs w:val="13"/>
                  <w:color w:val="0000EE"/>
                  <w:w w:val="92"/>
                </w:rPr>
                <w:t>Amendment No. 1 to Lease Agreement by and among the Registrant and Wolfram Richter, dated February 17, 2012 (incorporated herein by reference to Exhibit 10.26 to the</w:t>
              </w:r>
            </w:hyperlink>
          </w:p>
        </w:tc>
        <w:tc>
          <w:tcPr>
            <w:tcW w:w="40" w:type="dxa"/>
            <w:vAlign w:val="bottom"/>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6140" w:type="dxa"/>
            <w:vAlign w:val="bottom"/>
            <w:tcBorders>
              <w:bottom w:val="single" w:sz="8" w:color="0000EE"/>
            </w:tcBorders>
            <w:gridSpan w:val="2"/>
          </w:tcPr>
          <w:p>
            <w:pPr>
              <w:spacing w:after="0" w:line="140" w:lineRule="exact"/>
              <w:rPr>
                <w:rFonts w:ascii="Arial" w:cs="Arial" w:eastAsia="Arial" w:hAnsi="Arial"/>
                <w:sz w:val="13"/>
                <w:szCs w:val="13"/>
                <w:color w:val="0000EE"/>
                <w:w w:val="93"/>
              </w:rPr>
            </w:pPr>
            <w:hyperlink r:id="rId378">
              <w:r>
                <w:rPr>
                  <w:rFonts w:ascii="Arial" w:cs="Arial" w:eastAsia="Arial" w:hAnsi="Arial"/>
                  <w:sz w:val="13"/>
                  <w:szCs w:val="13"/>
                  <w:color w:val="0000EE"/>
                  <w:w w:val="93"/>
                </w:rPr>
                <w:t>Registrant’s Registration Statement on Form F-1 (File No. 333-233688), filed with the SEC on September 9, 2019)</w:t>
              </w:r>
            </w:hyperlink>
          </w:p>
        </w:tc>
        <w:tc>
          <w:tcPr>
            <w:tcW w:w="3120" w:type="dxa"/>
            <w:vAlign w:val="bottom"/>
            <w:gridSpan w:val="18"/>
          </w:tcPr>
          <w:p>
            <w:pPr>
              <w:spacing w:after="0"/>
              <w:rPr>
                <w:sz w:val="12"/>
                <w:szCs w:val="12"/>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4.28</w:t>
            </w:r>
          </w:p>
        </w:tc>
        <w:tc>
          <w:tcPr>
            <w:tcW w:w="9160" w:type="dxa"/>
            <w:vAlign w:val="bottom"/>
            <w:tcBorders>
              <w:bottom w:val="single" w:sz="8" w:color="0000EE"/>
            </w:tcBorders>
            <w:gridSpan w:val="16"/>
          </w:tcPr>
          <w:p>
            <w:pPr>
              <w:spacing w:after="0"/>
              <w:rPr>
                <w:rFonts w:ascii="Arial" w:cs="Arial" w:eastAsia="Arial" w:hAnsi="Arial"/>
                <w:sz w:val="13"/>
                <w:szCs w:val="13"/>
                <w:color w:val="0000EE"/>
                <w:w w:val="92"/>
              </w:rPr>
            </w:pPr>
            <w:hyperlink r:id="rId379">
              <w:r>
                <w:rPr>
                  <w:rFonts w:ascii="Arial" w:cs="Arial" w:eastAsia="Arial" w:hAnsi="Arial"/>
                  <w:sz w:val="13"/>
                  <w:szCs w:val="13"/>
                  <w:color w:val="0000EE"/>
                  <w:w w:val="92"/>
                </w:rPr>
                <w:t>Amendment No. 2 to Lease Agreement by and among the Registrant and Wolfram Richter, dated February 1, 2013 (incorporated herein by reference to Exhibit 10.27 to the</w:t>
              </w:r>
            </w:hyperlink>
          </w:p>
        </w:tc>
        <w:tc>
          <w:tcPr>
            <w:tcW w:w="100" w:type="dxa"/>
            <w:vAlign w:val="bottom"/>
            <w:gridSpan w:val="4"/>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6140" w:type="dxa"/>
            <w:vAlign w:val="bottom"/>
            <w:tcBorders>
              <w:bottom w:val="single" w:sz="8" w:color="0000EE"/>
            </w:tcBorders>
            <w:gridSpan w:val="2"/>
          </w:tcPr>
          <w:p>
            <w:pPr>
              <w:spacing w:after="0" w:line="140" w:lineRule="exact"/>
              <w:rPr>
                <w:rFonts w:ascii="Arial" w:cs="Arial" w:eastAsia="Arial" w:hAnsi="Arial"/>
                <w:sz w:val="13"/>
                <w:szCs w:val="13"/>
                <w:color w:val="0000EE"/>
                <w:w w:val="93"/>
              </w:rPr>
            </w:pPr>
            <w:hyperlink r:id="rId379">
              <w:r>
                <w:rPr>
                  <w:rFonts w:ascii="Arial" w:cs="Arial" w:eastAsia="Arial" w:hAnsi="Arial"/>
                  <w:sz w:val="13"/>
                  <w:szCs w:val="13"/>
                  <w:color w:val="0000EE"/>
                  <w:w w:val="93"/>
                </w:rPr>
                <w:t>Registrant’s Registration Statement on Form F-1 (File No. 333-233688), filed with the SEC on September 9, 2019)</w:t>
              </w:r>
            </w:hyperlink>
          </w:p>
        </w:tc>
        <w:tc>
          <w:tcPr>
            <w:tcW w:w="3120" w:type="dxa"/>
            <w:vAlign w:val="bottom"/>
            <w:gridSpan w:val="18"/>
          </w:tcPr>
          <w:p>
            <w:pPr>
              <w:spacing w:after="0"/>
              <w:rPr>
                <w:sz w:val="12"/>
                <w:szCs w:val="12"/>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4.29</w:t>
            </w:r>
          </w:p>
        </w:tc>
        <w:tc>
          <w:tcPr>
            <w:tcW w:w="9020" w:type="dxa"/>
            <w:vAlign w:val="bottom"/>
            <w:tcBorders>
              <w:bottom w:val="single" w:sz="8" w:color="0000EE"/>
            </w:tcBorders>
            <w:gridSpan w:val="11"/>
          </w:tcPr>
          <w:p>
            <w:pPr>
              <w:spacing w:after="0"/>
              <w:rPr>
                <w:rFonts w:ascii="Arial" w:cs="Arial" w:eastAsia="Arial" w:hAnsi="Arial"/>
                <w:sz w:val="13"/>
                <w:szCs w:val="13"/>
                <w:color w:val="0000EE"/>
                <w:w w:val="92"/>
              </w:rPr>
            </w:pPr>
            <w:hyperlink r:id="rId380">
              <w:r>
                <w:rPr>
                  <w:rFonts w:ascii="Arial" w:cs="Arial" w:eastAsia="Arial" w:hAnsi="Arial"/>
                  <w:sz w:val="13"/>
                  <w:szCs w:val="13"/>
                  <w:color w:val="0000EE"/>
                  <w:w w:val="92"/>
                </w:rPr>
                <w:t>Amendment No. 3 to Lease Agreement by and among the Registrant and Wolfram Richter, dated March 6, 2013 (incorporated herein by reference to Exhibit 10.28 to the</w:t>
              </w:r>
            </w:hyperlink>
          </w:p>
        </w:tc>
        <w:tc>
          <w:tcPr>
            <w:tcW w:w="240" w:type="dxa"/>
            <w:vAlign w:val="bottom"/>
            <w:gridSpan w:val="9"/>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6140" w:type="dxa"/>
            <w:vAlign w:val="bottom"/>
            <w:tcBorders>
              <w:bottom w:val="single" w:sz="8" w:color="0000EE"/>
            </w:tcBorders>
            <w:gridSpan w:val="2"/>
          </w:tcPr>
          <w:p>
            <w:pPr>
              <w:spacing w:after="0" w:line="140" w:lineRule="exact"/>
              <w:rPr>
                <w:rFonts w:ascii="Arial" w:cs="Arial" w:eastAsia="Arial" w:hAnsi="Arial"/>
                <w:sz w:val="13"/>
                <w:szCs w:val="13"/>
                <w:color w:val="0000EE"/>
                <w:w w:val="93"/>
              </w:rPr>
            </w:pPr>
            <w:hyperlink r:id="rId380">
              <w:r>
                <w:rPr>
                  <w:rFonts w:ascii="Arial" w:cs="Arial" w:eastAsia="Arial" w:hAnsi="Arial"/>
                  <w:sz w:val="13"/>
                  <w:szCs w:val="13"/>
                  <w:color w:val="0000EE"/>
                  <w:w w:val="93"/>
                </w:rPr>
                <w:t>Registrant’s Registration Statement on Form F-1 (File No. 333-233688), filed with the SEC on September 9, 2019)</w:t>
              </w:r>
            </w:hyperlink>
          </w:p>
        </w:tc>
        <w:tc>
          <w:tcPr>
            <w:tcW w:w="3120" w:type="dxa"/>
            <w:vAlign w:val="bottom"/>
            <w:gridSpan w:val="18"/>
          </w:tcPr>
          <w:p>
            <w:pPr>
              <w:spacing w:after="0"/>
              <w:rPr>
                <w:sz w:val="12"/>
                <w:szCs w:val="12"/>
                <w:color w:val="auto"/>
              </w:rPr>
            </w:pPr>
          </w:p>
        </w:tc>
      </w:tr>
      <w:tr>
        <w:trPr>
          <w:trHeight w:val="300"/>
        </w:trPr>
        <w:tc>
          <w:tcPr>
            <w:tcW w:w="2040" w:type="dxa"/>
            <w:vAlign w:val="bottom"/>
          </w:tcPr>
          <w:p>
            <w:pPr>
              <w:jc w:val="right"/>
              <w:ind w:right="1733"/>
              <w:spacing w:after="0"/>
              <w:rPr>
                <w:sz w:val="20"/>
                <w:szCs w:val="20"/>
                <w:color w:val="auto"/>
              </w:rPr>
            </w:pPr>
            <w:r>
              <w:rPr>
                <w:rFonts w:ascii="Arial" w:cs="Arial" w:eastAsia="Arial" w:hAnsi="Arial"/>
                <w:sz w:val="13"/>
                <w:szCs w:val="13"/>
                <w:color w:val="auto"/>
                <w:w w:val="86"/>
              </w:rPr>
              <w:t>4.30</w:t>
            </w:r>
          </w:p>
        </w:tc>
        <w:tc>
          <w:tcPr>
            <w:tcW w:w="9100" w:type="dxa"/>
            <w:vAlign w:val="bottom"/>
            <w:tcBorders>
              <w:bottom w:val="single" w:sz="8" w:color="0000EE"/>
            </w:tcBorders>
            <w:gridSpan w:val="14"/>
          </w:tcPr>
          <w:p>
            <w:pPr>
              <w:spacing w:after="0"/>
              <w:rPr>
                <w:rFonts w:ascii="Arial" w:cs="Arial" w:eastAsia="Arial" w:hAnsi="Arial"/>
                <w:sz w:val="13"/>
                <w:szCs w:val="13"/>
                <w:color w:val="0000EE"/>
                <w:w w:val="92"/>
              </w:rPr>
            </w:pPr>
            <w:hyperlink r:id="rId381">
              <w:r>
                <w:rPr>
                  <w:rFonts w:ascii="Arial" w:cs="Arial" w:eastAsia="Arial" w:hAnsi="Arial"/>
                  <w:sz w:val="13"/>
                  <w:szCs w:val="13"/>
                  <w:color w:val="0000EE"/>
                  <w:w w:val="92"/>
                </w:rPr>
                <w:t>Amendment No. 4 to Lease Agreement by and among the Registrant and Wolfram Richter, dated December 10, 2013 (incorporated herein by reference to Exhibit 10.29 to</w:t>
              </w:r>
            </w:hyperlink>
          </w:p>
        </w:tc>
        <w:tc>
          <w:tcPr>
            <w:tcW w:w="160" w:type="dxa"/>
            <w:vAlign w:val="bottom"/>
            <w:gridSpan w:val="6"/>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0"/>
          </w:tcPr>
          <w:p>
            <w:pPr>
              <w:spacing w:after="0" w:line="140" w:lineRule="exact"/>
              <w:rPr>
                <w:rFonts w:ascii="Arial" w:cs="Arial" w:eastAsia="Arial" w:hAnsi="Arial"/>
                <w:sz w:val="13"/>
                <w:szCs w:val="13"/>
                <w:color w:val="0000EE"/>
              </w:rPr>
            </w:pPr>
            <w:hyperlink r:id="rId381">
              <w:r>
                <w:rPr>
                  <w:rFonts w:ascii="Arial" w:cs="Arial" w:eastAsia="Arial" w:hAnsi="Arial"/>
                  <w:sz w:val="13"/>
                  <w:szCs w:val="13"/>
                  <w:color w:val="0000EE"/>
                </w:rPr>
                <w:t>the Registrant’s Registration Statement on Form F-1 (File No. 333-233688), filed with the SEC on September 9, 2019)</w:t>
              </w:r>
            </w:hyperlink>
          </w:p>
        </w:tc>
      </w:tr>
      <w:tr>
        <w:trPr>
          <w:trHeight w:val="490"/>
        </w:trPr>
        <w:tc>
          <w:tcPr>
            <w:tcW w:w="2040" w:type="dxa"/>
            <w:vAlign w:val="bottom"/>
          </w:tcPr>
          <w:p>
            <w:pPr>
              <w:spacing w:after="0"/>
              <w:rPr>
                <w:sz w:val="24"/>
                <w:szCs w:val="24"/>
                <w:color w:val="auto"/>
              </w:rPr>
            </w:pPr>
          </w:p>
        </w:tc>
        <w:tc>
          <w:tcPr>
            <w:tcW w:w="5460" w:type="dxa"/>
            <w:vAlign w:val="bottom"/>
            <w:tcBorders>
              <w:top w:val="single" w:sz="8" w:color="0000EE"/>
            </w:tcBorders>
          </w:tcPr>
          <w:p>
            <w:pPr>
              <w:ind w:left="3500"/>
              <w:spacing w:after="0"/>
              <w:rPr>
                <w:sz w:val="20"/>
                <w:szCs w:val="20"/>
                <w:color w:val="auto"/>
              </w:rPr>
            </w:pPr>
            <w:r>
              <w:rPr>
                <w:rFonts w:ascii="Arial" w:cs="Arial" w:eastAsia="Arial" w:hAnsi="Arial"/>
                <w:sz w:val="13"/>
                <w:szCs w:val="13"/>
                <w:color w:val="auto"/>
              </w:rPr>
              <w:t>259</w:t>
            </w:r>
          </w:p>
        </w:tc>
        <w:tc>
          <w:tcPr>
            <w:tcW w:w="6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2040" w:type="dxa"/>
            <w:vAlign w:val="bottom"/>
            <w:tcBorders>
              <w:bottom w:val="single" w:sz="8" w:color="9A9A9A"/>
            </w:tcBorders>
          </w:tcPr>
          <w:p>
            <w:pPr>
              <w:spacing w:after="0"/>
              <w:rPr>
                <w:sz w:val="6"/>
                <w:szCs w:val="6"/>
                <w:color w:val="auto"/>
              </w:rPr>
            </w:pPr>
          </w:p>
        </w:tc>
        <w:tc>
          <w:tcPr>
            <w:tcW w:w="54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280" w:right="29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20"/>
                <w:szCs w:val="20"/>
                <w:color w:val="auto"/>
              </w:rPr>
            </w:pPr>
            <w:r>
              <w:rPr>
                <w:rFonts w:ascii="Arial" w:cs="Arial" w:eastAsia="Arial" w:hAnsi="Arial"/>
                <w:sz w:val="13"/>
                <w:szCs w:val="13"/>
                <w:color w:val="auto"/>
              </w:rPr>
              <w:t>4.31</w:t>
            </w:r>
          </w:p>
        </w:tc>
        <w:tc>
          <w:tcPr>
            <w:tcW w:w="9120" w:type="dxa"/>
            <w:vAlign w:val="bottom"/>
            <w:tcBorders>
              <w:bottom w:val="single" w:sz="8" w:color="0000EE"/>
            </w:tcBorders>
            <w:gridSpan w:val="16"/>
          </w:tcPr>
          <w:p>
            <w:pPr>
              <w:spacing w:after="0"/>
              <w:rPr>
                <w:rFonts w:ascii="Arial" w:cs="Arial" w:eastAsia="Arial" w:hAnsi="Arial"/>
                <w:sz w:val="13"/>
                <w:szCs w:val="13"/>
                <w:color w:val="0000EE"/>
                <w:w w:val="93"/>
              </w:rPr>
            </w:pPr>
            <w:hyperlink r:id="rId384">
              <w:r>
                <w:rPr>
                  <w:rFonts w:ascii="Arial" w:cs="Arial" w:eastAsia="Arial" w:hAnsi="Arial"/>
                  <w:sz w:val="13"/>
                  <w:szCs w:val="13"/>
                  <w:color w:val="0000EE"/>
                  <w:w w:val="93"/>
                </w:rPr>
                <w:t>Amendment No. 5 to Lease Agreement by and among the Registrant and Wolfram Richter, dated March 29, 2016 (incorporated herein by reference to Exhibit 10.30 to the</w:t>
              </w:r>
            </w:hyperlink>
          </w:p>
        </w:tc>
        <w:tc>
          <w:tcPr>
            <w:tcW w:w="140" w:type="dxa"/>
            <w:vAlign w:val="bottom"/>
            <w:gridSpan w:val="4"/>
          </w:tcPr>
          <w:p>
            <w:pPr>
              <w:spacing w:after="0"/>
              <w:rPr>
                <w:sz w:val="13"/>
                <w:szCs w:val="13"/>
                <w:color w:val="auto"/>
              </w:rPr>
            </w:pPr>
          </w:p>
        </w:tc>
      </w:tr>
      <w:tr>
        <w:trPr>
          <w:trHeight w:val="140"/>
        </w:trPr>
        <w:tc>
          <w:tcPr>
            <w:tcW w:w="2040" w:type="dxa"/>
            <w:vAlign w:val="bottom"/>
          </w:tcPr>
          <w:p>
            <w:pPr>
              <w:spacing w:after="0"/>
              <w:rPr>
                <w:sz w:val="12"/>
                <w:szCs w:val="12"/>
                <w:color w:val="auto"/>
              </w:rPr>
            </w:pPr>
          </w:p>
        </w:tc>
        <w:tc>
          <w:tcPr>
            <w:tcW w:w="6160" w:type="dxa"/>
            <w:vAlign w:val="bottom"/>
            <w:tcBorders>
              <w:bottom w:val="single" w:sz="8" w:color="0000EE"/>
            </w:tcBorders>
            <w:gridSpan w:val="7"/>
          </w:tcPr>
          <w:p>
            <w:pPr>
              <w:spacing w:after="0" w:line="140" w:lineRule="exact"/>
              <w:rPr>
                <w:rFonts w:ascii="Arial" w:cs="Arial" w:eastAsia="Arial" w:hAnsi="Arial"/>
                <w:sz w:val="13"/>
                <w:szCs w:val="13"/>
                <w:color w:val="0000EE"/>
                <w:w w:val="93"/>
              </w:rPr>
            </w:pPr>
            <w:hyperlink r:id="rId384">
              <w:r>
                <w:rPr>
                  <w:rFonts w:ascii="Arial" w:cs="Arial" w:eastAsia="Arial" w:hAnsi="Arial"/>
                  <w:sz w:val="13"/>
                  <w:szCs w:val="13"/>
                  <w:color w:val="0000EE"/>
                  <w:w w:val="93"/>
                </w:rPr>
                <w:t>Registrant’s Registration Statement on Form F-1 (File No. 333-233688), filed with the SEC on September 9, 2019)</w:t>
              </w:r>
            </w:hyperlink>
          </w:p>
        </w:tc>
        <w:tc>
          <w:tcPr>
            <w:tcW w:w="3100" w:type="dxa"/>
            <w:vAlign w:val="bottom"/>
            <w:gridSpan w:val="13"/>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4.32</w:t>
            </w:r>
          </w:p>
        </w:tc>
        <w:tc>
          <w:tcPr>
            <w:tcW w:w="9120" w:type="dxa"/>
            <w:vAlign w:val="bottom"/>
            <w:tcBorders>
              <w:bottom w:val="single" w:sz="8" w:color="0000EE"/>
            </w:tcBorders>
            <w:gridSpan w:val="16"/>
          </w:tcPr>
          <w:p>
            <w:pPr>
              <w:spacing w:after="0"/>
              <w:rPr>
                <w:rFonts w:ascii="Arial" w:cs="Arial" w:eastAsia="Arial" w:hAnsi="Arial"/>
                <w:sz w:val="13"/>
                <w:szCs w:val="13"/>
                <w:color w:val="0000EE"/>
                <w:w w:val="92"/>
              </w:rPr>
            </w:pPr>
            <w:hyperlink r:id="rId385">
              <w:r>
                <w:rPr>
                  <w:rFonts w:ascii="Arial" w:cs="Arial" w:eastAsia="Arial" w:hAnsi="Arial"/>
                  <w:sz w:val="13"/>
                  <w:szCs w:val="13"/>
                  <w:color w:val="0000EE"/>
                  <w:w w:val="92"/>
                </w:rPr>
                <w:t>Amendment No. 6 to Lease Agreement by and among the Registrant and Wolfram Richter, dated October 6, 2017 (incorporated herein by reference to Exhibit 10.31 to the</w:t>
              </w:r>
            </w:hyperlink>
          </w:p>
        </w:tc>
        <w:tc>
          <w:tcPr>
            <w:tcW w:w="140" w:type="dxa"/>
            <w:vAlign w:val="bottom"/>
            <w:gridSpan w:val="4"/>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6140" w:type="dxa"/>
            <w:vAlign w:val="bottom"/>
            <w:tcBorders>
              <w:bottom w:val="single" w:sz="8" w:color="0000EE"/>
            </w:tcBorders>
            <w:gridSpan w:val="6"/>
          </w:tcPr>
          <w:p>
            <w:pPr>
              <w:spacing w:after="0" w:line="140" w:lineRule="exact"/>
              <w:rPr>
                <w:rFonts w:ascii="Arial" w:cs="Arial" w:eastAsia="Arial" w:hAnsi="Arial"/>
                <w:sz w:val="13"/>
                <w:szCs w:val="13"/>
                <w:color w:val="0000EE"/>
                <w:w w:val="93"/>
              </w:rPr>
            </w:pPr>
            <w:hyperlink r:id="rId385">
              <w:r>
                <w:rPr>
                  <w:rFonts w:ascii="Arial" w:cs="Arial" w:eastAsia="Arial" w:hAnsi="Arial"/>
                  <w:sz w:val="13"/>
                  <w:szCs w:val="13"/>
                  <w:color w:val="0000EE"/>
                  <w:w w:val="93"/>
                </w:rPr>
                <w:t>Registrant’s Registration Statement on Form F-1 (File No. 333-233688), filed with the SEC on September 9, 2019)</w:t>
              </w:r>
            </w:hyperlink>
          </w:p>
        </w:tc>
        <w:tc>
          <w:tcPr>
            <w:tcW w:w="3120" w:type="dxa"/>
            <w:vAlign w:val="bottom"/>
            <w:gridSpan w:val="14"/>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4.33</w:t>
            </w:r>
          </w:p>
        </w:tc>
        <w:tc>
          <w:tcPr>
            <w:tcW w:w="9100" w:type="dxa"/>
            <w:vAlign w:val="bottom"/>
            <w:tcBorders>
              <w:bottom w:val="single" w:sz="8" w:color="0000EE"/>
            </w:tcBorders>
            <w:gridSpan w:val="15"/>
          </w:tcPr>
          <w:p>
            <w:pPr>
              <w:spacing w:after="0"/>
              <w:rPr>
                <w:rFonts w:ascii="Arial" w:cs="Arial" w:eastAsia="Arial" w:hAnsi="Arial"/>
                <w:sz w:val="13"/>
                <w:szCs w:val="13"/>
                <w:color w:val="0000EE"/>
                <w:w w:val="92"/>
              </w:rPr>
            </w:pPr>
            <w:hyperlink r:id="rId386">
              <w:r>
                <w:rPr>
                  <w:rFonts w:ascii="Arial" w:cs="Arial" w:eastAsia="Arial" w:hAnsi="Arial"/>
                  <w:sz w:val="13"/>
                  <w:szCs w:val="13"/>
                  <w:color w:val="0000EE"/>
                  <w:w w:val="92"/>
                </w:rPr>
                <w:t>Lease Agreement by and among the Registrant and Wista-Management GmbH, dated April 12, 2005 (incorporated herein by reference to Exhibit 10.32 to the Registrant’s</w:t>
              </w:r>
            </w:hyperlink>
          </w:p>
        </w:tc>
        <w:tc>
          <w:tcPr>
            <w:tcW w:w="160" w:type="dxa"/>
            <w:vAlign w:val="bottom"/>
            <w:gridSpan w:val="5"/>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0"/>
          </w:tcPr>
          <w:p>
            <w:pPr>
              <w:spacing w:after="0" w:line="140" w:lineRule="exact"/>
              <w:rPr>
                <w:rFonts w:ascii="Arial" w:cs="Arial" w:eastAsia="Arial" w:hAnsi="Arial"/>
                <w:sz w:val="13"/>
                <w:szCs w:val="13"/>
                <w:color w:val="0000EE"/>
              </w:rPr>
            </w:pPr>
            <w:hyperlink r:id="rId386">
              <w:r>
                <w:rPr>
                  <w:rFonts w:ascii="Arial" w:cs="Arial" w:eastAsia="Arial" w:hAnsi="Arial"/>
                  <w:sz w:val="13"/>
                  <w:szCs w:val="13"/>
                  <w:color w:val="0000EE"/>
                </w:rPr>
                <w:t>Registration Statement on Form F-1 (File No. 333-233688), filed with the SEC on September 9, 2019)</w:t>
              </w:r>
            </w:hyperlink>
          </w:p>
        </w:tc>
      </w:tr>
      <w:tr>
        <w:trPr>
          <w:trHeight w:val="20"/>
        </w:trPr>
        <w:tc>
          <w:tcPr>
            <w:tcW w:w="20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0"/>
        </w:trPr>
        <w:tc>
          <w:tcPr>
            <w:tcW w:w="2040" w:type="dxa"/>
            <w:vAlign w:val="bottom"/>
          </w:tcPr>
          <w:p>
            <w:pPr>
              <w:spacing w:after="0"/>
              <w:rPr>
                <w:sz w:val="20"/>
                <w:szCs w:val="20"/>
                <w:color w:val="auto"/>
              </w:rPr>
            </w:pPr>
            <w:r>
              <w:rPr>
                <w:rFonts w:ascii="Arial" w:cs="Arial" w:eastAsia="Arial" w:hAnsi="Arial"/>
                <w:sz w:val="13"/>
                <w:szCs w:val="13"/>
                <w:color w:val="auto"/>
              </w:rPr>
              <w:t>4.34</w:t>
            </w:r>
          </w:p>
        </w:tc>
        <w:tc>
          <w:tcPr>
            <w:tcW w:w="9180" w:type="dxa"/>
            <w:vAlign w:val="bottom"/>
            <w:tcBorders>
              <w:bottom w:val="single" w:sz="8" w:color="0000EE"/>
            </w:tcBorders>
            <w:gridSpan w:val="18"/>
          </w:tcPr>
          <w:p>
            <w:pPr>
              <w:spacing w:after="0"/>
              <w:rPr>
                <w:rFonts w:ascii="Arial" w:cs="Arial" w:eastAsia="Arial" w:hAnsi="Arial"/>
                <w:sz w:val="13"/>
                <w:szCs w:val="13"/>
                <w:color w:val="0000EE"/>
                <w:w w:val="92"/>
              </w:rPr>
            </w:pPr>
            <w:hyperlink r:id="rId387">
              <w:r>
                <w:rPr>
                  <w:rFonts w:ascii="Arial" w:cs="Arial" w:eastAsia="Arial" w:hAnsi="Arial"/>
                  <w:sz w:val="13"/>
                  <w:szCs w:val="13"/>
                  <w:color w:val="0000EE"/>
                  <w:w w:val="92"/>
                </w:rPr>
                <w:t>Amendment to Lease Agreement by and among the Registrant and Wista-Management GmbH, dated December 27, 2018 (incorporated herein by reference to Exhibit 10.33</w:t>
              </w:r>
            </w:hyperlink>
          </w:p>
        </w:tc>
        <w:tc>
          <w:tcPr>
            <w:tcW w:w="80" w:type="dxa"/>
            <w:vAlign w:val="bottom"/>
            <w:gridSpan w:val="2"/>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0"/>
          </w:tcPr>
          <w:p>
            <w:pPr>
              <w:spacing w:after="0" w:line="140" w:lineRule="exact"/>
              <w:rPr>
                <w:rFonts w:ascii="Arial" w:cs="Arial" w:eastAsia="Arial" w:hAnsi="Arial"/>
                <w:sz w:val="13"/>
                <w:szCs w:val="13"/>
                <w:color w:val="0000EE"/>
              </w:rPr>
            </w:pPr>
            <w:hyperlink r:id="rId387">
              <w:r>
                <w:rPr>
                  <w:rFonts w:ascii="Arial" w:cs="Arial" w:eastAsia="Arial" w:hAnsi="Arial"/>
                  <w:sz w:val="13"/>
                  <w:szCs w:val="13"/>
                  <w:color w:val="0000EE"/>
                </w:rPr>
                <w:t>to the Registrant’s Registration Statement on Form F-1 (File No. 333-233688), filed with the SEC on September 9, 2019)</w:t>
              </w:r>
            </w:hyperlink>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4.35*</w:t>
            </w:r>
          </w:p>
        </w:tc>
        <w:tc>
          <w:tcPr>
            <w:tcW w:w="6460" w:type="dxa"/>
            <w:vAlign w:val="bottom"/>
            <w:tcBorders>
              <w:top w:val="single" w:sz="8" w:color="0000EE"/>
            </w:tcBorders>
            <w:gridSpan w:val="9"/>
          </w:tcPr>
          <w:p>
            <w:pPr>
              <w:spacing w:after="0"/>
              <w:rPr>
                <w:rFonts w:ascii="Arial" w:cs="Arial" w:eastAsia="Arial" w:hAnsi="Arial"/>
                <w:sz w:val="13"/>
                <w:szCs w:val="13"/>
                <w:color w:val="0000EE"/>
                <w:w w:val="93"/>
              </w:rPr>
            </w:pPr>
            <w:hyperlink w:anchor="page337">
              <w:r>
                <w:rPr>
                  <w:rFonts w:ascii="Arial" w:cs="Arial" w:eastAsia="Arial" w:hAnsi="Arial"/>
                  <w:sz w:val="13"/>
                  <w:szCs w:val="13"/>
                  <w:color w:val="0000EE"/>
                  <w:w w:val="93"/>
                </w:rPr>
                <w:t>Amendment to Lease Agreement by and among the Registrant and Wista-Management GmbH, dated October 24, 2019</w:t>
              </w:r>
            </w:hyperlink>
          </w:p>
        </w:tc>
        <w:tc>
          <w:tcPr>
            <w:tcW w:w="2800" w:type="dxa"/>
            <w:vAlign w:val="bottom"/>
            <w:gridSpan w:val="11"/>
          </w:tcPr>
          <w:p>
            <w:pPr>
              <w:spacing w:after="0"/>
              <w:rPr>
                <w:sz w:val="24"/>
                <w:szCs w:val="24"/>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40" w:type="dxa"/>
            <w:vAlign w:val="bottom"/>
            <w:tcBorders>
              <w:left w:val="single" w:sz="8" w:color="0000EE"/>
            </w:tcBorders>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4.36</w:t>
            </w:r>
          </w:p>
        </w:tc>
        <w:tc>
          <w:tcPr>
            <w:tcW w:w="9260" w:type="dxa"/>
            <w:vAlign w:val="bottom"/>
            <w:gridSpan w:val="20"/>
          </w:tcPr>
          <w:p>
            <w:pPr>
              <w:spacing w:after="0"/>
              <w:rPr>
                <w:rFonts w:ascii="Arial" w:cs="Arial" w:eastAsia="Arial" w:hAnsi="Arial"/>
                <w:sz w:val="13"/>
                <w:szCs w:val="13"/>
                <w:color w:val="0000EE"/>
                <w:w w:val="93"/>
              </w:rPr>
            </w:pPr>
            <w:hyperlink r:id="rId388">
              <w:r>
                <w:rPr>
                  <w:rFonts w:ascii="Arial" w:cs="Arial" w:eastAsia="Arial" w:hAnsi="Arial"/>
                  <w:sz w:val="13"/>
                  <w:szCs w:val="13"/>
                  <w:color w:val="0000EE"/>
                  <w:w w:val="93"/>
                </w:rPr>
                <w:t>Loan Agreement by and between BioNTech Innovative Manufacturing Services GmbH and Deutsche Bank AG dated November 21, 2017 (incorporated herein by reference</w:t>
              </w:r>
            </w:hyperlink>
          </w:p>
        </w:tc>
      </w:tr>
      <w:tr>
        <w:trPr>
          <w:trHeight w:val="140"/>
        </w:trPr>
        <w:tc>
          <w:tcPr>
            <w:tcW w:w="2040" w:type="dxa"/>
            <w:vAlign w:val="bottom"/>
          </w:tcPr>
          <w:p>
            <w:pPr>
              <w:spacing w:after="0"/>
              <w:rPr>
                <w:sz w:val="12"/>
                <w:szCs w:val="12"/>
                <w:color w:val="auto"/>
              </w:rPr>
            </w:pPr>
          </w:p>
        </w:tc>
        <w:tc>
          <w:tcPr>
            <w:tcW w:w="9180" w:type="dxa"/>
            <w:vAlign w:val="bottom"/>
            <w:tcBorders>
              <w:top w:val="single" w:sz="8" w:color="0000EE"/>
            </w:tcBorders>
            <w:gridSpan w:val="18"/>
          </w:tcPr>
          <w:p>
            <w:pPr>
              <w:spacing w:after="0" w:line="140" w:lineRule="exact"/>
              <w:rPr>
                <w:rFonts w:ascii="Arial" w:cs="Arial" w:eastAsia="Arial" w:hAnsi="Arial"/>
                <w:sz w:val="13"/>
                <w:szCs w:val="13"/>
                <w:color w:val="0000EE"/>
              </w:rPr>
            </w:pPr>
            <w:hyperlink r:id="rId388">
              <w:r>
                <w:rPr>
                  <w:rFonts w:ascii="Arial" w:cs="Arial" w:eastAsia="Arial" w:hAnsi="Arial"/>
                  <w:sz w:val="13"/>
                  <w:szCs w:val="13"/>
                  <w:color w:val="0000EE"/>
                </w:rPr>
                <w:t>to Exhibit 10.34 to the Registrant’s Registration Statement on Form F-1 (File No. 333-233688), filed with the SEC on September 9, 2019)</w:t>
              </w:r>
            </w:hyperlink>
          </w:p>
        </w:tc>
        <w:tc>
          <w:tcPr>
            <w:tcW w:w="80" w:type="dxa"/>
            <w:vAlign w:val="bottom"/>
            <w:gridSpan w:val="2"/>
          </w:tcPr>
          <w:p>
            <w:pPr>
              <w:spacing w:after="0"/>
              <w:rPr>
                <w:sz w:val="12"/>
                <w:szCs w:val="12"/>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4.37</w:t>
            </w:r>
          </w:p>
        </w:tc>
        <w:tc>
          <w:tcPr>
            <w:tcW w:w="9260" w:type="dxa"/>
            <w:vAlign w:val="bottom"/>
            <w:gridSpan w:val="20"/>
          </w:tcPr>
          <w:p>
            <w:pPr>
              <w:spacing w:after="0"/>
              <w:rPr>
                <w:rFonts w:ascii="Arial" w:cs="Arial" w:eastAsia="Arial" w:hAnsi="Arial"/>
                <w:sz w:val="13"/>
                <w:szCs w:val="13"/>
                <w:color w:val="0000EE"/>
                <w:w w:val="94"/>
              </w:rPr>
            </w:pPr>
            <w:hyperlink r:id="rId389">
              <w:r>
                <w:rPr>
                  <w:rFonts w:ascii="Arial" w:cs="Arial" w:eastAsia="Arial" w:hAnsi="Arial"/>
                  <w:sz w:val="13"/>
                  <w:szCs w:val="13"/>
                  <w:color w:val="0000EE"/>
                  <w:w w:val="94"/>
                </w:rPr>
                <w:t>Loan Agreement by and between JPT Peptides Technologies GmbH and Deutsche Bank AG dated July 18, 2018 (incorporated herein by reference to Exhibit 10.35 to the</w:t>
              </w:r>
            </w:hyperlink>
          </w:p>
        </w:tc>
      </w:tr>
      <w:tr>
        <w:trPr>
          <w:trHeight w:val="140"/>
        </w:trPr>
        <w:tc>
          <w:tcPr>
            <w:tcW w:w="2040" w:type="dxa"/>
            <w:vAlign w:val="bottom"/>
          </w:tcPr>
          <w:p>
            <w:pPr>
              <w:spacing w:after="0"/>
              <w:rPr>
                <w:sz w:val="12"/>
                <w:szCs w:val="12"/>
                <w:color w:val="auto"/>
              </w:rPr>
            </w:pPr>
          </w:p>
        </w:tc>
        <w:tc>
          <w:tcPr>
            <w:tcW w:w="6160" w:type="dxa"/>
            <w:vAlign w:val="bottom"/>
            <w:tcBorders>
              <w:top w:val="single" w:sz="8" w:color="0000EE"/>
              <w:bottom w:val="single" w:sz="8" w:color="0000EE"/>
            </w:tcBorders>
            <w:gridSpan w:val="7"/>
          </w:tcPr>
          <w:p>
            <w:pPr>
              <w:spacing w:after="0" w:line="140" w:lineRule="exact"/>
              <w:rPr>
                <w:rFonts w:ascii="Arial" w:cs="Arial" w:eastAsia="Arial" w:hAnsi="Arial"/>
                <w:sz w:val="13"/>
                <w:szCs w:val="13"/>
                <w:color w:val="0000EE"/>
                <w:w w:val="93"/>
              </w:rPr>
            </w:pPr>
            <w:hyperlink r:id="rId389">
              <w:r>
                <w:rPr>
                  <w:rFonts w:ascii="Arial" w:cs="Arial" w:eastAsia="Arial" w:hAnsi="Arial"/>
                  <w:sz w:val="13"/>
                  <w:szCs w:val="13"/>
                  <w:color w:val="0000EE"/>
                  <w:w w:val="93"/>
                </w:rPr>
                <w:t>Registrant’s Registration Statement on Form F-1 (File No. 333-233688), filed with the SEC on September 9, 2019)</w:t>
              </w:r>
            </w:hyperlink>
          </w:p>
        </w:tc>
        <w:tc>
          <w:tcPr>
            <w:tcW w:w="2880" w:type="dxa"/>
            <w:vAlign w:val="bottom"/>
            <w:tcBorders>
              <w:top w:val="single" w:sz="8" w:color="0000EE"/>
            </w:tcBorders>
            <w:gridSpan w:val="5"/>
          </w:tcPr>
          <w:p>
            <w:pPr>
              <w:spacing w:after="0"/>
              <w:rPr>
                <w:sz w:val="12"/>
                <w:szCs w:val="12"/>
                <w:color w:val="auto"/>
              </w:rPr>
            </w:pPr>
          </w:p>
        </w:tc>
        <w:tc>
          <w:tcPr>
            <w:tcW w:w="220" w:type="dxa"/>
            <w:vAlign w:val="bottom"/>
            <w:gridSpan w:val="8"/>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4.38</w:t>
            </w:r>
          </w:p>
        </w:tc>
        <w:tc>
          <w:tcPr>
            <w:tcW w:w="9260" w:type="dxa"/>
            <w:vAlign w:val="bottom"/>
            <w:gridSpan w:val="20"/>
          </w:tcPr>
          <w:p>
            <w:pPr>
              <w:spacing w:after="0"/>
              <w:rPr>
                <w:rFonts w:ascii="Arial" w:cs="Arial" w:eastAsia="Arial" w:hAnsi="Arial"/>
                <w:sz w:val="13"/>
                <w:szCs w:val="13"/>
                <w:color w:val="0000EE"/>
                <w:w w:val="93"/>
              </w:rPr>
            </w:pPr>
            <w:hyperlink r:id="rId390">
              <w:r>
                <w:rPr>
                  <w:rFonts w:ascii="Arial" w:cs="Arial" w:eastAsia="Arial" w:hAnsi="Arial"/>
                  <w:sz w:val="13"/>
                  <w:szCs w:val="13"/>
                  <w:color w:val="0000EE"/>
                  <w:w w:val="93"/>
                </w:rPr>
                <w:t>Investment Agreement by and between the Registrant and the Bill &amp; Melinda Gates Foundation, dated August 30, 2019 (incorporated herein by reference to Exhibit 10.36 to</w:t>
              </w:r>
            </w:hyperlink>
          </w:p>
        </w:tc>
      </w:tr>
      <w:tr>
        <w:trPr>
          <w:trHeight w:val="140"/>
        </w:trPr>
        <w:tc>
          <w:tcPr>
            <w:tcW w:w="2040" w:type="dxa"/>
            <w:vAlign w:val="bottom"/>
          </w:tcPr>
          <w:p>
            <w:pPr>
              <w:spacing w:after="0"/>
              <w:rPr>
                <w:sz w:val="12"/>
                <w:szCs w:val="12"/>
                <w:color w:val="auto"/>
              </w:rPr>
            </w:pPr>
          </w:p>
        </w:tc>
        <w:tc>
          <w:tcPr>
            <w:tcW w:w="9220" w:type="dxa"/>
            <w:vAlign w:val="bottom"/>
            <w:tcBorders>
              <w:top w:val="single" w:sz="8" w:color="0000EE"/>
            </w:tcBorders>
            <w:gridSpan w:val="19"/>
          </w:tcPr>
          <w:p>
            <w:pPr>
              <w:spacing w:after="0" w:line="140" w:lineRule="exact"/>
              <w:rPr>
                <w:rFonts w:ascii="Arial" w:cs="Arial" w:eastAsia="Arial" w:hAnsi="Arial"/>
                <w:sz w:val="13"/>
                <w:szCs w:val="13"/>
                <w:color w:val="0000EE"/>
              </w:rPr>
            </w:pPr>
            <w:hyperlink r:id="rId390">
              <w:r>
                <w:rPr>
                  <w:rFonts w:ascii="Arial" w:cs="Arial" w:eastAsia="Arial" w:hAnsi="Arial"/>
                  <w:sz w:val="13"/>
                  <w:szCs w:val="13"/>
                  <w:color w:val="0000EE"/>
                </w:rPr>
                <w:t>the Registrant’s Registration Statement on Form F-1 (File No. 333-233688), filed with the SEC on September 9, 2019)</w:t>
              </w:r>
            </w:hyperlink>
          </w:p>
        </w:tc>
        <w:tc>
          <w:tcPr>
            <w:tcW w:w="40" w:type="dxa"/>
            <w:vAlign w:val="bottom"/>
          </w:tcPr>
          <w:p>
            <w:pPr>
              <w:spacing w:after="0"/>
              <w:rPr>
                <w:sz w:val="12"/>
                <w:szCs w:val="12"/>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4.39</w:t>
            </w:r>
          </w:p>
        </w:tc>
        <w:tc>
          <w:tcPr>
            <w:tcW w:w="9160" w:type="dxa"/>
            <w:vAlign w:val="bottom"/>
            <w:tcBorders>
              <w:bottom w:val="single" w:sz="8" w:color="0000EE"/>
            </w:tcBorders>
            <w:gridSpan w:val="17"/>
          </w:tcPr>
          <w:p>
            <w:pPr>
              <w:spacing w:after="0"/>
              <w:rPr>
                <w:rFonts w:ascii="Arial" w:cs="Arial" w:eastAsia="Arial" w:hAnsi="Arial"/>
                <w:sz w:val="13"/>
                <w:szCs w:val="13"/>
                <w:color w:val="0000EE"/>
                <w:w w:val="93"/>
              </w:rPr>
            </w:pPr>
            <w:hyperlink r:id="rId391">
              <w:r>
                <w:rPr>
                  <w:rFonts w:ascii="Arial" w:cs="Arial" w:eastAsia="Arial" w:hAnsi="Arial"/>
                  <w:sz w:val="13"/>
                  <w:szCs w:val="13"/>
                  <w:color w:val="0000EE"/>
                  <w:w w:val="93"/>
                </w:rPr>
                <w:t>Letter Agreement by and between the Registrant and the Bill &amp; Melinda Gates Foundation, dated August 30, 2019 (incorporated herein by reference to Exhibit 10.37 to the</w:t>
              </w:r>
            </w:hyperlink>
          </w:p>
        </w:tc>
        <w:tc>
          <w:tcPr>
            <w:tcW w:w="100" w:type="dxa"/>
            <w:vAlign w:val="bottom"/>
            <w:gridSpan w:val="3"/>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6140" w:type="dxa"/>
            <w:vAlign w:val="bottom"/>
            <w:tcBorders>
              <w:bottom w:val="single" w:sz="8" w:color="0000EE"/>
            </w:tcBorders>
            <w:gridSpan w:val="6"/>
          </w:tcPr>
          <w:p>
            <w:pPr>
              <w:spacing w:after="0" w:line="140" w:lineRule="exact"/>
              <w:rPr>
                <w:rFonts w:ascii="Arial" w:cs="Arial" w:eastAsia="Arial" w:hAnsi="Arial"/>
                <w:sz w:val="13"/>
                <w:szCs w:val="13"/>
                <w:color w:val="0000EE"/>
                <w:w w:val="93"/>
              </w:rPr>
            </w:pPr>
            <w:hyperlink r:id="rId391">
              <w:r>
                <w:rPr>
                  <w:rFonts w:ascii="Arial" w:cs="Arial" w:eastAsia="Arial" w:hAnsi="Arial"/>
                  <w:sz w:val="13"/>
                  <w:szCs w:val="13"/>
                  <w:color w:val="0000EE"/>
                  <w:w w:val="93"/>
                </w:rPr>
                <w:t>Registrant’s Registration Statement on Form F-1 (File No. 333-233688), filed with the SEC on September 9, 2019)</w:t>
              </w:r>
            </w:hyperlink>
          </w:p>
        </w:tc>
        <w:tc>
          <w:tcPr>
            <w:tcW w:w="3120" w:type="dxa"/>
            <w:vAlign w:val="bottom"/>
            <w:gridSpan w:val="14"/>
          </w:tcPr>
          <w:p>
            <w:pPr>
              <w:spacing w:after="0"/>
              <w:rPr>
                <w:sz w:val="12"/>
                <w:szCs w:val="12"/>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4.40</w:t>
            </w:r>
          </w:p>
        </w:tc>
        <w:tc>
          <w:tcPr>
            <w:tcW w:w="9080" w:type="dxa"/>
            <w:vAlign w:val="bottom"/>
            <w:tcBorders>
              <w:bottom w:val="single" w:sz="8" w:color="0000EE"/>
            </w:tcBorders>
            <w:gridSpan w:val="14"/>
          </w:tcPr>
          <w:p>
            <w:pPr>
              <w:spacing w:after="0"/>
              <w:rPr>
                <w:rFonts w:ascii="Arial" w:cs="Arial" w:eastAsia="Arial" w:hAnsi="Arial"/>
                <w:sz w:val="13"/>
                <w:szCs w:val="13"/>
                <w:color w:val="0000EE"/>
                <w:w w:val="93"/>
              </w:rPr>
            </w:pPr>
            <w:hyperlink r:id="rId392">
              <w:r>
                <w:rPr>
                  <w:rFonts w:ascii="Arial" w:cs="Arial" w:eastAsia="Arial" w:hAnsi="Arial"/>
                  <w:sz w:val="13"/>
                  <w:szCs w:val="13"/>
                  <w:color w:val="0000EE"/>
                  <w:w w:val="93"/>
                </w:rPr>
                <w:t>Drug Discovery Research, Development and Commercialization Agreement by and between the Registrant and Eli Lilly and Company, dated May 11, 2015 (incorporated</w:t>
              </w:r>
            </w:hyperlink>
          </w:p>
        </w:tc>
        <w:tc>
          <w:tcPr>
            <w:tcW w:w="180" w:type="dxa"/>
            <w:vAlign w:val="bottom"/>
            <w:gridSpan w:val="6"/>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9260" w:type="dxa"/>
            <w:vAlign w:val="bottom"/>
            <w:gridSpan w:val="20"/>
          </w:tcPr>
          <w:p>
            <w:pPr>
              <w:spacing w:after="0" w:line="140" w:lineRule="exact"/>
              <w:rPr>
                <w:rFonts w:ascii="Arial" w:cs="Arial" w:eastAsia="Arial" w:hAnsi="Arial"/>
                <w:sz w:val="13"/>
                <w:szCs w:val="13"/>
                <w:color w:val="0000EE"/>
              </w:rPr>
            </w:pPr>
            <w:hyperlink r:id="rId392">
              <w:r>
                <w:rPr>
                  <w:rFonts w:ascii="Arial" w:cs="Arial" w:eastAsia="Arial" w:hAnsi="Arial"/>
                  <w:sz w:val="13"/>
                  <w:szCs w:val="13"/>
                  <w:color w:val="0000EE"/>
                </w:rPr>
                <w:t>herein by reference to Exhibit 10.38 to the Registrant’s Registration Statement on Form F-1/A (File No. 333-233688), filed with the SEC on September 24, 2019)</w:t>
              </w:r>
            </w:hyperlink>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4.41*</w:t>
            </w:r>
          </w:p>
        </w:tc>
        <w:tc>
          <w:tcPr>
            <w:tcW w:w="8620" w:type="dxa"/>
            <w:vAlign w:val="bottom"/>
            <w:tcBorders>
              <w:top w:val="single" w:sz="8" w:color="0000EE"/>
            </w:tcBorders>
            <w:gridSpan w:val="11"/>
          </w:tcPr>
          <w:p>
            <w:pPr>
              <w:spacing w:after="0"/>
              <w:rPr>
                <w:rFonts w:ascii="Arial" w:cs="Arial" w:eastAsia="Arial" w:hAnsi="Arial"/>
                <w:sz w:val="13"/>
                <w:szCs w:val="13"/>
                <w:color w:val="0000EE"/>
              </w:rPr>
            </w:pPr>
            <w:hyperlink w:anchor="page340">
              <w:r>
                <w:rPr>
                  <w:rFonts w:ascii="Arial" w:cs="Arial" w:eastAsia="Arial" w:hAnsi="Arial"/>
                  <w:sz w:val="13"/>
                  <w:szCs w:val="13"/>
                  <w:color w:val="0000EE"/>
                </w:rPr>
                <w:t>Finance Contract by and between the Registrant and the European Investment Bank, dated December 12, 2019</w:t>
              </w:r>
            </w:hyperlink>
          </w:p>
        </w:tc>
        <w:tc>
          <w:tcPr>
            <w:tcW w:w="640" w:type="dxa"/>
            <w:vAlign w:val="bottom"/>
            <w:gridSpan w:val="9"/>
          </w:tcPr>
          <w:p>
            <w:pPr>
              <w:spacing w:after="0"/>
              <w:rPr>
                <w:sz w:val="24"/>
                <w:szCs w:val="24"/>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4.42*</w:t>
            </w:r>
          </w:p>
        </w:tc>
        <w:tc>
          <w:tcPr>
            <w:tcW w:w="9260" w:type="dxa"/>
            <w:vAlign w:val="bottom"/>
            <w:gridSpan w:val="20"/>
          </w:tcPr>
          <w:p>
            <w:pPr>
              <w:spacing w:after="0"/>
              <w:rPr>
                <w:rFonts w:ascii="Arial" w:cs="Arial" w:eastAsia="Arial" w:hAnsi="Arial"/>
                <w:sz w:val="13"/>
                <w:szCs w:val="13"/>
                <w:color w:val="0000EE"/>
              </w:rPr>
            </w:pPr>
            <w:hyperlink w:anchor="page403">
              <w:r>
                <w:rPr>
                  <w:rFonts w:ascii="Arial" w:cs="Arial" w:eastAsia="Arial" w:hAnsi="Arial"/>
                  <w:sz w:val="13"/>
                  <w:szCs w:val="13"/>
                  <w:color w:val="0000EE"/>
                </w:rPr>
                <w:t>Finance Fee Letter by and between the Registrant and the European Investment Bank, dated December 12, 2019</w:t>
              </w:r>
            </w:hyperlink>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8*</w:t>
            </w:r>
          </w:p>
        </w:tc>
        <w:tc>
          <w:tcPr>
            <w:tcW w:w="1960" w:type="dxa"/>
            <w:vAlign w:val="bottom"/>
            <w:tcBorders>
              <w:top w:val="single" w:sz="8" w:color="0000EE"/>
              <w:bottom w:val="single" w:sz="8" w:color="0000EE"/>
            </w:tcBorders>
            <w:gridSpan w:val="2"/>
          </w:tcPr>
          <w:p>
            <w:pPr>
              <w:spacing w:after="0"/>
              <w:rPr>
                <w:rFonts w:ascii="Arial" w:cs="Arial" w:eastAsia="Arial" w:hAnsi="Arial"/>
                <w:sz w:val="13"/>
                <w:szCs w:val="13"/>
                <w:color w:val="0000EE"/>
                <w:w w:val="93"/>
              </w:rPr>
            </w:pPr>
            <w:hyperlink w:anchor="page407">
              <w:r>
                <w:rPr>
                  <w:rFonts w:ascii="Arial" w:cs="Arial" w:eastAsia="Arial" w:hAnsi="Arial"/>
                  <w:sz w:val="13"/>
                  <w:szCs w:val="13"/>
                  <w:color w:val="0000EE"/>
                  <w:w w:val="93"/>
                </w:rPr>
                <w:t>List of Subsidiaries of the Registrant</w:t>
              </w:r>
            </w:hyperlink>
          </w:p>
        </w:tc>
        <w:tc>
          <w:tcPr>
            <w:tcW w:w="4020" w:type="dxa"/>
            <w:vAlign w:val="bottom"/>
            <w:tcBorders>
              <w:top w:val="single" w:sz="8" w:color="0000EE"/>
            </w:tcBorders>
            <w:gridSpan w:val="3"/>
          </w:tcPr>
          <w:p>
            <w:pPr>
              <w:spacing w:after="0"/>
              <w:rPr>
                <w:sz w:val="24"/>
                <w:szCs w:val="24"/>
                <w:color w:val="auto"/>
              </w:rPr>
            </w:pPr>
          </w:p>
        </w:tc>
        <w:tc>
          <w:tcPr>
            <w:tcW w:w="3280" w:type="dxa"/>
            <w:vAlign w:val="bottom"/>
            <w:gridSpan w:val="15"/>
          </w:tcPr>
          <w:p>
            <w:pPr>
              <w:spacing w:after="0"/>
              <w:rPr>
                <w:sz w:val="24"/>
                <w:szCs w:val="24"/>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12.1*</w:t>
            </w:r>
          </w:p>
        </w:tc>
        <w:tc>
          <w:tcPr>
            <w:tcW w:w="9060" w:type="dxa"/>
            <w:vAlign w:val="bottom"/>
            <w:tcBorders>
              <w:bottom w:val="single" w:sz="8" w:color="0000EE"/>
            </w:tcBorders>
            <w:gridSpan w:val="13"/>
          </w:tcPr>
          <w:p>
            <w:pPr>
              <w:spacing w:after="0"/>
              <w:rPr>
                <w:rFonts w:ascii="Arial" w:cs="Arial" w:eastAsia="Arial" w:hAnsi="Arial"/>
                <w:sz w:val="13"/>
                <w:szCs w:val="13"/>
                <w:color w:val="0000EE"/>
                <w:w w:val="93"/>
              </w:rPr>
            </w:pPr>
            <w:hyperlink w:anchor="page408">
              <w:r>
                <w:rPr>
                  <w:rFonts w:ascii="Arial" w:cs="Arial" w:eastAsia="Arial" w:hAnsi="Arial"/>
                  <w:sz w:val="13"/>
                  <w:szCs w:val="13"/>
                  <w:color w:val="0000EE"/>
                  <w:w w:val="93"/>
                </w:rPr>
                <w:t>Certification of Principal Executive Officer Pursuant to Rules 13a-14(a) and 15d-14(a) under the Securities Exchange Act of 1934, as Adopted Pursuant to Section 302 of</w:t>
              </w:r>
            </w:hyperlink>
          </w:p>
        </w:tc>
        <w:tc>
          <w:tcPr>
            <w:tcW w:w="200" w:type="dxa"/>
            <w:vAlign w:val="bottom"/>
            <w:gridSpan w:val="7"/>
          </w:tcPr>
          <w:p>
            <w:pPr>
              <w:spacing w:after="0"/>
              <w:rPr>
                <w:sz w:val="24"/>
                <w:szCs w:val="24"/>
                <w:color w:val="auto"/>
              </w:rPr>
            </w:pPr>
          </w:p>
        </w:tc>
      </w:tr>
      <w:tr>
        <w:trPr>
          <w:trHeight w:val="140"/>
        </w:trPr>
        <w:tc>
          <w:tcPr>
            <w:tcW w:w="2040" w:type="dxa"/>
            <w:vAlign w:val="bottom"/>
          </w:tcPr>
          <w:p>
            <w:pPr>
              <w:spacing w:after="0"/>
              <w:rPr>
                <w:sz w:val="12"/>
                <w:szCs w:val="12"/>
                <w:color w:val="auto"/>
              </w:rPr>
            </w:pPr>
          </w:p>
        </w:tc>
        <w:tc>
          <w:tcPr>
            <w:tcW w:w="1720" w:type="dxa"/>
            <w:vAlign w:val="bottom"/>
            <w:tcBorders>
              <w:bottom w:val="single" w:sz="8" w:color="0000EE"/>
            </w:tcBorders>
          </w:tcPr>
          <w:p>
            <w:pPr>
              <w:spacing w:after="0" w:line="140" w:lineRule="exact"/>
              <w:rPr>
                <w:rFonts w:ascii="Arial" w:cs="Arial" w:eastAsia="Arial" w:hAnsi="Arial"/>
                <w:sz w:val="13"/>
                <w:szCs w:val="13"/>
                <w:color w:val="0000EE"/>
                <w:w w:val="92"/>
              </w:rPr>
            </w:pPr>
            <w:hyperlink w:anchor="page408">
              <w:r>
                <w:rPr>
                  <w:rFonts w:ascii="Arial" w:cs="Arial" w:eastAsia="Arial" w:hAnsi="Arial"/>
                  <w:sz w:val="13"/>
                  <w:szCs w:val="13"/>
                  <w:color w:val="0000EE"/>
                  <w:w w:val="92"/>
                </w:rPr>
                <w:t>the Sarbanes-Oxley Act of 2002</w:t>
              </w:r>
            </w:hyperlink>
          </w:p>
        </w:tc>
        <w:tc>
          <w:tcPr>
            <w:tcW w:w="7540" w:type="dxa"/>
            <w:vAlign w:val="bottom"/>
            <w:gridSpan w:val="19"/>
          </w:tcPr>
          <w:p>
            <w:pPr>
              <w:spacing w:after="0"/>
              <w:rPr>
                <w:sz w:val="12"/>
                <w:szCs w:val="12"/>
                <w:color w:val="auto"/>
              </w:rPr>
            </w:pPr>
          </w:p>
        </w:tc>
      </w:tr>
      <w:tr>
        <w:trPr>
          <w:trHeight w:val="490"/>
        </w:trPr>
        <w:tc>
          <w:tcPr>
            <w:tcW w:w="2040" w:type="dxa"/>
            <w:vAlign w:val="bottom"/>
          </w:tcPr>
          <w:p>
            <w:pPr>
              <w:spacing w:after="0"/>
              <w:rPr>
                <w:sz w:val="24"/>
                <w:szCs w:val="24"/>
                <w:color w:val="auto"/>
              </w:rPr>
            </w:pPr>
          </w:p>
        </w:tc>
        <w:tc>
          <w:tcPr>
            <w:tcW w:w="5460" w:type="dxa"/>
            <w:vAlign w:val="bottom"/>
            <w:gridSpan w:val="3"/>
          </w:tcPr>
          <w:p>
            <w:pPr>
              <w:ind w:left="3500"/>
              <w:spacing w:after="0"/>
              <w:rPr>
                <w:sz w:val="20"/>
                <w:szCs w:val="20"/>
                <w:color w:val="auto"/>
              </w:rPr>
            </w:pPr>
            <w:r>
              <w:rPr>
                <w:rFonts w:ascii="Arial" w:cs="Arial" w:eastAsia="Arial" w:hAnsi="Arial"/>
                <w:sz w:val="13"/>
                <w:szCs w:val="13"/>
                <w:color w:val="auto"/>
              </w:rPr>
              <w:t>260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204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5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20"/>
                <w:szCs w:val="20"/>
                <w:color w:val="auto"/>
              </w:rPr>
            </w:pPr>
            <w:r>
              <w:rPr>
                <w:rFonts w:ascii="Arial" w:cs="Arial" w:eastAsia="Arial" w:hAnsi="Arial"/>
                <w:sz w:val="13"/>
                <w:szCs w:val="13"/>
                <w:color w:val="auto"/>
              </w:rPr>
              <w:t>12.2*</w:t>
            </w:r>
          </w:p>
        </w:tc>
        <w:tc>
          <w:tcPr>
            <w:tcW w:w="9220" w:type="dxa"/>
            <w:vAlign w:val="bottom"/>
            <w:tcBorders>
              <w:bottom w:val="single" w:sz="8" w:color="0000EE"/>
            </w:tcBorders>
            <w:gridSpan w:val="4"/>
          </w:tcPr>
          <w:p>
            <w:pPr>
              <w:spacing w:after="0"/>
              <w:rPr>
                <w:rFonts w:ascii="Arial" w:cs="Arial" w:eastAsia="Arial" w:hAnsi="Arial"/>
                <w:sz w:val="13"/>
                <w:szCs w:val="13"/>
                <w:color w:val="0000EE"/>
                <w:w w:val="93"/>
              </w:rPr>
            </w:pPr>
            <w:hyperlink w:anchor="page409">
              <w:r>
                <w:rPr>
                  <w:rFonts w:ascii="Arial" w:cs="Arial" w:eastAsia="Arial" w:hAnsi="Arial"/>
                  <w:sz w:val="13"/>
                  <w:szCs w:val="13"/>
                  <w:color w:val="0000EE"/>
                  <w:w w:val="93"/>
                </w:rPr>
                <w:t>Certification of Principal Financial Officer Pursuant to Rules 13a-14(a) and 15d-14(a) under the Securities Exchange Act of 1934, as Adopted Pursuant to Section 302 of the</w:t>
              </w:r>
            </w:hyperlink>
          </w:p>
        </w:tc>
      </w:tr>
      <w:tr>
        <w:trPr>
          <w:trHeight w:val="140"/>
        </w:trPr>
        <w:tc>
          <w:tcPr>
            <w:tcW w:w="2040" w:type="dxa"/>
            <w:vAlign w:val="bottom"/>
          </w:tcPr>
          <w:p>
            <w:pPr>
              <w:spacing w:after="0"/>
              <w:rPr>
                <w:sz w:val="12"/>
                <w:szCs w:val="12"/>
                <w:color w:val="auto"/>
              </w:rPr>
            </w:pPr>
          </w:p>
        </w:tc>
        <w:tc>
          <w:tcPr>
            <w:tcW w:w="9220" w:type="dxa"/>
            <w:vAlign w:val="bottom"/>
            <w:gridSpan w:val="4"/>
          </w:tcPr>
          <w:p>
            <w:pPr>
              <w:spacing w:after="0" w:line="140" w:lineRule="exact"/>
              <w:rPr>
                <w:rFonts w:ascii="Arial" w:cs="Arial" w:eastAsia="Arial" w:hAnsi="Arial"/>
                <w:sz w:val="13"/>
                <w:szCs w:val="13"/>
                <w:color w:val="0000EE"/>
              </w:rPr>
            </w:pPr>
            <w:hyperlink w:anchor="page409">
              <w:r>
                <w:rPr>
                  <w:rFonts w:ascii="Arial" w:cs="Arial" w:eastAsia="Arial" w:hAnsi="Arial"/>
                  <w:sz w:val="13"/>
                  <w:szCs w:val="13"/>
                  <w:color w:val="0000EE"/>
                </w:rPr>
                <w:t>Sarbanes-Oxley Act of 2002</w:t>
              </w:r>
            </w:hyperlink>
          </w:p>
        </w:tc>
      </w:tr>
      <w:tr>
        <w:trPr>
          <w:trHeight w:val="20"/>
        </w:trPr>
        <w:tc>
          <w:tcPr>
            <w:tcW w:w="20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13.1*</w:t>
            </w:r>
          </w:p>
        </w:tc>
        <w:tc>
          <w:tcPr>
            <w:tcW w:w="9220" w:type="dxa"/>
            <w:vAlign w:val="bottom"/>
            <w:gridSpan w:val="4"/>
          </w:tcPr>
          <w:p>
            <w:pPr>
              <w:spacing w:after="0"/>
              <w:rPr>
                <w:rFonts w:ascii="Arial" w:cs="Arial" w:eastAsia="Arial" w:hAnsi="Arial"/>
                <w:sz w:val="13"/>
                <w:szCs w:val="13"/>
                <w:color w:val="0000EE"/>
              </w:rPr>
            </w:pPr>
            <w:hyperlink w:anchor="page410">
              <w:r>
                <w:rPr>
                  <w:rFonts w:ascii="Arial" w:cs="Arial" w:eastAsia="Arial" w:hAnsi="Arial"/>
                  <w:sz w:val="13"/>
                  <w:szCs w:val="13"/>
                  <w:color w:val="0000EE"/>
                </w:rPr>
                <w:t>Certification of Principal Executive Officer Pursuant to 18 U.S.C. Section 1350, as Adopted Pursuant to Section 906 of the Sarbanes-Oxley Act of 2002</w:t>
              </w:r>
            </w:hyperlink>
          </w:p>
        </w:tc>
      </w:tr>
      <w:tr>
        <w:trPr>
          <w:trHeight w:val="300"/>
        </w:trPr>
        <w:tc>
          <w:tcPr>
            <w:tcW w:w="2040" w:type="dxa"/>
            <w:vAlign w:val="bottom"/>
          </w:tcPr>
          <w:p>
            <w:pPr>
              <w:spacing w:after="0"/>
              <w:rPr>
                <w:sz w:val="20"/>
                <w:szCs w:val="20"/>
                <w:color w:val="auto"/>
              </w:rPr>
            </w:pPr>
            <w:r>
              <w:rPr>
                <w:rFonts w:ascii="Arial" w:cs="Arial" w:eastAsia="Arial" w:hAnsi="Arial"/>
                <w:sz w:val="13"/>
                <w:szCs w:val="13"/>
                <w:color w:val="auto"/>
              </w:rPr>
              <w:t>13.2*</w:t>
            </w:r>
          </w:p>
        </w:tc>
        <w:tc>
          <w:tcPr>
            <w:tcW w:w="8080" w:type="dxa"/>
            <w:vAlign w:val="bottom"/>
            <w:tcBorders>
              <w:top w:val="single" w:sz="8" w:color="0000EE"/>
              <w:bottom w:val="single" w:sz="8" w:color="0000EE"/>
            </w:tcBorders>
            <w:gridSpan w:val="2"/>
          </w:tcPr>
          <w:p>
            <w:pPr>
              <w:spacing w:after="0"/>
              <w:rPr>
                <w:rFonts w:ascii="Arial" w:cs="Arial" w:eastAsia="Arial" w:hAnsi="Arial"/>
                <w:sz w:val="13"/>
                <w:szCs w:val="13"/>
                <w:color w:val="0000EE"/>
                <w:w w:val="93"/>
              </w:rPr>
            </w:pPr>
            <w:hyperlink w:anchor="page411">
              <w:r>
                <w:rPr>
                  <w:rFonts w:ascii="Arial" w:cs="Arial" w:eastAsia="Arial" w:hAnsi="Arial"/>
                  <w:sz w:val="13"/>
                  <w:szCs w:val="13"/>
                  <w:color w:val="0000EE"/>
                  <w:w w:val="93"/>
                </w:rPr>
                <w:t>Certification of Principal Financial Officer Pursuant to 18 U.S.C. Section 1350, as Adopted Pursuant to Section 906 of the Sarbanes-Oxley Act of 2002</w:t>
              </w:r>
            </w:hyperlink>
          </w:p>
        </w:tc>
        <w:tc>
          <w:tcPr>
            <w:tcW w:w="2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r>
      <w:tr>
        <w:trPr>
          <w:trHeight w:val="330"/>
        </w:trPr>
        <w:tc>
          <w:tcPr>
            <w:tcW w:w="2040" w:type="dxa"/>
            <w:vAlign w:val="bottom"/>
          </w:tcPr>
          <w:p>
            <w:pPr>
              <w:spacing w:after="0"/>
              <w:rPr>
                <w:sz w:val="20"/>
                <w:szCs w:val="20"/>
                <w:color w:val="auto"/>
              </w:rPr>
            </w:pPr>
            <w:r>
              <w:rPr>
                <w:rFonts w:ascii="Arial" w:cs="Arial" w:eastAsia="Arial" w:hAnsi="Arial"/>
                <w:sz w:val="13"/>
                <w:szCs w:val="13"/>
                <w:color w:val="auto"/>
              </w:rPr>
              <w:t>101.INS</w:t>
            </w:r>
          </w:p>
        </w:tc>
        <w:tc>
          <w:tcPr>
            <w:tcW w:w="9220" w:type="dxa"/>
            <w:vAlign w:val="bottom"/>
            <w:gridSpan w:val="4"/>
          </w:tcPr>
          <w:p>
            <w:pPr>
              <w:spacing w:after="0"/>
              <w:rPr>
                <w:sz w:val="20"/>
                <w:szCs w:val="20"/>
                <w:color w:val="auto"/>
              </w:rPr>
            </w:pPr>
            <w:r>
              <w:rPr>
                <w:rFonts w:ascii="Arial" w:cs="Arial" w:eastAsia="Arial" w:hAnsi="Arial"/>
                <w:sz w:val="13"/>
                <w:szCs w:val="13"/>
                <w:color w:val="auto"/>
              </w:rPr>
              <w:t>XBRL Instance Document</w:t>
            </w:r>
          </w:p>
        </w:tc>
      </w:tr>
      <w:tr>
        <w:trPr>
          <w:trHeight w:val="320"/>
        </w:trPr>
        <w:tc>
          <w:tcPr>
            <w:tcW w:w="2040" w:type="dxa"/>
            <w:vAlign w:val="bottom"/>
          </w:tcPr>
          <w:p>
            <w:pPr>
              <w:spacing w:after="0"/>
              <w:rPr>
                <w:sz w:val="20"/>
                <w:szCs w:val="20"/>
                <w:color w:val="auto"/>
              </w:rPr>
            </w:pPr>
            <w:r>
              <w:rPr>
                <w:rFonts w:ascii="Arial" w:cs="Arial" w:eastAsia="Arial" w:hAnsi="Arial"/>
                <w:sz w:val="13"/>
                <w:szCs w:val="13"/>
                <w:color w:val="auto"/>
              </w:rPr>
              <w:t>101.SCH</w:t>
            </w:r>
          </w:p>
        </w:tc>
        <w:tc>
          <w:tcPr>
            <w:tcW w:w="9220" w:type="dxa"/>
            <w:vAlign w:val="bottom"/>
            <w:gridSpan w:val="4"/>
          </w:tcPr>
          <w:p>
            <w:pPr>
              <w:spacing w:after="0"/>
              <w:rPr>
                <w:sz w:val="20"/>
                <w:szCs w:val="20"/>
                <w:color w:val="auto"/>
              </w:rPr>
            </w:pPr>
            <w:r>
              <w:rPr>
                <w:rFonts w:ascii="Arial" w:cs="Arial" w:eastAsia="Arial" w:hAnsi="Arial"/>
                <w:sz w:val="13"/>
                <w:szCs w:val="13"/>
                <w:color w:val="auto"/>
              </w:rPr>
              <w:t>XBRL Taxonomy Extension Schema Document</w:t>
            </w:r>
          </w:p>
        </w:tc>
      </w:tr>
      <w:tr>
        <w:trPr>
          <w:trHeight w:val="320"/>
        </w:trPr>
        <w:tc>
          <w:tcPr>
            <w:tcW w:w="2040" w:type="dxa"/>
            <w:vAlign w:val="bottom"/>
          </w:tcPr>
          <w:p>
            <w:pPr>
              <w:spacing w:after="0"/>
              <w:rPr>
                <w:sz w:val="20"/>
                <w:szCs w:val="20"/>
                <w:color w:val="auto"/>
              </w:rPr>
            </w:pPr>
            <w:r>
              <w:rPr>
                <w:rFonts w:ascii="Arial" w:cs="Arial" w:eastAsia="Arial" w:hAnsi="Arial"/>
                <w:sz w:val="13"/>
                <w:szCs w:val="13"/>
                <w:color w:val="auto"/>
              </w:rPr>
              <w:t>101.CAL</w:t>
            </w:r>
          </w:p>
        </w:tc>
        <w:tc>
          <w:tcPr>
            <w:tcW w:w="9220" w:type="dxa"/>
            <w:vAlign w:val="bottom"/>
            <w:gridSpan w:val="4"/>
          </w:tcPr>
          <w:p>
            <w:pPr>
              <w:spacing w:after="0"/>
              <w:rPr>
                <w:sz w:val="20"/>
                <w:szCs w:val="20"/>
                <w:color w:val="auto"/>
              </w:rPr>
            </w:pPr>
            <w:r>
              <w:rPr>
                <w:rFonts w:ascii="Arial" w:cs="Arial" w:eastAsia="Arial" w:hAnsi="Arial"/>
                <w:sz w:val="13"/>
                <w:szCs w:val="13"/>
                <w:color w:val="auto"/>
              </w:rPr>
              <w:t>XBRL Taxonomy Extension Calculation Linkbase Document</w:t>
            </w:r>
          </w:p>
        </w:tc>
      </w:tr>
      <w:tr>
        <w:trPr>
          <w:trHeight w:val="320"/>
        </w:trPr>
        <w:tc>
          <w:tcPr>
            <w:tcW w:w="2040" w:type="dxa"/>
            <w:vAlign w:val="bottom"/>
          </w:tcPr>
          <w:p>
            <w:pPr>
              <w:spacing w:after="0"/>
              <w:rPr>
                <w:sz w:val="20"/>
                <w:szCs w:val="20"/>
                <w:color w:val="auto"/>
              </w:rPr>
            </w:pPr>
            <w:r>
              <w:rPr>
                <w:rFonts w:ascii="Arial" w:cs="Arial" w:eastAsia="Arial" w:hAnsi="Arial"/>
                <w:sz w:val="13"/>
                <w:szCs w:val="13"/>
                <w:color w:val="auto"/>
              </w:rPr>
              <w:t>101.DEF</w:t>
            </w:r>
          </w:p>
        </w:tc>
        <w:tc>
          <w:tcPr>
            <w:tcW w:w="9220" w:type="dxa"/>
            <w:vAlign w:val="bottom"/>
            <w:gridSpan w:val="4"/>
          </w:tcPr>
          <w:p>
            <w:pPr>
              <w:spacing w:after="0"/>
              <w:rPr>
                <w:sz w:val="20"/>
                <w:szCs w:val="20"/>
                <w:color w:val="auto"/>
              </w:rPr>
            </w:pPr>
            <w:r>
              <w:rPr>
                <w:rFonts w:ascii="Arial" w:cs="Arial" w:eastAsia="Arial" w:hAnsi="Arial"/>
                <w:sz w:val="13"/>
                <w:szCs w:val="13"/>
                <w:color w:val="auto"/>
              </w:rPr>
              <w:t>XBRL Taxonomy Extension Definition Linkbase Document</w:t>
            </w:r>
          </w:p>
        </w:tc>
      </w:tr>
      <w:tr>
        <w:trPr>
          <w:trHeight w:val="320"/>
        </w:trPr>
        <w:tc>
          <w:tcPr>
            <w:tcW w:w="2040" w:type="dxa"/>
            <w:vAlign w:val="bottom"/>
          </w:tcPr>
          <w:p>
            <w:pPr>
              <w:spacing w:after="0"/>
              <w:rPr>
                <w:sz w:val="20"/>
                <w:szCs w:val="20"/>
                <w:color w:val="auto"/>
              </w:rPr>
            </w:pPr>
            <w:r>
              <w:rPr>
                <w:rFonts w:ascii="Arial" w:cs="Arial" w:eastAsia="Arial" w:hAnsi="Arial"/>
                <w:sz w:val="13"/>
                <w:szCs w:val="13"/>
                <w:color w:val="auto"/>
              </w:rPr>
              <w:t>101.LAB</w:t>
            </w:r>
          </w:p>
        </w:tc>
        <w:tc>
          <w:tcPr>
            <w:tcW w:w="9220" w:type="dxa"/>
            <w:vAlign w:val="bottom"/>
            <w:gridSpan w:val="4"/>
          </w:tcPr>
          <w:p>
            <w:pPr>
              <w:spacing w:after="0"/>
              <w:rPr>
                <w:sz w:val="20"/>
                <w:szCs w:val="20"/>
                <w:color w:val="auto"/>
              </w:rPr>
            </w:pPr>
            <w:r>
              <w:rPr>
                <w:rFonts w:ascii="Arial" w:cs="Arial" w:eastAsia="Arial" w:hAnsi="Arial"/>
                <w:sz w:val="13"/>
                <w:szCs w:val="13"/>
                <w:color w:val="auto"/>
              </w:rPr>
              <w:t>XBRL Taxonomy Extension Label Linkbase Document</w:t>
            </w:r>
          </w:p>
        </w:tc>
      </w:tr>
      <w:tr>
        <w:trPr>
          <w:trHeight w:val="320"/>
        </w:trPr>
        <w:tc>
          <w:tcPr>
            <w:tcW w:w="2040" w:type="dxa"/>
            <w:vAlign w:val="bottom"/>
          </w:tcPr>
          <w:p>
            <w:pPr>
              <w:spacing w:after="0"/>
              <w:rPr>
                <w:sz w:val="20"/>
                <w:szCs w:val="20"/>
                <w:color w:val="auto"/>
              </w:rPr>
            </w:pPr>
            <w:r>
              <w:rPr>
                <w:rFonts w:ascii="Arial" w:cs="Arial" w:eastAsia="Arial" w:hAnsi="Arial"/>
                <w:sz w:val="13"/>
                <w:szCs w:val="13"/>
                <w:color w:val="auto"/>
              </w:rPr>
              <w:t>101.PRE</w:t>
            </w:r>
          </w:p>
        </w:tc>
        <w:tc>
          <w:tcPr>
            <w:tcW w:w="9220" w:type="dxa"/>
            <w:vAlign w:val="bottom"/>
            <w:gridSpan w:val="4"/>
          </w:tcPr>
          <w:p>
            <w:pPr>
              <w:spacing w:after="0"/>
              <w:rPr>
                <w:sz w:val="20"/>
                <w:szCs w:val="20"/>
                <w:color w:val="auto"/>
              </w:rPr>
            </w:pPr>
            <w:r>
              <w:rPr>
                <w:rFonts w:ascii="Arial" w:cs="Arial" w:eastAsia="Arial" w:hAnsi="Arial"/>
                <w:sz w:val="13"/>
                <w:szCs w:val="13"/>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41275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412750" cy="6350"/>
                    </a:xfrm>
                    <a:prstGeom prst="rect">
                      <a:avLst/>
                    </a:prstGeom>
                    <a:noFill/>
                  </pic:spPr>
                </pic:pic>
              </a:graphicData>
            </a:graphic>
          </wp:anchor>
        </w:drawing>
      </w:r>
    </w:p>
    <w:p>
      <w:pPr>
        <w:spacing w:after="0" w:line="111" w:lineRule="exact"/>
        <w:rPr>
          <w:sz w:val="20"/>
          <w:szCs w:val="20"/>
          <w:color w:val="auto"/>
        </w:rPr>
      </w:pPr>
    </w:p>
    <w:p>
      <w:pPr>
        <w:ind w:left="540" w:hanging="540"/>
        <w:spacing w:after="0"/>
        <w:tabs>
          <w:tab w:leader="none" w:pos="540" w:val="left"/>
        </w:tabs>
        <w:numPr>
          <w:ilvl w:val="0"/>
          <w:numId w:val="307"/>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20" w:right="339" w:bottom="1440" w:gutter="0" w:footer="0" w:header="0"/>
        </w:sectPr>
      </w:pPr>
    </w:p>
    <w:bookmarkStart w:id="263" w:name="page264"/>
    <w:bookmarkEnd w:id="263"/>
    <w:p>
      <w:pPr>
        <w:jc w:val="center"/>
        <w:ind w:right="-359"/>
        <w:spacing w:after="0"/>
        <w:rPr>
          <w:sz w:val="20"/>
          <w:szCs w:val="20"/>
          <w:color w:val="auto"/>
        </w:rPr>
      </w:pPr>
      <w:r>
        <w:rPr>
          <w:rFonts w:ascii="Arial" w:cs="Arial" w:eastAsia="Arial" w:hAnsi="Arial"/>
          <w:sz w:val="13"/>
          <w:szCs w:val="13"/>
          <w:b w:val="1"/>
          <w:bCs w:val="1"/>
          <w:color w:val="auto"/>
        </w:rPr>
        <w:t>SIGNATURES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The Registrant hereby certifies that it meets all of the requirements for filing on Form 20-F and that it has duly caused and authorized the undersigned to sign this Annual Report on Form 20-F on its behalf.</w:t>
      </w:r>
    </w:p>
    <w:p>
      <w:pPr>
        <w:spacing w:after="0" w:line="362" w:lineRule="exact"/>
        <w:rPr>
          <w:sz w:val="20"/>
          <w:szCs w:val="20"/>
          <w:color w:val="auto"/>
        </w:rPr>
      </w:pPr>
    </w:p>
    <w:p>
      <w:pPr>
        <w:ind w:left="6460"/>
        <w:spacing w:after="0"/>
        <w:rPr>
          <w:sz w:val="20"/>
          <w:szCs w:val="20"/>
          <w:color w:val="auto"/>
        </w:rPr>
      </w:pPr>
      <w:r>
        <w:rPr>
          <w:rFonts w:ascii="Arial" w:cs="Arial" w:eastAsia="Arial" w:hAnsi="Arial"/>
          <w:sz w:val="13"/>
          <w:szCs w:val="13"/>
          <w:color w:val="auto"/>
        </w:rPr>
        <w:t>BioNTech SE</w:t>
      </w:r>
    </w:p>
    <w:p>
      <w:pPr>
        <w:spacing w:after="0" w:line="170" w:lineRule="exact"/>
        <w:rPr>
          <w:sz w:val="20"/>
          <w:szCs w:val="20"/>
          <w:color w:val="auto"/>
        </w:rPr>
      </w:pPr>
    </w:p>
    <w:p>
      <w:pPr>
        <w:spacing w:after="0"/>
        <w:tabs>
          <w:tab w:leader="none" w:pos="6440" w:val="left"/>
          <w:tab w:leader="none" w:pos="8220" w:val="left"/>
        </w:tabs>
        <w:rPr>
          <w:sz w:val="20"/>
          <w:szCs w:val="20"/>
          <w:color w:val="auto"/>
        </w:rPr>
      </w:pPr>
      <w:r>
        <w:rPr>
          <w:rFonts w:ascii="Arial" w:cs="Arial" w:eastAsia="Arial" w:hAnsi="Arial"/>
          <w:sz w:val="13"/>
          <w:szCs w:val="13"/>
          <w:color w:val="auto"/>
        </w:rPr>
        <w:t>Date: March 31,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Prof. Ugur Sahin,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12065</wp:posOffset>
            </wp:positionV>
            <wp:extent cx="2653665"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2653665" cy="6350"/>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3"/>
          <w:szCs w:val="13"/>
          <w:b w:val="1"/>
          <w:bCs w:val="1"/>
          <w:color w:val="auto"/>
        </w:rPr>
        <w:t>Prof. Ugur Sahin, M.D.</w:t>
      </w:r>
    </w:p>
    <w:p>
      <w:pPr>
        <w:spacing w:after="0" w:line="20" w:lineRule="exact"/>
        <w:rPr>
          <w:sz w:val="20"/>
          <w:szCs w:val="20"/>
          <w:color w:val="auto"/>
        </w:rPr>
      </w:pPr>
    </w:p>
    <w:p>
      <w:pPr>
        <w:ind w:left="8300"/>
        <w:spacing w:after="0"/>
        <w:rPr>
          <w:sz w:val="20"/>
          <w:szCs w:val="20"/>
          <w:color w:val="auto"/>
        </w:rPr>
      </w:pPr>
      <w:r>
        <w:rPr>
          <w:rFonts w:ascii="Arial" w:cs="Arial" w:eastAsia="Arial" w:hAnsi="Arial"/>
          <w:sz w:val="13"/>
          <w:szCs w:val="13"/>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940"/>
          </w:cols>
          <w:pgMar w:left="300" w:top="127" w:right="65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60" w:type="dxa"/>
            <w:vAlign w:val="bottom"/>
            <w:gridSpan w:val="5"/>
          </w:tcPr>
          <w:p>
            <w:pPr>
              <w:ind w:left="1060"/>
              <w:spacing w:after="0"/>
              <w:rPr>
                <w:sz w:val="20"/>
                <w:szCs w:val="20"/>
                <w:color w:val="auto"/>
              </w:rPr>
            </w:pPr>
            <w:r>
              <w:rPr>
                <w:rFonts w:ascii="Arial" w:cs="Arial" w:eastAsia="Arial" w:hAnsi="Arial"/>
                <w:sz w:val="13"/>
                <w:szCs w:val="13"/>
                <w:b w:val="1"/>
                <w:bCs w:val="1"/>
                <w:color w:val="auto"/>
              </w:rPr>
              <w:t>INDEX TO CONSOLIDATED FINANCIAL STATEMENTS</w:t>
            </w:r>
          </w:p>
        </w:tc>
        <w:tc>
          <w:tcPr>
            <w:tcW w:w="1920" w:type="dxa"/>
            <w:vAlign w:val="bottom"/>
          </w:tcPr>
          <w:p>
            <w:pPr>
              <w:spacing w:after="0"/>
              <w:rPr>
                <w:sz w:val="15"/>
                <w:szCs w:val="15"/>
                <w:color w:val="auto"/>
              </w:rPr>
            </w:pPr>
          </w:p>
        </w:tc>
      </w:tr>
      <w:tr>
        <w:trPr>
          <w:trHeight w:val="300"/>
        </w:trPr>
        <w:tc>
          <w:tcPr>
            <w:tcW w:w="9380" w:type="dxa"/>
            <w:vAlign w:val="bottom"/>
            <w:gridSpan w:val="7"/>
          </w:tcPr>
          <w:p>
            <w:pPr>
              <w:spacing w:after="0"/>
              <w:rPr>
                <w:rFonts w:ascii="Arial" w:cs="Arial" w:eastAsia="Arial" w:hAnsi="Arial"/>
                <w:sz w:val="13"/>
                <w:szCs w:val="13"/>
                <w:color w:val="0000EE"/>
              </w:rPr>
            </w:pPr>
            <w:hyperlink w:anchor="page266">
              <w:r>
                <w:rPr>
                  <w:rFonts w:ascii="Arial" w:cs="Arial" w:eastAsia="Arial" w:hAnsi="Arial"/>
                  <w:sz w:val="13"/>
                  <w:szCs w:val="13"/>
                  <w:color w:val="0000EE"/>
                </w:rPr>
                <w:t>Report of Independent Registered Public Accounting Firm</w:t>
              </w:r>
            </w:hyperlink>
          </w:p>
        </w:tc>
        <w:tc>
          <w:tcPr>
            <w:tcW w:w="1920" w:type="dxa"/>
            <w:vAlign w:val="bottom"/>
          </w:tcPr>
          <w:p>
            <w:pPr>
              <w:ind w:left="1720"/>
              <w:spacing w:after="0"/>
              <w:rPr>
                <w:sz w:val="20"/>
                <w:szCs w:val="20"/>
                <w:color w:val="auto"/>
              </w:rPr>
            </w:pPr>
            <w:r>
              <w:rPr>
                <w:rFonts w:ascii="Arial" w:cs="Arial" w:eastAsia="Arial" w:hAnsi="Arial"/>
                <w:sz w:val="13"/>
                <w:szCs w:val="13"/>
                <w:color w:val="auto"/>
                <w:w w:val="92"/>
              </w:rPr>
              <w:t>F-2</w:t>
            </w:r>
          </w:p>
        </w:tc>
      </w:tr>
      <w:tr>
        <w:trPr>
          <w:trHeight w:val="20"/>
        </w:trPr>
        <w:tc>
          <w:tcPr>
            <w:tcW w:w="2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20"/>
        </w:trPr>
        <w:tc>
          <w:tcPr>
            <w:tcW w:w="4360" w:type="dxa"/>
            <w:vAlign w:val="bottom"/>
            <w:tcBorders>
              <w:bottom w:val="single" w:sz="8" w:color="0000EE"/>
            </w:tcBorders>
            <w:gridSpan w:val="3"/>
          </w:tcPr>
          <w:p>
            <w:pPr>
              <w:spacing w:after="0"/>
              <w:rPr>
                <w:rFonts w:ascii="Arial" w:cs="Arial" w:eastAsia="Arial" w:hAnsi="Arial"/>
                <w:sz w:val="13"/>
                <w:szCs w:val="13"/>
                <w:color w:val="0000EE"/>
                <w:w w:val="91"/>
              </w:rPr>
            </w:pPr>
            <w:hyperlink w:anchor="page267">
              <w:r>
                <w:rPr>
                  <w:rFonts w:ascii="Arial" w:cs="Arial" w:eastAsia="Arial" w:hAnsi="Arial"/>
                  <w:sz w:val="13"/>
                  <w:szCs w:val="13"/>
                  <w:color w:val="0000EE"/>
                  <w:w w:val="91"/>
                </w:rPr>
                <w:t>Consolidated Statements of Financial Position as of December 31, 2019 and 2018</w:t>
              </w:r>
            </w:hyperlink>
          </w:p>
        </w:tc>
        <w:tc>
          <w:tcPr>
            <w:tcW w:w="5020" w:type="dxa"/>
            <w:vAlign w:val="bottom"/>
            <w:gridSpan w:val="4"/>
          </w:tcPr>
          <w:p>
            <w:pPr>
              <w:spacing w:after="0"/>
              <w:rPr>
                <w:sz w:val="24"/>
                <w:szCs w:val="24"/>
                <w:color w:val="auto"/>
              </w:rPr>
            </w:pPr>
          </w:p>
        </w:tc>
        <w:tc>
          <w:tcPr>
            <w:tcW w:w="1920" w:type="dxa"/>
            <w:vAlign w:val="bottom"/>
          </w:tcPr>
          <w:p>
            <w:pPr>
              <w:ind w:left="1720"/>
              <w:spacing w:after="0"/>
              <w:rPr>
                <w:sz w:val="20"/>
                <w:szCs w:val="20"/>
                <w:color w:val="auto"/>
              </w:rPr>
            </w:pPr>
            <w:r>
              <w:rPr>
                <w:rFonts w:ascii="Arial" w:cs="Arial" w:eastAsia="Arial" w:hAnsi="Arial"/>
                <w:sz w:val="13"/>
                <w:szCs w:val="13"/>
                <w:color w:val="auto"/>
                <w:w w:val="92"/>
              </w:rPr>
              <w:t>F-3</w:t>
            </w:r>
          </w:p>
        </w:tc>
      </w:tr>
      <w:tr>
        <w:trPr>
          <w:trHeight w:val="320"/>
        </w:trPr>
        <w:tc>
          <w:tcPr>
            <w:tcW w:w="9380" w:type="dxa"/>
            <w:vAlign w:val="bottom"/>
            <w:gridSpan w:val="7"/>
          </w:tcPr>
          <w:p>
            <w:pPr>
              <w:spacing w:after="0"/>
              <w:rPr>
                <w:rFonts w:ascii="Arial" w:cs="Arial" w:eastAsia="Arial" w:hAnsi="Arial"/>
                <w:sz w:val="13"/>
                <w:szCs w:val="13"/>
                <w:color w:val="0000EE"/>
              </w:rPr>
            </w:pPr>
            <w:hyperlink w:anchor="page268">
              <w:r>
                <w:rPr>
                  <w:rFonts w:ascii="Arial" w:cs="Arial" w:eastAsia="Arial" w:hAnsi="Arial"/>
                  <w:sz w:val="13"/>
                  <w:szCs w:val="13"/>
                  <w:color w:val="0000EE"/>
                </w:rPr>
                <w:t>Consolidated Statements of Operations for the Years ended December 31, 2019, 2018 and 2017</w:t>
              </w:r>
            </w:hyperlink>
          </w:p>
        </w:tc>
        <w:tc>
          <w:tcPr>
            <w:tcW w:w="1920" w:type="dxa"/>
            <w:vAlign w:val="bottom"/>
          </w:tcPr>
          <w:p>
            <w:pPr>
              <w:ind w:left="1720"/>
              <w:spacing w:after="0"/>
              <w:rPr>
                <w:sz w:val="20"/>
                <w:szCs w:val="20"/>
                <w:color w:val="auto"/>
              </w:rPr>
            </w:pPr>
            <w:r>
              <w:rPr>
                <w:rFonts w:ascii="Arial" w:cs="Arial" w:eastAsia="Arial" w:hAnsi="Arial"/>
                <w:sz w:val="13"/>
                <w:szCs w:val="13"/>
                <w:color w:val="auto"/>
                <w:w w:val="92"/>
              </w:rPr>
              <w:t>F-4</w:t>
            </w:r>
          </w:p>
        </w:tc>
      </w:tr>
      <w:tr>
        <w:trPr>
          <w:trHeight w:val="20"/>
        </w:trPr>
        <w:tc>
          <w:tcPr>
            <w:tcW w:w="23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20"/>
        </w:trPr>
        <w:tc>
          <w:tcPr>
            <w:tcW w:w="9380" w:type="dxa"/>
            <w:vAlign w:val="bottom"/>
            <w:gridSpan w:val="7"/>
          </w:tcPr>
          <w:p>
            <w:pPr>
              <w:spacing w:after="0"/>
              <w:rPr>
                <w:rFonts w:ascii="Arial" w:cs="Arial" w:eastAsia="Arial" w:hAnsi="Arial"/>
                <w:sz w:val="13"/>
                <w:szCs w:val="13"/>
                <w:color w:val="0000EE"/>
              </w:rPr>
            </w:pPr>
            <w:hyperlink w:anchor="page270">
              <w:r>
                <w:rPr>
                  <w:rFonts w:ascii="Arial" w:cs="Arial" w:eastAsia="Arial" w:hAnsi="Arial"/>
                  <w:sz w:val="13"/>
                  <w:szCs w:val="13"/>
                  <w:color w:val="0000EE"/>
                </w:rPr>
                <w:t>Consolidated Statements of Changes in Stockholders’ Equity for the Years ended December 31, 2019, 2018 and 2017</w:t>
              </w:r>
            </w:hyperlink>
          </w:p>
        </w:tc>
        <w:tc>
          <w:tcPr>
            <w:tcW w:w="1920" w:type="dxa"/>
            <w:vAlign w:val="bottom"/>
          </w:tcPr>
          <w:p>
            <w:pPr>
              <w:ind w:left="1720"/>
              <w:spacing w:after="0"/>
              <w:rPr>
                <w:sz w:val="20"/>
                <w:szCs w:val="20"/>
                <w:color w:val="auto"/>
              </w:rPr>
            </w:pPr>
            <w:r>
              <w:rPr>
                <w:rFonts w:ascii="Arial" w:cs="Arial" w:eastAsia="Arial" w:hAnsi="Arial"/>
                <w:sz w:val="13"/>
                <w:szCs w:val="13"/>
                <w:color w:val="auto"/>
                <w:w w:val="92"/>
              </w:rPr>
              <w:t>F-6</w:t>
            </w:r>
          </w:p>
        </w:tc>
      </w:tr>
      <w:tr>
        <w:trPr>
          <w:trHeight w:val="320"/>
        </w:trPr>
        <w:tc>
          <w:tcPr>
            <w:tcW w:w="5140" w:type="dxa"/>
            <w:vAlign w:val="bottom"/>
            <w:tcBorders>
              <w:top w:val="single" w:sz="8" w:color="0000EE"/>
              <w:bottom w:val="single" w:sz="8" w:color="0000EE"/>
            </w:tcBorders>
            <w:gridSpan w:val="5"/>
          </w:tcPr>
          <w:p>
            <w:pPr>
              <w:spacing w:after="0"/>
              <w:rPr>
                <w:rFonts w:ascii="Arial" w:cs="Arial" w:eastAsia="Arial" w:hAnsi="Arial"/>
                <w:sz w:val="13"/>
                <w:szCs w:val="13"/>
                <w:color w:val="0000EE"/>
                <w:w w:val="91"/>
              </w:rPr>
            </w:pPr>
            <w:hyperlink w:anchor="page272">
              <w:r>
                <w:rPr>
                  <w:rFonts w:ascii="Arial" w:cs="Arial" w:eastAsia="Arial" w:hAnsi="Arial"/>
                  <w:sz w:val="13"/>
                  <w:szCs w:val="13"/>
                  <w:color w:val="0000EE"/>
                  <w:w w:val="91"/>
                </w:rPr>
                <w:t>Consolidated Statements of Cash Flows for the Years ended December 31, 2019, 2018 and 2017</w:t>
              </w:r>
            </w:hyperlink>
          </w:p>
        </w:tc>
        <w:tc>
          <w:tcPr>
            <w:tcW w:w="1120" w:type="dxa"/>
            <w:vAlign w:val="bottom"/>
            <w:tcBorders>
              <w:top w:val="single" w:sz="8" w:color="0000EE"/>
            </w:tcBorders>
          </w:tcPr>
          <w:p>
            <w:pPr>
              <w:spacing w:after="0"/>
              <w:rPr>
                <w:sz w:val="24"/>
                <w:szCs w:val="24"/>
                <w:color w:val="auto"/>
              </w:rPr>
            </w:pPr>
          </w:p>
        </w:tc>
        <w:tc>
          <w:tcPr>
            <w:tcW w:w="3120" w:type="dxa"/>
            <w:vAlign w:val="bottom"/>
          </w:tcPr>
          <w:p>
            <w:pPr>
              <w:spacing w:after="0"/>
              <w:rPr>
                <w:sz w:val="24"/>
                <w:szCs w:val="24"/>
                <w:color w:val="auto"/>
              </w:rPr>
            </w:pPr>
          </w:p>
        </w:tc>
        <w:tc>
          <w:tcPr>
            <w:tcW w:w="1920" w:type="dxa"/>
            <w:vAlign w:val="bottom"/>
          </w:tcPr>
          <w:p>
            <w:pPr>
              <w:ind w:left="1720"/>
              <w:spacing w:after="0"/>
              <w:rPr>
                <w:sz w:val="20"/>
                <w:szCs w:val="20"/>
                <w:color w:val="auto"/>
              </w:rPr>
            </w:pPr>
            <w:r>
              <w:rPr>
                <w:rFonts w:ascii="Arial" w:cs="Arial" w:eastAsia="Arial" w:hAnsi="Arial"/>
                <w:sz w:val="13"/>
                <w:szCs w:val="13"/>
                <w:color w:val="auto"/>
                <w:w w:val="92"/>
              </w:rPr>
              <w:t>F-8</w:t>
            </w:r>
          </w:p>
        </w:tc>
      </w:tr>
      <w:tr>
        <w:trPr>
          <w:trHeight w:val="320"/>
        </w:trPr>
        <w:tc>
          <w:tcPr>
            <w:tcW w:w="9380" w:type="dxa"/>
            <w:vAlign w:val="bottom"/>
            <w:gridSpan w:val="7"/>
          </w:tcPr>
          <w:p>
            <w:pPr>
              <w:spacing w:after="0"/>
              <w:rPr>
                <w:rFonts w:ascii="Arial" w:cs="Arial" w:eastAsia="Arial" w:hAnsi="Arial"/>
                <w:sz w:val="13"/>
                <w:szCs w:val="13"/>
                <w:color w:val="0000EE"/>
              </w:rPr>
            </w:pPr>
            <w:hyperlink w:anchor="page273">
              <w:r>
                <w:rPr>
                  <w:rFonts w:ascii="Arial" w:cs="Arial" w:eastAsia="Arial" w:hAnsi="Arial"/>
                  <w:sz w:val="13"/>
                  <w:szCs w:val="13"/>
                  <w:color w:val="0000EE"/>
                </w:rPr>
                <w:t>Notes to Consolidated Financial Statements</w:t>
              </w:r>
            </w:hyperlink>
          </w:p>
        </w:tc>
        <w:tc>
          <w:tcPr>
            <w:tcW w:w="1920" w:type="dxa"/>
            <w:vAlign w:val="bottom"/>
          </w:tcPr>
          <w:p>
            <w:pPr>
              <w:ind w:left="1720"/>
              <w:spacing w:after="0"/>
              <w:rPr>
                <w:sz w:val="20"/>
                <w:szCs w:val="20"/>
                <w:color w:val="auto"/>
              </w:rPr>
            </w:pPr>
            <w:r>
              <w:rPr>
                <w:rFonts w:ascii="Arial" w:cs="Arial" w:eastAsia="Arial" w:hAnsi="Arial"/>
                <w:sz w:val="13"/>
                <w:szCs w:val="13"/>
                <w:color w:val="auto"/>
                <w:w w:val="92"/>
              </w:rPr>
              <w:t>F-9</w:t>
            </w:r>
          </w:p>
        </w:tc>
      </w:tr>
      <w:tr>
        <w:trPr>
          <w:trHeight w:val="490"/>
        </w:trPr>
        <w:tc>
          <w:tcPr>
            <w:tcW w:w="2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40" w:type="dxa"/>
            <w:vAlign w:val="bottom"/>
            <w:gridSpan w:val="2"/>
          </w:tcPr>
          <w:p>
            <w:pPr>
              <w:ind w:left="420"/>
              <w:spacing w:after="0"/>
              <w:rPr>
                <w:sz w:val="20"/>
                <w:szCs w:val="20"/>
                <w:color w:val="auto"/>
              </w:rPr>
            </w:pPr>
            <w:r>
              <w:rPr>
                <w:rFonts w:ascii="Arial" w:cs="Arial" w:eastAsia="Arial" w:hAnsi="Arial"/>
                <w:sz w:val="13"/>
                <w:szCs w:val="13"/>
                <w:color w:val="auto"/>
              </w:rPr>
              <w:t>F-1</w:t>
            </w:r>
          </w:p>
        </w:tc>
        <w:tc>
          <w:tcPr>
            <w:tcW w:w="1920" w:type="dxa"/>
            <w:vAlign w:val="bottom"/>
          </w:tcPr>
          <w:p>
            <w:pPr>
              <w:spacing w:after="0"/>
              <w:rPr>
                <w:sz w:val="24"/>
                <w:szCs w:val="24"/>
                <w:color w:val="auto"/>
              </w:rPr>
            </w:pPr>
          </w:p>
        </w:tc>
      </w:tr>
      <w:tr>
        <w:trPr>
          <w:trHeight w:val="80"/>
        </w:trPr>
        <w:tc>
          <w:tcPr>
            <w:tcW w:w="23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312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65" w:name="page266"/>
    <w:bookmarkEnd w:id="265"/>
    <w:p>
      <w:pPr>
        <w:ind w:left="33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To the Management and the Supervisory Board of BioNTech SE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94" w:lineRule="exact"/>
        <w:rPr>
          <w:sz w:val="20"/>
          <w:szCs w:val="20"/>
          <w:color w:val="auto"/>
        </w:rPr>
      </w:pPr>
    </w:p>
    <w:p>
      <w:pPr>
        <w:ind w:right="40"/>
        <w:spacing w:after="0" w:line="296" w:lineRule="auto"/>
        <w:rPr>
          <w:sz w:val="20"/>
          <w:szCs w:val="20"/>
          <w:color w:val="auto"/>
        </w:rPr>
      </w:pPr>
      <w:r>
        <w:rPr>
          <w:rFonts w:ascii="Arial" w:cs="Arial" w:eastAsia="Arial" w:hAnsi="Arial"/>
          <w:sz w:val="12"/>
          <w:szCs w:val="12"/>
          <w:color w:val="auto"/>
        </w:rPr>
        <w:t>We have audited the accompanying consolidated statements of financial position of BioNTech SE (the Company) as of December 31, 2019 and 2018, the related consolidated statements of operations, comprehensive loss, changes in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International Financial Reporting Standards as issued by the International Accounting Standard Board.</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5" w:lineRule="exact"/>
        <w:rPr>
          <w:sz w:val="20"/>
          <w:szCs w:val="20"/>
          <w:color w:val="auto"/>
        </w:rPr>
      </w:pPr>
    </w:p>
    <w:p>
      <w:pPr>
        <w:jc w:val="both"/>
        <w:ind w:right="300"/>
        <w:spacing w:after="0" w:line="304"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1260"/>
          </w:cols>
          <w:pgMar w:left="300" w:top="127" w:right="33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/s/Titus Zwirner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Wirtschaftsprüfer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(German Public Auditor)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/s/Andreas Weigel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Wirtschaftsprüfer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(German Public Auditor)</w:t>
      </w:r>
    </w:p>
    <w:p>
      <w:pPr>
        <w:spacing w:after="0" w:line="173" w:lineRule="exact"/>
        <w:rPr>
          <w:sz w:val="20"/>
          <w:szCs w:val="20"/>
          <w:color w:val="auto"/>
        </w:rPr>
      </w:pPr>
    </w:p>
    <w:p>
      <w:pPr>
        <w:sectPr>
          <w:pgSz w:w="11900" w:h="16838" w:orient="portrait"/>
          <w:cols w:equalWidth="0" w:num="2">
            <w:col w:w="3460" w:space="720"/>
            <w:col w:w="7080"/>
          </w:cols>
          <w:pgMar w:left="300" w:top="127" w:right="339" w:bottom="1440" w:gutter="0" w:footer="0" w:header="0"/>
          <w:type w:val="continuous"/>
        </w:sectPr>
      </w:pPr>
    </w:p>
    <w:p>
      <w:pPr>
        <w:spacing w:after="0"/>
        <w:rPr>
          <w:sz w:val="20"/>
          <w:szCs w:val="20"/>
          <w:color w:val="auto"/>
        </w:rPr>
      </w:pPr>
      <w:r>
        <w:rPr>
          <w:rFonts w:ascii="Arial" w:cs="Arial" w:eastAsia="Arial" w:hAnsi="Arial"/>
          <w:sz w:val="12"/>
          <w:szCs w:val="12"/>
          <w:color w:val="auto"/>
        </w:rPr>
        <w:t>Ernst &amp; Young GmbH Wirtschaftsprüfungsgesellschaft</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2018</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Cologne, Germany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March 31, 2020</w:t>
      </w:r>
    </w:p>
    <w:p>
      <w:pPr>
        <w:sectPr>
          <w:pgSz w:w="11900" w:h="16838" w:orient="portrait"/>
          <w:cols w:equalWidth="0" w:num="1">
            <w:col w:w="11260"/>
          </w:cols>
          <w:pgMar w:left="300" w:top="127" w:right="339" w:bottom="1440" w:gutter="0" w:footer="0" w:header="0"/>
          <w:type w:val="continuous"/>
        </w:sectPr>
      </w:pP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80580" cy="127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type w:val="continuous"/>
        </w:sectPr>
      </w:pPr>
    </w:p>
    <w:bookmarkStart w:id="266" w:name="page267"/>
    <w:bookmarkEnd w:id="266"/>
    <w:p>
      <w:pPr>
        <w:jc w:val="center"/>
        <w:spacing w:after="0"/>
        <w:rPr>
          <w:sz w:val="20"/>
          <w:szCs w:val="20"/>
          <w:color w:val="auto"/>
        </w:rPr>
      </w:pPr>
      <w:r>
        <w:rPr>
          <w:rFonts w:ascii="Arial" w:cs="Arial" w:eastAsia="Arial" w:hAnsi="Arial"/>
          <w:sz w:val="13"/>
          <w:szCs w:val="13"/>
          <w:b w:val="1"/>
          <w:bCs w:val="1"/>
          <w:color w:val="auto"/>
        </w:rPr>
        <w:t>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67880" cy="5212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7167880" cy="521271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60" w:type="dxa"/>
            <w:vAlign w:val="bottom"/>
          </w:tcPr>
          <w:p>
            <w:pPr>
              <w:jc w:val="right"/>
              <w:ind w:right="260"/>
              <w:spacing w:after="0"/>
              <w:rPr>
                <w:sz w:val="20"/>
                <w:szCs w:val="20"/>
                <w:color w:val="auto"/>
              </w:rPr>
            </w:pPr>
            <w:r>
              <w:rPr>
                <w:rFonts w:ascii="Arial" w:cs="Arial" w:eastAsia="Arial" w:hAnsi="Arial"/>
                <w:sz w:val="12"/>
                <w:szCs w:val="12"/>
                <w:b w:val="1"/>
                <w:bCs w:val="1"/>
                <w:color w:val="auto"/>
              </w:rPr>
              <w:t>As of December 31,</w:t>
            </w: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As of December 31,</w:t>
            </w:r>
          </w:p>
        </w:tc>
      </w:tr>
      <w:tr>
        <w:trPr>
          <w:trHeight w:val="190"/>
        </w:trPr>
        <w:tc>
          <w:tcPr>
            <w:tcW w:w="43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3740" w:type="dxa"/>
            <w:vAlign w:val="bottom"/>
          </w:tcPr>
          <w:p>
            <w:pPr>
              <w:spacing w:after="0"/>
              <w:rPr>
                <w:sz w:val="16"/>
                <w:szCs w:val="16"/>
                <w:color w:val="auto"/>
              </w:rPr>
            </w:pPr>
          </w:p>
        </w:tc>
        <w:tc>
          <w:tcPr>
            <w:tcW w:w="1860" w:type="dxa"/>
            <w:vAlign w:val="bottom"/>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r>
      <w:tr>
        <w:trPr>
          <w:trHeight w:val="177"/>
        </w:trPr>
        <w:tc>
          <w:tcPr>
            <w:tcW w:w="438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Assets</w:t>
            </w:r>
          </w:p>
        </w:tc>
        <w:tc>
          <w:tcPr>
            <w:tcW w:w="3740" w:type="dxa"/>
            <w:vAlign w:val="bottom"/>
            <w:tcBorders>
              <w:bottom w:val="single" w:sz="8" w:color="70AD47"/>
            </w:tcBorders>
          </w:tcPr>
          <w:p>
            <w:pPr>
              <w:jc w:val="center"/>
              <w:ind w:left="2340"/>
              <w:spacing w:after="0"/>
              <w:rPr>
                <w:sz w:val="20"/>
                <w:szCs w:val="20"/>
                <w:color w:val="auto"/>
              </w:rPr>
            </w:pPr>
            <w:r>
              <w:rPr>
                <w:rFonts w:ascii="Arial" w:cs="Arial" w:eastAsia="Arial" w:hAnsi="Arial"/>
                <w:sz w:val="12"/>
                <w:szCs w:val="12"/>
                <w:b w:val="1"/>
                <w:bCs w:val="1"/>
                <w:i w:val="1"/>
                <w:iCs w:val="1"/>
                <w:color w:val="auto"/>
                <w:w w:val="82"/>
              </w:rPr>
              <w:t>Note</w:t>
            </w:r>
          </w:p>
        </w:tc>
        <w:tc>
          <w:tcPr>
            <w:tcW w:w="1860" w:type="dxa"/>
            <w:vAlign w:val="bottom"/>
            <w:tcBorders>
              <w:bottom w:val="single" w:sz="8" w:color="70AD47"/>
            </w:tcBorders>
          </w:tcPr>
          <w:p>
            <w:pPr>
              <w:spacing w:after="0"/>
              <w:rPr>
                <w:sz w:val="15"/>
                <w:szCs w:val="15"/>
                <w:color w:val="auto"/>
              </w:rPr>
            </w:pPr>
          </w:p>
        </w:tc>
        <w:tc>
          <w:tcPr>
            <w:tcW w:w="1300" w:type="dxa"/>
            <w:vAlign w:val="bottom"/>
            <w:tcBorders>
              <w:bottom w:val="single" w:sz="8" w:color="70AD47"/>
            </w:tcBorders>
          </w:tcPr>
          <w:p>
            <w:pPr>
              <w:spacing w:after="0"/>
              <w:rPr>
                <w:sz w:val="15"/>
                <w:szCs w:val="15"/>
                <w:color w:val="auto"/>
              </w:rPr>
            </w:pPr>
          </w:p>
        </w:tc>
      </w:tr>
      <w:tr>
        <w:trPr>
          <w:trHeight w:val="163"/>
        </w:trPr>
        <w:tc>
          <w:tcPr>
            <w:tcW w:w="4380" w:type="dxa"/>
            <w:vAlign w:val="bottom"/>
          </w:tcPr>
          <w:p>
            <w:pPr>
              <w:spacing w:after="0"/>
              <w:rPr>
                <w:sz w:val="20"/>
                <w:szCs w:val="20"/>
                <w:color w:val="auto"/>
              </w:rPr>
            </w:pPr>
            <w:r>
              <w:rPr>
                <w:rFonts w:ascii="Arial" w:cs="Arial" w:eastAsia="Arial" w:hAnsi="Arial"/>
                <w:sz w:val="12"/>
                <w:szCs w:val="12"/>
                <w:b w:val="1"/>
                <w:bCs w:val="1"/>
                <w:color w:val="auto"/>
              </w:rPr>
              <w:t>Non-current assets</w:t>
            </w:r>
          </w:p>
        </w:tc>
        <w:tc>
          <w:tcPr>
            <w:tcW w:w="3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Intangible assets</w:t>
            </w:r>
          </w:p>
        </w:tc>
        <w:tc>
          <w:tcPr>
            <w:tcW w:w="3740" w:type="dxa"/>
            <w:vAlign w:val="bottom"/>
          </w:tcPr>
          <w:p>
            <w:pPr>
              <w:jc w:val="center"/>
              <w:ind w:left="2340"/>
              <w:spacing w:after="0"/>
              <w:rPr>
                <w:sz w:val="20"/>
                <w:szCs w:val="20"/>
                <w:color w:val="auto"/>
              </w:rPr>
            </w:pPr>
            <w:r>
              <w:rPr>
                <w:rFonts w:ascii="Arial" w:cs="Arial" w:eastAsia="Arial" w:hAnsi="Arial"/>
                <w:sz w:val="12"/>
                <w:szCs w:val="12"/>
                <w:color w:val="auto"/>
                <w:w w:val="74"/>
              </w:rPr>
              <w:t>11</w:t>
            </w:r>
          </w:p>
        </w:tc>
        <w:tc>
          <w:tcPr>
            <w:tcW w:w="1860" w:type="dxa"/>
            <w:vAlign w:val="bottom"/>
          </w:tcPr>
          <w:p>
            <w:pPr>
              <w:jc w:val="right"/>
              <w:ind w:right="260"/>
              <w:spacing w:after="0"/>
              <w:rPr>
                <w:sz w:val="20"/>
                <w:szCs w:val="20"/>
                <w:color w:val="auto"/>
              </w:rPr>
            </w:pPr>
            <w:r>
              <w:rPr>
                <w:rFonts w:ascii="Arial" w:cs="Arial" w:eastAsia="Arial" w:hAnsi="Arial"/>
                <w:sz w:val="12"/>
                <w:szCs w:val="12"/>
                <w:color w:val="auto"/>
              </w:rPr>
              <w:t>€89,434</w:t>
            </w:r>
          </w:p>
        </w:tc>
        <w:tc>
          <w:tcPr>
            <w:tcW w:w="1300" w:type="dxa"/>
            <w:vAlign w:val="bottom"/>
          </w:tcPr>
          <w:p>
            <w:pPr>
              <w:jc w:val="right"/>
              <w:spacing w:after="0"/>
              <w:rPr>
                <w:sz w:val="20"/>
                <w:szCs w:val="20"/>
                <w:color w:val="auto"/>
              </w:rPr>
            </w:pPr>
            <w:r>
              <w:rPr>
                <w:rFonts w:ascii="Arial" w:cs="Arial" w:eastAsia="Arial" w:hAnsi="Arial"/>
                <w:sz w:val="12"/>
                <w:szCs w:val="12"/>
                <w:color w:val="auto"/>
              </w:rPr>
              <w:t>€88,042</w:t>
            </w: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3740" w:type="dxa"/>
            <w:vAlign w:val="bottom"/>
          </w:tcPr>
          <w:p>
            <w:pPr>
              <w:jc w:val="center"/>
              <w:ind w:left="2320"/>
              <w:spacing w:after="0"/>
              <w:rPr>
                <w:sz w:val="20"/>
                <w:szCs w:val="20"/>
                <w:color w:val="auto"/>
              </w:rPr>
            </w:pPr>
            <w:r>
              <w:rPr>
                <w:rFonts w:ascii="Arial" w:cs="Arial" w:eastAsia="Arial" w:hAnsi="Arial"/>
                <w:sz w:val="12"/>
                <w:szCs w:val="12"/>
                <w:color w:val="auto"/>
                <w:w w:val="89"/>
              </w:rPr>
              <w:t>10</w:t>
            </w:r>
          </w:p>
        </w:tc>
        <w:tc>
          <w:tcPr>
            <w:tcW w:w="1860" w:type="dxa"/>
            <w:vAlign w:val="bottom"/>
          </w:tcPr>
          <w:p>
            <w:pPr>
              <w:jc w:val="right"/>
              <w:ind w:right="260"/>
              <w:spacing w:after="0"/>
              <w:rPr>
                <w:sz w:val="20"/>
                <w:szCs w:val="20"/>
                <w:color w:val="auto"/>
              </w:rPr>
            </w:pPr>
            <w:r>
              <w:rPr>
                <w:rFonts w:ascii="Arial" w:cs="Arial" w:eastAsia="Arial" w:hAnsi="Arial"/>
                <w:sz w:val="12"/>
                <w:szCs w:val="12"/>
                <w:color w:val="auto"/>
              </w:rPr>
              <w:t>93,044</w:t>
            </w:r>
          </w:p>
        </w:tc>
        <w:tc>
          <w:tcPr>
            <w:tcW w:w="1300" w:type="dxa"/>
            <w:vAlign w:val="bottom"/>
          </w:tcPr>
          <w:p>
            <w:pPr>
              <w:jc w:val="right"/>
              <w:spacing w:after="0"/>
              <w:rPr>
                <w:sz w:val="20"/>
                <w:szCs w:val="20"/>
                <w:color w:val="auto"/>
              </w:rPr>
            </w:pPr>
            <w:r>
              <w:rPr>
                <w:rFonts w:ascii="Arial" w:cs="Arial" w:eastAsia="Arial" w:hAnsi="Arial"/>
                <w:sz w:val="12"/>
                <w:szCs w:val="12"/>
                <w:color w:val="auto"/>
              </w:rPr>
              <w:t>66,200</w:t>
            </w: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Right-of-use assets</w:t>
            </w:r>
          </w:p>
        </w:tc>
        <w:tc>
          <w:tcPr>
            <w:tcW w:w="3740" w:type="dxa"/>
            <w:vAlign w:val="bottom"/>
          </w:tcPr>
          <w:p>
            <w:pPr>
              <w:jc w:val="center"/>
              <w:ind w:left="2320"/>
              <w:spacing w:after="0"/>
              <w:rPr>
                <w:sz w:val="20"/>
                <w:szCs w:val="20"/>
                <w:color w:val="auto"/>
              </w:rPr>
            </w:pPr>
            <w:r>
              <w:rPr>
                <w:rFonts w:ascii="Arial" w:cs="Arial" w:eastAsia="Arial" w:hAnsi="Arial"/>
                <w:sz w:val="12"/>
                <w:szCs w:val="12"/>
                <w:color w:val="auto"/>
                <w:w w:val="89"/>
              </w:rPr>
              <w:t>19</w:t>
            </w:r>
          </w:p>
        </w:tc>
        <w:tc>
          <w:tcPr>
            <w:tcW w:w="1860" w:type="dxa"/>
            <w:vAlign w:val="bottom"/>
          </w:tcPr>
          <w:p>
            <w:pPr>
              <w:jc w:val="right"/>
              <w:ind w:right="260"/>
              <w:spacing w:after="0"/>
              <w:rPr>
                <w:sz w:val="20"/>
                <w:szCs w:val="20"/>
                <w:color w:val="auto"/>
              </w:rPr>
            </w:pPr>
            <w:r>
              <w:rPr>
                <w:rFonts w:ascii="Arial" w:cs="Arial" w:eastAsia="Arial" w:hAnsi="Arial"/>
                <w:sz w:val="12"/>
                <w:szCs w:val="12"/>
                <w:color w:val="auto"/>
              </w:rPr>
              <w:t>55,018</w:t>
            </w:r>
          </w:p>
        </w:tc>
        <w:tc>
          <w:tcPr>
            <w:tcW w:w="1300" w:type="dxa"/>
            <w:vAlign w:val="bottom"/>
          </w:tcPr>
          <w:p>
            <w:pPr>
              <w:jc w:val="right"/>
              <w:spacing w:after="0"/>
              <w:rPr>
                <w:sz w:val="20"/>
                <w:szCs w:val="20"/>
                <w:color w:val="auto"/>
              </w:rPr>
            </w:pPr>
            <w:r>
              <w:rPr>
                <w:rFonts w:ascii="Arial" w:cs="Arial" w:eastAsia="Arial" w:hAnsi="Arial"/>
                <w:sz w:val="12"/>
                <w:szCs w:val="12"/>
                <w:color w:val="auto"/>
              </w:rPr>
              <w:t>49,766</w:t>
            </w: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Other financial assets</w:t>
            </w:r>
          </w:p>
        </w:tc>
        <w:tc>
          <w:tcPr>
            <w:tcW w:w="3740" w:type="dxa"/>
            <w:vAlign w:val="bottom"/>
          </w:tcPr>
          <w:p>
            <w:pPr>
              <w:jc w:val="center"/>
              <w:ind w:left="2320"/>
              <w:spacing w:after="0"/>
              <w:rPr>
                <w:sz w:val="20"/>
                <w:szCs w:val="20"/>
                <w:color w:val="auto"/>
              </w:rPr>
            </w:pPr>
            <w:r>
              <w:rPr>
                <w:rFonts w:ascii="Arial" w:cs="Arial" w:eastAsia="Arial" w:hAnsi="Arial"/>
                <w:sz w:val="12"/>
                <w:szCs w:val="12"/>
                <w:color w:val="auto"/>
                <w:w w:val="89"/>
              </w:rPr>
              <w:t>12</w:t>
            </w:r>
          </w:p>
        </w:tc>
        <w:tc>
          <w:tcPr>
            <w:tcW w:w="186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18</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Total non-current assets</w:t>
            </w:r>
          </w:p>
        </w:tc>
        <w:tc>
          <w:tcPr>
            <w:tcW w:w="1800" w:type="dxa"/>
            <w:vAlign w:val="bottom"/>
            <w:tcBorders>
              <w:bottom w:val="single" w:sz="8" w:color="70AD47"/>
            </w:tcBorders>
          </w:tcPr>
          <w:p>
            <w:pPr>
              <w:spacing w:after="0"/>
              <w:rPr>
                <w:sz w:val="14"/>
                <w:szCs w:val="14"/>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€237,496</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€204,025</w:t>
            </w:r>
          </w:p>
        </w:tc>
      </w:tr>
      <w:tr>
        <w:trPr>
          <w:trHeight w:val="163"/>
        </w:trPr>
        <w:tc>
          <w:tcPr>
            <w:tcW w:w="656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1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Inventories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13</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11,722</w:t>
            </w:r>
          </w:p>
        </w:tc>
        <w:tc>
          <w:tcPr>
            <w:tcW w:w="1040" w:type="dxa"/>
            <w:vAlign w:val="bottom"/>
          </w:tcPr>
          <w:p>
            <w:pPr>
              <w:jc w:val="right"/>
              <w:spacing w:after="0"/>
              <w:rPr>
                <w:sz w:val="20"/>
                <w:szCs w:val="20"/>
                <w:color w:val="auto"/>
              </w:rPr>
            </w:pPr>
            <w:r>
              <w:rPr>
                <w:rFonts w:ascii="Arial" w:cs="Arial" w:eastAsia="Arial" w:hAnsi="Arial"/>
                <w:sz w:val="12"/>
                <w:szCs w:val="12"/>
                <w:color w:val="auto"/>
              </w:rPr>
              <w:t>5,789</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Trade receivables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14</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11,913</w:t>
            </w:r>
          </w:p>
        </w:tc>
        <w:tc>
          <w:tcPr>
            <w:tcW w:w="1040" w:type="dxa"/>
            <w:vAlign w:val="bottom"/>
          </w:tcPr>
          <w:p>
            <w:pPr>
              <w:jc w:val="right"/>
              <w:spacing w:after="0"/>
              <w:rPr>
                <w:sz w:val="20"/>
                <w:szCs w:val="20"/>
                <w:color w:val="auto"/>
              </w:rPr>
            </w:pPr>
            <w:r>
              <w:rPr>
                <w:rFonts w:ascii="Arial" w:cs="Arial" w:eastAsia="Arial" w:hAnsi="Arial"/>
                <w:sz w:val="12"/>
                <w:szCs w:val="12"/>
                <w:color w:val="auto"/>
              </w:rPr>
              <w:t>18,938</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Other financial assets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1,680</w:t>
            </w:r>
          </w:p>
        </w:tc>
        <w:tc>
          <w:tcPr>
            <w:tcW w:w="1040" w:type="dxa"/>
            <w:vAlign w:val="bottom"/>
          </w:tcPr>
          <w:p>
            <w:pPr>
              <w:jc w:val="right"/>
              <w:spacing w:after="0"/>
              <w:rPr>
                <w:sz w:val="20"/>
                <w:szCs w:val="20"/>
                <w:color w:val="auto"/>
              </w:rPr>
            </w:pPr>
            <w:r>
              <w:rPr>
                <w:rFonts w:ascii="Arial" w:cs="Arial" w:eastAsia="Arial" w:hAnsi="Arial"/>
                <w:sz w:val="12"/>
                <w:szCs w:val="12"/>
                <w:color w:val="auto"/>
              </w:rPr>
              <w:t>336</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Other assets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15</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9,069</w:t>
            </w:r>
          </w:p>
        </w:tc>
        <w:tc>
          <w:tcPr>
            <w:tcW w:w="1040" w:type="dxa"/>
            <w:vAlign w:val="bottom"/>
          </w:tcPr>
          <w:p>
            <w:pPr>
              <w:jc w:val="right"/>
              <w:spacing w:after="0"/>
              <w:rPr>
                <w:sz w:val="20"/>
                <w:szCs w:val="20"/>
                <w:color w:val="auto"/>
              </w:rPr>
            </w:pPr>
            <w:r>
              <w:rPr>
                <w:rFonts w:ascii="Arial" w:cs="Arial" w:eastAsia="Arial" w:hAnsi="Arial"/>
                <w:sz w:val="12"/>
                <w:szCs w:val="12"/>
                <w:color w:val="auto"/>
              </w:rPr>
              <w:t>9,164</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Income tax assets</w:t>
            </w:r>
          </w:p>
        </w:tc>
        <w:tc>
          <w:tcPr>
            <w:tcW w:w="1800" w:type="dxa"/>
            <w:vAlign w:val="bottom"/>
          </w:tcPr>
          <w:p>
            <w:pPr>
              <w:spacing w:after="0"/>
              <w:rPr>
                <w:sz w:val="15"/>
                <w:szCs w:val="15"/>
                <w:color w:val="auto"/>
              </w:rPr>
            </w:pP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756</w:t>
            </w:r>
          </w:p>
        </w:tc>
        <w:tc>
          <w:tcPr>
            <w:tcW w:w="1040" w:type="dxa"/>
            <w:vAlign w:val="bottom"/>
          </w:tcPr>
          <w:p>
            <w:pPr>
              <w:jc w:val="right"/>
              <w:spacing w:after="0"/>
              <w:rPr>
                <w:sz w:val="20"/>
                <w:szCs w:val="20"/>
                <w:color w:val="auto"/>
              </w:rPr>
            </w:pPr>
            <w:r>
              <w:rPr>
                <w:rFonts w:ascii="Arial" w:cs="Arial" w:eastAsia="Arial" w:hAnsi="Arial"/>
                <w:sz w:val="12"/>
                <w:szCs w:val="12"/>
                <w:color w:val="auto"/>
              </w:rPr>
              <w:t>891</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Deferred expense</w:t>
            </w:r>
          </w:p>
        </w:tc>
        <w:tc>
          <w:tcPr>
            <w:tcW w:w="1800" w:type="dxa"/>
            <w:vAlign w:val="bottom"/>
          </w:tcPr>
          <w:p>
            <w:pPr>
              <w:spacing w:after="0"/>
              <w:rPr>
                <w:sz w:val="15"/>
                <w:szCs w:val="15"/>
                <w:color w:val="auto"/>
              </w:rPr>
            </w:pP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5,862</w:t>
            </w:r>
          </w:p>
        </w:tc>
        <w:tc>
          <w:tcPr>
            <w:tcW w:w="1040" w:type="dxa"/>
            <w:vAlign w:val="bottom"/>
          </w:tcPr>
          <w:p>
            <w:pPr>
              <w:jc w:val="right"/>
              <w:spacing w:after="0"/>
              <w:rPr>
                <w:sz w:val="20"/>
                <w:szCs w:val="20"/>
                <w:color w:val="auto"/>
              </w:rPr>
            </w:pPr>
            <w:r>
              <w:rPr>
                <w:rFonts w:ascii="Arial" w:cs="Arial" w:eastAsia="Arial" w:hAnsi="Arial"/>
                <w:sz w:val="12"/>
                <w:szCs w:val="12"/>
                <w:color w:val="auto"/>
              </w:rPr>
              <w:t>2,348</w:t>
            </w:r>
          </w:p>
        </w:tc>
      </w:tr>
      <w:tr>
        <w:trPr>
          <w:trHeight w:val="172"/>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color w:val="auto"/>
              </w:rPr>
              <w:t>Cash and cash equivalents</w:t>
            </w:r>
          </w:p>
        </w:tc>
        <w:tc>
          <w:tcPr>
            <w:tcW w:w="1800" w:type="dxa"/>
            <w:vAlign w:val="bottom"/>
            <w:tcBorders>
              <w:bottom w:val="single" w:sz="8" w:color="70AD47"/>
            </w:tcBorders>
          </w:tcPr>
          <w:p>
            <w:pPr>
              <w:jc w:val="center"/>
              <w:spacing w:after="0"/>
              <w:rPr>
                <w:sz w:val="20"/>
                <w:szCs w:val="20"/>
                <w:color w:val="auto"/>
              </w:rPr>
            </w:pPr>
            <w:r>
              <w:rPr>
                <w:rFonts w:ascii="Arial" w:cs="Arial" w:eastAsia="Arial" w:hAnsi="Arial"/>
                <w:sz w:val="12"/>
                <w:szCs w:val="12"/>
                <w:color w:val="auto"/>
                <w:w w:val="89"/>
              </w:rPr>
              <w:t>12</w:t>
            </w: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color w:val="auto"/>
              </w:rPr>
              <w:t>519,149</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color w:val="auto"/>
              </w:rPr>
              <w:t>411,495</w:t>
            </w:r>
          </w:p>
        </w:tc>
      </w:tr>
      <w:tr>
        <w:trPr>
          <w:trHeight w:val="150"/>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Total current assets</w:t>
            </w:r>
          </w:p>
        </w:tc>
        <w:tc>
          <w:tcPr>
            <w:tcW w:w="1800" w:type="dxa"/>
            <w:vAlign w:val="bottom"/>
            <w:tcBorders>
              <w:bottom w:val="single" w:sz="8" w:color="70AD47"/>
            </w:tcBorders>
          </w:tcPr>
          <w:p>
            <w:pPr>
              <w:spacing w:after="0"/>
              <w:rPr>
                <w:sz w:val="13"/>
                <w:szCs w:val="13"/>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€560,151</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€448,961</w:t>
            </w:r>
          </w:p>
        </w:tc>
      </w:tr>
      <w:tr>
        <w:trPr>
          <w:trHeight w:val="165"/>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Total assets</w:t>
            </w:r>
          </w:p>
        </w:tc>
        <w:tc>
          <w:tcPr>
            <w:tcW w:w="1800" w:type="dxa"/>
            <w:vAlign w:val="bottom"/>
            <w:tcBorders>
              <w:bottom w:val="single" w:sz="8" w:color="70AD47"/>
            </w:tcBorders>
          </w:tcPr>
          <w:p>
            <w:pPr>
              <w:spacing w:after="0"/>
              <w:rPr>
                <w:sz w:val="14"/>
                <w:szCs w:val="14"/>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€797,647</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€652,986</w:t>
            </w:r>
          </w:p>
        </w:tc>
      </w:tr>
      <w:tr>
        <w:trPr>
          <w:trHeight w:val="350"/>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Equity and liabilities</w:t>
            </w:r>
          </w:p>
        </w:tc>
        <w:tc>
          <w:tcPr>
            <w:tcW w:w="1800" w:type="dxa"/>
            <w:vAlign w:val="bottom"/>
            <w:tcBorders>
              <w:bottom w:val="single" w:sz="8" w:color="70AD47"/>
            </w:tcBorders>
          </w:tcPr>
          <w:p>
            <w:pPr>
              <w:spacing w:after="0"/>
              <w:rPr>
                <w:sz w:val="24"/>
                <w:szCs w:val="24"/>
                <w:color w:val="auto"/>
              </w:rPr>
            </w:pPr>
          </w:p>
        </w:tc>
        <w:tc>
          <w:tcPr>
            <w:tcW w:w="1880" w:type="dxa"/>
            <w:vAlign w:val="bottom"/>
            <w:tcBorders>
              <w:bottom w:val="single" w:sz="8" w:color="70AD47"/>
            </w:tcBorders>
          </w:tcPr>
          <w:p>
            <w:pPr>
              <w:spacing w:after="0"/>
              <w:rPr>
                <w:sz w:val="24"/>
                <w:szCs w:val="24"/>
                <w:color w:val="auto"/>
              </w:rPr>
            </w:pPr>
          </w:p>
        </w:tc>
        <w:tc>
          <w:tcPr>
            <w:tcW w:w="1040" w:type="dxa"/>
            <w:vAlign w:val="bottom"/>
            <w:tcBorders>
              <w:bottom w:val="single" w:sz="8" w:color="70AD47"/>
            </w:tcBorders>
          </w:tcPr>
          <w:p>
            <w:pPr>
              <w:spacing w:after="0"/>
              <w:rPr>
                <w:sz w:val="24"/>
                <w:szCs w:val="24"/>
                <w:color w:val="auto"/>
              </w:rPr>
            </w:pPr>
          </w:p>
        </w:tc>
      </w:tr>
      <w:tr>
        <w:trPr>
          <w:trHeight w:val="163"/>
        </w:trPr>
        <w:tc>
          <w:tcPr>
            <w:tcW w:w="656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1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Share capital*</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16</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232,304</w:t>
            </w:r>
          </w:p>
        </w:tc>
        <w:tc>
          <w:tcPr>
            <w:tcW w:w="1040" w:type="dxa"/>
            <w:vAlign w:val="bottom"/>
          </w:tcPr>
          <w:p>
            <w:pPr>
              <w:jc w:val="right"/>
              <w:spacing w:after="0"/>
              <w:rPr>
                <w:sz w:val="20"/>
                <w:szCs w:val="20"/>
                <w:color w:val="auto"/>
              </w:rPr>
            </w:pPr>
            <w:r>
              <w:rPr>
                <w:rFonts w:ascii="Arial" w:cs="Arial" w:eastAsia="Arial" w:hAnsi="Arial"/>
                <w:sz w:val="12"/>
                <w:szCs w:val="12"/>
                <w:color w:val="auto"/>
              </w:rPr>
              <w:t>193,296</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Capital reserve*</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16</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686,714</w:t>
            </w:r>
          </w:p>
        </w:tc>
        <w:tc>
          <w:tcPr>
            <w:tcW w:w="1040" w:type="dxa"/>
            <w:vAlign w:val="bottom"/>
          </w:tcPr>
          <w:p>
            <w:pPr>
              <w:jc w:val="right"/>
              <w:spacing w:after="0"/>
              <w:rPr>
                <w:sz w:val="20"/>
                <w:szCs w:val="20"/>
                <w:color w:val="auto"/>
              </w:rPr>
            </w:pPr>
            <w:r>
              <w:rPr>
                <w:rFonts w:ascii="Arial" w:cs="Arial" w:eastAsia="Arial" w:hAnsi="Arial"/>
                <w:sz w:val="12"/>
                <w:szCs w:val="12"/>
                <w:color w:val="auto"/>
              </w:rPr>
              <w:t>344,115</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Treasury shares*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16</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(5,525)</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Accumulated losses</w:t>
            </w:r>
          </w:p>
        </w:tc>
        <w:tc>
          <w:tcPr>
            <w:tcW w:w="1800" w:type="dxa"/>
            <w:vAlign w:val="bottom"/>
          </w:tcPr>
          <w:p>
            <w:pPr>
              <w:spacing w:after="0"/>
              <w:rPr>
                <w:sz w:val="15"/>
                <w:szCs w:val="15"/>
                <w:color w:val="auto"/>
              </w:rPr>
            </w:pP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(424,827)</w:t>
            </w:r>
          </w:p>
        </w:tc>
        <w:tc>
          <w:tcPr>
            <w:tcW w:w="1040" w:type="dxa"/>
            <w:vAlign w:val="bottom"/>
          </w:tcPr>
          <w:p>
            <w:pPr>
              <w:jc w:val="right"/>
              <w:spacing w:after="0"/>
              <w:rPr>
                <w:sz w:val="20"/>
                <w:szCs w:val="20"/>
                <w:color w:val="auto"/>
              </w:rPr>
            </w:pPr>
            <w:r>
              <w:rPr>
                <w:rFonts w:ascii="Arial" w:cs="Arial" w:eastAsia="Arial" w:hAnsi="Arial"/>
                <w:sz w:val="12"/>
                <w:szCs w:val="12"/>
                <w:color w:val="auto"/>
              </w:rPr>
              <w:t>(245,771)</w:t>
            </w:r>
          </w:p>
        </w:tc>
      </w:tr>
      <w:tr>
        <w:trPr>
          <w:trHeight w:val="187"/>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color w:val="auto"/>
              </w:rPr>
              <w:t>Other reserves</w:t>
            </w:r>
          </w:p>
        </w:tc>
        <w:tc>
          <w:tcPr>
            <w:tcW w:w="1800" w:type="dxa"/>
            <w:vAlign w:val="bottom"/>
            <w:tcBorders>
              <w:bottom w:val="single" w:sz="8" w:color="70AD47"/>
            </w:tcBorders>
          </w:tcPr>
          <w:p>
            <w:pPr>
              <w:jc w:val="center"/>
              <w:spacing w:after="0"/>
              <w:rPr>
                <w:sz w:val="20"/>
                <w:szCs w:val="20"/>
                <w:color w:val="auto"/>
              </w:rPr>
            </w:pPr>
            <w:r>
              <w:rPr>
                <w:rFonts w:ascii="Arial" w:cs="Arial" w:eastAsia="Arial" w:hAnsi="Arial"/>
                <w:sz w:val="12"/>
                <w:szCs w:val="12"/>
                <w:color w:val="auto"/>
                <w:w w:val="89"/>
              </w:rPr>
              <w:t>17</w:t>
            </w: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color w:val="auto"/>
              </w:rPr>
              <w:t>4,826</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color w:val="auto"/>
              </w:rPr>
              <w:t>(25,487)</w:t>
            </w:r>
          </w:p>
        </w:tc>
      </w:tr>
      <w:tr>
        <w:trPr>
          <w:trHeight w:val="170"/>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Equity attributable to equity holders of the parent</w:t>
            </w:r>
          </w:p>
        </w:tc>
        <w:tc>
          <w:tcPr>
            <w:tcW w:w="1800" w:type="dxa"/>
            <w:vAlign w:val="bottom"/>
            <w:tcBorders>
              <w:bottom w:val="single" w:sz="8" w:color="70AD47"/>
            </w:tcBorders>
          </w:tcPr>
          <w:p>
            <w:pPr>
              <w:spacing w:after="0"/>
              <w:rPr>
                <w:sz w:val="14"/>
                <w:szCs w:val="14"/>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€493,492</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€266,153</w:t>
            </w:r>
          </w:p>
        </w:tc>
      </w:tr>
      <w:tr>
        <w:trPr>
          <w:trHeight w:val="170"/>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color w:val="auto"/>
              </w:rPr>
              <w:t>Non-controlling interest</w:t>
            </w:r>
          </w:p>
        </w:tc>
        <w:tc>
          <w:tcPr>
            <w:tcW w:w="1800" w:type="dxa"/>
            <w:vAlign w:val="bottom"/>
            <w:tcBorders>
              <w:bottom w:val="single" w:sz="8" w:color="70AD47"/>
            </w:tcBorders>
          </w:tcPr>
          <w:p>
            <w:pPr>
              <w:spacing w:after="0"/>
              <w:rPr>
                <w:sz w:val="14"/>
                <w:szCs w:val="14"/>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color w:val="auto"/>
              </w:rPr>
              <w:t>847</w:t>
            </w:r>
          </w:p>
        </w:tc>
      </w:tr>
      <w:tr>
        <w:trPr>
          <w:trHeight w:val="170"/>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Total equity</w:t>
            </w:r>
          </w:p>
        </w:tc>
        <w:tc>
          <w:tcPr>
            <w:tcW w:w="1800" w:type="dxa"/>
            <w:vAlign w:val="bottom"/>
            <w:tcBorders>
              <w:bottom w:val="single" w:sz="8" w:color="70AD47"/>
            </w:tcBorders>
          </w:tcPr>
          <w:p>
            <w:pPr>
              <w:spacing w:after="0"/>
              <w:rPr>
                <w:sz w:val="14"/>
                <w:szCs w:val="14"/>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€493,492</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€267,000</w:t>
            </w:r>
          </w:p>
        </w:tc>
      </w:tr>
      <w:tr>
        <w:trPr>
          <w:trHeight w:val="163"/>
        </w:trPr>
        <w:tc>
          <w:tcPr>
            <w:tcW w:w="6560" w:type="dxa"/>
            <w:vAlign w:val="bottom"/>
          </w:tcPr>
          <w:p>
            <w:pPr>
              <w:spacing w:after="0"/>
              <w:rPr>
                <w:sz w:val="20"/>
                <w:szCs w:val="20"/>
                <w:color w:val="auto"/>
              </w:rPr>
            </w:pPr>
            <w:r>
              <w:rPr>
                <w:rFonts w:ascii="Arial" w:cs="Arial" w:eastAsia="Arial" w:hAnsi="Arial"/>
                <w:sz w:val="12"/>
                <w:szCs w:val="12"/>
                <w:b w:val="1"/>
                <w:bCs w:val="1"/>
                <w:color w:val="auto"/>
              </w:rPr>
              <w:t>Non-current liabilities</w:t>
            </w:r>
          </w:p>
        </w:tc>
        <w:tc>
          <w:tcPr>
            <w:tcW w:w="1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Financial liabilities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68,904</w:t>
            </w:r>
          </w:p>
        </w:tc>
        <w:tc>
          <w:tcPr>
            <w:tcW w:w="1040" w:type="dxa"/>
            <w:vAlign w:val="bottom"/>
          </w:tcPr>
          <w:p>
            <w:pPr>
              <w:jc w:val="right"/>
              <w:spacing w:after="0"/>
              <w:rPr>
                <w:sz w:val="20"/>
                <w:szCs w:val="20"/>
                <w:color w:val="auto"/>
              </w:rPr>
            </w:pPr>
            <w:r>
              <w:rPr>
                <w:rFonts w:ascii="Arial" w:cs="Arial" w:eastAsia="Arial" w:hAnsi="Arial"/>
                <w:sz w:val="12"/>
                <w:szCs w:val="12"/>
                <w:color w:val="auto"/>
              </w:rPr>
              <w:t>54,218</w:t>
            </w:r>
          </w:p>
        </w:tc>
      </w:tr>
      <w:tr>
        <w:trPr>
          <w:trHeight w:val="187"/>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color w:val="auto"/>
              </w:rPr>
              <w:t>Contract liabilities</w:t>
            </w:r>
          </w:p>
        </w:tc>
        <w:tc>
          <w:tcPr>
            <w:tcW w:w="1800" w:type="dxa"/>
            <w:vAlign w:val="bottom"/>
            <w:tcBorders>
              <w:bottom w:val="single" w:sz="8" w:color="70AD47"/>
            </w:tcBorders>
          </w:tcPr>
          <w:p>
            <w:pPr>
              <w:jc w:val="center"/>
              <w:spacing w:after="0"/>
              <w:rPr>
                <w:sz w:val="20"/>
                <w:szCs w:val="20"/>
                <w:color w:val="auto"/>
              </w:rPr>
            </w:pPr>
            <w:r>
              <w:rPr>
                <w:rFonts w:ascii="Arial" w:cs="Arial" w:eastAsia="Arial" w:hAnsi="Arial"/>
                <w:sz w:val="12"/>
                <w:szCs w:val="12"/>
                <w:color w:val="auto"/>
                <w:w w:val="89"/>
              </w:rPr>
              <w:t>4</w:t>
            </w: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color w:val="auto"/>
              </w:rPr>
              <w:t>97,109</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color w:val="auto"/>
              </w:rPr>
              <w:t>205,647</w:t>
            </w:r>
          </w:p>
        </w:tc>
      </w:tr>
      <w:tr>
        <w:trPr>
          <w:trHeight w:val="170"/>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Total non-current liabilities</w:t>
            </w:r>
          </w:p>
        </w:tc>
        <w:tc>
          <w:tcPr>
            <w:tcW w:w="1800" w:type="dxa"/>
            <w:vAlign w:val="bottom"/>
            <w:tcBorders>
              <w:bottom w:val="single" w:sz="8" w:color="70AD47"/>
            </w:tcBorders>
          </w:tcPr>
          <w:p>
            <w:pPr>
              <w:spacing w:after="0"/>
              <w:rPr>
                <w:sz w:val="14"/>
                <w:szCs w:val="14"/>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€166,013</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€259,865</w:t>
            </w:r>
          </w:p>
        </w:tc>
      </w:tr>
      <w:tr>
        <w:trPr>
          <w:trHeight w:val="163"/>
        </w:trPr>
        <w:tc>
          <w:tcPr>
            <w:tcW w:w="656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1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Tax provisions</w:t>
            </w:r>
          </w:p>
        </w:tc>
        <w:tc>
          <w:tcPr>
            <w:tcW w:w="1800" w:type="dxa"/>
            <w:vAlign w:val="bottom"/>
          </w:tcPr>
          <w:p>
            <w:pPr>
              <w:spacing w:after="0"/>
              <w:rPr>
                <w:sz w:val="15"/>
                <w:szCs w:val="15"/>
                <w:color w:val="auto"/>
              </w:rPr>
            </w:pP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150</w:t>
            </w:r>
          </w:p>
        </w:tc>
        <w:tc>
          <w:tcPr>
            <w:tcW w:w="1040" w:type="dxa"/>
            <w:vAlign w:val="bottom"/>
          </w:tcPr>
          <w:p>
            <w:pPr>
              <w:jc w:val="right"/>
              <w:spacing w:after="0"/>
              <w:rPr>
                <w:sz w:val="20"/>
                <w:szCs w:val="20"/>
                <w:color w:val="auto"/>
              </w:rPr>
            </w:pPr>
            <w:r>
              <w:rPr>
                <w:rFonts w:ascii="Arial" w:cs="Arial" w:eastAsia="Arial" w:hAnsi="Arial"/>
                <w:sz w:val="12"/>
                <w:szCs w:val="12"/>
                <w:color w:val="auto"/>
              </w:rPr>
              <w:t>297</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Provisions</w:t>
            </w:r>
          </w:p>
        </w:tc>
        <w:tc>
          <w:tcPr>
            <w:tcW w:w="1800" w:type="dxa"/>
            <w:vAlign w:val="bottom"/>
          </w:tcPr>
          <w:p>
            <w:pPr>
              <w:spacing w:after="0"/>
              <w:rPr>
                <w:sz w:val="15"/>
                <w:szCs w:val="15"/>
                <w:color w:val="auto"/>
              </w:rPr>
            </w:pP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762</w:t>
            </w:r>
          </w:p>
        </w:tc>
        <w:tc>
          <w:tcPr>
            <w:tcW w:w="1040" w:type="dxa"/>
            <w:vAlign w:val="bottom"/>
          </w:tcPr>
          <w:p>
            <w:pPr>
              <w:jc w:val="right"/>
              <w:spacing w:after="0"/>
              <w:rPr>
                <w:sz w:val="20"/>
                <w:szCs w:val="20"/>
                <w:color w:val="auto"/>
              </w:rPr>
            </w:pPr>
            <w:r>
              <w:rPr>
                <w:rFonts w:ascii="Arial" w:cs="Arial" w:eastAsia="Arial" w:hAnsi="Arial"/>
                <w:sz w:val="12"/>
                <w:szCs w:val="12"/>
                <w:color w:val="auto"/>
              </w:rPr>
              <w:t>710</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Financial liabilities</w:t>
            </w:r>
          </w:p>
        </w:tc>
        <w:tc>
          <w:tcPr>
            <w:tcW w:w="1800" w:type="dxa"/>
            <w:vAlign w:val="bottom"/>
          </w:tcPr>
          <w:p>
            <w:pPr>
              <w:spacing w:after="0"/>
              <w:rPr>
                <w:sz w:val="15"/>
                <w:szCs w:val="15"/>
                <w:color w:val="auto"/>
              </w:rPr>
            </w:pP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1,823</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Trade payables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20,498</w:t>
            </w:r>
          </w:p>
        </w:tc>
        <w:tc>
          <w:tcPr>
            <w:tcW w:w="1040" w:type="dxa"/>
            <w:vAlign w:val="bottom"/>
          </w:tcPr>
          <w:p>
            <w:pPr>
              <w:jc w:val="right"/>
              <w:spacing w:after="0"/>
              <w:rPr>
                <w:sz w:val="20"/>
                <w:szCs w:val="20"/>
                <w:color w:val="auto"/>
              </w:rPr>
            </w:pPr>
            <w:r>
              <w:rPr>
                <w:rFonts w:ascii="Arial" w:cs="Arial" w:eastAsia="Arial" w:hAnsi="Arial"/>
                <w:sz w:val="12"/>
                <w:szCs w:val="12"/>
                <w:color w:val="auto"/>
              </w:rPr>
              <w:t>41,721</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Contract liabilities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93,583</w:t>
            </w:r>
          </w:p>
        </w:tc>
        <w:tc>
          <w:tcPr>
            <w:tcW w:w="1040" w:type="dxa"/>
            <w:vAlign w:val="bottom"/>
          </w:tcPr>
          <w:p>
            <w:pPr>
              <w:jc w:val="right"/>
              <w:spacing w:after="0"/>
              <w:rPr>
                <w:sz w:val="20"/>
                <w:szCs w:val="20"/>
                <w:color w:val="auto"/>
              </w:rPr>
            </w:pPr>
            <w:r>
              <w:rPr>
                <w:rFonts w:ascii="Arial" w:cs="Arial" w:eastAsia="Arial" w:hAnsi="Arial"/>
                <w:sz w:val="12"/>
                <w:szCs w:val="12"/>
                <w:color w:val="auto"/>
              </w:rPr>
              <w:t>66,027</w:t>
            </w:r>
          </w:p>
        </w:tc>
      </w:tr>
      <w:tr>
        <w:trPr>
          <w:trHeight w:val="180"/>
        </w:trPr>
        <w:tc>
          <w:tcPr>
            <w:tcW w:w="6560" w:type="dxa"/>
            <w:vAlign w:val="bottom"/>
          </w:tcPr>
          <w:p>
            <w:pPr>
              <w:spacing w:after="0"/>
              <w:rPr>
                <w:sz w:val="20"/>
                <w:szCs w:val="20"/>
                <w:color w:val="auto"/>
              </w:rPr>
            </w:pPr>
            <w:r>
              <w:rPr>
                <w:rFonts w:ascii="Arial" w:cs="Arial" w:eastAsia="Arial" w:hAnsi="Arial"/>
                <w:sz w:val="12"/>
                <w:szCs w:val="12"/>
                <w:color w:val="auto"/>
              </w:rPr>
              <w:t>Other financial liabilities</w:t>
            </w:r>
          </w:p>
        </w:tc>
        <w:tc>
          <w:tcPr>
            <w:tcW w:w="180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1880" w:type="dxa"/>
            <w:vAlign w:val="bottom"/>
          </w:tcPr>
          <w:p>
            <w:pPr>
              <w:jc w:val="right"/>
              <w:ind w:right="520"/>
              <w:spacing w:after="0"/>
              <w:rPr>
                <w:sz w:val="20"/>
                <w:szCs w:val="20"/>
                <w:color w:val="auto"/>
              </w:rPr>
            </w:pPr>
            <w:r>
              <w:rPr>
                <w:rFonts w:ascii="Arial" w:cs="Arial" w:eastAsia="Arial" w:hAnsi="Arial"/>
                <w:sz w:val="12"/>
                <w:szCs w:val="12"/>
                <w:color w:val="auto"/>
              </w:rPr>
              <w:t>13,836</w:t>
            </w:r>
          </w:p>
        </w:tc>
        <w:tc>
          <w:tcPr>
            <w:tcW w:w="1040" w:type="dxa"/>
            <w:vAlign w:val="bottom"/>
          </w:tcPr>
          <w:p>
            <w:pPr>
              <w:jc w:val="right"/>
              <w:spacing w:after="0"/>
              <w:rPr>
                <w:sz w:val="20"/>
                <w:szCs w:val="20"/>
                <w:color w:val="auto"/>
              </w:rPr>
            </w:pPr>
            <w:r>
              <w:rPr>
                <w:rFonts w:ascii="Arial" w:cs="Arial" w:eastAsia="Arial" w:hAnsi="Arial"/>
                <w:sz w:val="12"/>
                <w:szCs w:val="12"/>
                <w:color w:val="auto"/>
              </w:rPr>
              <w:t>8,266</w:t>
            </w:r>
          </w:p>
        </w:tc>
      </w:tr>
      <w:tr>
        <w:trPr>
          <w:trHeight w:val="187"/>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color w:val="auto"/>
              </w:rPr>
              <w:t>Other liabilities</w:t>
            </w:r>
          </w:p>
        </w:tc>
        <w:tc>
          <w:tcPr>
            <w:tcW w:w="1800" w:type="dxa"/>
            <w:vAlign w:val="bottom"/>
            <w:tcBorders>
              <w:bottom w:val="single" w:sz="8" w:color="70AD47"/>
            </w:tcBorders>
          </w:tcPr>
          <w:p>
            <w:pPr>
              <w:jc w:val="center"/>
              <w:spacing w:after="0"/>
              <w:rPr>
                <w:sz w:val="20"/>
                <w:szCs w:val="20"/>
                <w:color w:val="auto"/>
              </w:rPr>
            </w:pPr>
            <w:r>
              <w:rPr>
                <w:rFonts w:ascii="Arial" w:cs="Arial" w:eastAsia="Arial" w:hAnsi="Arial"/>
                <w:sz w:val="12"/>
                <w:szCs w:val="12"/>
                <w:color w:val="auto"/>
                <w:w w:val="89"/>
              </w:rPr>
              <w:t>18</w:t>
            </w: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color w:val="auto"/>
              </w:rPr>
              <w:t>7,490</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color w:val="auto"/>
              </w:rPr>
              <w:t>9,100</w:t>
            </w:r>
          </w:p>
        </w:tc>
      </w:tr>
      <w:tr>
        <w:trPr>
          <w:trHeight w:val="170"/>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Total current liabilities</w:t>
            </w:r>
          </w:p>
        </w:tc>
        <w:tc>
          <w:tcPr>
            <w:tcW w:w="1800" w:type="dxa"/>
            <w:vAlign w:val="bottom"/>
            <w:tcBorders>
              <w:bottom w:val="single" w:sz="8" w:color="70AD47"/>
            </w:tcBorders>
          </w:tcPr>
          <w:p>
            <w:pPr>
              <w:spacing w:after="0"/>
              <w:rPr>
                <w:sz w:val="14"/>
                <w:szCs w:val="14"/>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€138,142</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€126,121</w:t>
            </w:r>
          </w:p>
        </w:tc>
      </w:tr>
      <w:tr>
        <w:trPr>
          <w:trHeight w:val="170"/>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Total liabilities</w:t>
            </w:r>
          </w:p>
        </w:tc>
        <w:tc>
          <w:tcPr>
            <w:tcW w:w="1800" w:type="dxa"/>
            <w:vAlign w:val="bottom"/>
            <w:tcBorders>
              <w:bottom w:val="single" w:sz="8" w:color="70AD47"/>
            </w:tcBorders>
          </w:tcPr>
          <w:p>
            <w:pPr>
              <w:spacing w:after="0"/>
              <w:rPr>
                <w:sz w:val="14"/>
                <w:szCs w:val="14"/>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€304,155</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€385,986</w:t>
            </w:r>
          </w:p>
        </w:tc>
      </w:tr>
      <w:tr>
        <w:trPr>
          <w:trHeight w:val="155"/>
        </w:trPr>
        <w:tc>
          <w:tcPr>
            <w:tcW w:w="6560" w:type="dxa"/>
            <w:vAlign w:val="bottom"/>
            <w:tcBorders>
              <w:bottom w:val="single" w:sz="8" w:color="70AD47"/>
            </w:tcBorders>
          </w:tcPr>
          <w:p>
            <w:pPr>
              <w:spacing w:after="0"/>
              <w:rPr>
                <w:sz w:val="20"/>
                <w:szCs w:val="20"/>
                <w:color w:val="auto"/>
              </w:rPr>
            </w:pPr>
            <w:r>
              <w:rPr>
                <w:rFonts w:ascii="Arial" w:cs="Arial" w:eastAsia="Arial" w:hAnsi="Arial"/>
                <w:sz w:val="12"/>
                <w:szCs w:val="12"/>
                <w:b w:val="1"/>
                <w:bCs w:val="1"/>
                <w:color w:val="auto"/>
              </w:rPr>
              <w:t>Total equity and liabilities</w:t>
            </w:r>
          </w:p>
        </w:tc>
        <w:tc>
          <w:tcPr>
            <w:tcW w:w="1800" w:type="dxa"/>
            <w:vAlign w:val="bottom"/>
            <w:tcBorders>
              <w:bottom w:val="single" w:sz="8" w:color="70AD47"/>
            </w:tcBorders>
          </w:tcPr>
          <w:p>
            <w:pPr>
              <w:spacing w:after="0"/>
              <w:rPr>
                <w:sz w:val="13"/>
                <w:szCs w:val="13"/>
                <w:color w:val="auto"/>
              </w:rPr>
            </w:pPr>
          </w:p>
        </w:tc>
        <w:tc>
          <w:tcPr>
            <w:tcW w:w="1880" w:type="dxa"/>
            <w:vAlign w:val="bottom"/>
            <w:tcBorders>
              <w:bottom w:val="single" w:sz="8" w:color="70AD47"/>
            </w:tcBorders>
          </w:tcPr>
          <w:p>
            <w:pPr>
              <w:jc w:val="right"/>
              <w:ind w:right="520"/>
              <w:spacing w:after="0"/>
              <w:rPr>
                <w:sz w:val="20"/>
                <w:szCs w:val="20"/>
                <w:color w:val="auto"/>
              </w:rPr>
            </w:pPr>
            <w:r>
              <w:rPr>
                <w:rFonts w:ascii="Arial" w:cs="Arial" w:eastAsia="Arial" w:hAnsi="Arial"/>
                <w:sz w:val="12"/>
                <w:szCs w:val="12"/>
                <w:b w:val="1"/>
                <w:bCs w:val="1"/>
                <w:color w:val="auto"/>
              </w:rPr>
              <w:t>€797,647</w:t>
            </w:r>
          </w:p>
        </w:tc>
        <w:tc>
          <w:tcPr>
            <w:tcW w:w="1040" w:type="dxa"/>
            <w:vAlign w:val="bottom"/>
            <w:tcBorders>
              <w:bottom w:val="single" w:sz="8" w:color="70AD47"/>
            </w:tcBorders>
          </w:tcPr>
          <w:p>
            <w:pPr>
              <w:jc w:val="right"/>
              <w:spacing w:after="0"/>
              <w:rPr>
                <w:sz w:val="20"/>
                <w:szCs w:val="20"/>
                <w:color w:val="auto"/>
              </w:rPr>
            </w:pPr>
            <w:r>
              <w:rPr>
                <w:rFonts w:ascii="Arial" w:cs="Arial" w:eastAsia="Arial" w:hAnsi="Arial"/>
                <w:sz w:val="12"/>
                <w:szCs w:val="12"/>
                <w:b w:val="1"/>
                <w:bCs w:val="1"/>
                <w:color w:val="auto"/>
              </w:rPr>
              <w:t>€652,986</w:t>
            </w:r>
          </w:p>
        </w:tc>
      </w:tr>
      <w:tr>
        <w:trPr>
          <w:trHeight w:val="148"/>
        </w:trPr>
        <w:tc>
          <w:tcPr>
            <w:tcW w:w="6560" w:type="dxa"/>
            <w:vAlign w:val="bottom"/>
          </w:tcPr>
          <w:p>
            <w:pPr>
              <w:spacing w:after="0"/>
              <w:rPr>
                <w:sz w:val="20"/>
                <w:szCs w:val="20"/>
                <w:color w:val="auto"/>
              </w:rPr>
            </w:pPr>
            <w:r>
              <w:rPr>
                <w:rFonts w:ascii="Arial" w:cs="Arial" w:eastAsia="Arial" w:hAnsi="Arial"/>
                <w:sz w:val="12"/>
                <w:szCs w:val="12"/>
                <w:color w:val="auto"/>
              </w:rPr>
              <w:t>* Numbers have been adjusted to reflect capital increase due to 1:18 share split which occurred on September 18, 2019.</w:t>
            </w:r>
          </w:p>
        </w:tc>
        <w:tc>
          <w:tcPr>
            <w:tcW w:w="1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235"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173"/>
        </w:trPr>
        <w:tc>
          <w:tcPr>
            <w:tcW w:w="7120" w:type="dxa"/>
            <w:vAlign w:val="bottom"/>
            <w:gridSpan w:val="3"/>
          </w:tcPr>
          <w:p>
            <w:pPr>
              <w:ind w:left="4540"/>
              <w:spacing w:after="0"/>
              <w:rPr>
                <w:sz w:val="20"/>
                <w:szCs w:val="20"/>
                <w:color w:val="auto"/>
              </w:rPr>
            </w:pPr>
            <w:r>
              <w:rPr>
                <w:rFonts w:ascii="Arial" w:cs="Arial" w:eastAsia="Arial" w:hAnsi="Arial"/>
                <w:sz w:val="13"/>
                <w:szCs w:val="13"/>
                <w:b w:val="1"/>
                <w:bCs w:val="1"/>
                <w:color w:val="auto"/>
              </w:rPr>
              <w:t>Consolidated Statements of Operations</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17"/>
        </w:trPr>
        <w:tc>
          <w:tcPr>
            <w:tcW w:w="5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r>
      <w:tr>
        <w:trPr>
          <w:trHeight w:val="173"/>
        </w:trPr>
        <w:tc>
          <w:tcPr>
            <w:tcW w:w="5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jc w:val="right"/>
              <w:ind w:right="35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90"/>
        </w:trPr>
        <w:tc>
          <w:tcPr>
            <w:tcW w:w="5380" w:type="dxa"/>
            <w:vAlign w:val="bottom"/>
          </w:tcPr>
          <w:p>
            <w:pPr>
              <w:spacing w:after="0"/>
              <w:rPr>
                <w:sz w:val="16"/>
                <w:szCs w:val="16"/>
                <w:color w:val="auto"/>
              </w:rPr>
            </w:pPr>
          </w:p>
        </w:tc>
        <w:tc>
          <w:tcPr>
            <w:tcW w:w="1120" w:type="dxa"/>
            <w:vAlign w:val="bottom"/>
            <w:tcBorders>
              <w:right w:val="single" w:sz="8" w:color="70AD47"/>
            </w:tcBorders>
          </w:tcPr>
          <w:p>
            <w:pPr>
              <w:spacing w:after="0"/>
              <w:rPr>
                <w:sz w:val="16"/>
                <w:szCs w:val="16"/>
                <w:color w:val="auto"/>
              </w:rPr>
            </w:pPr>
          </w:p>
        </w:tc>
        <w:tc>
          <w:tcPr>
            <w:tcW w:w="620" w:type="dxa"/>
            <w:vAlign w:val="bottom"/>
            <w:shd w:val="clear" w:color="auto" w:fill="C6E0B4"/>
          </w:tcPr>
          <w:p>
            <w:pPr>
              <w:spacing w:after="0"/>
              <w:rPr>
                <w:sz w:val="16"/>
                <w:szCs w:val="16"/>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22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rPr>
              <w:t>(in thousands, except per share data)</w:t>
            </w:r>
          </w:p>
        </w:tc>
        <w:tc>
          <w:tcPr>
            <w:tcW w:w="1120" w:type="dxa"/>
            <w:vAlign w:val="bottom"/>
            <w:tcBorders>
              <w:bottom w:val="single" w:sz="8" w:color="70AD47"/>
              <w:right w:val="single" w:sz="8" w:color="70AD47"/>
            </w:tcBorders>
          </w:tcPr>
          <w:p>
            <w:pPr>
              <w:ind w:left="340"/>
              <w:spacing w:after="0"/>
              <w:rPr>
                <w:sz w:val="20"/>
                <w:szCs w:val="20"/>
                <w:color w:val="auto"/>
              </w:rPr>
            </w:pPr>
            <w:r>
              <w:rPr>
                <w:rFonts w:ascii="Arial" w:cs="Arial" w:eastAsia="Arial" w:hAnsi="Arial"/>
                <w:sz w:val="13"/>
                <w:szCs w:val="13"/>
                <w:b w:val="1"/>
                <w:bCs w:val="1"/>
                <w:color w:val="auto"/>
              </w:rPr>
              <w:t>Note</w:t>
            </w:r>
          </w:p>
        </w:tc>
        <w:tc>
          <w:tcPr>
            <w:tcW w:w="620" w:type="dxa"/>
            <w:vAlign w:val="bottom"/>
            <w:tcBorders>
              <w:bottom w:val="single" w:sz="8" w:color="70AD47"/>
            </w:tcBorders>
            <w:shd w:val="clear" w:color="auto" w:fill="C5E0B3"/>
          </w:tcPr>
          <w:p>
            <w:pPr>
              <w:spacing w:after="0"/>
              <w:rPr>
                <w:sz w:val="19"/>
                <w:szCs w:val="19"/>
                <w:color w:val="auto"/>
              </w:rPr>
            </w:pPr>
          </w:p>
        </w:tc>
        <w:tc>
          <w:tcPr>
            <w:tcW w:w="980" w:type="dxa"/>
            <w:vAlign w:val="bottom"/>
            <w:tcBorders>
              <w:bottom w:val="single" w:sz="8" w:color="70AD47"/>
              <w:right w:val="single" w:sz="8" w:color="70AD47"/>
            </w:tcBorders>
            <w:shd w:val="clear" w:color="auto" w:fill="C5E0B3"/>
          </w:tcPr>
          <w:p>
            <w:pPr>
              <w:spacing w:after="0"/>
              <w:rPr>
                <w:sz w:val="19"/>
                <w:szCs w:val="19"/>
                <w:color w:val="auto"/>
              </w:rPr>
            </w:pPr>
          </w:p>
        </w:tc>
        <w:tc>
          <w:tcPr>
            <w:tcW w:w="1600" w:type="dxa"/>
            <w:vAlign w:val="bottom"/>
            <w:tcBorders>
              <w:bottom w:val="single" w:sz="8" w:color="70AD47"/>
              <w:right w:val="single" w:sz="8" w:color="70AD47"/>
            </w:tcBorders>
          </w:tcPr>
          <w:p>
            <w:pPr>
              <w:spacing w:after="0"/>
              <w:rPr>
                <w:sz w:val="19"/>
                <w:szCs w:val="19"/>
                <w:color w:val="auto"/>
              </w:rPr>
            </w:pPr>
          </w:p>
        </w:tc>
        <w:tc>
          <w:tcPr>
            <w:tcW w:w="1580" w:type="dxa"/>
            <w:vAlign w:val="bottom"/>
            <w:tcBorders>
              <w:bottom w:val="single" w:sz="8" w:color="70AD47"/>
            </w:tcBorders>
          </w:tcPr>
          <w:p>
            <w:pPr>
              <w:spacing w:after="0"/>
              <w:rPr>
                <w:sz w:val="19"/>
                <w:szCs w:val="19"/>
                <w:color w:val="auto"/>
              </w:rPr>
            </w:pPr>
          </w:p>
        </w:tc>
      </w:tr>
      <w:tr>
        <w:trPr>
          <w:trHeight w:val="400"/>
        </w:trPr>
        <w:tc>
          <w:tcPr>
            <w:tcW w:w="5380" w:type="dxa"/>
            <w:vAlign w:val="bottom"/>
          </w:tcPr>
          <w:p>
            <w:pPr>
              <w:spacing w:after="0"/>
              <w:rPr>
                <w:sz w:val="20"/>
                <w:szCs w:val="20"/>
                <w:color w:val="auto"/>
              </w:rPr>
            </w:pPr>
            <w:r>
              <w:rPr>
                <w:rFonts w:ascii="Arial" w:cs="Arial" w:eastAsia="Arial" w:hAnsi="Arial"/>
                <w:sz w:val="13"/>
                <w:szCs w:val="13"/>
                <w:color w:val="auto"/>
              </w:rPr>
              <w:t>Revenues from contracts with customers</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rPr>
              <w:t>4</w:t>
            </w: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€108,589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€127,575</w:t>
            </w:r>
          </w:p>
        </w:tc>
        <w:tc>
          <w:tcPr>
            <w:tcW w:w="1580" w:type="dxa"/>
            <w:vAlign w:val="bottom"/>
          </w:tcPr>
          <w:p>
            <w:pPr>
              <w:jc w:val="right"/>
              <w:spacing w:after="0"/>
              <w:rPr>
                <w:sz w:val="20"/>
                <w:szCs w:val="20"/>
                <w:color w:val="auto"/>
              </w:rPr>
            </w:pPr>
            <w:r>
              <w:rPr>
                <w:rFonts w:ascii="Arial" w:cs="Arial" w:eastAsia="Arial" w:hAnsi="Arial"/>
                <w:sz w:val="13"/>
                <w:szCs w:val="13"/>
                <w:color w:val="auto"/>
              </w:rPr>
              <w:t>€61,598</w:t>
            </w:r>
          </w:p>
        </w:tc>
      </w:tr>
      <w:tr>
        <w:trPr>
          <w:trHeight w:val="22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Cost of sales</w:t>
            </w:r>
          </w:p>
        </w:tc>
        <w:tc>
          <w:tcPr>
            <w:tcW w:w="1120" w:type="dxa"/>
            <w:vAlign w:val="bottom"/>
            <w:tcBorders>
              <w:bottom w:val="single" w:sz="8" w:color="70AD47"/>
              <w:right w:val="single" w:sz="8" w:color="70AD47"/>
            </w:tcBorders>
          </w:tcPr>
          <w:p>
            <w:pPr>
              <w:jc w:val="center"/>
              <w:ind w:right="93"/>
              <w:spacing w:after="0"/>
              <w:rPr>
                <w:sz w:val="20"/>
                <w:szCs w:val="20"/>
                <w:color w:val="auto"/>
              </w:rPr>
            </w:pPr>
            <w:r>
              <w:rPr>
                <w:rFonts w:ascii="Arial" w:cs="Arial" w:eastAsia="Arial" w:hAnsi="Arial"/>
                <w:sz w:val="13"/>
                <w:szCs w:val="13"/>
                <w:color w:val="auto"/>
                <w:w w:val="88"/>
              </w:rPr>
              <w:t>7.1</w:t>
            </w:r>
          </w:p>
        </w:tc>
        <w:tc>
          <w:tcPr>
            <w:tcW w:w="620" w:type="dxa"/>
            <w:vAlign w:val="bottom"/>
            <w:tcBorders>
              <w:bottom w:val="single" w:sz="8" w:color="70AD47"/>
            </w:tcBorders>
            <w:shd w:val="clear" w:color="auto" w:fill="C6E0B4"/>
          </w:tcPr>
          <w:p>
            <w:pPr>
              <w:spacing w:after="0"/>
              <w:rPr>
                <w:sz w:val="19"/>
                <w:szCs w:val="19"/>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(17,361)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(13,690)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(9,318)</w:t>
            </w:r>
          </w:p>
        </w:tc>
      </w:tr>
      <w:tr>
        <w:trPr>
          <w:trHeight w:val="20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Gross profit</w:t>
            </w:r>
          </w:p>
        </w:tc>
        <w:tc>
          <w:tcPr>
            <w:tcW w:w="1120" w:type="dxa"/>
            <w:vAlign w:val="bottom"/>
            <w:tcBorders>
              <w:bottom w:val="single" w:sz="8" w:color="70AD47"/>
              <w:right w:val="single" w:sz="8" w:color="70AD47"/>
            </w:tcBorders>
          </w:tcPr>
          <w:p>
            <w:pPr>
              <w:spacing w:after="0"/>
              <w:rPr>
                <w:sz w:val="17"/>
                <w:szCs w:val="17"/>
                <w:color w:val="auto"/>
              </w:rPr>
            </w:pPr>
          </w:p>
        </w:tc>
        <w:tc>
          <w:tcPr>
            <w:tcW w:w="620" w:type="dxa"/>
            <w:vAlign w:val="bottom"/>
            <w:tcBorders>
              <w:bottom w:val="single" w:sz="8" w:color="70AD47"/>
            </w:tcBorders>
            <w:shd w:val="clear" w:color="auto" w:fill="C6E0B4"/>
          </w:tcPr>
          <w:p>
            <w:pPr>
              <w:spacing w:after="0"/>
              <w:rPr>
                <w:sz w:val="17"/>
                <w:szCs w:val="17"/>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€91,228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€113,885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€52,280</w:t>
            </w:r>
          </w:p>
        </w:tc>
      </w:tr>
      <w:tr>
        <w:trPr>
          <w:trHeight w:val="400"/>
        </w:trPr>
        <w:tc>
          <w:tcPr>
            <w:tcW w:w="538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w w:val="88"/>
              </w:rPr>
              <w:t>7.2</w:t>
            </w: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(226,466)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(143,040)</w:t>
            </w:r>
          </w:p>
        </w:tc>
        <w:tc>
          <w:tcPr>
            <w:tcW w:w="1580" w:type="dxa"/>
            <w:vAlign w:val="bottom"/>
          </w:tcPr>
          <w:p>
            <w:pPr>
              <w:jc w:val="right"/>
              <w:spacing w:after="0"/>
              <w:rPr>
                <w:sz w:val="20"/>
                <w:szCs w:val="20"/>
                <w:color w:val="auto"/>
              </w:rPr>
            </w:pPr>
            <w:r>
              <w:rPr>
                <w:rFonts w:ascii="Arial" w:cs="Arial" w:eastAsia="Arial" w:hAnsi="Arial"/>
                <w:sz w:val="13"/>
                <w:szCs w:val="13"/>
                <w:color w:val="auto"/>
              </w:rPr>
              <w:t>(85,496)</w:t>
            </w: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Sales and marketing expenses</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w w:val="88"/>
              </w:rPr>
              <w:t>7.3</w:t>
            </w:r>
          </w:p>
        </w:tc>
        <w:tc>
          <w:tcPr>
            <w:tcW w:w="620" w:type="dxa"/>
            <w:vAlign w:val="bottom"/>
            <w:shd w:val="clear" w:color="auto" w:fill="C6E0B4"/>
          </w:tcPr>
          <w:p>
            <w:pPr>
              <w:spacing w:after="0"/>
              <w:rPr>
                <w:sz w:val="18"/>
                <w:szCs w:val="18"/>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(2,718)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(3,041)</w:t>
            </w:r>
          </w:p>
        </w:tc>
        <w:tc>
          <w:tcPr>
            <w:tcW w:w="1580" w:type="dxa"/>
            <w:vAlign w:val="bottom"/>
          </w:tcPr>
          <w:p>
            <w:pPr>
              <w:jc w:val="right"/>
              <w:spacing w:after="0"/>
              <w:rPr>
                <w:sz w:val="20"/>
                <w:szCs w:val="20"/>
                <w:color w:val="auto"/>
              </w:rPr>
            </w:pPr>
            <w:r>
              <w:rPr>
                <w:rFonts w:ascii="Arial" w:cs="Arial" w:eastAsia="Arial" w:hAnsi="Arial"/>
                <w:sz w:val="13"/>
                <w:szCs w:val="13"/>
                <w:color w:val="auto"/>
              </w:rPr>
              <w:t>(6,603)</w:t>
            </w: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w w:val="88"/>
              </w:rPr>
              <w:t>7.4</w:t>
            </w:r>
          </w:p>
        </w:tc>
        <w:tc>
          <w:tcPr>
            <w:tcW w:w="620" w:type="dxa"/>
            <w:vAlign w:val="bottom"/>
            <w:shd w:val="clear" w:color="auto" w:fill="C6E0B4"/>
          </w:tcPr>
          <w:p>
            <w:pPr>
              <w:spacing w:after="0"/>
              <w:rPr>
                <w:sz w:val="18"/>
                <w:szCs w:val="18"/>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(45,547)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(26,334)</w:t>
            </w:r>
          </w:p>
        </w:tc>
        <w:tc>
          <w:tcPr>
            <w:tcW w:w="1580" w:type="dxa"/>
            <w:vAlign w:val="bottom"/>
          </w:tcPr>
          <w:p>
            <w:pPr>
              <w:jc w:val="right"/>
              <w:spacing w:after="0"/>
              <w:rPr>
                <w:sz w:val="20"/>
                <w:szCs w:val="20"/>
                <w:color w:val="auto"/>
              </w:rPr>
            </w:pPr>
            <w:r>
              <w:rPr>
                <w:rFonts w:ascii="Arial" w:cs="Arial" w:eastAsia="Arial" w:hAnsi="Arial"/>
                <w:sz w:val="13"/>
                <w:szCs w:val="13"/>
                <w:color w:val="auto"/>
              </w:rPr>
              <w:t>(23,520)</w:t>
            </w: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Other operating income</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w w:val="88"/>
              </w:rPr>
              <w:t>7.5</w:t>
            </w:r>
          </w:p>
        </w:tc>
        <w:tc>
          <w:tcPr>
            <w:tcW w:w="620" w:type="dxa"/>
            <w:vAlign w:val="bottom"/>
            <w:shd w:val="clear" w:color="auto" w:fill="C6E0B4"/>
          </w:tcPr>
          <w:p>
            <w:pPr>
              <w:spacing w:after="0"/>
              <w:rPr>
                <w:sz w:val="18"/>
                <w:szCs w:val="18"/>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2,724</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5,396</w:t>
            </w:r>
          </w:p>
        </w:tc>
        <w:tc>
          <w:tcPr>
            <w:tcW w:w="1580" w:type="dxa"/>
            <w:vAlign w:val="bottom"/>
          </w:tcPr>
          <w:p>
            <w:pPr>
              <w:jc w:val="right"/>
              <w:spacing w:after="0"/>
              <w:rPr>
                <w:sz w:val="20"/>
                <w:szCs w:val="20"/>
                <w:color w:val="auto"/>
              </w:rPr>
            </w:pPr>
            <w:r>
              <w:rPr>
                <w:rFonts w:ascii="Arial" w:cs="Arial" w:eastAsia="Arial" w:hAnsi="Arial"/>
                <w:sz w:val="13"/>
                <w:szCs w:val="13"/>
                <w:color w:val="auto"/>
              </w:rPr>
              <w:t>2,349</w:t>
            </w:r>
          </w:p>
        </w:tc>
      </w:tr>
      <w:tr>
        <w:trPr>
          <w:trHeight w:val="22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 operating expenses</w:t>
            </w:r>
          </w:p>
        </w:tc>
        <w:tc>
          <w:tcPr>
            <w:tcW w:w="1120" w:type="dxa"/>
            <w:vAlign w:val="bottom"/>
            <w:tcBorders>
              <w:bottom w:val="single" w:sz="8" w:color="70AD47"/>
              <w:right w:val="single" w:sz="8" w:color="70AD47"/>
            </w:tcBorders>
          </w:tcPr>
          <w:p>
            <w:pPr>
              <w:spacing w:after="0"/>
              <w:rPr>
                <w:sz w:val="19"/>
                <w:szCs w:val="19"/>
                <w:color w:val="auto"/>
              </w:rPr>
            </w:pPr>
          </w:p>
        </w:tc>
        <w:tc>
          <w:tcPr>
            <w:tcW w:w="620" w:type="dxa"/>
            <w:vAlign w:val="bottom"/>
            <w:tcBorders>
              <w:bottom w:val="single" w:sz="8" w:color="70AD47"/>
            </w:tcBorders>
            <w:shd w:val="clear" w:color="auto" w:fill="C6E0B4"/>
          </w:tcPr>
          <w:p>
            <w:pPr>
              <w:spacing w:after="0"/>
              <w:rPr>
                <w:sz w:val="19"/>
                <w:szCs w:val="19"/>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(739)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(720)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(288)</w:t>
            </w:r>
          </w:p>
        </w:tc>
      </w:tr>
      <w:tr>
        <w:trPr>
          <w:trHeight w:val="20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Operating loss</w:t>
            </w:r>
          </w:p>
        </w:tc>
        <w:tc>
          <w:tcPr>
            <w:tcW w:w="1120" w:type="dxa"/>
            <w:vAlign w:val="bottom"/>
            <w:tcBorders>
              <w:bottom w:val="single" w:sz="8" w:color="70AD47"/>
              <w:right w:val="single" w:sz="8" w:color="70AD47"/>
            </w:tcBorders>
          </w:tcPr>
          <w:p>
            <w:pPr>
              <w:spacing w:after="0"/>
              <w:rPr>
                <w:sz w:val="17"/>
                <w:szCs w:val="17"/>
                <w:color w:val="auto"/>
              </w:rPr>
            </w:pPr>
          </w:p>
        </w:tc>
        <w:tc>
          <w:tcPr>
            <w:tcW w:w="620" w:type="dxa"/>
            <w:vAlign w:val="bottom"/>
            <w:tcBorders>
              <w:bottom w:val="single" w:sz="8" w:color="70AD47"/>
            </w:tcBorders>
            <w:shd w:val="clear" w:color="auto" w:fill="C6E0B4"/>
          </w:tcPr>
          <w:p>
            <w:pPr>
              <w:spacing w:after="0"/>
              <w:rPr>
                <w:sz w:val="17"/>
                <w:szCs w:val="17"/>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€(181,518)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€(53,854)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€(61,277)</w:t>
            </w:r>
          </w:p>
        </w:tc>
      </w:tr>
      <w:tr>
        <w:trPr>
          <w:trHeight w:val="400"/>
        </w:trPr>
        <w:tc>
          <w:tcPr>
            <w:tcW w:w="5380" w:type="dxa"/>
            <w:vAlign w:val="bottom"/>
          </w:tcPr>
          <w:p>
            <w:pPr>
              <w:spacing w:after="0"/>
              <w:rPr>
                <w:sz w:val="20"/>
                <w:szCs w:val="20"/>
                <w:color w:val="auto"/>
              </w:rPr>
            </w:pPr>
            <w:r>
              <w:rPr>
                <w:rFonts w:ascii="Arial" w:cs="Arial" w:eastAsia="Arial" w:hAnsi="Arial"/>
                <w:sz w:val="13"/>
                <w:szCs w:val="13"/>
                <w:color w:val="auto"/>
              </w:rPr>
              <w:t>Finance income</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w w:val="88"/>
              </w:rPr>
              <w:t>7.6</w:t>
            </w: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4,122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8,046</w:t>
            </w:r>
          </w:p>
        </w:tc>
        <w:tc>
          <w:tcPr>
            <w:tcW w:w="1580" w:type="dxa"/>
            <w:vAlign w:val="bottom"/>
          </w:tcPr>
          <w:p>
            <w:pPr>
              <w:jc w:val="right"/>
              <w:spacing w:after="0"/>
              <w:rPr>
                <w:sz w:val="20"/>
                <w:szCs w:val="20"/>
                <w:color w:val="auto"/>
              </w:rPr>
            </w:pPr>
            <w:r>
              <w:rPr>
                <w:rFonts w:ascii="Arial" w:cs="Arial" w:eastAsia="Arial" w:hAnsi="Arial"/>
                <w:sz w:val="13"/>
                <w:szCs w:val="13"/>
                <w:color w:val="auto"/>
              </w:rPr>
              <w:t>2,133</w:t>
            </w: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Finance expenses</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w w:val="88"/>
              </w:rPr>
              <w:t>7.7</w:t>
            </w:r>
          </w:p>
        </w:tc>
        <w:tc>
          <w:tcPr>
            <w:tcW w:w="620" w:type="dxa"/>
            <w:vAlign w:val="bottom"/>
            <w:shd w:val="clear" w:color="auto" w:fill="C6E0B4"/>
          </w:tcPr>
          <w:p>
            <w:pPr>
              <w:spacing w:after="0"/>
              <w:rPr>
                <w:sz w:val="18"/>
                <w:szCs w:val="18"/>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(326)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w:t>
            </w:r>
          </w:p>
        </w:tc>
        <w:tc>
          <w:tcPr>
            <w:tcW w:w="1580" w:type="dxa"/>
            <w:vAlign w:val="bottom"/>
          </w:tcPr>
          <w:p>
            <w:pPr>
              <w:jc w:val="right"/>
              <w:spacing w:after="0"/>
              <w:rPr>
                <w:sz w:val="20"/>
                <w:szCs w:val="20"/>
                <w:color w:val="auto"/>
              </w:rPr>
            </w:pPr>
            <w:r>
              <w:rPr>
                <w:rFonts w:ascii="Arial" w:cs="Arial" w:eastAsia="Arial" w:hAnsi="Arial"/>
                <w:sz w:val="13"/>
                <w:szCs w:val="13"/>
                <w:color w:val="auto"/>
              </w:rPr>
              <w:t>(26,007)</w:t>
            </w: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Interest expense related to lease liability</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w w:val="82"/>
              </w:rPr>
              <w:t>19</w:t>
            </w:r>
          </w:p>
        </w:tc>
        <w:tc>
          <w:tcPr>
            <w:tcW w:w="620" w:type="dxa"/>
            <w:vAlign w:val="bottom"/>
            <w:shd w:val="clear" w:color="auto" w:fill="C6E0B4"/>
          </w:tcPr>
          <w:p>
            <w:pPr>
              <w:spacing w:after="0"/>
              <w:rPr>
                <w:sz w:val="18"/>
                <w:szCs w:val="18"/>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(1,718)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(1,721)</w:t>
            </w:r>
          </w:p>
        </w:tc>
        <w:tc>
          <w:tcPr>
            <w:tcW w:w="1580" w:type="dxa"/>
            <w:vAlign w:val="bottom"/>
          </w:tcPr>
          <w:p>
            <w:pPr>
              <w:jc w:val="right"/>
              <w:spacing w:after="0"/>
              <w:rPr>
                <w:sz w:val="20"/>
                <w:szCs w:val="20"/>
                <w:color w:val="auto"/>
              </w:rPr>
            </w:pPr>
            <w:r>
              <w:rPr>
                <w:rFonts w:ascii="Arial" w:cs="Arial" w:eastAsia="Arial" w:hAnsi="Arial"/>
                <w:sz w:val="13"/>
                <w:szCs w:val="13"/>
                <w:color w:val="auto"/>
              </w:rPr>
              <w:t>(676)</w:t>
            </w:r>
          </w:p>
        </w:tc>
      </w:tr>
      <w:tr>
        <w:trPr>
          <w:trHeight w:val="22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Share of loss of equity method investees</w:t>
            </w:r>
          </w:p>
        </w:tc>
        <w:tc>
          <w:tcPr>
            <w:tcW w:w="1120" w:type="dxa"/>
            <w:vAlign w:val="bottom"/>
            <w:tcBorders>
              <w:bottom w:val="single" w:sz="8" w:color="70AD47"/>
              <w:right w:val="single" w:sz="8" w:color="70AD47"/>
            </w:tcBorders>
          </w:tcPr>
          <w:p>
            <w:pPr>
              <w:spacing w:after="0"/>
              <w:rPr>
                <w:sz w:val="19"/>
                <w:szCs w:val="19"/>
                <w:color w:val="auto"/>
              </w:rPr>
            </w:pPr>
          </w:p>
        </w:tc>
        <w:tc>
          <w:tcPr>
            <w:tcW w:w="620" w:type="dxa"/>
            <w:vAlign w:val="bottom"/>
            <w:tcBorders>
              <w:bottom w:val="single" w:sz="8" w:color="70AD47"/>
            </w:tcBorders>
            <w:shd w:val="clear" w:color="auto" w:fill="C6E0B4"/>
          </w:tcPr>
          <w:p>
            <w:pPr>
              <w:spacing w:after="0"/>
              <w:rPr>
                <w:sz w:val="19"/>
                <w:szCs w:val="19"/>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(84)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(78)</w:t>
            </w:r>
          </w:p>
        </w:tc>
      </w:tr>
      <w:tr>
        <w:trPr>
          <w:trHeight w:val="20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Loss before tax</w:t>
            </w:r>
          </w:p>
        </w:tc>
        <w:tc>
          <w:tcPr>
            <w:tcW w:w="1120" w:type="dxa"/>
            <w:vAlign w:val="bottom"/>
            <w:tcBorders>
              <w:bottom w:val="single" w:sz="8" w:color="70AD47"/>
              <w:right w:val="single" w:sz="8" w:color="70AD47"/>
            </w:tcBorders>
          </w:tcPr>
          <w:p>
            <w:pPr>
              <w:spacing w:after="0"/>
              <w:rPr>
                <w:sz w:val="17"/>
                <w:szCs w:val="17"/>
                <w:color w:val="auto"/>
              </w:rPr>
            </w:pPr>
          </w:p>
        </w:tc>
        <w:tc>
          <w:tcPr>
            <w:tcW w:w="620" w:type="dxa"/>
            <w:vAlign w:val="bottom"/>
            <w:tcBorders>
              <w:bottom w:val="single" w:sz="8" w:color="70AD47"/>
            </w:tcBorders>
            <w:shd w:val="clear" w:color="auto" w:fill="C6E0B4"/>
          </w:tcPr>
          <w:p>
            <w:pPr>
              <w:spacing w:after="0"/>
              <w:rPr>
                <w:sz w:val="17"/>
                <w:szCs w:val="17"/>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€(179,440)</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€(47,662)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€(85,905)</w:t>
            </w:r>
          </w:p>
        </w:tc>
      </w:tr>
      <w:tr>
        <w:trPr>
          <w:trHeight w:val="41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Income taxes</w:t>
            </w:r>
          </w:p>
        </w:tc>
        <w:tc>
          <w:tcPr>
            <w:tcW w:w="1120" w:type="dxa"/>
            <w:vAlign w:val="bottom"/>
            <w:tcBorders>
              <w:bottom w:val="single" w:sz="8" w:color="70AD47"/>
              <w:right w:val="single" w:sz="8" w:color="70AD47"/>
            </w:tcBorders>
          </w:tcPr>
          <w:p>
            <w:pPr>
              <w:jc w:val="center"/>
              <w:ind w:right="93"/>
              <w:spacing w:after="0"/>
              <w:rPr>
                <w:sz w:val="20"/>
                <w:szCs w:val="20"/>
                <w:color w:val="auto"/>
              </w:rPr>
            </w:pPr>
            <w:r>
              <w:rPr>
                <w:rFonts w:ascii="Arial" w:cs="Arial" w:eastAsia="Arial" w:hAnsi="Arial"/>
                <w:sz w:val="13"/>
                <w:szCs w:val="13"/>
                <w:color w:val="auto"/>
              </w:rPr>
              <w:t>8</w:t>
            </w:r>
          </w:p>
        </w:tc>
        <w:tc>
          <w:tcPr>
            <w:tcW w:w="620" w:type="dxa"/>
            <w:vAlign w:val="bottom"/>
            <w:tcBorders>
              <w:bottom w:val="single" w:sz="8" w:color="70AD47"/>
            </w:tcBorders>
            <w:shd w:val="clear" w:color="auto" w:fill="C6E0B4"/>
          </w:tcPr>
          <w:p>
            <w:pPr>
              <w:spacing w:after="0"/>
              <w:rPr>
                <w:sz w:val="24"/>
                <w:szCs w:val="24"/>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268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(600)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(45)</w:t>
            </w:r>
          </w:p>
        </w:tc>
      </w:tr>
      <w:tr>
        <w:trPr>
          <w:trHeight w:val="20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Loss for the period</w:t>
            </w:r>
          </w:p>
        </w:tc>
        <w:tc>
          <w:tcPr>
            <w:tcW w:w="1120" w:type="dxa"/>
            <w:vAlign w:val="bottom"/>
            <w:tcBorders>
              <w:bottom w:val="single" w:sz="8" w:color="70AD47"/>
              <w:right w:val="single" w:sz="8" w:color="70AD47"/>
            </w:tcBorders>
          </w:tcPr>
          <w:p>
            <w:pPr>
              <w:spacing w:after="0"/>
              <w:rPr>
                <w:sz w:val="17"/>
                <w:szCs w:val="17"/>
                <w:color w:val="auto"/>
              </w:rPr>
            </w:pPr>
          </w:p>
        </w:tc>
        <w:tc>
          <w:tcPr>
            <w:tcW w:w="620" w:type="dxa"/>
            <w:vAlign w:val="bottom"/>
            <w:tcBorders>
              <w:bottom w:val="single" w:sz="8" w:color="70AD47"/>
            </w:tcBorders>
            <w:shd w:val="clear" w:color="auto" w:fill="C6E0B4"/>
          </w:tcPr>
          <w:p>
            <w:pPr>
              <w:spacing w:after="0"/>
              <w:rPr>
                <w:sz w:val="17"/>
                <w:szCs w:val="17"/>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€(179,172)</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€(48,262)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€(85,950)</w:t>
            </w:r>
          </w:p>
        </w:tc>
      </w:tr>
      <w:tr>
        <w:trPr>
          <w:trHeight w:val="400"/>
        </w:trPr>
        <w:tc>
          <w:tcPr>
            <w:tcW w:w="5380" w:type="dxa"/>
            <w:vAlign w:val="bottom"/>
          </w:tcPr>
          <w:p>
            <w:pPr>
              <w:spacing w:after="0"/>
              <w:rPr>
                <w:sz w:val="20"/>
                <w:szCs w:val="20"/>
                <w:color w:val="auto"/>
              </w:rPr>
            </w:pPr>
            <w:r>
              <w:rPr>
                <w:rFonts w:ascii="Arial" w:cs="Arial" w:eastAsia="Arial" w:hAnsi="Arial"/>
                <w:sz w:val="13"/>
                <w:szCs w:val="13"/>
                <w:color w:val="auto"/>
              </w:rPr>
              <w:t>Attributable to:</w:t>
            </w:r>
          </w:p>
        </w:tc>
        <w:tc>
          <w:tcPr>
            <w:tcW w:w="1120" w:type="dxa"/>
            <w:vAlign w:val="bottom"/>
            <w:tcBorders>
              <w:right w:val="single" w:sz="8" w:color="70AD47"/>
            </w:tcBorders>
          </w:tcPr>
          <w:p>
            <w:pPr>
              <w:spacing w:after="0"/>
              <w:rPr>
                <w:sz w:val="24"/>
                <w:szCs w:val="24"/>
                <w:color w:val="auto"/>
              </w:rPr>
            </w:pP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80" w:type="dxa"/>
            <w:vAlign w:val="bottom"/>
          </w:tcPr>
          <w:p>
            <w:pPr>
              <w:spacing w:after="0"/>
              <w:rPr>
                <w:sz w:val="24"/>
                <w:szCs w:val="24"/>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3"/>
                <w:szCs w:val="13"/>
                <w:color w:val="auto"/>
              </w:rPr>
              <w:t>Equity holders of the parent</w:t>
            </w:r>
          </w:p>
        </w:tc>
        <w:tc>
          <w:tcPr>
            <w:tcW w:w="1120" w:type="dxa"/>
            <w:vAlign w:val="bottom"/>
            <w:tcBorders>
              <w:right w:val="single" w:sz="8" w:color="70AD47"/>
            </w:tcBorders>
          </w:tcPr>
          <w:p>
            <w:pPr>
              <w:spacing w:after="0"/>
              <w:rPr>
                <w:sz w:val="18"/>
                <w:szCs w:val="18"/>
                <w:color w:val="auto"/>
              </w:rPr>
            </w:pPr>
          </w:p>
        </w:tc>
        <w:tc>
          <w:tcPr>
            <w:tcW w:w="620" w:type="dxa"/>
            <w:vAlign w:val="bottom"/>
            <w:shd w:val="clear" w:color="auto" w:fill="C6E0B4"/>
          </w:tcPr>
          <w:p>
            <w:pPr>
              <w:spacing w:after="0"/>
              <w:rPr>
                <w:sz w:val="18"/>
                <w:szCs w:val="18"/>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(179,056)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(48,019)</w:t>
            </w:r>
          </w:p>
        </w:tc>
        <w:tc>
          <w:tcPr>
            <w:tcW w:w="1580" w:type="dxa"/>
            <w:vAlign w:val="bottom"/>
          </w:tcPr>
          <w:p>
            <w:pPr>
              <w:jc w:val="right"/>
              <w:spacing w:after="0"/>
              <w:rPr>
                <w:sz w:val="20"/>
                <w:szCs w:val="20"/>
                <w:color w:val="auto"/>
              </w:rPr>
            </w:pPr>
            <w:r>
              <w:rPr>
                <w:rFonts w:ascii="Arial" w:cs="Arial" w:eastAsia="Arial" w:hAnsi="Arial"/>
                <w:sz w:val="13"/>
                <w:szCs w:val="13"/>
                <w:color w:val="auto"/>
              </w:rPr>
              <w:t>(85,653)</w:t>
            </w:r>
          </w:p>
        </w:tc>
      </w:tr>
      <w:tr>
        <w:trPr>
          <w:trHeight w:val="220"/>
        </w:trPr>
        <w:tc>
          <w:tcPr>
            <w:tcW w:w="53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Non-controlling interests</w:t>
            </w:r>
          </w:p>
        </w:tc>
        <w:tc>
          <w:tcPr>
            <w:tcW w:w="1120" w:type="dxa"/>
            <w:vAlign w:val="bottom"/>
            <w:tcBorders>
              <w:bottom w:val="single" w:sz="8" w:color="70AD47"/>
              <w:right w:val="single" w:sz="8" w:color="70AD47"/>
            </w:tcBorders>
          </w:tcPr>
          <w:p>
            <w:pPr>
              <w:spacing w:after="0"/>
              <w:rPr>
                <w:sz w:val="19"/>
                <w:szCs w:val="19"/>
                <w:color w:val="auto"/>
              </w:rPr>
            </w:pPr>
          </w:p>
        </w:tc>
        <w:tc>
          <w:tcPr>
            <w:tcW w:w="620" w:type="dxa"/>
            <w:vAlign w:val="bottom"/>
            <w:tcBorders>
              <w:bottom w:val="single" w:sz="8" w:color="70AD47"/>
            </w:tcBorders>
            <w:shd w:val="clear" w:color="auto" w:fill="C6E0B4"/>
          </w:tcPr>
          <w:p>
            <w:pPr>
              <w:spacing w:after="0"/>
              <w:rPr>
                <w:sz w:val="19"/>
                <w:szCs w:val="19"/>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(243)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(297)</w:t>
            </w:r>
          </w:p>
        </w:tc>
      </w:tr>
      <w:tr>
        <w:trPr>
          <w:trHeight w:val="190"/>
        </w:trPr>
        <w:tc>
          <w:tcPr>
            <w:tcW w:w="5380" w:type="dxa"/>
            <w:vAlign w:val="bottom"/>
          </w:tcPr>
          <w:p>
            <w:pPr>
              <w:spacing w:after="0"/>
              <w:rPr>
                <w:sz w:val="16"/>
                <w:szCs w:val="16"/>
                <w:color w:val="auto"/>
              </w:rPr>
            </w:pPr>
          </w:p>
        </w:tc>
        <w:tc>
          <w:tcPr>
            <w:tcW w:w="1120" w:type="dxa"/>
            <w:vAlign w:val="bottom"/>
            <w:tcBorders>
              <w:right w:val="single" w:sz="8" w:color="70AD47"/>
            </w:tcBorders>
          </w:tcPr>
          <w:p>
            <w:pPr>
              <w:spacing w:after="0"/>
              <w:rPr>
                <w:sz w:val="16"/>
                <w:szCs w:val="16"/>
                <w:color w:val="auto"/>
              </w:rPr>
            </w:pPr>
          </w:p>
        </w:tc>
        <w:tc>
          <w:tcPr>
            <w:tcW w:w="620" w:type="dxa"/>
            <w:vAlign w:val="bottom"/>
            <w:shd w:val="clear" w:color="auto" w:fill="C6E0B4"/>
          </w:tcPr>
          <w:p>
            <w:pPr>
              <w:spacing w:after="0"/>
              <w:rPr>
                <w:sz w:val="16"/>
                <w:szCs w:val="16"/>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€(179,172)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€(48,262)</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€(85,950)</w:t>
            </w:r>
          </w:p>
        </w:tc>
      </w:tr>
      <w:tr>
        <w:trPr>
          <w:trHeight w:val="420"/>
        </w:trPr>
        <w:tc>
          <w:tcPr>
            <w:tcW w:w="5380" w:type="dxa"/>
            <w:vAlign w:val="bottom"/>
          </w:tcPr>
          <w:p>
            <w:pPr>
              <w:spacing w:after="0"/>
              <w:rPr>
                <w:sz w:val="20"/>
                <w:szCs w:val="20"/>
                <w:color w:val="auto"/>
              </w:rPr>
            </w:pPr>
            <w:r>
              <w:rPr>
                <w:rFonts w:ascii="Arial" w:cs="Arial" w:eastAsia="Arial" w:hAnsi="Arial"/>
                <w:sz w:val="13"/>
                <w:szCs w:val="13"/>
                <w:b w:val="1"/>
                <w:bCs w:val="1"/>
                <w:color w:val="auto"/>
              </w:rPr>
              <w:t>Earnings per share</w:t>
            </w:r>
          </w:p>
        </w:tc>
        <w:tc>
          <w:tcPr>
            <w:tcW w:w="1120" w:type="dxa"/>
            <w:vAlign w:val="bottom"/>
            <w:tcBorders>
              <w:right w:val="single" w:sz="8" w:color="70AD47"/>
            </w:tcBorders>
          </w:tcPr>
          <w:p>
            <w:pPr>
              <w:spacing w:after="0"/>
              <w:rPr>
                <w:sz w:val="24"/>
                <w:szCs w:val="24"/>
                <w:color w:val="auto"/>
              </w:rPr>
            </w:pP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80" w:type="dxa"/>
            <w:vAlign w:val="bottom"/>
          </w:tcPr>
          <w:p>
            <w:pPr>
              <w:spacing w:after="0"/>
              <w:rPr>
                <w:sz w:val="24"/>
                <w:szCs w:val="24"/>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3"/>
                <w:szCs w:val="13"/>
                <w:i w:val="1"/>
                <w:iCs w:val="1"/>
                <w:color w:val="auto"/>
              </w:rPr>
              <w:t>in EUR</w:t>
            </w:r>
          </w:p>
        </w:tc>
        <w:tc>
          <w:tcPr>
            <w:tcW w:w="1120" w:type="dxa"/>
            <w:vAlign w:val="bottom"/>
            <w:tcBorders>
              <w:right w:val="single" w:sz="8" w:color="70AD47"/>
            </w:tcBorders>
          </w:tcPr>
          <w:p>
            <w:pPr>
              <w:spacing w:after="0"/>
              <w:rPr>
                <w:sz w:val="18"/>
                <w:szCs w:val="18"/>
                <w:color w:val="auto"/>
              </w:rPr>
            </w:pPr>
          </w:p>
        </w:tc>
        <w:tc>
          <w:tcPr>
            <w:tcW w:w="620" w:type="dxa"/>
            <w:vAlign w:val="bottom"/>
            <w:shd w:val="clear" w:color="auto" w:fill="C6E0B4"/>
          </w:tcPr>
          <w:p>
            <w:pPr>
              <w:spacing w:after="0"/>
              <w:rPr>
                <w:sz w:val="18"/>
                <w:szCs w:val="18"/>
                <w:color w:val="auto"/>
              </w:rPr>
            </w:pPr>
          </w:p>
        </w:tc>
        <w:tc>
          <w:tcPr>
            <w:tcW w:w="980" w:type="dxa"/>
            <w:vAlign w:val="bottom"/>
            <w:tcBorders>
              <w:right w:val="single" w:sz="8" w:color="70AD47"/>
            </w:tcBorders>
            <w:shd w:val="clear" w:color="auto" w:fill="C6E0B4"/>
          </w:tcPr>
          <w:p>
            <w:pPr>
              <w:spacing w:after="0"/>
              <w:rPr>
                <w:sz w:val="18"/>
                <w:szCs w:val="18"/>
                <w:color w:val="auto"/>
              </w:rPr>
            </w:pPr>
          </w:p>
        </w:tc>
        <w:tc>
          <w:tcPr>
            <w:tcW w:w="1600" w:type="dxa"/>
            <w:vAlign w:val="bottom"/>
            <w:tcBorders>
              <w:right w:val="single" w:sz="8" w:color="70AD47"/>
            </w:tcBorders>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3"/>
                <w:szCs w:val="13"/>
                <w:color w:val="auto"/>
                <w:w w:val="99"/>
              </w:rPr>
              <w:t>Basic &amp; diluted, loss per share for the year attributable to ordinary equity holders of the parent</w:t>
            </w:r>
          </w:p>
        </w:tc>
        <w:tc>
          <w:tcPr>
            <w:tcW w:w="1120" w:type="dxa"/>
            <w:vAlign w:val="bottom"/>
            <w:tcBorders>
              <w:right w:val="single" w:sz="8" w:color="70AD47"/>
            </w:tcBorders>
          </w:tcPr>
          <w:p>
            <w:pPr>
              <w:jc w:val="center"/>
              <w:ind w:right="93"/>
              <w:spacing w:after="0"/>
              <w:rPr>
                <w:sz w:val="20"/>
                <w:szCs w:val="20"/>
                <w:color w:val="auto"/>
              </w:rPr>
            </w:pPr>
            <w:r>
              <w:rPr>
                <w:rFonts w:ascii="Arial" w:cs="Arial" w:eastAsia="Arial" w:hAnsi="Arial"/>
                <w:sz w:val="13"/>
                <w:szCs w:val="13"/>
                <w:color w:val="auto"/>
              </w:rPr>
              <w:t>9</w:t>
            </w:r>
          </w:p>
        </w:tc>
        <w:tc>
          <w:tcPr>
            <w:tcW w:w="620" w:type="dxa"/>
            <w:vAlign w:val="bottom"/>
            <w:shd w:val="clear" w:color="auto" w:fill="C6E0B4"/>
          </w:tcPr>
          <w:p>
            <w:pPr>
              <w:spacing w:after="0"/>
              <w:rPr>
                <w:sz w:val="19"/>
                <w:szCs w:val="19"/>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€(0.85)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€(0.25)</w:t>
            </w:r>
          </w:p>
        </w:tc>
        <w:tc>
          <w:tcPr>
            <w:tcW w:w="1580" w:type="dxa"/>
            <w:vAlign w:val="bottom"/>
          </w:tcPr>
          <w:p>
            <w:pPr>
              <w:jc w:val="right"/>
              <w:spacing w:after="0"/>
              <w:rPr>
                <w:sz w:val="20"/>
                <w:szCs w:val="20"/>
                <w:color w:val="auto"/>
              </w:rPr>
            </w:pPr>
            <w:r>
              <w:rPr>
                <w:rFonts w:ascii="Arial" w:cs="Arial" w:eastAsia="Arial" w:hAnsi="Arial"/>
                <w:sz w:val="13"/>
                <w:szCs w:val="13"/>
                <w:color w:val="auto"/>
              </w:rPr>
              <w:t>€(0.51)</w:t>
            </w:r>
          </w:p>
        </w:tc>
      </w:tr>
    </w:tbl>
    <w:p>
      <w:pPr>
        <w:spacing w:after="0" w:line="231"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73"/>
        </w:trPr>
        <w:tc>
          <w:tcPr>
            <w:tcW w:w="8100" w:type="dxa"/>
            <w:vAlign w:val="bottom"/>
            <w:gridSpan w:val="3"/>
          </w:tcPr>
          <w:p>
            <w:pPr>
              <w:ind w:left="4260"/>
              <w:spacing w:after="0"/>
              <w:rPr>
                <w:sz w:val="20"/>
                <w:szCs w:val="20"/>
                <w:color w:val="auto"/>
              </w:rPr>
            </w:pPr>
            <w:r>
              <w:rPr>
                <w:rFonts w:ascii="Arial" w:cs="Arial" w:eastAsia="Arial" w:hAnsi="Arial"/>
                <w:sz w:val="13"/>
                <w:szCs w:val="13"/>
                <w:b w:val="1"/>
                <w:bCs w:val="1"/>
                <w:color w:val="auto"/>
              </w:rPr>
              <w:t>Consolidated Statements of Comprehensive Loss</w:t>
            </w: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5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5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060" w:type="dxa"/>
            <w:vAlign w:val="bottom"/>
            <w:tcBorders>
              <w:right w:val="single" w:sz="8" w:color="70AD47"/>
            </w:tcBorders>
          </w:tcPr>
          <w:p>
            <w:pPr>
              <w:spacing w:after="0"/>
              <w:rPr>
                <w:sz w:val="16"/>
                <w:szCs w:val="16"/>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20"/>
        </w:trPr>
        <w:tc>
          <w:tcPr>
            <w:tcW w:w="544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060" w:type="dxa"/>
            <w:vAlign w:val="bottom"/>
            <w:tcBorders>
              <w:bottom w:val="single" w:sz="8" w:color="70AD47"/>
              <w:right w:val="single" w:sz="8" w:color="70AD47"/>
            </w:tcBorders>
          </w:tcPr>
          <w:p>
            <w:pPr>
              <w:ind w:left="280"/>
              <w:spacing w:after="0"/>
              <w:rPr>
                <w:sz w:val="20"/>
                <w:szCs w:val="20"/>
                <w:color w:val="auto"/>
              </w:rPr>
            </w:pPr>
            <w:r>
              <w:rPr>
                <w:rFonts w:ascii="Arial" w:cs="Arial" w:eastAsia="Arial" w:hAnsi="Arial"/>
                <w:sz w:val="13"/>
                <w:szCs w:val="13"/>
                <w:b w:val="1"/>
                <w:bCs w:val="1"/>
                <w:color w:val="auto"/>
              </w:rPr>
              <w:t>Note</w:t>
            </w:r>
          </w:p>
        </w:tc>
        <w:tc>
          <w:tcPr>
            <w:tcW w:w="1600" w:type="dxa"/>
            <w:vAlign w:val="bottom"/>
            <w:tcBorders>
              <w:bottom w:val="single" w:sz="8" w:color="70AD47"/>
              <w:right w:val="single" w:sz="8" w:color="70AD47"/>
            </w:tcBorders>
            <w:shd w:val="clear" w:color="auto" w:fill="C5E0B3"/>
          </w:tcPr>
          <w:p>
            <w:pPr>
              <w:spacing w:after="0"/>
              <w:rPr>
                <w:sz w:val="19"/>
                <w:szCs w:val="19"/>
                <w:color w:val="auto"/>
              </w:rPr>
            </w:pPr>
          </w:p>
        </w:tc>
        <w:tc>
          <w:tcPr>
            <w:tcW w:w="1600" w:type="dxa"/>
            <w:vAlign w:val="bottom"/>
            <w:tcBorders>
              <w:bottom w:val="single" w:sz="8" w:color="70AD47"/>
              <w:right w:val="single" w:sz="8" w:color="70AD47"/>
            </w:tcBorders>
          </w:tcPr>
          <w:p>
            <w:pPr>
              <w:spacing w:after="0"/>
              <w:rPr>
                <w:sz w:val="19"/>
                <w:szCs w:val="19"/>
                <w:color w:val="auto"/>
              </w:rPr>
            </w:pPr>
          </w:p>
        </w:tc>
        <w:tc>
          <w:tcPr>
            <w:tcW w:w="158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44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Loss for the period</w:t>
            </w:r>
          </w:p>
        </w:tc>
        <w:tc>
          <w:tcPr>
            <w:tcW w:w="1060" w:type="dxa"/>
            <w:vAlign w:val="bottom"/>
            <w:tcBorders>
              <w:bottom w:val="single" w:sz="8" w:color="70AD47"/>
              <w:right w:val="single" w:sz="8" w:color="70AD47"/>
            </w:tcBorders>
          </w:tcPr>
          <w:p>
            <w:pPr>
              <w:spacing w:after="0"/>
              <w:rPr>
                <w:sz w:val="17"/>
                <w:szCs w:val="17"/>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€(179,172)</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€(48,262)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€(85,950)</w:t>
            </w:r>
          </w:p>
        </w:tc>
        <w:tc>
          <w:tcPr>
            <w:tcW w:w="0" w:type="dxa"/>
            <w:vAlign w:val="bottom"/>
          </w:tcPr>
          <w:p>
            <w:pPr>
              <w:spacing w:after="0"/>
              <w:rPr>
                <w:sz w:val="1"/>
                <w:szCs w:val="1"/>
                <w:color w:val="auto"/>
              </w:rPr>
            </w:pPr>
          </w:p>
        </w:tc>
      </w:tr>
      <w:tr>
        <w:trPr>
          <w:trHeight w:val="420"/>
        </w:trPr>
        <w:tc>
          <w:tcPr>
            <w:tcW w:w="5440" w:type="dxa"/>
            <w:vAlign w:val="bottom"/>
          </w:tcPr>
          <w:p>
            <w:pPr>
              <w:spacing w:after="0"/>
              <w:rPr>
                <w:sz w:val="20"/>
                <w:szCs w:val="20"/>
                <w:color w:val="auto"/>
              </w:rPr>
            </w:pPr>
            <w:r>
              <w:rPr>
                <w:rFonts w:ascii="Arial" w:cs="Arial" w:eastAsia="Arial" w:hAnsi="Arial"/>
                <w:sz w:val="13"/>
                <w:szCs w:val="13"/>
                <w:b w:val="1"/>
                <w:bCs w:val="1"/>
                <w:color w:val="auto"/>
              </w:rPr>
              <w:t>Other comprehensive income</w:t>
            </w:r>
          </w:p>
        </w:tc>
        <w:tc>
          <w:tcPr>
            <w:tcW w:w="106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40" w:type="dxa"/>
            <w:vAlign w:val="bottom"/>
          </w:tcPr>
          <w:p>
            <w:pPr>
              <w:spacing w:after="0"/>
              <w:rPr>
                <w:sz w:val="20"/>
                <w:szCs w:val="20"/>
                <w:color w:val="auto"/>
              </w:rPr>
            </w:pPr>
            <w:r>
              <w:rPr>
                <w:rFonts w:ascii="Arial" w:cs="Arial" w:eastAsia="Arial" w:hAnsi="Arial"/>
                <w:sz w:val="13"/>
                <w:szCs w:val="13"/>
                <w:i w:val="1"/>
                <w:iCs w:val="1"/>
                <w:color w:val="auto"/>
                <w:w w:val="97"/>
              </w:rPr>
              <w:t>Other comprehensive income that may be reclassified to profit or loss in subsequent periods (net</w:t>
            </w:r>
          </w:p>
        </w:tc>
        <w:tc>
          <w:tcPr>
            <w:tcW w:w="106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spacing w:after="0"/>
              <w:rPr>
                <w:sz w:val="14"/>
                <w:szCs w:val="14"/>
                <w:color w:val="auto"/>
              </w:rPr>
            </w:pPr>
          </w:p>
        </w:tc>
        <w:tc>
          <w:tcPr>
            <w:tcW w:w="1600" w:type="dxa"/>
            <w:vAlign w:val="bottom"/>
            <w:tcBorders>
              <w:right w:val="single" w:sz="8" w:color="70AD47"/>
            </w:tcBorders>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20"/>
                <w:szCs w:val="20"/>
                <w:color w:val="auto"/>
              </w:rPr>
            </w:pPr>
            <w:r>
              <w:rPr>
                <w:rFonts w:ascii="Arial" w:cs="Arial" w:eastAsia="Arial" w:hAnsi="Arial"/>
                <w:sz w:val="13"/>
                <w:szCs w:val="13"/>
                <w:i w:val="1"/>
                <w:iCs w:val="1"/>
                <w:color w:val="auto"/>
              </w:rPr>
              <w:t>of tax)</w:t>
            </w:r>
          </w:p>
        </w:tc>
        <w:tc>
          <w:tcPr>
            <w:tcW w:w="106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spacing w:after="0"/>
              <w:rPr>
                <w:sz w:val="14"/>
                <w:szCs w:val="14"/>
                <w:color w:val="auto"/>
              </w:rPr>
            </w:pPr>
          </w:p>
        </w:tc>
        <w:tc>
          <w:tcPr>
            <w:tcW w:w="1600" w:type="dxa"/>
            <w:vAlign w:val="bottom"/>
            <w:tcBorders>
              <w:right w:val="single" w:sz="8" w:color="70AD47"/>
            </w:tcBorders>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44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Exchange differences on translation of foreign operations</w:t>
            </w:r>
          </w:p>
        </w:tc>
        <w:tc>
          <w:tcPr>
            <w:tcW w:w="1060" w:type="dxa"/>
            <w:vAlign w:val="bottom"/>
            <w:tcBorders>
              <w:bottom w:val="single" w:sz="8" w:color="70AD47"/>
              <w:right w:val="single" w:sz="8" w:color="70AD47"/>
            </w:tcBorders>
          </w:tcPr>
          <w:p>
            <w:pPr>
              <w:spacing w:after="0"/>
              <w:rPr>
                <w:sz w:val="17"/>
                <w:szCs w:val="17"/>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77</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5440" w:type="dxa"/>
            <w:vAlign w:val="bottom"/>
          </w:tcPr>
          <w:p>
            <w:pPr>
              <w:spacing w:after="0"/>
              <w:rPr>
                <w:sz w:val="20"/>
                <w:szCs w:val="20"/>
                <w:color w:val="auto"/>
              </w:rPr>
            </w:pPr>
            <w:r>
              <w:rPr>
                <w:rFonts w:ascii="Arial" w:cs="Arial" w:eastAsia="Arial" w:hAnsi="Arial"/>
                <w:sz w:val="13"/>
                <w:szCs w:val="13"/>
                <w:b w:val="1"/>
                <w:bCs w:val="1"/>
                <w:color w:val="auto"/>
                <w:w w:val="99"/>
              </w:rPr>
              <w:t>Net other comprehensive income that may be reclassified to profit or loss in subsequent</w:t>
            </w:r>
          </w:p>
        </w:tc>
        <w:tc>
          <w:tcPr>
            <w:tcW w:w="106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77</w:t>
            </w:r>
          </w:p>
        </w:tc>
        <w:tc>
          <w:tcPr>
            <w:tcW w:w="160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3"/>
                <w:szCs w:val="13"/>
                <w:b w:val="1"/>
                <w:bCs w:val="1"/>
                <w:color w:val="auto"/>
              </w:rPr>
              <w:t>10</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(23)</w:t>
            </w:r>
          </w:p>
        </w:tc>
        <w:tc>
          <w:tcPr>
            <w:tcW w:w="0" w:type="dxa"/>
            <w:vAlign w:val="bottom"/>
          </w:tcPr>
          <w:p>
            <w:pPr>
              <w:spacing w:after="0"/>
              <w:rPr>
                <w:sz w:val="1"/>
                <w:szCs w:val="1"/>
                <w:color w:val="auto"/>
              </w:rPr>
            </w:pPr>
          </w:p>
        </w:tc>
      </w:tr>
      <w:tr>
        <w:trPr>
          <w:trHeight w:val="93"/>
        </w:trPr>
        <w:tc>
          <w:tcPr>
            <w:tcW w:w="5440" w:type="dxa"/>
            <w:vAlign w:val="bottom"/>
            <w:vMerge w:val="restart"/>
          </w:tcPr>
          <w:p>
            <w:pPr>
              <w:spacing w:after="0"/>
              <w:rPr>
                <w:sz w:val="20"/>
                <w:szCs w:val="20"/>
                <w:color w:val="auto"/>
              </w:rPr>
            </w:pPr>
            <w:r>
              <w:rPr>
                <w:rFonts w:ascii="Arial" w:cs="Arial" w:eastAsia="Arial" w:hAnsi="Arial"/>
                <w:sz w:val="13"/>
                <w:szCs w:val="13"/>
                <w:b w:val="1"/>
                <w:bCs w:val="1"/>
                <w:color w:val="auto"/>
              </w:rPr>
              <w:t>periods</w:t>
            </w:r>
          </w:p>
        </w:tc>
        <w:tc>
          <w:tcPr>
            <w:tcW w:w="1060" w:type="dxa"/>
            <w:vAlign w:val="bottom"/>
            <w:tcBorders>
              <w:right w:val="single" w:sz="8" w:color="70AD47"/>
            </w:tcBorders>
          </w:tcPr>
          <w:p>
            <w:pPr>
              <w:spacing w:after="0"/>
              <w:rPr>
                <w:sz w:val="8"/>
                <w:szCs w:val="8"/>
                <w:color w:val="auto"/>
              </w:rPr>
            </w:pPr>
          </w:p>
        </w:tc>
        <w:tc>
          <w:tcPr>
            <w:tcW w:w="1600" w:type="dxa"/>
            <w:vAlign w:val="bottom"/>
            <w:tcBorders>
              <w:right w:val="single" w:sz="8" w:color="70AD47"/>
            </w:tcBorders>
            <w:vMerge w:val="continue"/>
            <w:shd w:val="clear" w:color="auto" w:fill="C6E0B4"/>
          </w:tcPr>
          <w:p>
            <w:pPr>
              <w:spacing w:after="0"/>
              <w:rPr>
                <w:sz w:val="8"/>
                <w:szCs w:val="8"/>
                <w:color w:val="auto"/>
              </w:rPr>
            </w:pPr>
          </w:p>
        </w:tc>
        <w:tc>
          <w:tcPr>
            <w:tcW w:w="1600" w:type="dxa"/>
            <w:vAlign w:val="bottom"/>
            <w:tcBorders>
              <w:right w:val="single" w:sz="8" w:color="70AD47"/>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440" w:type="dxa"/>
            <w:vAlign w:val="bottom"/>
            <w:tcBorders>
              <w:bottom w:val="single" w:sz="8" w:color="70AD47"/>
            </w:tcBorders>
            <w:vMerge w:val="continue"/>
          </w:tcPr>
          <w:p>
            <w:pPr>
              <w:spacing w:after="0"/>
              <w:rPr>
                <w:sz w:val="6"/>
                <w:szCs w:val="6"/>
                <w:color w:val="auto"/>
              </w:rPr>
            </w:pPr>
          </w:p>
        </w:tc>
        <w:tc>
          <w:tcPr>
            <w:tcW w:w="106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shd w:val="clear" w:color="auto" w:fill="C6E0B4"/>
          </w:tcPr>
          <w:p>
            <w:pPr>
              <w:spacing w:after="0"/>
              <w:rPr>
                <w:sz w:val="6"/>
                <w:szCs w:val="6"/>
                <w:color w:val="auto"/>
              </w:rPr>
            </w:pPr>
          </w:p>
        </w:tc>
        <w:tc>
          <w:tcPr>
            <w:tcW w:w="1600" w:type="dxa"/>
            <w:vAlign w:val="bottom"/>
            <w:tcBorders>
              <w:bottom w:val="single" w:sz="8" w:color="70AD47"/>
              <w:right w:val="single" w:sz="8" w:color="70AD47"/>
            </w:tcBorders>
          </w:tcPr>
          <w:p>
            <w:pPr>
              <w:spacing w:after="0"/>
              <w:rPr>
                <w:sz w:val="6"/>
                <w:szCs w:val="6"/>
                <w:color w:val="auto"/>
              </w:rPr>
            </w:pPr>
          </w:p>
        </w:tc>
        <w:tc>
          <w:tcPr>
            <w:tcW w:w="1580" w:type="dxa"/>
            <w:vAlign w:val="bottom"/>
            <w:tcBorders>
              <w:bottom w:val="single" w:sz="8" w:color="70AD47"/>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440" w:type="dxa"/>
            <w:vAlign w:val="bottom"/>
            <w:tcBorders>
              <w:bottom w:val="single" w:sz="8" w:color="70AD47"/>
            </w:tcBorders>
          </w:tcPr>
          <w:p>
            <w:pPr>
              <w:spacing w:after="0"/>
              <w:rPr>
                <w:sz w:val="17"/>
                <w:szCs w:val="17"/>
                <w:color w:val="auto"/>
              </w:rPr>
            </w:pPr>
          </w:p>
        </w:tc>
        <w:tc>
          <w:tcPr>
            <w:tcW w:w="1060" w:type="dxa"/>
            <w:vAlign w:val="bottom"/>
            <w:tcBorders>
              <w:bottom w:val="single" w:sz="8" w:color="70AD47"/>
              <w:right w:val="single" w:sz="8" w:color="70AD47"/>
            </w:tcBorders>
          </w:tcPr>
          <w:p>
            <w:pPr>
              <w:spacing w:after="0"/>
              <w:rPr>
                <w:sz w:val="17"/>
                <w:szCs w:val="17"/>
                <w:color w:val="auto"/>
              </w:rPr>
            </w:pPr>
          </w:p>
        </w:tc>
        <w:tc>
          <w:tcPr>
            <w:tcW w:w="1600" w:type="dxa"/>
            <w:vAlign w:val="bottom"/>
            <w:tcBorders>
              <w:bottom w:val="single" w:sz="8" w:color="70AD47"/>
              <w:right w:val="single" w:sz="8" w:color="70AD47"/>
            </w:tcBorders>
            <w:shd w:val="clear" w:color="auto" w:fill="C6E0B4"/>
          </w:tcPr>
          <w:p>
            <w:pPr>
              <w:spacing w:after="0"/>
              <w:rPr>
                <w:sz w:val="17"/>
                <w:szCs w:val="17"/>
                <w:color w:val="auto"/>
              </w:rPr>
            </w:pPr>
          </w:p>
        </w:tc>
        <w:tc>
          <w:tcPr>
            <w:tcW w:w="1600" w:type="dxa"/>
            <w:vAlign w:val="bottom"/>
            <w:tcBorders>
              <w:bottom w:val="single" w:sz="8" w:color="70AD47"/>
              <w:right w:val="single" w:sz="8" w:color="70AD47"/>
            </w:tcBorders>
          </w:tcPr>
          <w:p>
            <w:pPr>
              <w:spacing w:after="0"/>
              <w:rPr>
                <w:sz w:val="17"/>
                <w:szCs w:val="17"/>
                <w:color w:val="auto"/>
              </w:rPr>
            </w:pPr>
          </w:p>
        </w:tc>
        <w:tc>
          <w:tcPr>
            <w:tcW w:w="1580" w:type="dxa"/>
            <w:vAlign w:val="bottom"/>
            <w:tcBorders>
              <w:bottom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Other comprehensive income for the period, net of tax</w:t>
            </w:r>
          </w:p>
        </w:tc>
        <w:tc>
          <w:tcPr>
            <w:tcW w:w="1060" w:type="dxa"/>
            <w:vAlign w:val="bottom"/>
            <w:tcBorders>
              <w:bottom w:val="single" w:sz="8" w:color="70AD47"/>
              <w:right w:val="single" w:sz="8" w:color="70AD47"/>
            </w:tcBorders>
          </w:tcPr>
          <w:p>
            <w:pPr>
              <w:spacing w:after="0"/>
              <w:rPr>
                <w:sz w:val="16"/>
                <w:szCs w:val="16"/>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77</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(23)</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70AD47"/>
            </w:tcBorders>
          </w:tcPr>
          <w:p>
            <w:pPr>
              <w:spacing w:after="0"/>
              <w:rPr>
                <w:sz w:val="18"/>
                <w:szCs w:val="18"/>
                <w:color w:val="auto"/>
              </w:rPr>
            </w:pPr>
          </w:p>
        </w:tc>
        <w:tc>
          <w:tcPr>
            <w:tcW w:w="1060" w:type="dxa"/>
            <w:vAlign w:val="bottom"/>
            <w:tcBorders>
              <w:bottom w:val="single" w:sz="8" w:color="70AD47"/>
              <w:right w:val="single" w:sz="8" w:color="70AD47"/>
            </w:tcBorders>
          </w:tcPr>
          <w:p>
            <w:pPr>
              <w:spacing w:after="0"/>
              <w:rPr>
                <w:sz w:val="18"/>
                <w:szCs w:val="18"/>
                <w:color w:val="auto"/>
              </w:rPr>
            </w:pPr>
          </w:p>
        </w:tc>
        <w:tc>
          <w:tcPr>
            <w:tcW w:w="1600" w:type="dxa"/>
            <w:vAlign w:val="bottom"/>
            <w:tcBorders>
              <w:bottom w:val="single" w:sz="8" w:color="70AD47"/>
              <w:right w:val="single" w:sz="8" w:color="70AD47"/>
            </w:tcBorders>
            <w:shd w:val="clear" w:color="auto" w:fill="C6E0B4"/>
          </w:tcPr>
          <w:p>
            <w:pPr>
              <w:spacing w:after="0"/>
              <w:rPr>
                <w:sz w:val="18"/>
                <w:szCs w:val="18"/>
                <w:color w:val="auto"/>
              </w:rPr>
            </w:pPr>
          </w:p>
        </w:tc>
        <w:tc>
          <w:tcPr>
            <w:tcW w:w="1600" w:type="dxa"/>
            <w:vAlign w:val="bottom"/>
            <w:tcBorders>
              <w:bottom w:val="single" w:sz="8" w:color="70AD47"/>
              <w:right w:val="single" w:sz="8" w:color="70AD47"/>
            </w:tcBorders>
          </w:tcPr>
          <w:p>
            <w:pPr>
              <w:spacing w:after="0"/>
              <w:rPr>
                <w:sz w:val="18"/>
                <w:szCs w:val="18"/>
                <w:color w:val="auto"/>
              </w:rPr>
            </w:pPr>
          </w:p>
        </w:tc>
        <w:tc>
          <w:tcPr>
            <w:tcW w:w="1580" w:type="dxa"/>
            <w:vAlign w:val="bottom"/>
            <w:tcBorders>
              <w:bottom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Comprehensive loss for the period, net of tax</w:t>
            </w:r>
          </w:p>
        </w:tc>
        <w:tc>
          <w:tcPr>
            <w:tcW w:w="1060" w:type="dxa"/>
            <w:vAlign w:val="bottom"/>
            <w:tcBorders>
              <w:bottom w:val="single" w:sz="8" w:color="70AD47"/>
              <w:right w:val="single" w:sz="8" w:color="70AD47"/>
            </w:tcBorders>
          </w:tcPr>
          <w:p>
            <w:pPr>
              <w:spacing w:after="0"/>
              <w:rPr>
                <w:sz w:val="16"/>
                <w:szCs w:val="16"/>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€(179,095)</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€(48,252)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€(85,973)</w:t>
            </w:r>
          </w:p>
        </w:tc>
        <w:tc>
          <w:tcPr>
            <w:tcW w:w="0" w:type="dxa"/>
            <w:vAlign w:val="bottom"/>
          </w:tcPr>
          <w:p>
            <w:pPr>
              <w:spacing w:after="0"/>
              <w:rPr>
                <w:sz w:val="1"/>
                <w:szCs w:val="1"/>
                <w:color w:val="auto"/>
              </w:rPr>
            </w:pPr>
          </w:p>
        </w:tc>
      </w:tr>
      <w:tr>
        <w:trPr>
          <w:trHeight w:val="420"/>
        </w:trPr>
        <w:tc>
          <w:tcPr>
            <w:tcW w:w="5440" w:type="dxa"/>
            <w:vAlign w:val="bottom"/>
          </w:tcPr>
          <w:p>
            <w:pPr>
              <w:spacing w:after="0"/>
              <w:rPr>
                <w:sz w:val="20"/>
                <w:szCs w:val="20"/>
                <w:color w:val="auto"/>
              </w:rPr>
            </w:pPr>
            <w:r>
              <w:rPr>
                <w:rFonts w:ascii="Arial" w:cs="Arial" w:eastAsia="Arial" w:hAnsi="Arial"/>
                <w:sz w:val="13"/>
                <w:szCs w:val="13"/>
                <w:color w:val="auto"/>
              </w:rPr>
              <w:t>Attributable to:</w:t>
            </w:r>
          </w:p>
        </w:tc>
        <w:tc>
          <w:tcPr>
            <w:tcW w:w="106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20"/>
                <w:szCs w:val="20"/>
                <w:color w:val="auto"/>
              </w:rPr>
            </w:pPr>
            <w:r>
              <w:rPr>
                <w:rFonts w:ascii="Arial" w:cs="Arial" w:eastAsia="Arial" w:hAnsi="Arial"/>
                <w:sz w:val="13"/>
                <w:szCs w:val="13"/>
                <w:color w:val="auto"/>
              </w:rPr>
              <w:t>Equity holders of the parent</w:t>
            </w:r>
          </w:p>
        </w:tc>
        <w:tc>
          <w:tcPr>
            <w:tcW w:w="1060" w:type="dxa"/>
            <w:vAlign w:val="bottom"/>
            <w:tcBorders>
              <w:right w:val="single" w:sz="8" w:color="70AD47"/>
            </w:tcBorders>
          </w:tcPr>
          <w:p>
            <w:pPr>
              <w:spacing w:after="0"/>
              <w:rPr>
                <w:sz w:val="16"/>
                <w:szCs w:val="16"/>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(178,979)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(48,009)</w:t>
            </w:r>
          </w:p>
        </w:tc>
        <w:tc>
          <w:tcPr>
            <w:tcW w:w="1580" w:type="dxa"/>
            <w:vAlign w:val="bottom"/>
          </w:tcPr>
          <w:p>
            <w:pPr>
              <w:jc w:val="right"/>
              <w:spacing w:after="0"/>
              <w:rPr>
                <w:sz w:val="20"/>
                <w:szCs w:val="20"/>
                <w:color w:val="auto"/>
              </w:rPr>
            </w:pPr>
            <w:r>
              <w:rPr>
                <w:rFonts w:ascii="Arial" w:cs="Arial" w:eastAsia="Arial" w:hAnsi="Arial"/>
                <w:sz w:val="13"/>
                <w:szCs w:val="13"/>
                <w:color w:val="auto"/>
              </w:rPr>
              <w:t>(85,677)</w:t>
            </w:r>
          </w:p>
        </w:tc>
        <w:tc>
          <w:tcPr>
            <w:tcW w:w="0" w:type="dxa"/>
            <w:vAlign w:val="bottom"/>
          </w:tcPr>
          <w:p>
            <w:pPr>
              <w:spacing w:after="0"/>
              <w:rPr>
                <w:sz w:val="1"/>
                <w:szCs w:val="1"/>
                <w:color w:val="auto"/>
              </w:rPr>
            </w:pPr>
          </w:p>
        </w:tc>
      </w:tr>
      <w:tr>
        <w:trPr>
          <w:trHeight w:val="220"/>
        </w:trPr>
        <w:tc>
          <w:tcPr>
            <w:tcW w:w="544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Non- controlling interests</w:t>
            </w:r>
          </w:p>
        </w:tc>
        <w:tc>
          <w:tcPr>
            <w:tcW w:w="1060" w:type="dxa"/>
            <w:vAlign w:val="bottom"/>
            <w:tcBorders>
              <w:bottom w:val="single" w:sz="8" w:color="70AD47"/>
              <w:right w:val="single" w:sz="8" w:color="70AD47"/>
            </w:tcBorders>
          </w:tcPr>
          <w:p>
            <w:pPr>
              <w:spacing w:after="0"/>
              <w:rPr>
                <w:sz w:val="19"/>
                <w:szCs w:val="19"/>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(243)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200"/>
        </w:trPr>
        <w:tc>
          <w:tcPr>
            <w:tcW w:w="544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Comprehensive loss for the period, net of tax</w:t>
            </w:r>
          </w:p>
        </w:tc>
        <w:tc>
          <w:tcPr>
            <w:tcW w:w="1060" w:type="dxa"/>
            <w:vAlign w:val="bottom"/>
            <w:tcBorders>
              <w:bottom w:val="single" w:sz="8" w:color="70AD47"/>
              <w:right w:val="single" w:sz="8" w:color="70AD47"/>
            </w:tcBorders>
          </w:tcPr>
          <w:p>
            <w:pPr>
              <w:spacing w:after="0"/>
              <w:rPr>
                <w:sz w:val="17"/>
                <w:szCs w:val="17"/>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€(179,095)</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€(48,252)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€(85,973)</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3"/>
          <w:szCs w:val="13"/>
          <w:b w:val="1"/>
          <w:bCs w:val="1"/>
          <w:color w:val="auto"/>
        </w:rPr>
        <w:t>Consolidated Statements of Changes in Stockholders’ Equity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80" w:type="dxa"/>
            <w:vAlign w:val="bottom"/>
            <w:gridSpan w:val="4"/>
          </w:tcPr>
          <w:p>
            <w:pPr>
              <w:ind w:left="820"/>
              <w:spacing w:after="0"/>
              <w:rPr>
                <w:sz w:val="20"/>
                <w:szCs w:val="20"/>
                <w:color w:val="auto"/>
              </w:rPr>
            </w:pPr>
            <w:r>
              <w:rPr>
                <w:rFonts w:ascii="Arial" w:cs="Arial" w:eastAsia="Arial" w:hAnsi="Arial"/>
                <w:sz w:val="9"/>
                <w:szCs w:val="9"/>
                <w:b w:val="1"/>
                <w:bCs w:val="1"/>
                <w:color w:val="auto"/>
                <w:w w:val="93"/>
              </w:rPr>
              <w:t>Year ended December 31, 2019</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Borders>
              <w:bottom w:val="single" w:sz="8" w:color="70AD47"/>
            </w:tcBorders>
          </w:tcPr>
          <w:p>
            <w:pPr>
              <w:spacing w:after="0"/>
              <w:rPr>
                <w:sz w:val="9"/>
                <w:szCs w:val="9"/>
                <w:color w:val="auto"/>
              </w:rPr>
            </w:pPr>
          </w:p>
        </w:tc>
        <w:tc>
          <w:tcPr>
            <w:tcW w:w="2920" w:type="dxa"/>
            <w:vAlign w:val="bottom"/>
            <w:tcBorders>
              <w:bottom w:val="single" w:sz="8" w:color="70AD47"/>
            </w:tcBorders>
            <w:gridSpan w:val="4"/>
          </w:tcPr>
          <w:p>
            <w:pPr>
              <w:ind w:left="880"/>
              <w:spacing w:after="0"/>
              <w:rPr>
                <w:sz w:val="20"/>
                <w:szCs w:val="20"/>
                <w:color w:val="auto"/>
              </w:rPr>
            </w:pPr>
            <w:r>
              <w:rPr>
                <w:rFonts w:ascii="Arial" w:cs="Arial" w:eastAsia="Arial" w:hAnsi="Arial"/>
                <w:sz w:val="9"/>
                <w:szCs w:val="9"/>
                <w:b w:val="1"/>
                <w:bCs w:val="1"/>
                <w:color w:val="auto"/>
                <w:w w:val="95"/>
              </w:rPr>
              <w:t>Equity attributable to equity holders of the parent</w:t>
            </w:r>
          </w:p>
        </w:tc>
        <w:tc>
          <w:tcPr>
            <w:tcW w:w="800" w:type="dxa"/>
            <w:vAlign w:val="bottom"/>
            <w:tcBorders>
              <w:bottom w:val="single" w:sz="8" w:color="70AD47"/>
            </w:tcBorders>
          </w:tcPr>
          <w:p>
            <w:pPr>
              <w:spacing w:after="0"/>
              <w:rPr>
                <w:sz w:val="9"/>
                <w:szCs w:val="9"/>
                <w:color w:val="auto"/>
              </w:rPr>
            </w:pPr>
          </w:p>
        </w:tc>
        <w:tc>
          <w:tcPr>
            <w:tcW w:w="220" w:type="dxa"/>
            <w:vAlign w:val="bottom"/>
            <w:tcBorders>
              <w:bottom w:val="single" w:sz="8" w:color="70AD47"/>
            </w:tcBorders>
          </w:tcPr>
          <w:p>
            <w:pPr>
              <w:spacing w:after="0"/>
              <w:rPr>
                <w:sz w:val="9"/>
                <w:szCs w:val="9"/>
                <w:color w:val="auto"/>
              </w:rPr>
            </w:pPr>
          </w:p>
        </w:tc>
        <w:tc>
          <w:tcPr>
            <w:tcW w:w="520" w:type="dxa"/>
            <w:vAlign w:val="bottom"/>
            <w:tcBorders>
              <w:bottom w:val="single" w:sz="8" w:color="70AD47"/>
            </w:tcBorders>
          </w:tcPr>
          <w:p>
            <w:pPr>
              <w:spacing w:after="0"/>
              <w:rPr>
                <w:sz w:val="9"/>
                <w:szCs w:val="9"/>
                <w:color w:val="auto"/>
              </w:rPr>
            </w:pPr>
          </w:p>
        </w:tc>
        <w:tc>
          <w:tcPr>
            <w:tcW w:w="24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920" w:type="dxa"/>
            <w:vAlign w:val="bottom"/>
            <w:tcBorders>
              <w:bottom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200" w:type="dxa"/>
            <w:vAlign w:val="bottom"/>
          </w:tcPr>
          <w:p>
            <w:pPr>
              <w:spacing w:after="0"/>
              <w:rPr>
                <w:sz w:val="7"/>
                <w:szCs w:val="7"/>
                <w:color w:val="auto"/>
              </w:rPr>
            </w:pPr>
          </w:p>
        </w:tc>
        <w:tc>
          <w:tcPr>
            <w:tcW w:w="680" w:type="dxa"/>
            <w:vAlign w:val="bottom"/>
            <w:tcBorders>
              <w:right w:val="single" w:sz="8" w:color="70AD47"/>
            </w:tcBorders>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Arial" w:cs="Arial" w:eastAsia="Arial" w:hAnsi="Arial"/>
                <w:sz w:val="9"/>
                <w:szCs w:val="9"/>
                <w:b w:val="1"/>
                <w:bCs w:val="1"/>
                <w:color w:val="auto"/>
                <w:w w:val="96"/>
              </w:rPr>
              <w:t>Foreign</w:t>
            </w:r>
          </w:p>
        </w:tc>
        <w:tc>
          <w:tcPr>
            <w:tcW w:w="240" w:type="dxa"/>
            <w:vAlign w:val="bottom"/>
            <w:tcBorders>
              <w:right w:val="single" w:sz="8" w:color="70AD47"/>
            </w:tcBorders>
          </w:tcPr>
          <w:p>
            <w:pPr>
              <w:spacing w:after="0"/>
              <w:rPr>
                <w:sz w:val="7"/>
                <w:szCs w:val="7"/>
                <w:color w:val="auto"/>
              </w:rPr>
            </w:pPr>
          </w:p>
        </w:tc>
        <w:tc>
          <w:tcPr>
            <w:tcW w:w="940" w:type="dxa"/>
            <w:vAlign w:val="bottom"/>
            <w:tcBorders>
              <w:right w:val="single" w:sz="8" w:color="70AD47"/>
            </w:tcBorders>
          </w:tcPr>
          <w:p>
            <w:pPr>
              <w:spacing w:after="0"/>
              <w:rPr>
                <w:sz w:val="7"/>
                <w:szCs w:val="7"/>
                <w:color w:val="auto"/>
              </w:rPr>
            </w:pPr>
          </w:p>
        </w:tc>
        <w:tc>
          <w:tcPr>
            <w:tcW w:w="940" w:type="dxa"/>
            <w:vAlign w:val="bottom"/>
            <w:tcBorders>
              <w:right w:val="single" w:sz="8" w:color="70AD47"/>
            </w:tcBorders>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200" w:type="dxa"/>
            <w:vAlign w:val="bottom"/>
            <w:vMerge w:val="restart"/>
          </w:tcPr>
          <w:p>
            <w:pPr>
              <w:spacing w:after="0"/>
              <w:rPr>
                <w:sz w:val="20"/>
                <w:szCs w:val="20"/>
                <w:color w:val="auto"/>
              </w:rPr>
            </w:pPr>
            <w:r>
              <w:rPr>
                <w:rFonts w:ascii="Arial" w:cs="Arial" w:eastAsia="Arial" w:hAnsi="Arial"/>
                <w:sz w:val="9"/>
                <w:szCs w:val="9"/>
                <w:i w:val="1"/>
                <w:iCs w:val="1"/>
                <w:color w:val="auto"/>
              </w:rPr>
              <w:t>(in thousands)</w:t>
            </w:r>
          </w:p>
        </w:tc>
        <w:tc>
          <w:tcPr>
            <w:tcW w:w="68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9"/>
                <w:szCs w:val="9"/>
                <w:b w:val="1"/>
                <w:bCs w:val="1"/>
                <w:color w:val="auto"/>
                <w:w w:val="99"/>
              </w:rPr>
              <w:t>Note</w:t>
            </w:r>
          </w:p>
        </w:tc>
        <w:tc>
          <w:tcPr>
            <w:tcW w:w="900" w:type="dxa"/>
            <w:vAlign w:val="bottom"/>
            <w:vMerge w:val="restart"/>
          </w:tcPr>
          <w:p>
            <w:pPr>
              <w:jc w:val="right"/>
              <w:ind w:right="133"/>
              <w:spacing w:after="0"/>
              <w:rPr>
                <w:sz w:val="20"/>
                <w:szCs w:val="20"/>
                <w:color w:val="auto"/>
              </w:rPr>
            </w:pPr>
            <w:r>
              <w:rPr>
                <w:rFonts w:ascii="Arial" w:cs="Arial" w:eastAsia="Arial" w:hAnsi="Arial"/>
                <w:sz w:val="9"/>
                <w:szCs w:val="9"/>
                <w:b w:val="1"/>
                <w:bCs w:val="1"/>
                <w:color w:val="auto"/>
              </w:rPr>
              <w:t>Share capital*</w:t>
            </w:r>
          </w:p>
        </w:tc>
        <w:tc>
          <w:tcPr>
            <w:tcW w:w="940" w:type="dxa"/>
            <w:vAlign w:val="bottom"/>
            <w:vMerge w:val="restart"/>
          </w:tcPr>
          <w:p>
            <w:pPr>
              <w:jc w:val="right"/>
              <w:ind w:right="93"/>
              <w:spacing w:after="0"/>
              <w:rPr>
                <w:sz w:val="20"/>
                <w:szCs w:val="20"/>
                <w:color w:val="auto"/>
              </w:rPr>
            </w:pPr>
            <w:r>
              <w:rPr>
                <w:rFonts w:ascii="Arial" w:cs="Arial" w:eastAsia="Arial" w:hAnsi="Arial"/>
                <w:sz w:val="9"/>
                <w:szCs w:val="9"/>
                <w:b w:val="1"/>
                <w:bCs w:val="1"/>
                <w:color w:val="auto"/>
              </w:rPr>
              <w:t>Capital reserve*</w:t>
            </w:r>
          </w:p>
        </w:tc>
        <w:tc>
          <w:tcPr>
            <w:tcW w:w="920" w:type="dxa"/>
            <w:vAlign w:val="bottom"/>
            <w:vMerge w:val="restart"/>
          </w:tcPr>
          <w:p>
            <w:pPr>
              <w:jc w:val="right"/>
              <w:ind w:right="73"/>
              <w:spacing w:after="0"/>
              <w:rPr>
                <w:sz w:val="20"/>
                <w:szCs w:val="20"/>
                <w:color w:val="auto"/>
              </w:rPr>
            </w:pPr>
            <w:r>
              <w:rPr>
                <w:rFonts w:ascii="Arial" w:cs="Arial" w:eastAsia="Arial" w:hAnsi="Arial"/>
                <w:sz w:val="9"/>
                <w:szCs w:val="9"/>
                <w:b w:val="1"/>
                <w:bCs w:val="1"/>
                <w:color w:val="auto"/>
              </w:rPr>
              <w:t>Treasury shares*</w:t>
            </w:r>
          </w:p>
        </w:tc>
        <w:tc>
          <w:tcPr>
            <w:tcW w:w="106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Accumulated losses</w:t>
            </w:r>
          </w:p>
        </w:tc>
        <w:tc>
          <w:tcPr>
            <w:tcW w:w="10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Other reserves</w:t>
            </w:r>
          </w:p>
        </w:tc>
        <w:tc>
          <w:tcPr>
            <w:tcW w:w="520" w:type="dxa"/>
            <w:vAlign w:val="bottom"/>
          </w:tcPr>
          <w:p>
            <w:pPr>
              <w:jc w:val="center"/>
              <w:spacing w:after="0" w:line="100" w:lineRule="exact"/>
              <w:rPr>
                <w:sz w:val="20"/>
                <w:szCs w:val="20"/>
                <w:color w:val="auto"/>
              </w:rPr>
            </w:pPr>
            <w:r>
              <w:rPr>
                <w:rFonts w:ascii="Arial" w:cs="Arial" w:eastAsia="Arial" w:hAnsi="Arial"/>
                <w:sz w:val="9"/>
                <w:szCs w:val="9"/>
                <w:b w:val="1"/>
                <w:bCs w:val="1"/>
                <w:color w:val="auto"/>
                <w:w w:val="94"/>
              </w:rPr>
              <w:t>currency</w:t>
            </w:r>
          </w:p>
        </w:tc>
        <w:tc>
          <w:tcPr>
            <w:tcW w:w="240" w:type="dxa"/>
            <w:vAlign w:val="bottom"/>
            <w:tcBorders>
              <w:right w:val="single" w:sz="8" w:color="70AD47"/>
            </w:tcBorders>
          </w:tcPr>
          <w:p>
            <w:pPr>
              <w:spacing w:after="0"/>
              <w:rPr>
                <w:sz w:val="8"/>
                <w:szCs w:val="8"/>
                <w:color w:val="auto"/>
              </w:rPr>
            </w:pPr>
          </w:p>
        </w:tc>
        <w:tc>
          <w:tcPr>
            <w:tcW w:w="940" w:type="dxa"/>
            <w:vAlign w:val="bottom"/>
            <w:tcBorders>
              <w:right w:val="single" w:sz="8" w:color="70AD47"/>
            </w:tcBorders>
            <w:vMerge w:val="restart"/>
          </w:tcPr>
          <w:p>
            <w:pPr>
              <w:jc w:val="right"/>
              <w:ind w:right="333"/>
              <w:spacing w:after="0"/>
              <w:rPr>
                <w:sz w:val="20"/>
                <w:szCs w:val="20"/>
                <w:color w:val="auto"/>
              </w:rPr>
            </w:pPr>
            <w:r>
              <w:rPr>
                <w:rFonts w:ascii="Arial" w:cs="Arial" w:eastAsia="Arial" w:hAnsi="Arial"/>
                <w:sz w:val="9"/>
                <w:szCs w:val="9"/>
                <w:b w:val="1"/>
                <w:bCs w:val="1"/>
                <w:color w:val="auto"/>
              </w:rPr>
              <w:t>Total</w:t>
            </w:r>
          </w:p>
        </w:tc>
        <w:tc>
          <w:tcPr>
            <w:tcW w:w="940" w:type="dxa"/>
            <w:vAlign w:val="bottom"/>
            <w:tcBorders>
              <w:right w:val="single" w:sz="8" w:color="70AD47"/>
            </w:tcBorders>
          </w:tcPr>
          <w:p>
            <w:pPr>
              <w:jc w:val="right"/>
              <w:ind w:right="133"/>
              <w:spacing w:after="0" w:line="100" w:lineRule="exact"/>
              <w:rPr>
                <w:sz w:val="20"/>
                <w:szCs w:val="20"/>
                <w:color w:val="auto"/>
              </w:rPr>
            </w:pPr>
            <w:r>
              <w:rPr>
                <w:rFonts w:ascii="Arial" w:cs="Arial" w:eastAsia="Arial" w:hAnsi="Arial"/>
                <w:sz w:val="9"/>
                <w:szCs w:val="9"/>
                <w:b w:val="1"/>
                <w:bCs w:val="1"/>
                <w:color w:val="auto"/>
              </w:rPr>
              <w:t>Non-controlling</w:t>
            </w:r>
          </w:p>
        </w:tc>
        <w:tc>
          <w:tcPr>
            <w:tcW w:w="920" w:type="dxa"/>
            <w:vAlign w:val="bottom"/>
            <w:vMerge w:val="restart"/>
          </w:tcPr>
          <w:p>
            <w:pPr>
              <w:jc w:val="right"/>
              <w:ind w:right="173"/>
              <w:spacing w:after="0"/>
              <w:rPr>
                <w:sz w:val="20"/>
                <w:szCs w:val="20"/>
                <w:color w:val="auto"/>
              </w:rPr>
            </w:pPr>
            <w:r>
              <w:rPr>
                <w:rFonts w:ascii="Arial" w:cs="Arial" w:eastAsia="Arial" w:hAnsi="Arial"/>
                <w:sz w:val="9"/>
                <w:szCs w:val="9"/>
                <w:b w:val="1"/>
                <w:bCs w:val="1"/>
                <w:color w:val="auto"/>
              </w:rPr>
              <w:t>Total equity</w:t>
            </w:r>
          </w:p>
        </w:tc>
        <w:tc>
          <w:tcPr>
            <w:tcW w:w="0" w:type="dxa"/>
            <w:vAlign w:val="bottom"/>
          </w:tcPr>
          <w:p>
            <w:pPr>
              <w:spacing w:after="0"/>
              <w:rPr>
                <w:sz w:val="1"/>
                <w:szCs w:val="1"/>
                <w:color w:val="auto"/>
              </w:rPr>
            </w:pPr>
          </w:p>
        </w:tc>
      </w:tr>
      <w:tr>
        <w:trPr>
          <w:trHeight w:val="71"/>
        </w:trPr>
        <w:tc>
          <w:tcPr>
            <w:tcW w:w="2200" w:type="dxa"/>
            <w:vAlign w:val="bottom"/>
            <w:vMerge w:val="continue"/>
          </w:tcPr>
          <w:p>
            <w:pPr>
              <w:spacing w:after="0"/>
              <w:rPr>
                <w:sz w:val="6"/>
                <w:szCs w:val="6"/>
                <w:color w:val="auto"/>
              </w:rPr>
            </w:pPr>
          </w:p>
        </w:tc>
        <w:tc>
          <w:tcPr>
            <w:tcW w:w="680" w:type="dxa"/>
            <w:vAlign w:val="bottom"/>
            <w:tcBorders>
              <w:right w:val="single" w:sz="8" w:color="70AD47"/>
            </w:tcBorders>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520" w:type="dxa"/>
            <w:vAlign w:val="bottom"/>
            <w:vMerge w:val="restart"/>
          </w:tcPr>
          <w:p>
            <w:pPr>
              <w:jc w:val="center"/>
              <w:spacing w:after="0" w:line="100" w:lineRule="exact"/>
              <w:rPr>
                <w:sz w:val="20"/>
                <w:szCs w:val="20"/>
                <w:color w:val="auto"/>
              </w:rPr>
            </w:pPr>
            <w:r>
              <w:rPr>
                <w:rFonts w:ascii="Arial" w:cs="Arial" w:eastAsia="Arial" w:hAnsi="Arial"/>
                <w:sz w:val="9"/>
                <w:szCs w:val="9"/>
                <w:b w:val="1"/>
                <w:bCs w:val="1"/>
                <w:color w:val="auto"/>
                <w:w w:val="95"/>
              </w:rPr>
              <w:t>translation</w:t>
            </w:r>
          </w:p>
        </w:tc>
        <w:tc>
          <w:tcPr>
            <w:tcW w:w="240" w:type="dxa"/>
            <w:vAlign w:val="bottom"/>
            <w:tcBorders>
              <w:right w:val="single" w:sz="8" w:color="70AD47"/>
            </w:tcBorders>
          </w:tcPr>
          <w:p>
            <w:pPr>
              <w:spacing w:after="0"/>
              <w:rPr>
                <w:sz w:val="6"/>
                <w:szCs w:val="6"/>
                <w:color w:val="auto"/>
              </w:rPr>
            </w:pPr>
          </w:p>
        </w:tc>
        <w:tc>
          <w:tcPr>
            <w:tcW w:w="940" w:type="dxa"/>
            <w:vAlign w:val="bottom"/>
            <w:tcBorders>
              <w:right w:val="single" w:sz="8" w:color="70AD47"/>
            </w:tcBorders>
            <w:vMerge w:val="continue"/>
          </w:tcPr>
          <w:p>
            <w:pPr>
              <w:spacing w:after="0"/>
              <w:rPr>
                <w:sz w:val="6"/>
                <w:szCs w:val="6"/>
                <w:color w:val="auto"/>
              </w:rPr>
            </w:pPr>
          </w:p>
        </w:tc>
        <w:tc>
          <w:tcPr>
            <w:tcW w:w="940" w:type="dxa"/>
            <w:vAlign w:val="bottom"/>
            <w:tcBorders>
              <w:right w:val="single" w:sz="8" w:color="70AD47"/>
            </w:tcBorders>
            <w:vMerge w:val="restart"/>
          </w:tcPr>
          <w:p>
            <w:pPr>
              <w:jc w:val="right"/>
              <w:ind w:right="293"/>
              <w:spacing w:after="0" w:line="100" w:lineRule="exact"/>
              <w:rPr>
                <w:sz w:val="20"/>
                <w:szCs w:val="20"/>
                <w:color w:val="auto"/>
              </w:rPr>
            </w:pPr>
            <w:r>
              <w:rPr>
                <w:rFonts w:ascii="Arial" w:cs="Arial" w:eastAsia="Arial" w:hAnsi="Arial"/>
                <w:sz w:val="9"/>
                <w:szCs w:val="9"/>
                <w:b w:val="1"/>
                <w:bCs w:val="1"/>
                <w:color w:val="auto"/>
              </w:rPr>
              <w:t>interest</w:t>
            </w: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200" w:type="dxa"/>
            <w:vAlign w:val="bottom"/>
          </w:tcPr>
          <w:p>
            <w:pPr>
              <w:spacing w:after="0"/>
              <w:rPr>
                <w:sz w:val="2"/>
                <w:szCs w:val="2"/>
                <w:color w:val="auto"/>
              </w:rPr>
            </w:pPr>
          </w:p>
        </w:tc>
        <w:tc>
          <w:tcPr>
            <w:tcW w:w="680" w:type="dxa"/>
            <w:vAlign w:val="bottom"/>
            <w:tcBorders>
              <w:right w:val="single" w:sz="8" w:color="70AD47"/>
            </w:tcBorders>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40" w:type="dxa"/>
            <w:vAlign w:val="bottom"/>
            <w:tcBorders>
              <w:right w:val="single" w:sz="8" w:color="70AD47"/>
            </w:tcBorders>
          </w:tcPr>
          <w:p>
            <w:pPr>
              <w:spacing w:after="0"/>
              <w:rPr>
                <w:sz w:val="2"/>
                <w:szCs w:val="2"/>
                <w:color w:val="auto"/>
              </w:rPr>
            </w:pPr>
          </w:p>
        </w:tc>
        <w:tc>
          <w:tcPr>
            <w:tcW w:w="940" w:type="dxa"/>
            <w:vAlign w:val="bottom"/>
            <w:tcBorders>
              <w:right w:val="single" w:sz="8" w:color="70AD47"/>
            </w:tcBorders>
          </w:tcPr>
          <w:p>
            <w:pPr>
              <w:spacing w:after="0"/>
              <w:rPr>
                <w:sz w:val="2"/>
                <w:szCs w:val="2"/>
                <w:color w:val="auto"/>
              </w:rPr>
            </w:pPr>
          </w:p>
        </w:tc>
        <w:tc>
          <w:tcPr>
            <w:tcW w:w="940" w:type="dxa"/>
            <w:vAlign w:val="bottom"/>
            <w:tcBorders>
              <w:right w:val="single" w:sz="8" w:color="70AD47"/>
            </w:tcBorders>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200" w:type="dxa"/>
            <w:vAlign w:val="bottom"/>
            <w:tcBorders>
              <w:bottom w:val="single" w:sz="8" w:color="70AD47"/>
            </w:tcBorders>
          </w:tcPr>
          <w:p>
            <w:pPr>
              <w:spacing w:after="0"/>
              <w:rPr>
                <w:sz w:val="9"/>
                <w:szCs w:val="9"/>
                <w:color w:val="auto"/>
              </w:rPr>
            </w:pPr>
          </w:p>
        </w:tc>
        <w:tc>
          <w:tcPr>
            <w:tcW w:w="680" w:type="dxa"/>
            <w:vAlign w:val="bottom"/>
            <w:tcBorders>
              <w:bottom w:val="single" w:sz="8" w:color="70AD47"/>
              <w:right w:val="single" w:sz="8" w:color="70AD47"/>
            </w:tcBorders>
          </w:tcPr>
          <w:p>
            <w:pPr>
              <w:spacing w:after="0"/>
              <w:rPr>
                <w:sz w:val="9"/>
                <w:szCs w:val="9"/>
                <w:color w:val="auto"/>
              </w:rPr>
            </w:pPr>
          </w:p>
        </w:tc>
        <w:tc>
          <w:tcPr>
            <w:tcW w:w="90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92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120" w:type="dxa"/>
            <w:vAlign w:val="bottom"/>
            <w:tcBorders>
              <w:bottom w:val="single" w:sz="8" w:color="70AD47"/>
            </w:tcBorders>
          </w:tcPr>
          <w:p>
            <w:pPr>
              <w:spacing w:after="0"/>
              <w:rPr>
                <w:sz w:val="9"/>
                <w:szCs w:val="9"/>
                <w:color w:val="auto"/>
              </w:rPr>
            </w:pPr>
          </w:p>
        </w:tc>
        <w:tc>
          <w:tcPr>
            <w:tcW w:w="800" w:type="dxa"/>
            <w:vAlign w:val="bottom"/>
            <w:tcBorders>
              <w:bottom w:val="single" w:sz="8" w:color="70AD47"/>
            </w:tcBorders>
          </w:tcPr>
          <w:p>
            <w:pPr>
              <w:spacing w:after="0"/>
              <w:rPr>
                <w:sz w:val="9"/>
                <w:szCs w:val="9"/>
                <w:color w:val="auto"/>
              </w:rPr>
            </w:pPr>
          </w:p>
        </w:tc>
        <w:tc>
          <w:tcPr>
            <w:tcW w:w="220" w:type="dxa"/>
            <w:vAlign w:val="bottom"/>
            <w:tcBorders>
              <w:bottom w:val="single" w:sz="8" w:color="70AD47"/>
            </w:tcBorders>
          </w:tcPr>
          <w:p>
            <w:pPr>
              <w:spacing w:after="0"/>
              <w:rPr>
                <w:sz w:val="9"/>
                <w:szCs w:val="9"/>
                <w:color w:val="auto"/>
              </w:rPr>
            </w:pPr>
          </w:p>
        </w:tc>
        <w:tc>
          <w:tcPr>
            <w:tcW w:w="520" w:type="dxa"/>
            <w:vAlign w:val="bottom"/>
            <w:tcBorders>
              <w:bottom w:val="single" w:sz="8" w:color="70AD47"/>
            </w:tcBorders>
          </w:tcPr>
          <w:p>
            <w:pPr>
              <w:jc w:val="center"/>
              <w:spacing w:after="0"/>
              <w:rPr>
                <w:sz w:val="20"/>
                <w:szCs w:val="20"/>
                <w:color w:val="auto"/>
              </w:rPr>
            </w:pPr>
            <w:r>
              <w:rPr>
                <w:rFonts w:ascii="Arial" w:cs="Arial" w:eastAsia="Arial" w:hAnsi="Arial"/>
                <w:sz w:val="9"/>
                <w:szCs w:val="9"/>
                <w:b w:val="1"/>
                <w:bCs w:val="1"/>
                <w:color w:val="auto"/>
                <w:w w:val="87"/>
              </w:rPr>
              <w:t>reserve</w:t>
            </w:r>
          </w:p>
        </w:tc>
        <w:tc>
          <w:tcPr>
            <w:tcW w:w="2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920" w:type="dxa"/>
            <w:vAlign w:val="bottom"/>
            <w:tcBorders>
              <w:bottom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200" w:type="dxa"/>
            <w:vAlign w:val="bottom"/>
            <w:vMerge w:val="restart"/>
          </w:tcPr>
          <w:p>
            <w:pPr>
              <w:spacing w:after="0"/>
              <w:rPr>
                <w:sz w:val="20"/>
                <w:szCs w:val="20"/>
                <w:color w:val="auto"/>
              </w:rPr>
            </w:pPr>
            <w:r>
              <w:rPr>
                <w:rFonts w:ascii="Arial" w:cs="Arial" w:eastAsia="Arial" w:hAnsi="Arial"/>
                <w:sz w:val="9"/>
                <w:szCs w:val="9"/>
                <w:b w:val="1"/>
                <w:bCs w:val="1"/>
                <w:color w:val="auto"/>
              </w:rPr>
              <w:t>As of January 1, 2019</w:t>
            </w:r>
          </w:p>
        </w:tc>
        <w:tc>
          <w:tcPr>
            <w:tcW w:w="680" w:type="dxa"/>
            <w:vAlign w:val="bottom"/>
            <w:tcBorders>
              <w:right w:val="single" w:sz="8" w:color="70AD47"/>
            </w:tcBorders>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right w:val="single" w:sz="8" w:color="70AD47"/>
            </w:tcBorders>
          </w:tcPr>
          <w:p>
            <w:pPr>
              <w:spacing w:after="0"/>
              <w:rPr>
                <w:sz w:val="8"/>
                <w:szCs w:val="8"/>
                <w:color w:val="auto"/>
              </w:rPr>
            </w:pPr>
          </w:p>
        </w:tc>
        <w:tc>
          <w:tcPr>
            <w:tcW w:w="940" w:type="dxa"/>
            <w:vAlign w:val="bottom"/>
            <w:tcBorders>
              <w:right w:val="single" w:sz="8" w:color="70AD47"/>
            </w:tcBorders>
          </w:tcPr>
          <w:p>
            <w:pPr>
              <w:spacing w:after="0"/>
              <w:rPr>
                <w:sz w:val="8"/>
                <w:szCs w:val="8"/>
                <w:color w:val="auto"/>
              </w:rPr>
            </w:pPr>
          </w:p>
        </w:tc>
        <w:tc>
          <w:tcPr>
            <w:tcW w:w="940" w:type="dxa"/>
            <w:vAlign w:val="bottom"/>
            <w:tcBorders>
              <w:right w:val="single" w:sz="8" w:color="70AD47"/>
            </w:tcBorders>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200" w:type="dxa"/>
            <w:vAlign w:val="bottom"/>
            <w:tcBorders>
              <w:bottom w:val="single" w:sz="8" w:color="70AD47"/>
            </w:tcBorders>
            <w:vMerge w:val="continue"/>
          </w:tcPr>
          <w:p>
            <w:pPr>
              <w:spacing w:after="0"/>
              <w:rPr>
                <w:sz w:val="9"/>
                <w:szCs w:val="9"/>
                <w:color w:val="auto"/>
              </w:rPr>
            </w:pPr>
          </w:p>
        </w:tc>
        <w:tc>
          <w:tcPr>
            <w:tcW w:w="680" w:type="dxa"/>
            <w:vAlign w:val="bottom"/>
            <w:tcBorders>
              <w:bottom w:val="single" w:sz="8" w:color="70AD47"/>
              <w:right w:val="single" w:sz="8" w:color="70AD47"/>
            </w:tcBorders>
          </w:tcPr>
          <w:p>
            <w:pPr>
              <w:spacing w:after="0"/>
              <w:rPr>
                <w:sz w:val="9"/>
                <w:szCs w:val="9"/>
                <w:color w:val="auto"/>
              </w:rPr>
            </w:pPr>
          </w:p>
        </w:tc>
        <w:tc>
          <w:tcPr>
            <w:tcW w:w="90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€193,296</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344,115</w:t>
            </w:r>
          </w:p>
        </w:tc>
        <w:tc>
          <w:tcPr>
            <w:tcW w:w="9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(245,771)</w:t>
            </w:r>
          </w:p>
        </w:tc>
        <w:tc>
          <w:tcPr>
            <w:tcW w:w="120" w:type="dxa"/>
            <w:vAlign w:val="bottom"/>
            <w:tcBorders>
              <w:bottom w:val="single" w:sz="8" w:color="70AD47"/>
            </w:tcBorders>
            <w:shd w:val="clear" w:color="auto" w:fill="C6E0B4"/>
          </w:tcPr>
          <w:p>
            <w:pPr>
              <w:spacing w:after="0"/>
              <w:rPr>
                <w:sz w:val="9"/>
                <w:szCs w:val="9"/>
                <w:color w:val="auto"/>
              </w:rPr>
            </w:pPr>
          </w:p>
        </w:tc>
        <w:tc>
          <w:tcPr>
            <w:tcW w:w="80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(25,474)</w:t>
            </w:r>
          </w:p>
        </w:tc>
        <w:tc>
          <w:tcPr>
            <w:tcW w:w="220" w:type="dxa"/>
            <w:vAlign w:val="bottom"/>
            <w:tcBorders>
              <w:bottom w:val="single" w:sz="8" w:color="70AD47"/>
            </w:tcBorders>
            <w:shd w:val="clear" w:color="auto" w:fill="C6E0B4"/>
          </w:tcPr>
          <w:p>
            <w:pPr>
              <w:spacing w:after="0"/>
              <w:rPr>
                <w:sz w:val="9"/>
                <w:szCs w:val="9"/>
                <w:color w:val="auto"/>
              </w:rPr>
            </w:pPr>
          </w:p>
        </w:tc>
        <w:tc>
          <w:tcPr>
            <w:tcW w:w="520" w:type="dxa"/>
            <w:vAlign w:val="bottom"/>
            <w:tcBorders>
              <w:bottom w:val="single" w:sz="8" w:color="70AD47"/>
            </w:tcBorders>
            <w:shd w:val="clear" w:color="auto" w:fill="C6E0B4"/>
          </w:tcPr>
          <w:p>
            <w:pPr>
              <w:spacing w:after="0"/>
              <w:rPr>
                <w:sz w:val="9"/>
                <w:szCs w:val="9"/>
                <w:color w:val="auto"/>
              </w:rPr>
            </w:pPr>
          </w:p>
        </w:tc>
        <w:tc>
          <w:tcPr>
            <w:tcW w:w="2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(13)</w:t>
            </w: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266,153</w:t>
            </w: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847</w:t>
            </w:r>
          </w:p>
        </w:tc>
        <w:tc>
          <w:tcPr>
            <w:tcW w:w="9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267,000</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20"/>
                <w:szCs w:val="20"/>
                <w:color w:val="auto"/>
              </w:rPr>
            </w:pPr>
            <w:r>
              <w:rPr>
                <w:rFonts w:ascii="Arial" w:cs="Arial" w:eastAsia="Arial" w:hAnsi="Arial"/>
                <w:sz w:val="9"/>
                <w:szCs w:val="9"/>
                <w:color w:val="auto"/>
              </w:rPr>
              <w:t>Loss for the period</w:t>
            </w:r>
          </w:p>
        </w:tc>
        <w:tc>
          <w:tcPr>
            <w:tcW w:w="680" w:type="dxa"/>
            <w:vAlign w:val="bottom"/>
            <w:tcBorders>
              <w:right w:val="single" w:sz="8" w:color="70AD47"/>
            </w:tcBorders>
          </w:tcPr>
          <w:p>
            <w:pPr>
              <w:spacing w:after="0"/>
              <w:rPr>
                <w:sz w:val="18"/>
                <w:szCs w:val="18"/>
                <w:color w:val="auto"/>
              </w:rPr>
            </w:pPr>
          </w:p>
        </w:tc>
        <w:tc>
          <w:tcPr>
            <w:tcW w:w="90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(179,056)</w:t>
            </w:r>
          </w:p>
        </w:tc>
        <w:tc>
          <w:tcPr>
            <w:tcW w:w="120" w:type="dxa"/>
            <w:vAlign w:val="bottom"/>
            <w:shd w:val="clear" w:color="auto" w:fill="C6E0B4"/>
          </w:tcPr>
          <w:p>
            <w:pPr>
              <w:spacing w:after="0"/>
              <w:rPr>
                <w:sz w:val="18"/>
                <w:szCs w:val="18"/>
                <w:color w:val="auto"/>
              </w:rPr>
            </w:pPr>
          </w:p>
        </w:tc>
        <w:tc>
          <w:tcPr>
            <w:tcW w:w="80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6E0B4"/>
          </w:tcPr>
          <w:p>
            <w:pPr>
              <w:spacing w:after="0"/>
              <w:rPr>
                <w:sz w:val="18"/>
                <w:szCs w:val="18"/>
                <w:color w:val="auto"/>
              </w:rPr>
            </w:pPr>
          </w:p>
        </w:tc>
        <w:tc>
          <w:tcPr>
            <w:tcW w:w="520" w:type="dxa"/>
            <w:vAlign w:val="bottom"/>
            <w:shd w:val="clear" w:color="auto" w:fill="C6E0B4"/>
          </w:tcPr>
          <w:p>
            <w:pPr>
              <w:spacing w:after="0"/>
              <w:rPr>
                <w:sz w:val="18"/>
                <w:szCs w:val="18"/>
                <w:color w:val="auto"/>
              </w:rPr>
            </w:pPr>
          </w:p>
        </w:tc>
        <w:tc>
          <w:tcPr>
            <w:tcW w:w="2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(179,056)</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(116)</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(179,172)</w:t>
            </w:r>
          </w:p>
        </w:tc>
        <w:tc>
          <w:tcPr>
            <w:tcW w:w="0" w:type="dxa"/>
            <w:vAlign w:val="bottom"/>
          </w:tcPr>
          <w:p>
            <w:pPr>
              <w:spacing w:after="0"/>
              <w:rPr>
                <w:sz w:val="1"/>
                <w:szCs w:val="1"/>
                <w:color w:val="auto"/>
              </w:rPr>
            </w:pPr>
          </w:p>
        </w:tc>
      </w:tr>
      <w:tr>
        <w:trPr>
          <w:trHeight w:val="110"/>
        </w:trPr>
        <w:tc>
          <w:tcPr>
            <w:tcW w:w="2200" w:type="dxa"/>
            <w:vAlign w:val="bottom"/>
            <w:tcBorders>
              <w:bottom w:val="single" w:sz="8" w:color="70AD47"/>
            </w:tcBorders>
          </w:tcPr>
          <w:p>
            <w:pPr>
              <w:spacing w:after="0"/>
              <w:rPr>
                <w:sz w:val="20"/>
                <w:szCs w:val="20"/>
                <w:color w:val="auto"/>
              </w:rPr>
            </w:pPr>
            <w:r>
              <w:rPr>
                <w:rFonts w:ascii="Arial" w:cs="Arial" w:eastAsia="Arial" w:hAnsi="Arial"/>
                <w:sz w:val="9"/>
                <w:szCs w:val="9"/>
                <w:color w:val="auto"/>
              </w:rPr>
              <w:t>Other comprehensive income</w:t>
            </w:r>
          </w:p>
        </w:tc>
        <w:tc>
          <w:tcPr>
            <w:tcW w:w="680" w:type="dxa"/>
            <w:vAlign w:val="bottom"/>
            <w:tcBorders>
              <w:bottom w:val="single" w:sz="8" w:color="70AD47"/>
              <w:right w:val="single" w:sz="8" w:color="70AD47"/>
            </w:tcBorders>
          </w:tcPr>
          <w:p>
            <w:pPr>
              <w:spacing w:after="0"/>
              <w:rPr>
                <w:sz w:val="9"/>
                <w:szCs w:val="9"/>
                <w:color w:val="auto"/>
              </w:rPr>
            </w:pPr>
          </w:p>
        </w:tc>
        <w:tc>
          <w:tcPr>
            <w:tcW w:w="90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70AD47"/>
            </w:tcBorders>
            <w:shd w:val="clear" w:color="auto" w:fill="C6E0B4"/>
          </w:tcPr>
          <w:p>
            <w:pPr>
              <w:spacing w:after="0"/>
              <w:rPr>
                <w:sz w:val="9"/>
                <w:szCs w:val="9"/>
                <w:color w:val="auto"/>
              </w:rPr>
            </w:pPr>
          </w:p>
        </w:tc>
        <w:tc>
          <w:tcPr>
            <w:tcW w:w="80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220" w:type="dxa"/>
            <w:vAlign w:val="bottom"/>
            <w:tcBorders>
              <w:bottom w:val="single" w:sz="8" w:color="70AD47"/>
            </w:tcBorders>
            <w:shd w:val="clear" w:color="auto" w:fill="C6E0B4"/>
          </w:tcPr>
          <w:p>
            <w:pPr>
              <w:spacing w:after="0"/>
              <w:rPr>
                <w:sz w:val="9"/>
                <w:szCs w:val="9"/>
                <w:color w:val="auto"/>
              </w:rPr>
            </w:pPr>
          </w:p>
        </w:tc>
        <w:tc>
          <w:tcPr>
            <w:tcW w:w="520" w:type="dxa"/>
            <w:vAlign w:val="bottom"/>
            <w:tcBorders>
              <w:bottom w:val="single" w:sz="8" w:color="70AD47"/>
            </w:tcBorders>
            <w:shd w:val="clear" w:color="auto" w:fill="C6E0B4"/>
          </w:tcPr>
          <w:p>
            <w:pPr>
              <w:spacing w:after="0"/>
              <w:rPr>
                <w:sz w:val="9"/>
                <w:szCs w:val="9"/>
                <w:color w:val="auto"/>
              </w:rPr>
            </w:pPr>
          </w:p>
        </w:tc>
        <w:tc>
          <w:tcPr>
            <w:tcW w:w="2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77</w:t>
            </w: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77</w:t>
            </w: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77</w:t>
            </w:r>
          </w:p>
        </w:tc>
        <w:tc>
          <w:tcPr>
            <w:tcW w:w="0" w:type="dxa"/>
            <w:vAlign w:val="bottom"/>
          </w:tcPr>
          <w:p>
            <w:pPr>
              <w:spacing w:after="0"/>
              <w:rPr>
                <w:sz w:val="1"/>
                <w:szCs w:val="1"/>
                <w:color w:val="auto"/>
              </w:rPr>
            </w:pPr>
          </w:p>
        </w:tc>
      </w:tr>
      <w:tr>
        <w:trPr>
          <w:trHeight w:val="100"/>
        </w:trPr>
        <w:tc>
          <w:tcPr>
            <w:tcW w:w="2200" w:type="dxa"/>
            <w:vAlign w:val="bottom"/>
            <w:tcBorders>
              <w:bottom w:val="single" w:sz="8" w:color="70AD47"/>
            </w:tcBorders>
          </w:tcPr>
          <w:p>
            <w:pPr>
              <w:spacing w:after="0" w:line="100" w:lineRule="exact"/>
              <w:rPr>
                <w:sz w:val="20"/>
                <w:szCs w:val="20"/>
                <w:color w:val="auto"/>
              </w:rPr>
            </w:pPr>
            <w:r>
              <w:rPr>
                <w:rFonts w:ascii="Arial" w:cs="Arial" w:eastAsia="Arial" w:hAnsi="Arial"/>
                <w:sz w:val="9"/>
                <w:szCs w:val="9"/>
                <w:b w:val="1"/>
                <w:bCs w:val="1"/>
                <w:color w:val="auto"/>
              </w:rPr>
              <w:t>Total comprehensive income</w:t>
            </w:r>
          </w:p>
        </w:tc>
        <w:tc>
          <w:tcPr>
            <w:tcW w:w="680" w:type="dxa"/>
            <w:vAlign w:val="bottom"/>
            <w:tcBorders>
              <w:bottom w:val="single" w:sz="8" w:color="70AD47"/>
              <w:right w:val="single" w:sz="8" w:color="70AD47"/>
            </w:tcBorders>
          </w:tcPr>
          <w:p>
            <w:pPr>
              <w:spacing w:after="0"/>
              <w:rPr>
                <w:sz w:val="8"/>
                <w:szCs w:val="8"/>
                <w:color w:val="auto"/>
              </w:rPr>
            </w:pPr>
          </w:p>
        </w:tc>
        <w:tc>
          <w:tcPr>
            <w:tcW w:w="900" w:type="dxa"/>
            <w:vAlign w:val="bottom"/>
            <w:tcBorders>
              <w:bottom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w:t>
            </w:r>
          </w:p>
        </w:tc>
        <w:tc>
          <w:tcPr>
            <w:tcW w:w="940" w:type="dxa"/>
            <w:vAlign w:val="bottom"/>
            <w:tcBorders>
              <w:bottom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w:t>
            </w:r>
          </w:p>
        </w:tc>
        <w:tc>
          <w:tcPr>
            <w:tcW w:w="920" w:type="dxa"/>
            <w:vAlign w:val="bottom"/>
            <w:tcBorders>
              <w:bottom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w:t>
            </w:r>
          </w:p>
        </w:tc>
        <w:tc>
          <w:tcPr>
            <w:tcW w:w="940" w:type="dxa"/>
            <w:vAlign w:val="bottom"/>
            <w:tcBorders>
              <w:bottom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(179,056)</w:t>
            </w:r>
          </w:p>
        </w:tc>
        <w:tc>
          <w:tcPr>
            <w:tcW w:w="120" w:type="dxa"/>
            <w:vAlign w:val="bottom"/>
            <w:tcBorders>
              <w:bottom w:val="single" w:sz="8" w:color="70AD47"/>
            </w:tcBorders>
            <w:shd w:val="clear" w:color="auto" w:fill="C6E0B4"/>
          </w:tcPr>
          <w:p>
            <w:pPr>
              <w:spacing w:after="0"/>
              <w:rPr>
                <w:sz w:val="8"/>
                <w:szCs w:val="8"/>
                <w:color w:val="auto"/>
              </w:rPr>
            </w:pPr>
          </w:p>
        </w:tc>
        <w:tc>
          <w:tcPr>
            <w:tcW w:w="800" w:type="dxa"/>
            <w:vAlign w:val="bottom"/>
            <w:tcBorders>
              <w:bottom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w:t>
            </w:r>
          </w:p>
        </w:tc>
        <w:tc>
          <w:tcPr>
            <w:tcW w:w="220" w:type="dxa"/>
            <w:vAlign w:val="bottom"/>
            <w:tcBorders>
              <w:bottom w:val="single" w:sz="8" w:color="70AD47"/>
            </w:tcBorders>
            <w:shd w:val="clear" w:color="auto" w:fill="C6E0B4"/>
          </w:tcPr>
          <w:p>
            <w:pPr>
              <w:spacing w:after="0"/>
              <w:rPr>
                <w:sz w:val="8"/>
                <w:szCs w:val="8"/>
                <w:color w:val="auto"/>
              </w:rPr>
            </w:pPr>
          </w:p>
        </w:tc>
        <w:tc>
          <w:tcPr>
            <w:tcW w:w="520" w:type="dxa"/>
            <w:vAlign w:val="bottom"/>
            <w:tcBorders>
              <w:bottom w:val="single" w:sz="8" w:color="70AD47"/>
            </w:tcBorders>
            <w:shd w:val="clear" w:color="auto" w:fill="C6E0B4"/>
          </w:tcPr>
          <w:p>
            <w:pPr>
              <w:spacing w:after="0"/>
              <w:rPr>
                <w:sz w:val="8"/>
                <w:szCs w:val="8"/>
                <w:color w:val="auto"/>
              </w:rPr>
            </w:pPr>
          </w:p>
        </w:tc>
        <w:tc>
          <w:tcPr>
            <w:tcW w:w="240" w:type="dxa"/>
            <w:vAlign w:val="bottom"/>
            <w:tcBorders>
              <w:bottom w:val="single" w:sz="8" w:color="70AD47"/>
              <w:right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77</w:t>
            </w:r>
          </w:p>
        </w:tc>
        <w:tc>
          <w:tcPr>
            <w:tcW w:w="940" w:type="dxa"/>
            <w:vAlign w:val="bottom"/>
            <w:tcBorders>
              <w:bottom w:val="single" w:sz="8" w:color="70AD47"/>
              <w:right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(178,979)</w:t>
            </w:r>
          </w:p>
        </w:tc>
        <w:tc>
          <w:tcPr>
            <w:tcW w:w="940" w:type="dxa"/>
            <w:vAlign w:val="bottom"/>
            <w:tcBorders>
              <w:bottom w:val="single" w:sz="8" w:color="70AD47"/>
              <w:right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(116)</w:t>
            </w:r>
          </w:p>
        </w:tc>
        <w:tc>
          <w:tcPr>
            <w:tcW w:w="920" w:type="dxa"/>
            <w:vAlign w:val="bottom"/>
            <w:tcBorders>
              <w:bottom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(179,095)</w:t>
            </w:r>
          </w:p>
        </w:tc>
        <w:tc>
          <w:tcPr>
            <w:tcW w:w="0" w:type="dxa"/>
            <w:vAlign w:val="bottom"/>
          </w:tcPr>
          <w:p>
            <w:pPr>
              <w:spacing w:after="0"/>
              <w:rPr>
                <w:sz w:val="1"/>
                <w:szCs w:val="1"/>
                <w:color w:val="auto"/>
              </w:rPr>
            </w:pPr>
          </w:p>
        </w:tc>
      </w:tr>
      <w:tr>
        <w:trPr>
          <w:trHeight w:val="100"/>
        </w:trPr>
        <w:tc>
          <w:tcPr>
            <w:tcW w:w="2200" w:type="dxa"/>
            <w:vAlign w:val="bottom"/>
          </w:tcPr>
          <w:p>
            <w:pPr>
              <w:spacing w:after="0"/>
              <w:rPr>
                <w:sz w:val="8"/>
                <w:szCs w:val="8"/>
                <w:color w:val="auto"/>
              </w:rPr>
            </w:pPr>
          </w:p>
        </w:tc>
        <w:tc>
          <w:tcPr>
            <w:tcW w:w="680" w:type="dxa"/>
            <w:vAlign w:val="bottom"/>
            <w:tcBorders>
              <w:right w:val="single" w:sz="8" w:color="70AD47"/>
            </w:tcBorders>
          </w:tcPr>
          <w:p>
            <w:pPr>
              <w:spacing w:after="0"/>
              <w:rPr>
                <w:sz w:val="8"/>
                <w:szCs w:val="8"/>
                <w:color w:val="auto"/>
              </w:rPr>
            </w:pPr>
          </w:p>
        </w:tc>
        <w:tc>
          <w:tcPr>
            <w:tcW w:w="900" w:type="dxa"/>
            <w:vAlign w:val="bottom"/>
            <w:shd w:val="clear" w:color="auto" w:fill="C6E0B4"/>
          </w:tcPr>
          <w:p>
            <w:pPr>
              <w:spacing w:after="0"/>
              <w:rPr>
                <w:sz w:val="8"/>
                <w:szCs w:val="8"/>
                <w:color w:val="auto"/>
              </w:rPr>
            </w:pPr>
          </w:p>
        </w:tc>
        <w:tc>
          <w:tcPr>
            <w:tcW w:w="940" w:type="dxa"/>
            <w:vAlign w:val="bottom"/>
            <w:shd w:val="clear" w:color="auto" w:fill="C6E0B4"/>
          </w:tcPr>
          <w:p>
            <w:pPr>
              <w:spacing w:after="0"/>
              <w:rPr>
                <w:sz w:val="8"/>
                <w:szCs w:val="8"/>
                <w:color w:val="auto"/>
              </w:rPr>
            </w:pPr>
          </w:p>
        </w:tc>
        <w:tc>
          <w:tcPr>
            <w:tcW w:w="920" w:type="dxa"/>
            <w:vAlign w:val="bottom"/>
            <w:shd w:val="clear" w:color="auto" w:fill="C6E0B4"/>
          </w:tcPr>
          <w:p>
            <w:pPr>
              <w:spacing w:after="0"/>
              <w:rPr>
                <w:sz w:val="8"/>
                <w:szCs w:val="8"/>
                <w:color w:val="auto"/>
              </w:rPr>
            </w:pPr>
          </w:p>
        </w:tc>
        <w:tc>
          <w:tcPr>
            <w:tcW w:w="940" w:type="dxa"/>
            <w:vAlign w:val="bottom"/>
            <w:shd w:val="clear" w:color="auto" w:fill="C6E0B4"/>
          </w:tcPr>
          <w:p>
            <w:pPr>
              <w:spacing w:after="0"/>
              <w:rPr>
                <w:sz w:val="8"/>
                <w:szCs w:val="8"/>
                <w:color w:val="auto"/>
              </w:rPr>
            </w:pPr>
          </w:p>
        </w:tc>
        <w:tc>
          <w:tcPr>
            <w:tcW w:w="120" w:type="dxa"/>
            <w:vAlign w:val="bottom"/>
            <w:shd w:val="clear" w:color="auto" w:fill="C6E0B4"/>
          </w:tcPr>
          <w:p>
            <w:pPr>
              <w:spacing w:after="0"/>
              <w:rPr>
                <w:sz w:val="8"/>
                <w:szCs w:val="8"/>
                <w:color w:val="auto"/>
              </w:rPr>
            </w:pPr>
          </w:p>
        </w:tc>
        <w:tc>
          <w:tcPr>
            <w:tcW w:w="800" w:type="dxa"/>
            <w:vAlign w:val="bottom"/>
            <w:shd w:val="clear" w:color="auto" w:fill="C6E0B4"/>
          </w:tcPr>
          <w:p>
            <w:pPr>
              <w:spacing w:after="0"/>
              <w:rPr>
                <w:sz w:val="8"/>
                <w:szCs w:val="8"/>
                <w:color w:val="auto"/>
              </w:rPr>
            </w:pPr>
          </w:p>
        </w:tc>
        <w:tc>
          <w:tcPr>
            <w:tcW w:w="220" w:type="dxa"/>
            <w:vAlign w:val="bottom"/>
            <w:shd w:val="clear" w:color="auto" w:fill="C6E0B4"/>
          </w:tcPr>
          <w:p>
            <w:pPr>
              <w:spacing w:after="0"/>
              <w:rPr>
                <w:sz w:val="8"/>
                <w:szCs w:val="8"/>
                <w:color w:val="auto"/>
              </w:rPr>
            </w:pPr>
          </w:p>
        </w:tc>
        <w:tc>
          <w:tcPr>
            <w:tcW w:w="520" w:type="dxa"/>
            <w:vAlign w:val="bottom"/>
            <w:shd w:val="clear" w:color="auto" w:fill="C6E0B4"/>
          </w:tcPr>
          <w:p>
            <w:pPr>
              <w:spacing w:after="0"/>
              <w:rPr>
                <w:sz w:val="8"/>
                <w:szCs w:val="8"/>
                <w:color w:val="auto"/>
              </w:rPr>
            </w:pPr>
          </w:p>
        </w:tc>
        <w:tc>
          <w:tcPr>
            <w:tcW w:w="240" w:type="dxa"/>
            <w:vAlign w:val="bottom"/>
            <w:tcBorders>
              <w:right w:val="single" w:sz="8" w:color="70AD47"/>
            </w:tcBorders>
            <w:shd w:val="clear" w:color="auto" w:fill="C6E0B4"/>
          </w:tcPr>
          <w:p>
            <w:pPr>
              <w:spacing w:after="0"/>
              <w:rPr>
                <w:sz w:val="8"/>
                <w:szCs w:val="8"/>
                <w:color w:val="auto"/>
              </w:rPr>
            </w:pPr>
          </w:p>
        </w:tc>
        <w:tc>
          <w:tcPr>
            <w:tcW w:w="940" w:type="dxa"/>
            <w:vAlign w:val="bottom"/>
            <w:tcBorders>
              <w:right w:val="single" w:sz="8" w:color="70AD47"/>
            </w:tcBorders>
            <w:shd w:val="clear" w:color="auto" w:fill="C6E0B4"/>
          </w:tcPr>
          <w:p>
            <w:pPr>
              <w:jc w:val="right"/>
              <w:spacing w:after="0" w:line="100" w:lineRule="exact"/>
              <w:rPr>
                <w:sz w:val="20"/>
                <w:szCs w:val="20"/>
                <w:color w:val="auto"/>
              </w:rPr>
            </w:pPr>
            <w:r>
              <w:rPr>
                <w:rFonts w:ascii="Arial" w:cs="Arial" w:eastAsia="Arial" w:hAnsi="Arial"/>
                <w:sz w:val="9"/>
                <w:szCs w:val="9"/>
                <w:b w:val="1"/>
                <w:bCs w:val="1"/>
                <w:color w:val="auto"/>
              </w:rPr>
              <w:t>-</w:t>
            </w:r>
          </w:p>
        </w:tc>
        <w:tc>
          <w:tcPr>
            <w:tcW w:w="940" w:type="dxa"/>
            <w:vAlign w:val="bottom"/>
            <w:tcBorders>
              <w:right w:val="single" w:sz="8" w:color="70AD47"/>
            </w:tcBorders>
            <w:shd w:val="clear" w:color="auto" w:fill="C6E0B4"/>
          </w:tcPr>
          <w:p>
            <w:pPr>
              <w:spacing w:after="0"/>
              <w:rPr>
                <w:sz w:val="8"/>
                <w:szCs w:val="8"/>
                <w:color w:val="auto"/>
              </w:rPr>
            </w:pPr>
          </w:p>
        </w:tc>
        <w:tc>
          <w:tcPr>
            <w:tcW w:w="920" w:type="dxa"/>
            <w:vAlign w:val="bottom"/>
            <w:shd w:val="clear" w:color="auto" w:fill="C6E0B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20"/>
                <w:szCs w:val="20"/>
                <w:color w:val="auto"/>
              </w:rPr>
            </w:pPr>
            <w:r>
              <w:rPr>
                <w:rFonts w:ascii="Arial" w:cs="Arial" w:eastAsia="Arial" w:hAnsi="Arial"/>
                <w:sz w:val="9"/>
                <w:szCs w:val="9"/>
                <w:color w:val="auto"/>
              </w:rPr>
              <w:t>Issuance of share capital</w:t>
            </w:r>
          </w:p>
        </w:tc>
        <w:tc>
          <w:tcPr>
            <w:tcW w:w="680" w:type="dxa"/>
            <w:vAlign w:val="bottom"/>
            <w:tcBorders>
              <w:right w:val="single" w:sz="8" w:color="70AD47"/>
            </w:tcBorders>
          </w:tcPr>
          <w:p>
            <w:pPr>
              <w:jc w:val="center"/>
              <w:spacing w:after="0"/>
              <w:rPr>
                <w:sz w:val="20"/>
                <w:szCs w:val="20"/>
                <w:color w:val="auto"/>
              </w:rPr>
            </w:pPr>
            <w:r>
              <w:rPr>
                <w:rFonts w:ascii="Arial" w:cs="Arial" w:eastAsia="Arial" w:hAnsi="Arial"/>
                <w:sz w:val="9"/>
                <w:szCs w:val="9"/>
                <w:color w:val="auto"/>
                <w:w w:val="79"/>
              </w:rPr>
              <w:t>16</w:t>
            </w:r>
          </w:p>
        </w:tc>
        <w:tc>
          <w:tcPr>
            <w:tcW w:w="900" w:type="dxa"/>
            <w:vAlign w:val="bottom"/>
            <w:shd w:val="clear" w:color="auto" w:fill="C6E0B4"/>
          </w:tcPr>
          <w:p>
            <w:pPr>
              <w:jc w:val="right"/>
              <w:spacing w:after="0"/>
              <w:rPr>
                <w:sz w:val="20"/>
                <w:szCs w:val="20"/>
                <w:color w:val="auto"/>
              </w:rPr>
            </w:pPr>
            <w:r>
              <w:rPr>
                <w:rFonts w:ascii="Arial" w:cs="Arial" w:eastAsia="Arial" w:hAnsi="Arial"/>
                <w:sz w:val="9"/>
                <w:szCs w:val="9"/>
                <w:color w:val="auto"/>
              </w:rPr>
              <w:t>8,126</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41,748</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6E0B4"/>
          </w:tcPr>
          <w:p>
            <w:pPr>
              <w:spacing w:after="0"/>
              <w:rPr>
                <w:sz w:val="9"/>
                <w:szCs w:val="9"/>
                <w:color w:val="auto"/>
              </w:rPr>
            </w:pPr>
          </w:p>
        </w:tc>
        <w:tc>
          <w:tcPr>
            <w:tcW w:w="80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6E0B4"/>
          </w:tcPr>
          <w:p>
            <w:pPr>
              <w:spacing w:after="0"/>
              <w:rPr>
                <w:sz w:val="9"/>
                <w:szCs w:val="9"/>
                <w:color w:val="auto"/>
              </w:rPr>
            </w:pPr>
          </w:p>
        </w:tc>
        <w:tc>
          <w:tcPr>
            <w:tcW w:w="520" w:type="dxa"/>
            <w:vAlign w:val="bottom"/>
            <w:shd w:val="clear" w:color="auto" w:fill="C6E0B4"/>
          </w:tcPr>
          <w:p>
            <w:pPr>
              <w:spacing w:after="0"/>
              <w:rPr>
                <w:sz w:val="9"/>
                <w:szCs w:val="9"/>
                <w:color w:val="auto"/>
              </w:rPr>
            </w:pPr>
          </w:p>
        </w:tc>
        <w:tc>
          <w:tcPr>
            <w:tcW w:w="2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49,874</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49,874</w:t>
            </w:r>
          </w:p>
        </w:tc>
        <w:tc>
          <w:tcPr>
            <w:tcW w:w="0" w:type="dxa"/>
            <w:vAlign w:val="bottom"/>
          </w:tcPr>
          <w:p>
            <w:pPr>
              <w:spacing w:after="0"/>
              <w:rPr>
                <w:sz w:val="1"/>
                <w:szCs w:val="1"/>
                <w:color w:val="auto"/>
              </w:rPr>
            </w:pPr>
          </w:p>
        </w:tc>
      </w:tr>
      <w:tr>
        <w:trPr>
          <w:trHeight w:val="110"/>
        </w:trPr>
        <w:tc>
          <w:tcPr>
            <w:tcW w:w="2200" w:type="dxa"/>
            <w:vAlign w:val="bottom"/>
          </w:tcPr>
          <w:p>
            <w:pPr>
              <w:spacing w:after="0"/>
              <w:rPr>
                <w:sz w:val="20"/>
                <w:szCs w:val="20"/>
                <w:color w:val="auto"/>
              </w:rPr>
            </w:pPr>
            <w:r>
              <w:rPr>
                <w:rFonts w:ascii="Arial" w:cs="Arial" w:eastAsia="Arial" w:hAnsi="Arial"/>
                <w:sz w:val="9"/>
                <w:szCs w:val="9"/>
                <w:color w:val="auto"/>
              </w:rPr>
              <w:t>Capital increase Series B</w:t>
            </w:r>
          </w:p>
        </w:tc>
        <w:tc>
          <w:tcPr>
            <w:tcW w:w="680" w:type="dxa"/>
            <w:vAlign w:val="bottom"/>
            <w:tcBorders>
              <w:right w:val="single" w:sz="8" w:color="70AD47"/>
            </w:tcBorders>
          </w:tcPr>
          <w:p>
            <w:pPr>
              <w:jc w:val="center"/>
              <w:spacing w:after="0"/>
              <w:rPr>
                <w:sz w:val="20"/>
                <w:szCs w:val="20"/>
                <w:color w:val="auto"/>
              </w:rPr>
            </w:pPr>
            <w:r>
              <w:rPr>
                <w:rFonts w:ascii="Arial" w:cs="Arial" w:eastAsia="Arial" w:hAnsi="Arial"/>
                <w:sz w:val="9"/>
                <w:szCs w:val="9"/>
                <w:color w:val="auto"/>
                <w:w w:val="79"/>
              </w:rPr>
              <w:t>16</w:t>
            </w:r>
          </w:p>
        </w:tc>
        <w:tc>
          <w:tcPr>
            <w:tcW w:w="900" w:type="dxa"/>
            <w:vAlign w:val="bottom"/>
            <w:shd w:val="clear" w:color="auto" w:fill="C6E0B4"/>
          </w:tcPr>
          <w:p>
            <w:pPr>
              <w:jc w:val="right"/>
              <w:spacing w:after="0"/>
              <w:rPr>
                <w:sz w:val="20"/>
                <w:szCs w:val="20"/>
                <w:color w:val="auto"/>
              </w:rPr>
            </w:pPr>
            <w:r>
              <w:rPr>
                <w:rFonts w:ascii="Arial" w:cs="Arial" w:eastAsia="Arial" w:hAnsi="Arial"/>
                <w:sz w:val="9"/>
                <w:szCs w:val="9"/>
                <w:color w:val="auto"/>
              </w:rPr>
              <w:t>17,990</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186,390</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color w:val="auto"/>
              </w:rPr>
              <w:t>(5,525)</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6E0B4"/>
          </w:tcPr>
          <w:p>
            <w:pPr>
              <w:spacing w:after="0"/>
              <w:rPr>
                <w:sz w:val="9"/>
                <w:szCs w:val="9"/>
                <w:color w:val="auto"/>
              </w:rPr>
            </w:pPr>
          </w:p>
        </w:tc>
        <w:tc>
          <w:tcPr>
            <w:tcW w:w="80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6E0B4"/>
          </w:tcPr>
          <w:p>
            <w:pPr>
              <w:spacing w:after="0"/>
              <w:rPr>
                <w:sz w:val="9"/>
                <w:szCs w:val="9"/>
                <w:color w:val="auto"/>
              </w:rPr>
            </w:pPr>
          </w:p>
        </w:tc>
        <w:tc>
          <w:tcPr>
            <w:tcW w:w="520" w:type="dxa"/>
            <w:vAlign w:val="bottom"/>
            <w:shd w:val="clear" w:color="auto" w:fill="C6E0B4"/>
          </w:tcPr>
          <w:p>
            <w:pPr>
              <w:spacing w:after="0"/>
              <w:rPr>
                <w:sz w:val="9"/>
                <w:szCs w:val="9"/>
                <w:color w:val="auto"/>
              </w:rPr>
            </w:pPr>
          </w:p>
        </w:tc>
        <w:tc>
          <w:tcPr>
            <w:tcW w:w="2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198,855</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198,855</w:t>
            </w:r>
          </w:p>
        </w:tc>
        <w:tc>
          <w:tcPr>
            <w:tcW w:w="0" w:type="dxa"/>
            <w:vAlign w:val="bottom"/>
          </w:tcPr>
          <w:p>
            <w:pPr>
              <w:spacing w:after="0"/>
              <w:rPr>
                <w:sz w:val="1"/>
                <w:szCs w:val="1"/>
                <w:color w:val="auto"/>
              </w:rPr>
            </w:pPr>
          </w:p>
        </w:tc>
      </w:tr>
      <w:tr>
        <w:trPr>
          <w:trHeight w:val="99"/>
        </w:trPr>
        <w:tc>
          <w:tcPr>
            <w:tcW w:w="2200" w:type="dxa"/>
            <w:vAlign w:val="bottom"/>
          </w:tcPr>
          <w:p>
            <w:pPr>
              <w:spacing w:after="0" w:line="99" w:lineRule="exact"/>
              <w:rPr>
                <w:sz w:val="20"/>
                <w:szCs w:val="20"/>
                <w:color w:val="auto"/>
              </w:rPr>
            </w:pPr>
            <w:r>
              <w:rPr>
                <w:rFonts w:ascii="Arial" w:cs="Arial" w:eastAsia="Arial" w:hAnsi="Arial"/>
                <w:sz w:val="9"/>
                <w:szCs w:val="9"/>
                <w:color w:val="auto"/>
              </w:rPr>
              <w:t>Capital increase initial public offering (referred to as</w:t>
            </w:r>
          </w:p>
        </w:tc>
        <w:tc>
          <w:tcPr>
            <w:tcW w:w="68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9"/>
                <w:szCs w:val="9"/>
                <w:color w:val="auto"/>
                <w:w w:val="79"/>
              </w:rPr>
              <w:t>16</w:t>
            </w:r>
          </w:p>
        </w:tc>
        <w:tc>
          <w:tcPr>
            <w:tcW w:w="900" w:type="dxa"/>
            <w:vAlign w:val="bottom"/>
            <w:vMerge w:val="restart"/>
            <w:shd w:val="clear" w:color="auto" w:fill="C6E0B4"/>
          </w:tcPr>
          <w:p>
            <w:pPr>
              <w:jc w:val="right"/>
              <w:spacing w:after="0"/>
              <w:rPr>
                <w:sz w:val="20"/>
                <w:szCs w:val="20"/>
                <w:color w:val="auto"/>
              </w:rPr>
            </w:pPr>
            <w:r>
              <w:rPr>
                <w:rFonts w:ascii="Arial" w:cs="Arial" w:eastAsia="Arial" w:hAnsi="Arial"/>
                <w:sz w:val="9"/>
                <w:szCs w:val="9"/>
                <w:color w:val="auto"/>
              </w:rPr>
              <w:t>10,517</w:t>
            </w:r>
          </w:p>
        </w:tc>
        <w:tc>
          <w:tcPr>
            <w:tcW w:w="940" w:type="dxa"/>
            <w:vAlign w:val="bottom"/>
            <w:vMerge w:val="restart"/>
            <w:shd w:val="clear" w:color="auto" w:fill="C6E0B4"/>
          </w:tcPr>
          <w:p>
            <w:pPr>
              <w:jc w:val="right"/>
              <w:spacing w:after="0"/>
              <w:rPr>
                <w:sz w:val="20"/>
                <w:szCs w:val="20"/>
                <w:color w:val="auto"/>
              </w:rPr>
            </w:pPr>
            <w:r>
              <w:rPr>
                <w:rFonts w:ascii="Arial" w:cs="Arial" w:eastAsia="Arial" w:hAnsi="Arial"/>
                <w:sz w:val="9"/>
                <w:szCs w:val="9"/>
                <w:color w:val="auto"/>
              </w:rPr>
              <w:t>132,743</w:t>
            </w:r>
          </w:p>
        </w:tc>
        <w:tc>
          <w:tcPr>
            <w:tcW w:w="920" w:type="dxa"/>
            <w:vAlign w:val="bottom"/>
            <w:vMerge w:val="restart"/>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vMerge w:val="restart"/>
            <w:shd w:val="clear" w:color="auto" w:fill="C6E0B4"/>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6E0B4"/>
          </w:tcPr>
          <w:p>
            <w:pPr>
              <w:spacing w:after="0"/>
              <w:rPr>
                <w:sz w:val="8"/>
                <w:szCs w:val="8"/>
                <w:color w:val="auto"/>
              </w:rPr>
            </w:pPr>
          </w:p>
        </w:tc>
        <w:tc>
          <w:tcPr>
            <w:tcW w:w="800" w:type="dxa"/>
            <w:vAlign w:val="bottom"/>
            <w:vMerge w:val="restart"/>
            <w:shd w:val="clear" w:color="auto" w:fill="C6E0B4"/>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6E0B4"/>
          </w:tcPr>
          <w:p>
            <w:pPr>
              <w:spacing w:after="0"/>
              <w:rPr>
                <w:sz w:val="8"/>
                <w:szCs w:val="8"/>
                <w:color w:val="auto"/>
              </w:rPr>
            </w:pPr>
          </w:p>
        </w:tc>
        <w:tc>
          <w:tcPr>
            <w:tcW w:w="520" w:type="dxa"/>
            <w:vAlign w:val="bottom"/>
            <w:shd w:val="clear" w:color="auto" w:fill="C6E0B4"/>
          </w:tcPr>
          <w:p>
            <w:pPr>
              <w:spacing w:after="0"/>
              <w:rPr>
                <w:sz w:val="8"/>
                <w:szCs w:val="8"/>
                <w:color w:val="auto"/>
              </w:rPr>
            </w:pPr>
          </w:p>
        </w:tc>
        <w:tc>
          <w:tcPr>
            <w:tcW w:w="2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9"/>
                <w:szCs w:val="9"/>
                <w:b w:val="1"/>
                <w:bCs w:val="1"/>
                <w:color w:val="auto"/>
              </w:rPr>
              <w:t>143,260</w:t>
            </w:r>
          </w:p>
        </w:tc>
        <w:tc>
          <w:tcPr>
            <w:tcW w:w="9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vMerge w:val="restart"/>
            <w:shd w:val="clear" w:color="auto" w:fill="C6E0B4"/>
          </w:tcPr>
          <w:p>
            <w:pPr>
              <w:jc w:val="right"/>
              <w:spacing w:after="0"/>
              <w:rPr>
                <w:sz w:val="20"/>
                <w:szCs w:val="20"/>
                <w:color w:val="auto"/>
              </w:rPr>
            </w:pPr>
            <w:r>
              <w:rPr>
                <w:rFonts w:ascii="Arial" w:cs="Arial" w:eastAsia="Arial" w:hAnsi="Arial"/>
                <w:sz w:val="9"/>
                <w:szCs w:val="9"/>
                <w:b w:val="1"/>
                <w:bCs w:val="1"/>
                <w:color w:val="auto"/>
              </w:rPr>
              <w:t>143,260</w:t>
            </w:r>
          </w:p>
        </w:tc>
        <w:tc>
          <w:tcPr>
            <w:tcW w:w="0" w:type="dxa"/>
            <w:vAlign w:val="bottom"/>
          </w:tcPr>
          <w:p>
            <w:pPr>
              <w:spacing w:after="0"/>
              <w:rPr>
                <w:sz w:val="1"/>
                <w:szCs w:val="1"/>
                <w:color w:val="auto"/>
              </w:rPr>
            </w:pPr>
          </w:p>
        </w:tc>
      </w:tr>
      <w:tr>
        <w:trPr>
          <w:trHeight w:val="69"/>
        </w:trPr>
        <w:tc>
          <w:tcPr>
            <w:tcW w:w="2200" w:type="dxa"/>
            <w:vAlign w:val="bottom"/>
            <w:vMerge w:val="restart"/>
          </w:tcPr>
          <w:p>
            <w:pPr>
              <w:spacing w:after="0"/>
              <w:rPr>
                <w:sz w:val="20"/>
                <w:szCs w:val="20"/>
                <w:color w:val="auto"/>
              </w:rPr>
            </w:pPr>
            <w:r>
              <w:rPr>
                <w:rFonts w:ascii="Arial" w:cs="Arial" w:eastAsia="Arial" w:hAnsi="Arial"/>
                <w:sz w:val="9"/>
                <w:szCs w:val="9"/>
                <w:color w:val="auto"/>
              </w:rPr>
              <w:t>IPO)</w:t>
            </w:r>
          </w:p>
        </w:tc>
        <w:tc>
          <w:tcPr>
            <w:tcW w:w="680" w:type="dxa"/>
            <w:vAlign w:val="bottom"/>
            <w:tcBorders>
              <w:right w:val="single" w:sz="8" w:color="70AD47"/>
            </w:tcBorders>
            <w:vMerge w:val="continue"/>
          </w:tcPr>
          <w:p>
            <w:pPr>
              <w:spacing w:after="0"/>
              <w:rPr>
                <w:sz w:val="6"/>
                <w:szCs w:val="6"/>
                <w:color w:val="auto"/>
              </w:rPr>
            </w:pPr>
          </w:p>
        </w:tc>
        <w:tc>
          <w:tcPr>
            <w:tcW w:w="900" w:type="dxa"/>
            <w:vAlign w:val="bottom"/>
            <w:vMerge w:val="continue"/>
            <w:shd w:val="clear" w:color="auto" w:fill="C6E0B4"/>
          </w:tcPr>
          <w:p>
            <w:pPr>
              <w:spacing w:after="0"/>
              <w:rPr>
                <w:sz w:val="6"/>
                <w:szCs w:val="6"/>
                <w:color w:val="auto"/>
              </w:rPr>
            </w:pPr>
          </w:p>
        </w:tc>
        <w:tc>
          <w:tcPr>
            <w:tcW w:w="940" w:type="dxa"/>
            <w:vAlign w:val="bottom"/>
            <w:vMerge w:val="continue"/>
            <w:shd w:val="clear" w:color="auto" w:fill="C6E0B4"/>
          </w:tcPr>
          <w:p>
            <w:pPr>
              <w:spacing w:after="0"/>
              <w:rPr>
                <w:sz w:val="6"/>
                <w:szCs w:val="6"/>
                <w:color w:val="auto"/>
              </w:rPr>
            </w:pPr>
          </w:p>
        </w:tc>
        <w:tc>
          <w:tcPr>
            <w:tcW w:w="920" w:type="dxa"/>
            <w:vAlign w:val="bottom"/>
            <w:vMerge w:val="continue"/>
            <w:shd w:val="clear" w:color="auto" w:fill="C6E0B4"/>
          </w:tcPr>
          <w:p>
            <w:pPr>
              <w:spacing w:after="0"/>
              <w:rPr>
                <w:sz w:val="6"/>
                <w:szCs w:val="6"/>
                <w:color w:val="auto"/>
              </w:rPr>
            </w:pPr>
          </w:p>
        </w:tc>
        <w:tc>
          <w:tcPr>
            <w:tcW w:w="940" w:type="dxa"/>
            <w:vAlign w:val="bottom"/>
            <w:vMerge w:val="continue"/>
            <w:shd w:val="clear" w:color="auto" w:fill="C6E0B4"/>
          </w:tcPr>
          <w:p>
            <w:pPr>
              <w:spacing w:after="0"/>
              <w:rPr>
                <w:sz w:val="6"/>
                <w:szCs w:val="6"/>
                <w:color w:val="auto"/>
              </w:rPr>
            </w:pPr>
          </w:p>
        </w:tc>
        <w:tc>
          <w:tcPr>
            <w:tcW w:w="120" w:type="dxa"/>
            <w:vAlign w:val="bottom"/>
            <w:shd w:val="clear" w:color="auto" w:fill="C6E0B4"/>
          </w:tcPr>
          <w:p>
            <w:pPr>
              <w:spacing w:after="0"/>
              <w:rPr>
                <w:sz w:val="6"/>
                <w:szCs w:val="6"/>
                <w:color w:val="auto"/>
              </w:rPr>
            </w:pPr>
          </w:p>
        </w:tc>
        <w:tc>
          <w:tcPr>
            <w:tcW w:w="800" w:type="dxa"/>
            <w:vAlign w:val="bottom"/>
            <w:vMerge w:val="continue"/>
            <w:shd w:val="clear" w:color="auto" w:fill="C6E0B4"/>
          </w:tcPr>
          <w:p>
            <w:pPr>
              <w:spacing w:after="0"/>
              <w:rPr>
                <w:sz w:val="6"/>
                <w:szCs w:val="6"/>
                <w:color w:val="auto"/>
              </w:rPr>
            </w:pPr>
          </w:p>
        </w:tc>
        <w:tc>
          <w:tcPr>
            <w:tcW w:w="220" w:type="dxa"/>
            <w:vAlign w:val="bottom"/>
            <w:shd w:val="clear" w:color="auto" w:fill="C6E0B4"/>
          </w:tcPr>
          <w:p>
            <w:pPr>
              <w:spacing w:after="0"/>
              <w:rPr>
                <w:sz w:val="6"/>
                <w:szCs w:val="6"/>
                <w:color w:val="auto"/>
              </w:rPr>
            </w:pPr>
          </w:p>
        </w:tc>
        <w:tc>
          <w:tcPr>
            <w:tcW w:w="520" w:type="dxa"/>
            <w:vAlign w:val="bottom"/>
            <w:shd w:val="clear" w:color="auto" w:fill="C6E0B4"/>
          </w:tcPr>
          <w:p>
            <w:pPr>
              <w:spacing w:after="0"/>
              <w:rPr>
                <w:sz w:val="6"/>
                <w:szCs w:val="6"/>
                <w:color w:val="auto"/>
              </w:rPr>
            </w:pPr>
          </w:p>
        </w:tc>
        <w:tc>
          <w:tcPr>
            <w:tcW w:w="240" w:type="dxa"/>
            <w:vAlign w:val="bottom"/>
            <w:tcBorders>
              <w:right w:val="single" w:sz="8" w:color="70AD47"/>
            </w:tcBorders>
            <w:vMerge w:val="continue"/>
            <w:shd w:val="clear" w:color="auto" w:fill="C6E0B4"/>
          </w:tcPr>
          <w:p>
            <w:pPr>
              <w:spacing w:after="0"/>
              <w:rPr>
                <w:sz w:val="6"/>
                <w:szCs w:val="6"/>
                <w:color w:val="auto"/>
              </w:rPr>
            </w:pPr>
          </w:p>
        </w:tc>
        <w:tc>
          <w:tcPr>
            <w:tcW w:w="940" w:type="dxa"/>
            <w:vAlign w:val="bottom"/>
            <w:tcBorders>
              <w:right w:val="single" w:sz="8" w:color="70AD47"/>
            </w:tcBorders>
            <w:vMerge w:val="continue"/>
            <w:shd w:val="clear" w:color="auto" w:fill="C6E0B4"/>
          </w:tcPr>
          <w:p>
            <w:pPr>
              <w:spacing w:after="0"/>
              <w:rPr>
                <w:sz w:val="6"/>
                <w:szCs w:val="6"/>
                <w:color w:val="auto"/>
              </w:rPr>
            </w:pPr>
          </w:p>
        </w:tc>
        <w:tc>
          <w:tcPr>
            <w:tcW w:w="940" w:type="dxa"/>
            <w:vAlign w:val="bottom"/>
            <w:tcBorders>
              <w:right w:val="single" w:sz="8" w:color="70AD47"/>
            </w:tcBorders>
            <w:vMerge w:val="continue"/>
            <w:shd w:val="clear" w:color="auto" w:fill="C6E0B4"/>
          </w:tcPr>
          <w:p>
            <w:pPr>
              <w:spacing w:after="0"/>
              <w:rPr>
                <w:sz w:val="6"/>
                <w:szCs w:val="6"/>
                <w:color w:val="auto"/>
              </w:rPr>
            </w:pPr>
          </w:p>
        </w:tc>
        <w:tc>
          <w:tcPr>
            <w:tcW w:w="920" w:type="dxa"/>
            <w:vAlign w:val="bottom"/>
            <w:vMerge w:val="continue"/>
            <w:shd w:val="clear" w:color="auto" w:fill="C6E0B4"/>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200" w:type="dxa"/>
            <w:vAlign w:val="bottom"/>
            <w:vMerge w:val="continue"/>
          </w:tcPr>
          <w:p>
            <w:pPr>
              <w:spacing w:after="0"/>
              <w:rPr>
                <w:sz w:val="3"/>
                <w:szCs w:val="3"/>
                <w:color w:val="auto"/>
              </w:rPr>
            </w:pPr>
          </w:p>
        </w:tc>
        <w:tc>
          <w:tcPr>
            <w:tcW w:w="680" w:type="dxa"/>
            <w:vAlign w:val="bottom"/>
            <w:tcBorders>
              <w:right w:val="single" w:sz="8" w:color="70AD47"/>
            </w:tcBorders>
          </w:tcPr>
          <w:p>
            <w:pPr>
              <w:spacing w:after="0"/>
              <w:rPr>
                <w:sz w:val="3"/>
                <w:szCs w:val="3"/>
                <w:color w:val="auto"/>
              </w:rPr>
            </w:pPr>
          </w:p>
        </w:tc>
        <w:tc>
          <w:tcPr>
            <w:tcW w:w="900" w:type="dxa"/>
            <w:vAlign w:val="bottom"/>
            <w:shd w:val="clear" w:color="auto" w:fill="C6E0B4"/>
          </w:tcPr>
          <w:p>
            <w:pPr>
              <w:spacing w:after="0"/>
              <w:rPr>
                <w:sz w:val="3"/>
                <w:szCs w:val="3"/>
                <w:color w:val="auto"/>
              </w:rPr>
            </w:pPr>
          </w:p>
        </w:tc>
        <w:tc>
          <w:tcPr>
            <w:tcW w:w="940" w:type="dxa"/>
            <w:vAlign w:val="bottom"/>
            <w:shd w:val="clear" w:color="auto" w:fill="C6E0B4"/>
          </w:tcPr>
          <w:p>
            <w:pPr>
              <w:spacing w:after="0"/>
              <w:rPr>
                <w:sz w:val="3"/>
                <w:szCs w:val="3"/>
                <w:color w:val="auto"/>
              </w:rPr>
            </w:pPr>
          </w:p>
        </w:tc>
        <w:tc>
          <w:tcPr>
            <w:tcW w:w="920" w:type="dxa"/>
            <w:vAlign w:val="bottom"/>
            <w:shd w:val="clear" w:color="auto" w:fill="C6E0B4"/>
          </w:tcPr>
          <w:p>
            <w:pPr>
              <w:spacing w:after="0"/>
              <w:rPr>
                <w:sz w:val="3"/>
                <w:szCs w:val="3"/>
                <w:color w:val="auto"/>
              </w:rPr>
            </w:pPr>
          </w:p>
        </w:tc>
        <w:tc>
          <w:tcPr>
            <w:tcW w:w="940" w:type="dxa"/>
            <w:vAlign w:val="bottom"/>
            <w:shd w:val="clear" w:color="auto" w:fill="C6E0B4"/>
          </w:tcPr>
          <w:p>
            <w:pPr>
              <w:spacing w:after="0"/>
              <w:rPr>
                <w:sz w:val="3"/>
                <w:szCs w:val="3"/>
                <w:color w:val="auto"/>
              </w:rPr>
            </w:pPr>
          </w:p>
        </w:tc>
        <w:tc>
          <w:tcPr>
            <w:tcW w:w="120" w:type="dxa"/>
            <w:vAlign w:val="bottom"/>
            <w:shd w:val="clear" w:color="auto" w:fill="C6E0B4"/>
          </w:tcPr>
          <w:p>
            <w:pPr>
              <w:spacing w:after="0"/>
              <w:rPr>
                <w:sz w:val="3"/>
                <w:szCs w:val="3"/>
                <w:color w:val="auto"/>
              </w:rPr>
            </w:pPr>
          </w:p>
        </w:tc>
        <w:tc>
          <w:tcPr>
            <w:tcW w:w="800" w:type="dxa"/>
            <w:vAlign w:val="bottom"/>
            <w:shd w:val="clear" w:color="auto" w:fill="C6E0B4"/>
          </w:tcPr>
          <w:p>
            <w:pPr>
              <w:spacing w:after="0"/>
              <w:rPr>
                <w:sz w:val="3"/>
                <w:szCs w:val="3"/>
                <w:color w:val="auto"/>
              </w:rPr>
            </w:pPr>
          </w:p>
        </w:tc>
        <w:tc>
          <w:tcPr>
            <w:tcW w:w="220" w:type="dxa"/>
            <w:vAlign w:val="bottom"/>
            <w:shd w:val="clear" w:color="auto" w:fill="C6E0B4"/>
          </w:tcPr>
          <w:p>
            <w:pPr>
              <w:spacing w:after="0"/>
              <w:rPr>
                <w:sz w:val="3"/>
                <w:szCs w:val="3"/>
                <w:color w:val="auto"/>
              </w:rPr>
            </w:pPr>
          </w:p>
        </w:tc>
        <w:tc>
          <w:tcPr>
            <w:tcW w:w="520" w:type="dxa"/>
            <w:vAlign w:val="bottom"/>
            <w:shd w:val="clear" w:color="auto" w:fill="C6E0B4"/>
          </w:tcPr>
          <w:p>
            <w:pPr>
              <w:spacing w:after="0"/>
              <w:rPr>
                <w:sz w:val="3"/>
                <w:szCs w:val="3"/>
                <w:color w:val="auto"/>
              </w:rPr>
            </w:pPr>
          </w:p>
        </w:tc>
        <w:tc>
          <w:tcPr>
            <w:tcW w:w="240" w:type="dxa"/>
            <w:vAlign w:val="bottom"/>
            <w:tcBorders>
              <w:right w:val="single" w:sz="8" w:color="70AD47"/>
            </w:tcBorders>
            <w:shd w:val="clear" w:color="auto" w:fill="C6E0B4"/>
          </w:tcPr>
          <w:p>
            <w:pPr>
              <w:spacing w:after="0"/>
              <w:rPr>
                <w:sz w:val="3"/>
                <w:szCs w:val="3"/>
                <w:color w:val="auto"/>
              </w:rPr>
            </w:pPr>
          </w:p>
        </w:tc>
        <w:tc>
          <w:tcPr>
            <w:tcW w:w="9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9"/>
                <w:szCs w:val="9"/>
                <w:b w:val="1"/>
                <w:bCs w:val="1"/>
                <w:color w:val="auto"/>
              </w:rPr>
              <w:t>731</w:t>
            </w:r>
          </w:p>
        </w:tc>
        <w:tc>
          <w:tcPr>
            <w:tcW w:w="940" w:type="dxa"/>
            <w:vAlign w:val="bottom"/>
            <w:tcBorders>
              <w:right w:val="single" w:sz="8" w:color="70AD47"/>
            </w:tcBorders>
            <w:shd w:val="clear" w:color="auto" w:fill="C6E0B4"/>
          </w:tcPr>
          <w:p>
            <w:pPr>
              <w:spacing w:after="0"/>
              <w:rPr>
                <w:sz w:val="3"/>
                <w:szCs w:val="3"/>
                <w:color w:val="auto"/>
              </w:rPr>
            </w:pPr>
          </w:p>
        </w:tc>
        <w:tc>
          <w:tcPr>
            <w:tcW w:w="920" w:type="dxa"/>
            <w:vAlign w:val="bottom"/>
            <w:vMerge w:val="restart"/>
            <w:shd w:val="clear" w:color="auto" w:fill="C6E0B4"/>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20"/>
                <w:szCs w:val="20"/>
                <w:color w:val="auto"/>
              </w:rPr>
            </w:pPr>
            <w:r>
              <w:rPr>
                <w:rFonts w:ascii="Arial" w:cs="Arial" w:eastAsia="Arial" w:hAnsi="Arial"/>
                <w:sz w:val="9"/>
                <w:szCs w:val="9"/>
                <w:color w:val="auto"/>
              </w:rPr>
              <w:t>Acquisition of non-controlling interest</w:t>
            </w:r>
          </w:p>
        </w:tc>
        <w:tc>
          <w:tcPr>
            <w:tcW w:w="680" w:type="dxa"/>
            <w:vAlign w:val="bottom"/>
            <w:tcBorders>
              <w:right w:val="single" w:sz="8" w:color="70AD47"/>
            </w:tcBorders>
          </w:tcPr>
          <w:p>
            <w:pPr>
              <w:jc w:val="center"/>
              <w:spacing w:after="0"/>
              <w:rPr>
                <w:sz w:val="20"/>
                <w:szCs w:val="20"/>
                <w:color w:val="auto"/>
              </w:rPr>
            </w:pPr>
            <w:r>
              <w:rPr>
                <w:rFonts w:ascii="Arial" w:cs="Arial" w:eastAsia="Arial" w:hAnsi="Arial"/>
                <w:sz w:val="9"/>
                <w:szCs w:val="9"/>
                <w:color w:val="auto"/>
                <w:w w:val="79"/>
              </w:rPr>
              <w:t>16</w:t>
            </w:r>
          </w:p>
        </w:tc>
        <w:tc>
          <w:tcPr>
            <w:tcW w:w="900" w:type="dxa"/>
            <w:vAlign w:val="bottom"/>
            <w:shd w:val="clear" w:color="auto" w:fill="C6E0B4"/>
          </w:tcPr>
          <w:p>
            <w:pPr>
              <w:jc w:val="right"/>
              <w:spacing w:after="0"/>
              <w:rPr>
                <w:sz w:val="20"/>
                <w:szCs w:val="20"/>
                <w:color w:val="auto"/>
              </w:rPr>
            </w:pPr>
            <w:r>
              <w:rPr>
                <w:rFonts w:ascii="Arial" w:cs="Arial" w:eastAsia="Arial" w:hAnsi="Arial"/>
                <w:sz w:val="9"/>
                <w:szCs w:val="9"/>
                <w:color w:val="auto"/>
              </w:rPr>
              <w:t>2,375</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(1,644)</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6E0B4"/>
          </w:tcPr>
          <w:p>
            <w:pPr>
              <w:spacing w:after="0"/>
              <w:rPr>
                <w:sz w:val="9"/>
                <w:szCs w:val="9"/>
                <w:color w:val="auto"/>
              </w:rPr>
            </w:pPr>
          </w:p>
        </w:tc>
        <w:tc>
          <w:tcPr>
            <w:tcW w:w="80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6E0B4"/>
          </w:tcPr>
          <w:p>
            <w:pPr>
              <w:spacing w:after="0"/>
              <w:rPr>
                <w:sz w:val="9"/>
                <w:szCs w:val="9"/>
                <w:color w:val="auto"/>
              </w:rPr>
            </w:pPr>
          </w:p>
        </w:tc>
        <w:tc>
          <w:tcPr>
            <w:tcW w:w="520" w:type="dxa"/>
            <w:vAlign w:val="bottom"/>
            <w:shd w:val="clear" w:color="auto" w:fill="C6E0B4"/>
          </w:tcPr>
          <w:p>
            <w:pPr>
              <w:spacing w:after="0"/>
              <w:rPr>
                <w:sz w:val="9"/>
                <w:szCs w:val="9"/>
                <w:color w:val="auto"/>
              </w:rPr>
            </w:pPr>
          </w:p>
        </w:tc>
        <w:tc>
          <w:tcPr>
            <w:tcW w:w="2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vMerge w:val="continue"/>
            <w:shd w:val="clear" w:color="auto" w:fill="C6E0B4"/>
          </w:tcPr>
          <w:p>
            <w:pPr>
              <w:spacing w:after="0"/>
              <w:rPr>
                <w:sz w:val="9"/>
                <w:szCs w:val="9"/>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(731)</w:t>
            </w:r>
          </w:p>
        </w:tc>
        <w:tc>
          <w:tcPr>
            <w:tcW w:w="920" w:type="dxa"/>
            <w:vAlign w:val="bottom"/>
            <w:vMerge w:val="continue"/>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20"/>
                <w:szCs w:val="20"/>
                <w:color w:val="auto"/>
              </w:rPr>
            </w:pPr>
            <w:r>
              <w:rPr>
                <w:rFonts w:ascii="Arial" w:cs="Arial" w:eastAsia="Arial" w:hAnsi="Arial"/>
                <w:sz w:val="9"/>
                <w:szCs w:val="9"/>
                <w:color w:val="auto"/>
              </w:rPr>
              <w:t>Transaction costs</w:t>
            </w:r>
          </w:p>
        </w:tc>
        <w:tc>
          <w:tcPr>
            <w:tcW w:w="680" w:type="dxa"/>
            <w:vAlign w:val="bottom"/>
            <w:tcBorders>
              <w:right w:val="single" w:sz="8" w:color="70AD47"/>
            </w:tcBorders>
          </w:tcPr>
          <w:p>
            <w:pPr>
              <w:jc w:val="center"/>
              <w:spacing w:after="0"/>
              <w:rPr>
                <w:sz w:val="20"/>
                <w:szCs w:val="20"/>
                <w:color w:val="auto"/>
              </w:rPr>
            </w:pPr>
            <w:r>
              <w:rPr>
                <w:rFonts w:ascii="Arial" w:cs="Arial" w:eastAsia="Arial" w:hAnsi="Arial"/>
                <w:sz w:val="9"/>
                <w:szCs w:val="9"/>
                <w:color w:val="auto"/>
                <w:w w:val="79"/>
              </w:rPr>
              <w:t>16</w:t>
            </w:r>
          </w:p>
        </w:tc>
        <w:tc>
          <w:tcPr>
            <w:tcW w:w="90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(16,638)</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6E0B4"/>
          </w:tcPr>
          <w:p>
            <w:pPr>
              <w:spacing w:after="0"/>
              <w:rPr>
                <w:sz w:val="9"/>
                <w:szCs w:val="9"/>
                <w:color w:val="auto"/>
              </w:rPr>
            </w:pPr>
          </w:p>
        </w:tc>
        <w:tc>
          <w:tcPr>
            <w:tcW w:w="80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220" w:type="dxa"/>
            <w:vAlign w:val="bottom"/>
            <w:shd w:val="clear" w:color="auto" w:fill="C6E0B4"/>
          </w:tcPr>
          <w:p>
            <w:pPr>
              <w:spacing w:after="0"/>
              <w:rPr>
                <w:sz w:val="9"/>
                <w:szCs w:val="9"/>
                <w:color w:val="auto"/>
              </w:rPr>
            </w:pPr>
          </w:p>
        </w:tc>
        <w:tc>
          <w:tcPr>
            <w:tcW w:w="520" w:type="dxa"/>
            <w:vAlign w:val="bottom"/>
            <w:shd w:val="clear" w:color="auto" w:fill="C6E0B4"/>
          </w:tcPr>
          <w:p>
            <w:pPr>
              <w:spacing w:after="0"/>
              <w:rPr>
                <w:sz w:val="9"/>
                <w:szCs w:val="9"/>
                <w:color w:val="auto"/>
              </w:rPr>
            </w:pPr>
          </w:p>
        </w:tc>
        <w:tc>
          <w:tcPr>
            <w:tcW w:w="2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(16,638)</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(16,638)</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20"/>
                <w:szCs w:val="20"/>
                <w:color w:val="auto"/>
              </w:rPr>
            </w:pPr>
            <w:r>
              <w:rPr>
                <w:rFonts w:ascii="Arial" w:cs="Arial" w:eastAsia="Arial" w:hAnsi="Arial"/>
                <w:sz w:val="9"/>
                <w:szCs w:val="9"/>
                <w:color w:val="auto"/>
              </w:rPr>
              <w:t>Share-based payments</w:t>
            </w:r>
          </w:p>
        </w:tc>
        <w:tc>
          <w:tcPr>
            <w:tcW w:w="680" w:type="dxa"/>
            <w:vAlign w:val="bottom"/>
            <w:tcBorders>
              <w:right w:val="single" w:sz="8" w:color="70AD47"/>
            </w:tcBorders>
          </w:tcPr>
          <w:p>
            <w:pPr>
              <w:jc w:val="center"/>
              <w:spacing w:after="0"/>
              <w:rPr>
                <w:sz w:val="20"/>
                <w:szCs w:val="20"/>
                <w:color w:val="auto"/>
              </w:rPr>
            </w:pPr>
            <w:r>
              <w:rPr>
                <w:rFonts w:ascii="Arial" w:cs="Arial" w:eastAsia="Arial" w:hAnsi="Arial"/>
                <w:sz w:val="9"/>
                <w:szCs w:val="9"/>
                <w:color w:val="auto"/>
                <w:w w:val="79"/>
              </w:rPr>
              <w:t>17</w:t>
            </w:r>
          </w:p>
        </w:tc>
        <w:tc>
          <w:tcPr>
            <w:tcW w:w="90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6E0B4"/>
          </w:tcPr>
          <w:p>
            <w:pPr>
              <w:spacing w:after="0"/>
              <w:rPr>
                <w:sz w:val="10"/>
                <w:szCs w:val="10"/>
                <w:color w:val="auto"/>
              </w:rPr>
            </w:pPr>
          </w:p>
        </w:tc>
        <w:tc>
          <w:tcPr>
            <w:tcW w:w="800" w:type="dxa"/>
            <w:vAlign w:val="bottom"/>
            <w:shd w:val="clear" w:color="auto" w:fill="C6E0B4"/>
          </w:tcPr>
          <w:p>
            <w:pPr>
              <w:jc w:val="right"/>
              <w:spacing w:after="0"/>
              <w:rPr>
                <w:sz w:val="20"/>
                <w:szCs w:val="20"/>
                <w:color w:val="auto"/>
              </w:rPr>
            </w:pPr>
            <w:r>
              <w:rPr>
                <w:rFonts w:ascii="Arial" w:cs="Arial" w:eastAsia="Arial" w:hAnsi="Arial"/>
                <w:sz w:val="9"/>
                <w:szCs w:val="9"/>
                <w:color w:val="auto"/>
              </w:rPr>
              <w:t>30,236</w:t>
            </w:r>
          </w:p>
        </w:tc>
        <w:tc>
          <w:tcPr>
            <w:tcW w:w="220" w:type="dxa"/>
            <w:vAlign w:val="bottom"/>
            <w:shd w:val="clear" w:color="auto" w:fill="C6E0B4"/>
          </w:tcPr>
          <w:p>
            <w:pPr>
              <w:spacing w:after="0"/>
              <w:rPr>
                <w:sz w:val="10"/>
                <w:szCs w:val="10"/>
                <w:color w:val="auto"/>
              </w:rPr>
            </w:pPr>
          </w:p>
        </w:tc>
        <w:tc>
          <w:tcPr>
            <w:tcW w:w="520" w:type="dxa"/>
            <w:vAlign w:val="bottom"/>
            <w:shd w:val="clear" w:color="auto" w:fill="C6E0B4"/>
          </w:tcPr>
          <w:p>
            <w:pPr>
              <w:spacing w:after="0"/>
              <w:rPr>
                <w:sz w:val="10"/>
                <w:szCs w:val="10"/>
                <w:color w:val="auto"/>
              </w:rPr>
            </w:pPr>
          </w:p>
        </w:tc>
        <w:tc>
          <w:tcPr>
            <w:tcW w:w="2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30,236</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30,236</w:t>
            </w:r>
          </w:p>
        </w:tc>
        <w:tc>
          <w:tcPr>
            <w:tcW w:w="0" w:type="dxa"/>
            <w:vAlign w:val="bottom"/>
          </w:tcPr>
          <w:p>
            <w:pPr>
              <w:spacing w:after="0"/>
              <w:rPr>
                <w:sz w:val="1"/>
                <w:szCs w:val="1"/>
                <w:color w:val="auto"/>
              </w:rPr>
            </w:pPr>
          </w:p>
        </w:tc>
      </w:tr>
      <w:tr>
        <w:trPr>
          <w:trHeight w:val="102"/>
        </w:trPr>
        <w:tc>
          <w:tcPr>
            <w:tcW w:w="2200" w:type="dxa"/>
            <w:vAlign w:val="bottom"/>
            <w:tcBorders>
              <w:bottom w:val="single" w:sz="8" w:color="70AD47"/>
            </w:tcBorders>
          </w:tcPr>
          <w:p>
            <w:pPr>
              <w:spacing w:after="0"/>
              <w:rPr>
                <w:sz w:val="8"/>
                <w:szCs w:val="8"/>
                <w:color w:val="auto"/>
              </w:rPr>
            </w:pPr>
          </w:p>
        </w:tc>
        <w:tc>
          <w:tcPr>
            <w:tcW w:w="680" w:type="dxa"/>
            <w:vAlign w:val="bottom"/>
            <w:tcBorders>
              <w:bottom w:val="single" w:sz="8" w:color="70AD47"/>
              <w:right w:val="single" w:sz="8" w:color="70AD47"/>
            </w:tcBorders>
          </w:tcPr>
          <w:p>
            <w:pPr>
              <w:spacing w:after="0"/>
              <w:rPr>
                <w:sz w:val="8"/>
                <w:szCs w:val="8"/>
                <w:color w:val="auto"/>
              </w:rPr>
            </w:pPr>
          </w:p>
        </w:tc>
        <w:tc>
          <w:tcPr>
            <w:tcW w:w="900" w:type="dxa"/>
            <w:vAlign w:val="bottom"/>
            <w:tcBorders>
              <w:bottom w:val="single" w:sz="8" w:color="70AD47"/>
            </w:tcBorders>
            <w:shd w:val="clear" w:color="auto" w:fill="C6E0B4"/>
          </w:tcPr>
          <w:p>
            <w:pPr>
              <w:spacing w:after="0"/>
              <w:rPr>
                <w:sz w:val="8"/>
                <w:szCs w:val="8"/>
                <w:color w:val="auto"/>
              </w:rPr>
            </w:pPr>
          </w:p>
        </w:tc>
        <w:tc>
          <w:tcPr>
            <w:tcW w:w="940" w:type="dxa"/>
            <w:vAlign w:val="bottom"/>
            <w:tcBorders>
              <w:bottom w:val="single" w:sz="8" w:color="70AD47"/>
            </w:tcBorders>
            <w:shd w:val="clear" w:color="auto" w:fill="C6E0B4"/>
          </w:tcPr>
          <w:p>
            <w:pPr>
              <w:spacing w:after="0"/>
              <w:rPr>
                <w:sz w:val="8"/>
                <w:szCs w:val="8"/>
                <w:color w:val="auto"/>
              </w:rPr>
            </w:pPr>
          </w:p>
        </w:tc>
        <w:tc>
          <w:tcPr>
            <w:tcW w:w="920" w:type="dxa"/>
            <w:vAlign w:val="bottom"/>
            <w:tcBorders>
              <w:bottom w:val="single" w:sz="8" w:color="70AD47"/>
            </w:tcBorders>
            <w:shd w:val="clear" w:color="auto" w:fill="C6E0B4"/>
          </w:tcPr>
          <w:p>
            <w:pPr>
              <w:spacing w:after="0"/>
              <w:rPr>
                <w:sz w:val="8"/>
                <w:szCs w:val="8"/>
                <w:color w:val="auto"/>
              </w:rPr>
            </w:pPr>
          </w:p>
        </w:tc>
        <w:tc>
          <w:tcPr>
            <w:tcW w:w="940" w:type="dxa"/>
            <w:vAlign w:val="bottom"/>
            <w:tcBorders>
              <w:bottom w:val="single" w:sz="8" w:color="70AD47"/>
            </w:tcBorders>
            <w:shd w:val="clear" w:color="auto" w:fill="C6E0B4"/>
          </w:tcPr>
          <w:p>
            <w:pPr>
              <w:spacing w:after="0"/>
              <w:rPr>
                <w:sz w:val="8"/>
                <w:szCs w:val="8"/>
                <w:color w:val="auto"/>
              </w:rPr>
            </w:pPr>
          </w:p>
        </w:tc>
        <w:tc>
          <w:tcPr>
            <w:tcW w:w="120" w:type="dxa"/>
            <w:vAlign w:val="bottom"/>
            <w:tcBorders>
              <w:bottom w:val="single" w:sz="8" w:color="70AD47"/>
            </w:tcBorders>
            <w:shd w:val="clear" w:color="auto" w:fill="C6E0B4"/>
          </w:tcPr>
          <w:p>
            <w:pPr>
              <w:spacing w:after="0"/>
              <w:rPr>
                <w:sz w:val="8"/>
                <w:szCs w:val="8"/>
                <w:color w:val="auto"/>
              </w:rPr>
            </w:pPr>
          </w:p>
        </w:tc>
        <w:tc>
          <w:tcPr>
            <w:tcW w:w="800" w:type="dxa"/>
            <w:vAlign w:val="bottom"/>
            <w:tcBorders>
              <w:bottom w:val="single" w:sz="8" w:color="70AD47"/>
            </w:tcBorders>
            <w:shd w:val="clear" w:color="auto" w:fill="C6E0B4"/>
          </w:tcPr>
          <w:p>
            <w:pPr>
              <w:spacing w:after="0"/>
              <w:rPr>
                <w:sz w:val="8"/>
                <w:szCs w:val="8"/>
                <w:color w:val="auto"/>
              </w:rPr>
            </w:pPr>
          </w:p>
        </w:tc>
        <w:tc>
          <w:tcPr>
            <w:tcW w:w="220" w:type="dxa"/>
            <w:vAlign w:val="bottom"/>
            <w:tcBorders>
              <w:bottom w:val="single" w:sz="8" w:color="70AD47"/>
            </w:tcBorders>
            <w:shd w:val="clear" w:color="auto" w:fill="C6E0B4"/>
          </w:tcPr>
          <w:p>
            <w:pPr>
              <w:spacing w:after="0"/>
              <w:rPr>
                <w:sz w:val="8"/>
                <w:szCs w:val="8"/>
                <w:color w:val="auto"/>
              </w:rPr>
            </w:pPr>
          </w:p>
        </w:tc>
        <w:tc>
          <w:tcPr>
            <w:tcW w:w="520" w:type="dxa"/>
            <w:vAlign w:val="bottom"/>
            <w:tcBorders>
              <w:bottom w:val="single" w:sz="8" w:color="70AD47"/>
            </w:tcBorders>
            <w:shd w:val="clear" w:color="auto" w:fill="C6E0B4"/>
          </w:tcPr>
          <w:p>
            <w:pPr>
              <w:spacing w:after="0"/>
              <w:rPr>
                <w:sz w:val="8"/>
                <w:szCs w:val="8"/>
                <w:color w:val="auto"/>
              </w:rPr>
            </w:pPr>
          </w:p>
        </w:tc>
        <w:tc>
          <w:tcPr>
            <w:tcW w:w="240" w:type="dxa"/>
            <w:vAlign w:val="bottom"/>
            <w:tcBorders>
              <w:bottom w:val="single" w:sz="8" w:color="70AD47"/>
              <w:right w:val="single" w:sz="8" w:color="70AD47"/>
            </w:tcBorders>
            <w:shd w:val="clear" w:color="auto" w:fill="C6E0B4"/>
          </w:tcPr>
          <w:p>
            <w:pPr>
              <w:spacing w:after="0"/>
              <w:rPr>
                <w:sz w:val="8"/>
                <w:szCs w:val="8"/>
                <w:color w:val="auto"/>
              </w:rPr>
            </w:pPr>
          </w:p>
        </w:tc>
        <w:tc>
          <w:tcPr>
            <w:tcW w:w="940" w:type="dxa"/>
            <w:vAlign w:val="bottom"/>
            <w:tcBorders>
              <w:bottom w:val="single" w:sz="8" w:color="70AD47"/>
              <w:right w:val="single" w:sz="8" w:color="70AD47"/>
            </w:tcBorders>
            <w:shd w:val="clear" w:color="auto" w:fill="C6E0B4"/>
          </w:tcPr>
          <w:p>
            <w:pPr>
              <w:spacing w:after="0"/>
              <w:rPr>
                <w:sz w:val="8"/>
                <w:szCs w:val="8"/>
                <w:color w:val="auto"/>
              </w:rPr>
            </w:pPr>
          </w:p>
        </w:tc>
        <w:tc>
          <w:tcPr>
            <w:tcW w:w="940" w:type="dxa"/>
            <w:vAlign w:val="bottom"/>
            <w:tcBorders>
              <w:bottom w:val="single" w:sz="8" w:color="70AD47"/>
              <w:right w:val="single" w:sz="8" w:color="70AD47"/>
            </w:tcBorders>
            <w:shd w:val="clear" w:color="auto" w:fill="C6E0B4"/>
          </w:tcPr>
          <w:p>
            <w:pPr>
              <w:spacing w:after="0"/>
              <w:rPr>
                <w:sz w:val="8"/>
                <w:szCs w:val="8"/>
                <w:color w:val="auto"/>
              </w:rPr>
            </w:pPr>
          </w:p>
        </w:tc>
        <w:tc>
          <w:tcPr>
            <w:tcW w:w="920" w:type="dxa"/>
            <w:vAlign w:val="bottom"/>
            <w:tcBorders>
              <w:bottom w:val="single" w:sz="8" w:color="70AD47"/>
            </w:tcBorders>
            <w:shd w:val="clear" w:color="auto" w:fill="C6E0B4"/>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200" w:type="dxa"/>
            <w:vAlign w:val="bottom"/>
          </w:tcPr>
          <w:p>
            <w:pPr>
              <w:spacing w:after="0"/>
              <w:rPr>
                <w:sz w:val="20"/>
                <w:szCs w:val="20"/>
                <w:color w:val="auto"/>
              </w:rPr>
            </w:pPr>
            <w:r>
              <w:rPr>
                <w:rFonts w:ascii="Arial" w:cs="Arial" w:eastAsia="Arial" w:hAnsi="Arial"/>
                <w:sz w:val="9"/>
                <w:szCs w:val="9"/>
                <w:b w:val="1"/>
                <w:bCs w:val="1"/>
                <w:color w:val="auto"/>
              </w:rPr>
              <w:t>As of December 31, 2019</w:t>
            </w:r>
          </w:p>
        </w:tc>
        <w:tc>
          <w:tcPr>
            <w:tcW w:w="680" w:type="dxa"/>
            <w:vAlign w:val="bottom"/>
            <w:tcBorders>
              <w:right w:val="single" w:sz="8" w:color="70AD47"/>
            </w:tcBorders>
          </w:tcPr>
          <w:p>
            <w:pPr>
              <w:spacing w:after="0"/>
              <w:rPr>
                <w:sz w:val="9"/>
                <w:szCs w:val="9"/>
                <w:color w:val="auto"/>
              </w:rPr>
            </w:pPr>
          </w:p>
        </w:tc>
        <w:tc>
          <w:tcPr>
            <w:tcW w:w="90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€232,304</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686,714</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(5,525)</w:t>
            </w:r>
          </w:p>
        </w:tc>
        <w:tc>
          <w:tcPr>
            <w:tcW w:w="94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(424,827)</w:t>
            </w:r>
          </w:p>
        </w:tc>
        <w:tc>
          <w:tcPr>
            <w:tcW w:w="120" w:type="dxa"/>
            <w:vAlign w:val="bottom"/>
            <w:shd w:val="clear" w:color="auto" w:fill="C6E0B4"/>
          </w:tcPr>
          <w:p>
            <w:pPr>
              <w:spacing w:after="0"/>
              <w:rPr>
                <w:sz w:val="9"/>
                <w:szCs w:val="9"/>
                <w:color w:val="auto"/>
              </w:rPr>
            </w:pPr>
          </w:p>
        </w:tc>
        <w:tc>
          <w:tcPr>
            <w:tcW w:w="80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4,762</w:t>
            </w:r>
          </w:p>
        </w:tc>
        <w:tc>
          <w:tcPr>
            <w:tcW w:w="220" w:type="dxa"/>
            <w:vAlign w:val="bottom"/>
            <w:shd w:val="clear" w:color="auto" w:fill="C6E0B4"/>
          </w:tcPr>
          <w:p>
            <w:pPr>
              <w:spacing w:after="0"/>
              <w:rPr>
                <w:sz w:val="9"/>
                <w:szCs w:val="9"/>
                <w:color w:val="auto"/>
              </w:rPr>
            </w:pPr>
          </w:p>
        </w:tc>
        <w:tc>
          <w:tcPr>
            <w:tcW w:w="520" w:type="dxa"/>
            <w:vAlign w:val="bottom"/>
            <w:shd w:val="clear" w:color="auto" w:fill="C6E0B4"/>
          </w:tcPr>
          <w:p>
            <w:pPr>
              <w:spacing w:after="0"/>
              <w:rPr>
                <w:sz w:val="9"/>
                <w:szCs w:val="9"/>
                <w:color w:val="auto"/>
              </w:rPr>
            </w:pPr>
          </w:p>
        </w:tc>
        <w:tc>
          <w:tcPr>
            <w:tcW w:w="2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64</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493,492</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9"/>
                <w:szCs w:val="9"/>
                <w:b w:val="1"/>
                <w:bCs w:val="1"/>
                <w:color w:val="auto"/>
              </w:rPr>
              <w:t>-</w:t>
            </w:r>
          </w:p>
        </w:tc>
        <w:tc>
          <w:tcPr>
            <w:tcW w:w="920" w:type="dxa"/>
            <w:vAlign w:val="bottom"/>
            <w:shd w:val="clear" w:color="auto" w:fill="C6E0B4"/>
          </w:tcPr>
          <w:p>
            <w:pPr>
              <w:jc w:val="right"/>
              <w:spacing w:after="0"/>
              <w:rPr>
                <w:sz w:val="20"/>
                <w:szCs w:val="20"/>
                <w:color w:val="auto"/>
              </w:rPr>
            </w:pPr>
            <w:r>
              <w:rPr>
                <w:rFonts w:ascii="Arial" w:cs="Arial" w:eastAsia="Arial" w:hAnsi="Arial"/>
                <w:sz w:val="9"/>
                <w:szCs w:val="9"/>
                <w:b w:val="1"/>
                <w:bCs w:val="1"/>
                <w:color w:val="auto"/>
              </w:rPr>
              <w:t>493,492</w:t>
            </w:r>
          </w:p>
        </w:tc>
        <w:tc>
          <w:tcPr>
            <w:tcW w:w="0" w:type="dxa"/>
            <w:vAlign w:val="bottom"/>
          </w:tcPr>
          <w:p>
            <w:pPr>
              <w:spacing w:after="0"/>
              <w:rPr>
                <w:sz w:val="1"/>
                <w:szCs w:val="1"/>
                <w:color w:val="auto"/>
              </w:rPr>
            </w:pPr>
          </w:p>
        </w:tc>
      </w:tr>
      <w:tr>
        <w:trPr>
          <w:trHeight w:val="99"/>
        </w:trPr>
        <w:tc>
          <w:tcPr>
            <w:tcW w:w="2200" w:type="dxa"/>
            <w:vAlign w:val="bottom"/>
            <w:tcBorders>
              <w:bottom w:val="single" w:sz="8" w:color="70AD47"/>
            </w:tcBorders>
          </w:tcPr>
          <w:p>
            <w:pPr>
              <w:spacing w:after="0"/>
              <w:rPr>
                <w:sz w:val="8"/>
                <w:szCs w:val="8"/>
                <w:color w:val="auto"/>
              </w:rPr>
            </w:pPr>
          </w:p>
        </w:tc>
        <w:tc>
          <w:tcPr>
            <w:tcW w:w="680" w:type="dxa"/>
            <w:vAlign w:val="bottom"/>
            <w:tcBorders>
              <w:bottom w:val="single" w:sz="8" w:color="70AD47"/>
              <w:right w:val="single" w:sz="8" w:color="70AD47"/>
            </w:tcBorders>
          </w:tcPr>
          <w:p>
            <w:pPr>
              <w:spacing w:after="0"/>
              <w:rPr>
                <w:sz w:val="8"/>
                <w:szCs w:val="8"/>
                <w:color w:val="auto"/>
              </w:rPr>
            </w:pPr>
          </w:p>
        </w:tc>
        <w:tc>
          <w:tcPr>
            <w:tcW w:w="900" w:type="dxa"/>
            <w:vAlign w:val="bottom"/>
            <w:tcBorders>
              <w:bottom w:val="single" w:sz="8" w:color="70AD47"/>
            </w:tcBorders>
            <w:shd w:val="clear" w:color="auto" w:fill="C6E0B4"/>
          </w:tcPr>
          <w:p>
            <w:pPr>
              <w:spacing w:after="0"/>
              <w:rPr>
                <w:sz w:val="8"/>
                <w:szCs w:val="8"/>
                <w:color w:val="auto"/>
              </w:rPr>
            </w:pPr>
          </w:p>
        </w:tc>
        <w:tc>
          <w:tcPr>
            <w:tcW w:w="940" w:type="dxa"/>
            <w:vAlign w:val="bottom"/>
            <w:tcBorders>
              <w:bottom w:val="single" w:sz="8" w:color="70AD47"/>
            </w:tcBorders>
            <w:shd w:val="clear" w:color="auto" w:fill="C6E0B4"/>
          </w:tcPr>
          <w:p>
            <w:pPr>
              <w:spacing w:after="0"/>
              <w:rPr>
                <w:sz w:val="8"/>
                <w:szCs w:val="8"/>
                <w:color w:val="auto"/>
              </w:rPr>
            </w:pPr>
          </w:p>
        </w:tc>
        <w:tc>
          <w:tcPr>
            <w:tcW w:w="920" w:type="dxa"/>
            <w:vAlign w:val="bottom"/>
            <w:tcBorders>
              <w:bottom w:val="single" w:sz="8" w:color="70AD47"/>
            </w:tcBorders>
            <w:shd w:val="clear" w:color="auto" w:fill="C6E0B4"/>
          </w:tcPr>
          <w:p>
            <w:pPr>
              <w:spacing w:after="0"/>
              <w:rPr>
                <w:sz w:val="8"/>
                <w:szCs w:val="8"/>
                <w:color w:val="auto"/>
              </w:rPr>
            </w:pPr>
          </w:p>
        </w:tc>
        <w:tc>
          <w:tcPr>
            <w:tcW w:w="940" w:type="dxa"/>
            <w:vAlign w:val="bottom"/>
            <w:tcBorders>
              <w:bottom w:val="single" w:sz="8" w:color="70AD47"/>
            </w:tcBorders>
            <w:shd w:val="clear" w:color="auto" w:fill="C6E0B4"/>
          </w:tcPr>
          <w:p>
            <w:pPr>
              <w:spacing w:after="0"/>
              <w:rPr>
                <w:sz w:val="8"/>
                <w:szCs w:val="8"/>
                <w:color w:val="auto"/>
              </w:rPr>
            </w:pPr>
          </w:p>
        </w:tc>
        <w:tc>
          <w:tcPr>
            <w:tcW w:w="120" w:type="dxa"/>
            <w:vAlign w:val="bottom"/>
            <w:tcBorders>
              <w:bottom w:val="single" w:sz="8" w:color="70AD47"/>
            </w:tcBorders>
            <w:shd w:val="clear" w:color="auto" w:fill="C6E0B4"/>
          </w:tcPr>
          <w:p>
            <w:pPr>
              <w:spacing w:after="0"/>
              <w:rPr>
                <w:sz w:val="8"/>
                <w:szCs w:val="8"/>
                <w:color w:val="auto"/>
              </w:rPr>
            </w:pPr>
          </w:p>
        </w:tc>
        <w:tc>
          <w:tcPr>
            <w:tcW w:w="800" w:type="dxa"/>
            <w:vAlign w:val="bottom"/>
            <w:tcBorders>
              <w:bottom w:val="single" w:sz="8" w:color="70AD47"/>
            </w:tcBorders>
            <w:shd w:val="clear" w:color="auto" w:fill="C6E0B4"/>
          </w:tcPr>
          <w:p>
            <w:pPr>
              <w:spacing w:after="0"/>
              <w:rPr>
                <w:sz w:val="8"/>
                <w:szCs w:val="8"/>
                <w:color w:val="auto"/>
              </w:rPr>
            </w:pPr>
          </w:p>
        </w:tc>
        <w:tc>
          <w:tcPr>
            <w:tcW w:w="220" w:type="dxa"/>
            <w:vAlign w:val="bottom"/>
            <w:tcBorders>
              <w:bottom w:val="single" w:sz="8" w:color="70AD47"/>
            </w:tcBorders>
            <w:shd w:val="clear" w:color="auto" w:fill="C6E0B4"/>
          </w:tcPr>
          <w:p>
            <w:pPr>
              <w:spacing w:after="0"/>
              <w:rPr>
                <w:sz w:val="8"/>
                <w:szCs w:val="8"/>
                <w:color w:val="auto"/>
              </w:rPr>
            </w:pPr>
          </w:p>
        </w:tc>
        <w:tc>
          <w:tcPr>
            <w:tcW w:w="520" w:type="dxa"/>
            <w:vAlign w:val="bottom"/>
            <w:tcBorders>
              <w:bottom w:val="single" w:sz="8" w:color="70AD47"/>
            </w:tcBorders>
            <w:shd w:val="clear" w:color="auto" w:fill="C6E0B4"/>
          </w:tcPr>
          <w:p>
            <w:pPr>
              <w:spacing w:after="0"/>
              <w:rPr>
                <w:sz w:val="8"/>
                <w:szCs w:val="8"/>
                <w:color w:val="auto"/>
              </w:rPr>
            </w:pPr>
          </w:p>
        </w:tc>
        <w:tc>
          <w:tcPr>
            <w:tcW w:w="240" w:type="dxa"/>
            <w:vAlign w:val="bottom"/>
            <w:tcBorders>
              <w:bottom w:val="single" w:sz="8" w:color="70AD47"/>
              <w:right w:val="single" w:sz="8" w:color="70AD47"/>
            </w:tcBorders>
            <w:shd w:val="clear" w:color="auto" w:fill="C6E0B4"/>
          </w:tcPr>
          <w:p>
            <w:pPr>
              <w:spacing w:after="0"/>
              <w:rPr>
                <w:sz w:val="8"/>
                <w:szCs w:val="8"/>
                <w:color w:val="auto"/>
              </w:rPr>
            </w:pPr>
          </w:p>
        </w:tc>
        <w:tc>
          <w:tcPr>
            <w:tcW w:w="940" w:type="dxa"/>
            <w:vAlign w:val="bottom"/>
            <w:tcBorders>
              <w:bottom w:val="single" w:sz="8" w:color="70AD47"/>
              <w:right w:val="single" w:sz="8" w:color="70AD47"/>
            </w:tcBorders>
            <w:shd w:val="clear" w:color="auto" w:fill="C6E0B4"/>
          </w:tcPr>
          <w:p>
            <w:pPr>
              <w:spacing w:after="0"/>
              <w:rPr>
                <w:sz w:val="8"/>
                <w:szCs w:val="8"/>
                <w:color w:val="auto"/>
              </w:rPr>
            </w:pPr>
          </w:p>
        </w:tc>
        <w:tc>
          <w:tcPr>
            <w:tcW w:w="940" w:type="dxa"/>
            <w:vAlign w:val="bottom"/>
            <w:tcBorders>
              <w:bottom w:val="single" w:sz="8" w:color="70AD47"/>
              <w:right w:val="single" w:sz="8" w:color="70AD47"/>
            </w:tcBorders>
            <w:shd w:val="clear" w:color="auto" w:fill="C6E0B4"/>
          </w:tcPr>
          <w:p>
            <w:pPr>
              <w:spacing w:after="0"/>
              <w:rPr>
                <w:sz w:val="8"/>
                <w:szCs w:val="8"/>
                <w:color w:val="auto"/>
              </w:rPr>
            </w:pPr>
          </w:p>
        </w:tc>
        <w:tc>
          <w:tcPr>
            <w:tcW w:w="920" w:type="dxa"/>
            <w:vAlign w:val="bottom"/>
            <w:tcBorders>
              <w:bottom w:val="single" w:sz="8" w:color="70AD47"/>
            </w:tcBorders>
            <w:shd w:val="clear" w:color="auto" w:fill="C6E0B4"/>
          </w:tcPr>
          <w:p>
            <w:pPr>
              <w:spacing w:after="0"/>
              <w:rPr>
                <w:sz w:val="8"/>
                <w:szCs w:val="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9"/>
          <w:szCs w:val="9"/>
          <w:color w:val="auto"/>
        </w:rPr>
        <w:t>* Numbers have been adjusted to reflect capital increase due to 1:18 share split which occurred on September 18,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40" w:type="dxa"/>
            <w:vAlign w:val="bottom"/>
            <w:gridSpan w:val="2"/>
          </w:tcPr>
          <w:p>
            <w:pPr>
              <w:jc w:val="right"/>
              <w:spacing w:after="0"/>
              <w:rPr>
                <w:sz w:val="20"/>
                <w:szCs w:val="20"/>
                <w:color w:val="auto"/>
              </w:rPr>
            </w:pPr>
            <w:r>
              <w:rPr>
                <w:rFonts w:ascii="Arial" w:cs="Arial" w:eastAsia="Arial" w:hAnsi="Arial"/>
                <w:sz w:val="9"/>
                <w:szCs w:val="9"/>
                <w:b w:val="1"/>
                <w:bCs w:val="1"/>
                <w:color w:val="auto"/>
              </w:rPr>
              <w:t>Year ended December 31, 2018</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Borders>
              <w:bottom w:val="single" w:sz="8" w:color="70AD47"/>
            </w:tcBorders>
          </w:tcPr>
          <w:p>
            <w:pPr>
              <w:spacing w:after="0"/>
              <w:rPr>
                <w:sz w:val="9"/>
                <w:szCs w:val="9"/>
                <w:color w:val="auto"/>
              </w:rPr>
            </w:pPr>
          </w:p>
        </w:tc>
        <w:tc>
          <w:tcPr>
            <w:tcW w:w="2840" w:type="dxa"/>
            <w:vAlign w:val="bottom"/>
            <w:tcBorders>
              <w:bottom w:val="single" w:sz="8" w:color="70AD47"/>
            </w:tcBorders>
            <w:gridSpan w:val="3"/>
          </w:tcPr>
          <w:p>
            <w:pPr>
              <w:jc w:val="right"/>
              <w:spacing w:after="0"/>
              <w:rPr>
                <w:sz w:val="20"/>
                <w:szCs w:val="20"/>
                <w:color w:val="auto"/>
              </w:rPr>
            </w:pPr>
            <w:r>
              <w:rPr>
                <w:rFonts w:ascii="Arial" w:cs="Arial" w:eastAsia="Arial" w:hAnsi="Arial"/>
                <w:sz w:val="9"/>
                <w:szCs w:val="9"/>
                <w:b w:val="1"/>
                <w:bCs w:val="1"/>
                <w:color w:val="auto"/>
              </w:rPr>
              <w:t>Equity attributable to equity holders of the parent</w:t>
            </w:r>
          </w:p>
        </w:tc>
        <w:tc>
          <w:tcPr>
            <w:tcW w:w="1020" w:type="dxa"/>
            <w:vAlign w:val="bottom"/>
            <w:tcBorders>
              <w:bottom w:val="single" w:sz="8" w:color="70AD47"/>
            </w:tcBorders>
          </w:tcPr>
          <w:p>
            <w:pPr>
              <w:spacing w:after="0"/>
              <w:rPr>
                <w:sz w:val="9"/>
                <w:szCs w:val="9"/>
                <w:color w:val="auto"/>
              </w:rPr>
            </w:pPr>
          </w:p>
        </w:tc>
        <w:tc>
          <w:tcPr>
            <w:tcW w:w="520" w:type="dxa"/>
            <w:vAlign w:val="bottom"/>
            <w:tcBorders>
              <w:bottom w:val="single" w:sz="8" w:color="70AD47"/>
            </w:tcBorders>
          </w:tcPr>
          <w:p>
            <w:pPr>
              <w:spacing w:after="0"/>
              <w:rPr>
                <w:sz w:val="9"/>
                <w:szCs w:val="9"/>
                <w:color w:val="auto"/>
              </w:rPr>
            </w:pPr>
          </w:p>
        </w:tc>
        <w:tc>
          <w:tcPr>
            <w:tcW w:w="24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920" w:type="dxa"/>
            <w:vAlign w:val="bottom"/>
            <w:tcBorders>
              <w:bottom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960" w:type="dxa"/>
            <w:vAlign w:val="bottom"/>
          </w:tcPr>
          <w:p>
            <w:pPr>
              <w:spacing w:after="0"/>
              <w:rPr>
                <w:sz w:val="7"/>
                <w:szCs w:val="7"/>
                <w:color w:val="auto"/>
              </w:rPr>
            </w:pPr>
          </w:p>
        </w:tc>
        <w:tc>
          <w:tcPr>
            <w:tcW w:w="920" w:type="dxa"/>
            <w:vAlign w:val="bottom"/>
            <w:tcBorders>
              <w:right w:val="single" w:sz="8" w:color="70AD47"/>
            </w:tcBorders>
          </w:tcPr>
          <w:p>
            <w:pPr>
              <w:spacing w:after="0"/>
              <w:rPr>
                <w:sz w:val="7"/>
                <w:szCs w:val="7"/>
                <w:color w:val="auto"/>
              </w:rPr>
            </w:pP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Arial" w:cs="Arial" w:eastAsia="Arial" w:hAnsi="Arial"/>
                <w:sz w:val="9"/>
                <w:szCs w:val="9"/>
                <w:b w:val="1"/>
                <w:bCs w:val="1"/>
                <w:color w:val="auto"/>
                <w:w w:val="96"/>
              </w:rPr>
              <w:t>Foreign</w:t>
            </w:r>
          </w:p>
        </w:tc>
        <w:tc>
          <w:tcPr>
            <w:tcW w:w="240" w:type="dxa"/>
            <w:vAlign w:val="bottom"/>
            <w:tcBorders>
              <w:right w:val="single" w:sz="8" w:color="70AD47"/>
            </w:tcBorders>
          </w:tcPr>
          <w:p>
            <w:pPr>
              <w:spacing w:after="0"/>
              <w:rPr>
                <w:sz w:val="7"/>
                <w:szCs w:val="7"/>
                <w:color w:val="auto"/>
              </w:rPr>
            </w:pPr>
          </w:p>
        </w:tc>
        <w:tc>
          <w:tcPr>
            <w:tcW w:w="940" w:type="dxa"/>
            <w:vAlign w:val="bottom"/>
            <w:tcBorders>
              <w:right w:val="single" w:sz="8" w:color="70AD47"/>
            </w:tcBorders>
          </w:tcPr>
          <w:p>
            <w:pPr>
              <w:spacing w:after="0"/>
              <w:rPr>
                <w:sz w:val="7"/>
                <w:szCs w:val="7"/>
                <w:color w:val="auto"/>
              </w:rPr>
            </w:pPr>
          </w:p>
        </w:tc>
        <w:tc>
          <w:tcPr>
            <w:tcW w:w="940" w:type="dxa"/>
            <w:vAlign w:val="bottom"/>
            <w:tcBorders>
              <w:right w:val="single" w:sz="8" w:color="70AD47"/>
            </w:tcBorders>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960" w:type="dxa"/>
            <w:vAlign w:val="bottom"/>
            <w:vMerge w:val="restart"/>
          </w:tcPr>
          <w:p>
            <w:pPr>
              <w:spacing w:after="0"/>
              <w:rPr>
                <w:sz w:val="20"/>
                <w:szCs w:val="20"/>
                <w:color w:val="auto"/>
              </w:rPr>
            </w:pPr>
            <w:r>
              <w:rPr>
                <w:rFonts w:ascii="Arial" w:cs="Arial" w:eastAsia="Arial" w:hAnsi="Arial"/>
                <w:sz w:val="9"/>
                <w:szCs w:val="9"/>
                <w:i w:val="1"/>
                <w:iCs w:val="1"/>
                <w:color w:val="auto"/>
              </w:rPr>
              <w:t>(in thousands)</w:t>
            </w:r>
          </w:p>
        </w:tc>
        <w:tc>
          <w:tcPr>
            <w:tcW w:w="920" w:type="dxa"/>
            <w:vAlign w:val="bottom"/>
            <w:tcBorders>
              <w:right w:val="single" w:sz="8" w:color="70AD47"/>
            </w:tcBorders>
            <w:vMerge w:val="restart"/>
          </w:tcPr>
          <w:p>
            <w:pPr>
              <w:jc w:val="center"/>
              <w:ind w:left="193"/>
              <w:spacing w:after="0"/>
              <w:rPr>
                <w:sz w:val="20"/>
                <w:szCs w:val="20"/>
                <w:color w:val="auto"/>
              </w:rPr>
            </w:pPr>
            <w:r>
              <w:rPr>
                <w:rFonts w:ascii="Arial" w:cs="Arial" w:eastAsia="Arial" w:hAnsi="Arial"/>
                <w:sz w:val="9"/>
                <w:szCs w:val="9"/>
                <w:b w:val="1"/>
                <w:bCs w:val="1"/>
                <w:color w:val="auto"/>
                <w:w w:val="99"/>
              </w:rPr>
              <w:t>Note</w:t>
            </w:r>
          </w:p>
        </w:tc>
        <w:tc>
          <w:tcPr>
            <w:tcW w:w="980" w:type="dxa"/>
            <w:vAlign w:val="bottom"/>
            <w:vMerge w:val="restart"/>
          </w:tcPr>
          <w:p>
            <w:pPr>
              <w:jc w:val="right"/>
              <w:ind w:right="213"/>
              <w:spacing w:after="0"/>
              <w:rPr>
                <w:sz w:val="20"/>
                <w:szCs w:val="20"/>
                <w:color w:val="auto"/>
              </w:rPr>
            </w:pPr>
            <w:r>
              <w:rPr>
                <w:rFonts w:ascii="Arial" w:cs="Arial" w:eastAsia="Arial" w:hAnsi="Arial"/>
                <w:sz w:val="9"/>
                <w:szCs w:val="9"/>
                <w:b w:val="1"/>
                <w:bCs w:val="1"/>
                <w:color w:val="auto"/>
              </w:rPr>
              <w:t>Share capital*</w:t>
            </w:r>
          </w:p>
        </w:tc>
        <w:tc>
          <w:tcPr>
            <w:tcW w:w="920" w:type="dxa"/>
            <w:vAlign w:val="bottom"/>
            <w:vMerge w:val="restart"/>
          </w:tcPr>
          <w:p>
            <w:pPr>
              <w:jc w:val="right"/>
              <w:ind w:right="153"/>
              <w:spacing w:after="0"/>
              <w:rPr>
                <w:sz w:val="20"/>
                <w:szCs w:val="20"/>
                <w:color w:val="auto"/>
              </w:rPr>
            </w:pPr>
            <w:r>
              <w:rPr>
                <w:rFonts w:ascii="Arial" w:cs="Arial" w:eastAsia="Arial" w:hAnsi="Arial"/>
                <w:sz w:val="9"/>
                <w:szCs w:val="9"/>
                <w:b w:val="1"/>
                <w:bCs w:val="1"/>
                <w:color w:val="auto"/>
              </w:rPr>
              <w:t>Capital reserve*</w:t>
            </w:r>
          </w:p>
        </w:tc>
        <w:tc>
          <w:tcPr>
            <w:tcW w:w="900" w:type="dxa"/>
            <w:vAlign w:val="bottom"/>
            <w:vMerge w:val="restart"/>
          </w:tcPr>
          <w:p>
            <w:pPr>
              <w:jc w:val="right"/>
              <w:ind w:right="113"/>
              <w:spacing w:after="0"/>
              <w:rPr>
                <w:sz w:val="20"/>
                <w:szCs w:val="20"/>
                <w:color w:val="auto"/>
              </w:rPr>
            </w:pPr>
            <w:r>
              <w:rPr>
                <w:rFonts w:ascii="Arial" w:cs="Arial" w:eastAsia="Arial" w:hAnsi="Arial"/>
                <w:sz w:val="9"/>
                <w:szCs w:val="9"/>
                <w:b w:val="1"/>
                <w:bCs w:val="1"/>
                <w:color w:val="auto"/>
                <w:w w:val="98"/>
              </w:rPr>
              <w:t>Treasury shares*</w:t>
            </w:r>
          </w:p>
        </w:tc>
        <w:tc>
          <w:tcPr>
            <w:tcW w:w="1020" w:type="dxa"/>
            <w:vAlign w:val="bottom"/>
            <w:vMerge w:val="restart"/>
          </w:tcPr>
          <w:p>
            <w:pPr>
              <w:jc w:val="right"/>
              <w:ind w:right="153"/>
              <w:spacing w:after="0"/>
              <w:rPr>
                <w:sz w:val="20"/>
                <w:szCs w:val="20"/>
                <w:color w:val="auto"/>
              </w:rPr>
            </w:pPr>
            <w:r>
              <w:rPr>
                <w:rFonts w:ascii="Arial" w:cs="Arial" w:eastAsia="Arial" w:hAnsi="Arial"/>
                <w:sz w:val="9"/>
                <w:szCs w:val="9"/>
                <w:b w:val="1"/>
                <w:bCs w:val="1"/>
                <w:color w:val="auto"/>
                <w:w w:val="91"/>
              </w:rPr>
              <w:t>Accumulated losses</w:t>
            </w:r>
          </w:p>
        </w:tc>
        <w:tc>
          <w:tcPr>
            <w:tcW w:w="1020" w:type="dxa"/>
            <w:vAlign w:val="bottom"/>
            <w:vMerge w:val="restart"/>
          </w:tcPr>
          <w:p>
            <w:pPr>
              <w:jc w:val="right"/>
              <w:ind w:right="333"/>
              <w:spacing w:after="0"/>
              <w:rPr>
                <w:sz w:val="20"/>
                <w:szCs w:val="20"/>
                <w:color w:val="auto"/>
              </w:rPr>
            </w:pPr>
            <w:r>
              <w:rPr>
                <w:rFonts w:ascii="Arial" w:cs="Arial" w:eastAsia="Arial" w:hAnsi="Arial"/>
                <w:sz w:val="9"/>
                <w:szCs w:val="9"/>
                <w:b w:val="1"/>
                <w:bCs w:val="1"/>
                <w:color w:val="auto"/>
                <w:w w:val="97"/>
              </w:rPr>
              <w:t>Other reserves</w:t>
            </w:r>
          </w:p>
        </w:tc>
        <w:tc>
          <w:tcPr>
            <w:tcW w:w="520" w:type="dxa"/>
            <w:vAlign w:val="bottom"/>
          </w:tcPr>
          <w:p>
            <w:pPr>
              <w:jc w:val="center"/>
              <w:spacing w:after="0" w:line="100" w:lineRule="exact"/>
              <w:rPr>
                <w:sz w:val="20"/>
                <w:szCs w:val="20"/>
                <w:color w:val="auto"/>
              </w:rPr>
            </w:pPr>
            <w:r>
              <w:rPr>
                <w:rFonts w:ascii="Arial" w:cs="Arial" w:eastAsia="Arial" w:hAnsi="Arial"/>
                <w:sz w:val="9"/>
                <w:szCs w:val="9"/>
                <w:b w:val="1"/>
                <w:bCs w:val="1"/>
                <w:color w:val="auto"/>
                <w:w w:val="94"/>
              </w:rPr>
              <w:t>currency</w:t>
            </w:r>
          </w:p>
        </w:tc>
        <w:tc>
          <w:tcPr>
            <w:tcW w:w="240" w:type="dxa"/>
            <w:vAlign w:val="bottom"/>
            <w:tcBorders>
              <w:right w:val="single" w:sz="8" w:color="70AD47"/>
            </w:tcBorders>
          </w:tcPr>
          <w:p>
            <w:pPr>
              <w:spacing w:after="0"/>
              <w:rPr>
                <w:sz w:val="8"/>
                <w:szCs w:val="8"/>
                <w:color w:val="auto"/>
              </w:rPr>
            </w:pPr>
          </w:p>
        </w:tc>
        <w:tc>
          <w:tcPr>
            <w:tcW w:w="940" w:type="dxa"/>
            <w:vAlign w:val="bottom"/>
            <w:tcBorders>
              <w:right w:val="single" w:sz="8" w:color="70AD47"/>
            </w:tcBorders>
            <w:vMerge w:val="restart"/>
          </w:tcPr>
          <w:p>
            <w:pPr>
              <w:jc w:val="right"/>
              <w:ind w:right="333"/>
              <w:spacing w:after="0"/>
              <w:rPr>
                <w:sz w:val="20"/>
                <w:szCs w:val="20"/>
                <w:color w:val="auto"/>
              </w:rPr>
            </w:pPr>
            <w:r>
              <w:rPr>
                <w:rFonts w:ascii="Arial" w:cs="Arial" w:eastAsia="Arial" w:hAnsi="Arial"/>
                <w:sz w:val="9"/>
                <w:szCs w:val="9"/>
                <w:b w:val="1"/>
                <w:bCs w:val="1"/>
                <w:color w:val="auto"/>
              </w:rPr>
              <w:t>Total</w:t>
            </w:r>
          </w:p>
        </w:tc>
        <w:tc>
          <w:tcPr>
            <w:tcW w:w="940" w:type="dxa"/>
            <w:vAlign w:val="bottom"/>
            <w:tcBorders>
              <w:right w:val="single" w:sz="8" w:color="70AD47"/>
            </w:tcBorders>
          </w:tcPr>
          <w:p>
            <w:pPr>
              <w:jc w:val="right"/>
              <w:ind w:right="133"/>
              <w:spacing w:after="0" w:line="100" w:lineRule="exact"/>
              <w:rPr>
                <w:sz w:val="20"/>
                <w:szCs w:val="20"/>
                <w:color w:val="auto"/>
              </w:rPr>
            </w:pPr>
            <w:r>
              <w:rPr>
                <w:rFonts w:ascii="Arial" w:cs="Arial" w:eastAsia="Arial" w:hAnsi="Arial"/>
                <w:sz w:val="9"/>
                <w:szCs w:val="9"/>
                <w:b w:val="1"/>
                <w:bCs w:val="1"/>
                <w:color w:val="auto"/>
              </w:rPr>
              <w:t>Non-controlling</w:t>
            </w:r>
          </w:p>
        </w:tc>
        <w:tc>
          <w:tcPr>
            <w:tcW w:w="920" w:type="dxa"/>
            <w:vAlign w:val="bottom"/>
            <w:vMerge w:val="restart"/>
          </w:tcPr>
          <w:p>
            <w:pPr>
              <w:jc w:val="right"/>
              <w:ind w:right="173"/>
              <w:spacing w:after="0"/>
              <w:rPr>
                <w:sz w:val="20"/>
                <w:szCs w:val="20"/>
                <w:color w:val="auto"/>
              </w:rPr>
            </w:pPr>
            <w:r>
              <w:rPr>
                <w:rFonts w:ascii="Arial" w:cs="Arial" w:eastAsia="Arial" w:hAnsi="Arial"/>
                <w:sz w:val="9"/>
                <w:szCs w:val="9"/>
                <w:b w:val="1"/>
                <w:bCs w:val="1"/>
                <w:color w:val="auto"/>
              </w:rPr>
              <w:t>Total equity</w:t>
            </w:r>
          </w:p>
        </w:tc>
        <w:tc>
          <w:tcPr>
            <w:tcW w:w="0" w:type="dxa"/>
            <w:vAlign w:val="bottom"/>
          </w:tcPr>
          <w:p>
            <w:pPr>
              <w:spacing w:after="0"/>
              <w:rPr>
                <w:sz w:val="1"/>
                <w:szCs w:val="1"/>
                <w:color w:val="auto"/>
              </w:rPr>
            </w:pPr>
          </w:p>
        </w:tc>
      </w:tr>
      <w:tr>
        <w:trPr>
          <w:trHeight w:val="71"/>
        </w:trPr>
        <w:tc>
          <w:tcPr>
            <w:tcW w:w="1960" w:type="dxa"/>
            <w:vAlign w:val="bottom"/>
            <w:vMerge w:val="continue"/>
          </w:tcPr>
          <w:p>
            <w:pPr>
              <w:spacing w:after="0"/>
              <w:rPr>
                <w:sz w:val="6"/>
                <w:szCs w:val="6"/>
                <w:color w:val="auto"/>
              </w:rPr>
            </w:pPr>
          </w:p>
        </w:tc>
        <w:tc>
          <w:tcPr>
            <w:tcW w:w="920" w:type="dxa"/>
            <w:vAlign w:val="bottom"/>
            <w:tcBorders>
              <w:right w:val="single" w:sz="8" w:color="70AD47"/>
            </w:tcBorders>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20" w:type="dxa"/>
            <w:vAlign w:val="bottom"/>
            <w:vMerge w:val="restart"/>
          </w:tcPr>
          <w:p>
            <w:pPr>
              <w:jc w:val="center"/>
              <w:spacing w:after="0" w:line="100" w:lineRule="exact"/>
              <w:rPr>
                <w:sz w:val="20"/>
                <w:szCs w:val="20"/>
                <w:color w:val="auto"/>
              </w:rPr>
            </w:pPr>
            <w:r>
              <w:rPr>
                <w:rFonts w:ascii="Arial" w:cs="Arial" w:eastAsia="Arial" w:hAnsi="Arial"/>
                <w:sz w:val="9"/>
                <w:szCs w:val="9"/>
                <w:b w:val="1"/>
                <w:bCs w:val="1"/>
                <w:color w:val="auto"/>
                <w:w w:val="95"/>
              </w:rPr>
              <w:t>translation</w:t>
            </w:r>
          </w:p>
        </w:tc>
        <w:tc>
          <w:tcPr>
            <w:tcW w:w="240" w:type="dxa"/>
            <w:vAlign w:val="bottom"/>
            <w:tcBorders>
              <w:right w:val="single" w:sz="8" w:color="70AD47"/>
            </w:tcBorders>
          </w:tcPr>
          <w:p>
            <w:pPr>
              <w:spacing w:after="0"/>
              <w:rPr>
                <w:sz w:val="6"/>
                <w:szCs w:val="6"/>
                <w:color w:val="auto"/>
              </w:rPr>
            </w:pPr>
          </w:p>
        </w:tc>
        <w:tc>
          <w:tcPr>
            <w:tcW w:w="940" w:type="dxa"/>
            <w:vAlign w:val="bottom"/>
            <w:tcBorders>
              <w:right w:val="single" w:sz="8" w:color="70AD47"/>
            </w:tcBorders>
            <w:vMerge w:val="continue"/>
          </w:tcPr>
          <w:p>
            <w:pPr>
              <w:spacing w:after="0"/>
              <w:rPr>
                <w:sz w:val="6"/>
                <w:szCs w:val="6"/>
                <w:color w:val="auto"/>
              </w:rPr>
            </w:pPr>
          </w:p>
        </w:tc>
        <w:tc>
          <w:tcPr>
            <w:tcW w:w="940" w:type="dxa"/>
            <w:vAlign w:val="bottom"/>
            <w:tcBorders>
              <w:right w:val="single" w:sz="8" w:color="70AD47"/>
            </w:tcBorders>
            <w:vMerge w:val="restart"/>
          </w:tcPr>
          <w:p>
            <w:pPr>
              <w:jc w:val="right"/>
              <w:ind w:right="293"/>
              <w:spacing w:after="0" w:line="100" w:lineRule="exact"/>
              <w:rPr>
                <w:sz w:val="20"/>
                <w:szCs w:val="20"/>
                <w:color w:val="auto"/>
              </w:rPr>
            </w:pPr>
            <w:r>
              <w:rPr>
                <w:rFonts w:ascii="Arial" w:cs="Arial" w:eastAsia="Arial" w:hAnsi="Arial"/>
                <w:sz w:val="9"/>
                <w:szCs w:val="9"/>
                <w:b w:val="1"/>
                <w:bCs w:val="1"/>
                <w:color w:val="auto"/>
              </w:rPr>
              <w:t>interest</w:t>
            </w: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960" w:type="dxa"/>
            <w:vAlign w:val="bottom"/>
          </w:tcPr>
          <w:p>
            <w:pPr>
              <w:spacing w:after="0"/>
              <w:rPr>
                <w:sz w:val="2"/>
                <w:szCs w:val="2"/>
                <w:color w:val="auto"/>
              </w:rPr>
            </w:pPr>
          </w:p>
        </w:tc>
        <w:tc>
          <w:tcPr>
            <w:tcW w:w="920" w:type="dxa"/>
            <w:vAlign w:val="bottom"/>
            <w:tcBorders>
              <w:right w:val="single" w:sz="8" w:color="70AD47"/>
            </w:tcBorders>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40" w:type="dxa"/>
            <w:vAlign w:val="bottom"/>
            <w:tcBorders>
              <w:right w:val="single" w:sz="8" w:color="70AD47"/>
            </w:tcBorders>
          </w:tcPr>
          <w:p>
            <w:pPr>
              <w:spacing w:after="0"/>
              <w:rPr>
                <w:sz w:val="2"/>
                <w:szCs w:val="2"/>
                <w:color w:val="auto"/>
              </w:rPr>
            </w:pPr>
          </w:p>
        </w:tc>
        <w:tc>
          <w:tcPr>
            <w:tcW w:w="940" w:type="dxa"/>
            <w:vAlign w:val="bottom"/>
            <w:tcBorders>
              <w:right w:val="single" w:sz="8" w:color="70AD47"/>
            </w:tcBorders>
          </w:tcPr>
          <w:p>
            <w:pPr>
              <w:spacing w:after="0"/>
              <w:rPr>
                <w:sz w:val="2"/>
                <w:szCs w:val="2"/>
                <w:color w:val="auto"/>
              </w:rPr>
            </w:pPr>
          </w:p>
        </w:tc>
        <w:tc>
          <w:tcPr>
            <w:tcW w:w="940" w:type="dxa"/>
            <w:vAlign w:val="bottom"/>
            <w:tcBorders>
              <w:right w:val="single" w:sz="8" w:color="70AD47"/>
            </w:tcBorders>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960" w:type="dxa"/>
            <w:vAlign w:val="bottom"/>
            <w:tcBorders>
              <w:bottom w:val="single" w:sz="8" w:color="70AD47"/>
            </w:tcBorders>
          </w:tcPr>
          <w:p>
            <w:pPr>
              <w:spacing w:after="0"/>
              <w:rPr>
                <w:sz w:val="9"/>
                <w:szCs w:val="9"/>
                <w:color w:val="auto"/>
              </w:rPr>
            </w:pPr>
          </w:p>
        </w:tc>
        <w:tc>
          <w:tcPr>
            <w:tcW w:w="920" w:type="dxa"/>
            <w:vAlign w:val="bottom"/>
            <w:tcBorders>
              <w:bottom w:val="single" w:sz="8" w:color="70AD47"/>
              <w:right w:val="single" w:sz="8" w:color="70AD47"/>
            </w:tcBorders>
          </w:tcPr>
          <w:p>
            <w:pPr>
              <w:spacing w:after="0"/>
              <w:rPr>
                <w:sz w:val="9"/>
                <w:szCs w:val="9"/>
                <w:color w:val="auto"/>
              </w:rPr>
            </w:pPr>
          </w:p>
        </w:tc>
        <w:tc>
          <w:tcPr>
            <w:tcW w:w="980" w:type="dxa"/>
            <w:vAlign w:val="bottom"/>
            <w:tcBorders>
              <w:bottom w:val="single" w:sz="8" w:color="70AD47"/>
            </w:tcBorders>
          </w:tcPr>
          <w:p>
            <w:pPr>
              <w:spacing w:after="0"/>
              <w:rPr>
                <w:sz w:val="9"/>
                <w:szCs w:val="9"/>
                <w:color w:val="auto"/>
              </w:rPr>
            </w:pPr>
          </w:p>
        </w:tc>
        <w:tc>
          <w:tcPr>
            <w:tcW w:w="920" w:type="dxa"/>
            <w:vAlign w:val="bottom"/>
            <w:tcBorders>
              <w:bottom w:val="single" w:sz="8" w:color="70AD47"/>
            </w:tcBorders>
          </w:tcPr>
          <w:p>
            <w:pPr>
              <w:spacing w:after="0"/>
              <w:rPr>
                <w:sz w:val="9"/>
                <w:szCs w:val="9"/>
                <w:color w:val="auto"/>
              </w:rPr>
            </w:pPr>
          </w:p>
        </w:tc>
        <w:tc>
          <w:tcPr>
            <w:tcW w:w="900" w:type="dxa"/>
            <w:vAlign w:val="bottom"/>
            <w:tcBorders>
              <w:bottom w:val="single" w:sz="8" w:color="70AD47"/>
            </w:tcBorders>
          </w:tcPr>
          <w:p>
            <w:pPr>
              <w:spacing w:after="0"/>
              <w:rPr>
                <w:sz w:val="9"/>
                <w:szCs w:val="9"/>
                <w:color w:val="auto"/>
              </w:rPr>
            </w:pPr>
          </w:p>
        </w:tc>
        <w:tc>
          <w:tcPr>
            <w:tcW w:w="1020" w:type="dxa"/>
            <w:vAlign w:val="bottom"/>
            <w:tcBorders>
              <w:bottom w:val="single" w:sz="8" w:color="70AD47"/>
            </w:tcBorders>
          </w:tcPr>
          <w:p>
            <w:pPr>
              <w:spacing w:after="0"/>
              <w:rPr>
                <w:sz w:val="9"/>
                <w:szCs w:val="9"/>
                <w:color w:val="auto"/>
              </w:rPr>
            </w:pPr>
          </w:p>
        </w:tc>
        <w:tc>
          <w:tcPr>
            <w:tcW w:w="1020" w:type="dxa"/>
            <w:vAlign w:val="bottom"/>
            <w:tcBorders>
              <w:bottom w:val="single" w:sz="8" w:color="70AD47"/>
            </w:tcBorders>
          </w:tcPr>
          <w:p>
            <w:pPr>
              <w:spacing w:after="0"/>
              <w:rPr>
                <w:sz w:val="9"/>
                <w:szCs w:val="9"/>
                <w:color w:val="auto"/>
              </w:rPr>
            </w:pPr>
          </w:p>
        </w:tc>
        <w:tc>
          <w:tcPr>
            <w:tcW w:w="520" w:type="dxa"/>
            <w:vAlign w:val="bottom"/>
            <w:tcBorders>
              <w:bottom w:val="single" w:sz="8" w:color="70AD47"/>
            </w:tcBorders>
          </w:tcPr>
          <w:p>
            <w:pPr>
              <w:jc w:val="center"/>
              <w:spacing w:after="0"/>
              <w:rPr>
                <w:sz w:val="20"/>
                <w:szCs w:val="20"/>
                <w:color w:val="auto"/>
              </w:rPr>
            </w:pPr>
            <w:r>
              <w:rPr>
                <w:rFonts w:ascii="Arial" w:cs="Arial" w:eastAsia="Arial" w:hAnsi="Arial"/>
                <w:sz w:val="9"/>
                <w:szCs w:val="9"/>
                <w:b w:val="1"/>
                <w:bCs w:val="1"/>
                <w:color w:val="auto"/>
                <w:w w:val="87"/>
              </w:rPr>
              <w:t>reserve</w:t>
            </w:r>
          </w:p>
        </w:tc>
        <w:tc>
          <w:tcPr>
            <w:tcW w:w="2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920" w:type="dxa"/>
            <w:vAlign w:val="bottom"/>
            <w:tcBorders>
              <w:bottom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70AD47"/>
            </w:tcBorders>
          </w:tcPr>
          <w:p>
            <w:pPr>
              <w:spacing w:after="0"/>
              <w:rPr>
                <w:sz w:val="20"/>
                <w:szCs w:val="20"/>
                <w:color w:val="auto"/>
              </w:rPr>
            </w:pPr>
            <w:r>
              <w:rPr>
                <w:rFonts w:ascii="Arial" w:cs="Arial" w:eastAsia="Arial" w:hAnsi="Arial"/>
                <w:sz w:val="9"/>
                <w:szCs w:val="9"/>
                <w:b w:val="1"/>
                <w:bCs w:val="1"/>
                <w:color w:val="auto"/>
              </w:rPr>
              <w:t>As of January 1, 2018</w:t>
            </w:r>
          </w:p>
        </w:tc>
        <w:tc>
          <w:tcPr>
            <w:tcW w:w="920" w:type="dxa"/>
            <w:vAlign w:val="bottom"/>
            <w:tcBorders>
              <w:bottom w:val="single" w:sz="8" w:color="70AD47"/>
              <w:right w:val="single" w:sz="8" w:color="70AD47"/>
            </w:tcBorders>
          </w:tcPr>
          <w:p>
            <w:pPr>
              <w:spacing w:after="0"/>
              <w:rPr>
                <w:sz w:val="18"/>
                <w:szCs w:val="18"/>
                <w:color w:val="auto"/>
              </w:rPr>
            </w:pPr>
          </w:p>
        </w:tc>
        <w:tc>
          <w:tcPr>
            <w:tcW w:w="980" w:type="dxa"/>
            <w:vAlign w:val="bottom"/>
            <w:tcBorders>
              <w:bottom w:val="single" w:sz="8" w:color="70AD47"/>
            </w:tcBorders>
          </w:tcPr>
          <w:p>
            <w:pPr>
              <w:jc w:val="right"/>
              <w:ind w:right="33"/>
              <w:spacing w:after="0"/>
              <w:rPr>
                <w:sz w:val="20"/>
                <w:szCs w:val="20"/>
                <w:color w:val="auto"/>
              </w:rPr>
            </w:pPr>
            <w:r>
              <w:rPr>
                <w:rFonts w:ascii="Arial" w:cs="Arial" w:eastAsia="Arial" w:hAnsi="Arial"/>
                <w:sz w:val="9"/>
                <w:szCs w:val="9"/>
                <w:b w:val="1"/>
                <w:bCs w:val="1"/>
                <w:color w:val="auto"/>
              </w:rPr>
              <w:t>€166,764</w:t>
            </w:r>
          </w:p>
        </w:tc>
        <w:tc>
          <w:tcPr>
            <w:tcW w:w="920" w:type="dxa"/>
            <w:vAlign w:val="bottom"/>
            <w:tcBorders>
              <w:bottom w:val="single" w:sz="8" w:color="70AD47"/>
            </w:tcBorders>
          </w:tcPr>
          <w:p>
            <w:pPr>
              <w:jc w:val="right"/>
              <w:ind w:right="33"/>
              <w:spacing w:after="0"/>
              <w:rPr>
                <w:sz w:val="20"/>
                <w:szCs w:val="20"/>
                <w:color w:val="auto"/>
              </w:rPr>
            </w:pPr>
            <w:r>
              <w:rPr>
                <w:rFonts w:ascii="Arial" w:cs="Arial" w:eastAsia="Arial" w:hAnsi="Arial"/>
                <w:sz w:val="9"/>
                <w:szCs w:val="9"/>
                <w:b w:val="1"/>
                <w:bCs w:val="1"/>
                <w:color w:val="auto"/>
              </w:rPr>
              <w:t>8,922</w:t>
            </w:r>
          </w:p>
        </w:tc>
        <w:tc>
          <w:tcPr>
            <w:tcW w:w="900" w:type="dxa"/>
            <w:vAlign w:val="bottom"/>
            <w:tcBorders>
              <w:bottom w:val="single" w:sz="8" w:color="70AD47"/>
            </w:tcBorders>
          </w:tcPr>
          <w:p>
            <w:pPr>
              <w:jc w:val="right"/>
              <w:spacing w:after="0"/>
              <w:rPr>
                <w:sz w:val="20"/>
                <w:szCs w:val="20"/>
                <w:color w:val="auto"/>
              </w:rPr>
            </w:pPr>
            <w:r>
              <w:rPr>
                <w:rFonts w:ascii="Arial" w:cs="Arial" w:eastAsia="Arial" w:hAnsi="Arial"/>
                <w:sz w:val="9"/>
                <w:szCs w:val="9"/>
                <w:b w:val="1"/>
                <w:bCs w:val="1"/>
                <w:color w:val="auto"/>
              </w:rPr>
              <w:t>-</w:t>
            </w:r>
          </w:p>
        </w:tc>
        <w:tc>
          <w:tcPr>
            <w:tcW w:w="1020" w:type="dxa"/>
            <w:vAlign w:val="bottom"/>
            <w:tcBorders>
              <w:bottom w:val="single" w:sz="8" w:color="70AD47"/>
            </w:tcBorders>
          </w:tcPr>
          <w:p>
            <w:pPr>
              <w:jc w:val="right"/>
              <w:ind w:right="93"/>
              <w:spacing w:after="0"/>
              <w:rPr>
                <w:sz w:val="20"/>
                <w:szCs w:val="20"/>
                <w:color w:val="auto"/>
              </w:rPr>
            </w:pPr>
            <w:r>
              <w:rPr>
                <w:rFonts w:ascii="Arial" w:cs="Arial" w:eastAsia="Arial" w:hAnsi="Arial"/>
                <w:sz w:val="9"/>
                <w:szCs w:val="9"/>
                <w:b w:val="1"/>
                <w:bCs w:val="1"/>
                <w:color w:val="auto"/>
              </w:rPr>
              <w:t>(197,753)</w:t>
            </w:r>
          </w:p>
        </w:tc>
        <w:tc>
          <w:tcPr>
            <w:tcW w:w="1020" w:type="dxa"/>
            <w:vAlign w:val="bottom"/>
            <w:tcBorders>
              <w:bottom w:val="single" w:sz="8" w:color="70AD47"/>
            </w:tcBorders>
          </w:tcPr>
          <w:p>
            <w:pPr>
              <w:jc w:val="right"/>
              <w:ind w:right="173"/>
              <w:spacing w:after="0"/>
              <w:rPr>
                <w:sz w:val="20"/>
                <w:szCs w:val="20"/>
                <w:color w:val="auto"/>
              </w:rPr>
            </w:pPr>
            <w:r>
              <w:rPr>
                <w:rFonts w:ascii="Arial" w:cs="Arial" w:eastAsia="Arial" w:hAnsi="Arial"/>
                <w:sz w:val="9"/>
                <w:szCs w:val="9"/>
                <w:b w:val="1"/>
                <w:bCs w:val="1"/>
                <w:color w:val="auto"/>
              </w:rPr>
              <w:t>(27,206)</w:t>
            </w:r>
          </w:p>
        </w:tc>
        <w:tc>
          <w:tcPr>
            <w:tcW w:w="520" w:type="dxa"/>
            <w:vAlign w:val="bottom"/>
            <w:tcBorders>
              <w:bottom w:val="single" w:sz="8" w:color="70AD47"/>
            </w:tcBorders>
          </w:tcPr>
          <w:p>
            <w:pPr>
              <w:spacing w:after="0"/>
              <w:rPr>
                <w:sz w:val="18"/>
                <w:szCs w:val="18"/>
                <w:color w:val="auto"/>
              </w:rPr>
            </w:pPr>
          </w:p>
        </w:tc>
        <w:tc>
          <w:tcPr>
            <w:tcW w:w="2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b w:val="1"/>
                <w:bCs w:val="1"/>
                <w:color w:val="auto"/>
              </w:rPr>
              <w:t>(23)</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b w:val="1"/>
                <w:bCs w:val="1"/>
                <w:color w:val="auto"/>
              </w:rPr>
              <w:t>(49,296)</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b w:val="1"/>
                <w:bCs w:val="1"/>
                <w:color w:val="auto"/>
              </w:rPr>
              <w:t>1,090</w:t>
            </w:r>
          </w:p>
        </w:tc>
        <w:tc>
          <w:tcPr>
            <w:tcW w:w="920" w:type="dxa"/>
            <w:vAlign w:val="bottom"/>
            <w:tcBorders>
              <w:bottom w:val="single" w:sz="8" w:color="70AD47"/>
            </w:tcBorders>
          </w:tcPr>
          <w:p>
            <w:pPr>
              <w:jc w:val="right"/>
              <w:spacing w:after="0"/>
              <w:rPr>
                <w:sz w:val="20"/>
                <w:szCs w:val="20"/>
                <w:color w:val="auto"/>
              </w:rPr>
            </w:pPr>
            <w:r>
              <w:rPr>
                <w:rFonts w:ascii="Arial" w:cs="Arial" w:eastAsia="Arial" w:hAnsi="Arial"/>
                <w:sz w:val="9"/>
                <w:szCs w:val="9"/>
                <w:b w:val="1"/>
                <w:bCs w:val="1"/>
                <w:color w:val="auto"/>
              </w:rPr>
              <w:t>(48,206)</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20"/>
                <w:szCs w:val="20"/>
                <w:color w:val="auto"/>
              </w:rPr>
            </w:pPr>
            <w:r>
              <w:rPr>
                <w:rFonts w:ascii="Arial" w:cs="Arial" w:eastAsia="Arial" w:hAnsi="Arial"/>
                <w:sz w:val="9"/>
                <w:szCs w:val="9"/>
                <w:color w:val="auto"/>
              </w:rPr>
              <w:t>Loss for the period</w:t>
            </w:r>
          </w:p>
        </w:tc>
        <w:tc>
          <w:tcPr>
            <w:tcW w:w="920" w:type="dxa"/>
            <w:vAlign w:val="bottom"/>
            <w:tcBorders>
              <w:right w:val="single" w:sz="8" w:color="70AD47"/>
            </w:tcBorders>
          </w:tcPr>
          <w:p>
            <w:pPr>
              <w:spacing w:after="0"/>
              <w:rPr>
                <w:sz w:val="17"/>
                <w:szCs w:val="17"/>
                <w:color w:val="auto"/>
              </w:rPr>
            </w:pPr>
          </w:p>
        </w:tc>
        <w:tc>
          <w:tcPr>
            <w:tcW w:w="98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92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900" w:type="dxa"/>
            <w:vAlign w:val="bottom"/>
          </w:tcPr>
          <w:p>
            <w:pPr>
              <w:jc w:val="right"/>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93"/>
              <w:spacing w:after="0"/>
              <w:rPr>
                <w:sz w:val="20"/>
                <w:szCs w:val="20"/>
                <w:color w:val="auto"/>
              </w:rPr>
            </w:pPr>
            <w:r>
              <w:rPr>
                <w:rFonts w:ascii="Arial" w:cs="Arial" w:eastAsia="Arial" w:hAnsi="Arial"/>
                <w:sz w:val="9"/>
                <w:szCs w:val="9"/>
                <w:color w:val="auto"/>
              </w:rPr>
              <w:t>(48,019)</w:t>
            </w:r>
          </w:p>
        </w:tc>
        <w:tc>
          <w:tcPr>
            <w:tcW w:w="1020" w:type="dxa"/>
            <w:vAlign w:val="bottom"/>
          </w:tcPr>
          <w:p>
            <w:pPr>
              <w:jc w:val="right"/>
              <w:ind w:right="173"/>
              <w:spacing w:after="0"/>
              <w:rPr>
                <w:sz w:val="20"/>
                <w:szCs w:val="20"/>
                <w:color w:val="auto"/>
              </w:rPr>
            </w:pPr>
            <w:r>
              <w:rPr>
                <w:rFonts w:ascii="Arial" w:cs="Arial" w:eastAsia="Arial" w:hAnsi="Arial"/>
                <w:sz w:val="9"/>
                <w:szCs w:val="9"/>
                <w:color w:val="auto"/>
              </w:rPr>
              <w:t>-</w:t>
            </w:r>
          </w:p>
        </w:tc>
        <w:tc>
          <w:tcPr>
            <w:tcW w:w="520" w:type="dxa"/>
            <w:vAlign w:val="bottom"/>
          </w:tcPr>
          <w:p>
            <w:pPr>
              <w:spacing w:after="0"/>
              <w:rPr>
                <w:sz w:val="17"/>
                <w:szCs w:val="17"/>
                <w:color w:val="auto"/>
              </w:rPr>
            </w:pPr>
          </w:p>
        </w:tc>
        <w:tc>
          <w:tcPr>
            <w:tcW w:w="2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(48,019)</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(243)</w:t>
            </w:r>
          </w:p>
        </w:tc>
        <w:tc>
          <w:tcPr>
            <w:tcW w:w="920" w:type="dxa"/>
            <w:vAlign w:val="bottom"/>
          </w:tcPr>
          <w:p>
            <w:pPr>
              <w:jc w:val="right"/>
              <w:spacing w:after="0"/>
              <w:rPr>
                <w:sz w:val="20"/>
                <w:szCs w:val="20"/>
                <w:color w:val="auto"/>
              </w:rPr>
            </w:pPr>
            <w:r>
              <w:rPr>
                <w:rFonts w:ascii="Arial" w:cs="Arial" w:eastAsia="Arial" w:hAnsi="Arial"/>
                <w:sz w:val="9"/>
                <w:szCs w:val="9"/>
                <w:b w:val="1"/>
                <w:bCs w:val="1"/>
                <w:color w:val="auto"/>
              </w:rPr>
              <w:t>(48,262)</w:t>
            </w:r>
          </w:p>
        </w:tc>
        <w:tc>
          <w:tcPr>
            <w:tcW w:w="0" w:type="dxa"/>
            <w:vAlign w:val="bottom"/>
          </w:tcPr>
          <w:p>
            <w:pPr>
              <w:spacing w:after="0"/>
              <w:rPr>
                <w:sz w:val="1"/>
                <w:szCs w:val="1"/>
                <w:color w:val="auto"/>
              </w:rPr>
            </w:pPr>
          </w:p>
        </w:tc>
      </w:tr>
      <w:tr>
        <w:trPr>
          <w:trHeight w:val="113"/>
        </w:trPr>
        <w:tc>
          <w:tcPr>
            <w:tcW w:w="1960" w:type="dxa"/>
            <w:vAlign w:val="bottom"/>
            <w:tcBorders>
              <w:bottom w:val="single" w:sz="8" w:color="70AD47"/>
            </w:tcBorders>
          </w:tcPr>
          <w:p>
            <w:pPr>
              <w:spacing w:after="0"/>
              <w:rPr>
                <w:sz w:val="20"/>
                <w:szCs w:val="20"/>
                <w:color w:val="auto"/>
              </w:rPr>
            </w:pPr>
            <w:r>
              <w:rPr>
                <w:rFonts w:ascii="Arial" w:cs="Arial" w:eastAsia="Arial" w:hAnsi="Arial"/>
                <w:sz w:val="9"/>
                <w:szCs w:val="9"/>
                <w:color w:val="auto"/>
              </w:rPr>
              <w:t>Other comprehensive income</w:t>
            </w:r>
          </w:p>
        </w:tc>
        <w:tc>
          <w:tcPr>
            <w:tcW w:w="920" w:type="dxa"/>
            <w:vAlign w:val="bottom"/>
            <w:tcBorders>
              <w:bottom w:val="single" w:sz="8" w:color="70AD47"/>
              <w:right w:val="single" w:sz="8" w:color="70AD47"/>
            </w:tcBorders>
          </w:tcPr>
          <w:p>
            <w:pPr>
              <w:spacing w:after="0"/>
              <w:rPr>
                <w:sz w:val="9"/>
                <w:szCs w:val="9"/>
                <w:color w:val="auto"/>
              </w:rPr>
            </w:pPr>
          </w:p>
        </w:tc>
        <w:tc>
          <w:tcPr>
            <w:tcW w:w="980" w:type="dxa"/>
            <w:vAlign w:val="bottom"/>
            <w:tcBorders>
              <w:bottom w:val="single" w:sz="8" w:color="70AD47"/>
            </w:tcBorders>
          </w:tcPr>
          <w:p>
            <w:pPr>
              <w:jc w:val="right"/>
              <w:ind w:right="33"/>
              <w:spacing w:after="0"/>
              <w:rPr>
                <w:sz w:val="20"/>
                <w:szCs w:val="20"/>
                <w:color w:val="auto"/>
              </w:rPr>
            </w:pPr>
            <w:r>
              <w:rPr>
                <w:rFonts w:ascii="Arial" w:cs="Arial" w:eastAsia="Arial" w:hAnsi="Arial"/>
                <w:sz w:val="9"/>
                <w:szCs w:val="9"/>
                <w:color w:val="auto"/>
              </w:rPr>
              <w:t>-</w:t>
            </w:r>
          </w:p>
        </w:tc>
        <w:tc>
          <w:tcPr>
            <w:tcW w:w="920" w:type="dxa"/>
            <w:vAlign w:val="bottom"/>
            <w:tcBorders>
              <w:bottom w:val="single" w:sz="8" w:color="70AD47"/>
            </w:tcBorders>
          </w:tcPr>
          <w:p>
            <w:pPr>
              <w:jc w:val="right"/>
              <w:ind w:right="33"/>
              <w:spacing w:after="0"/>
              <w:rPr>
                <w:sz w:val="20"/>
                <w:szCs w:val="20"/>
                <w:color w:val="auto"/>
              </w:rPr>
            </w:pPr>
            <w:r>
              <w:rPr>
                <w:rFonts w:ascii="Arial" w:cs="Arial" w:eastAsia="Arial" w:hAnsi="Arial"/>
                <w:sz w:val="9"/>
                <w:szCs w:val="9"/>
                <w:color w:val="auto"/>
              </w:rPr>
              <w:t>-</w:t>
            </w:r>
          </w:p>
        </w:tc>
        <w:tc>
          <w:tcPr>
            <w:tcW w:w="900" w:type="dxa"/>
            <w:vAlign w:val="bottom"/>
            <w:tcBorders>
              <w:bottom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1020" w:type="dxa"/>
            <w:vAlign w:val="bottom"/>
            <w:tcBorders>
              <w:bottom w:val="single" w:sz="8" w:color="70AD47"/>
            </w:tcBorders>
          </w:tcPr>
          <w:p>
            <w:pPr>
              <w:jc w:val="right"/>
              <w:ind w:right="93"/>
              <w:spacing w:after="0"/>
              <w:rPr>
                <w:sz w:val="20"/>
                <w:szCs w:val="20"/>
                <w:color w:val="auto"/>
              </w:rPr>
            </w:pPr>
            <w:r>
              <w:rPr>
                <w:rFonts w:ascii="Arial" w:cs="Arial" w:eastAsia="Arial" w:hAnsi="Arial"/>
                <w:sz w:val="9"/>
                <w:szCs w:val="9"/>
                <w:color w:val="auto"/>
              </w:rPr>
              <w:t>-</w:t>
            </w:r>
          </w:p>
        </w:tc>
        <w:tc>
          <w:tcPr>
            <w:tcW w:w="1020" w:type="dxa"/>
            <w:vAlign w:val="bottom"/>
            <w:tcBorders>
              <w:bottom w:val="single" w:sz="8" w:color="70AD47"/>
            </w:tcBorders>
          </w:tcPr>
          <w:p>
            <w:pPr>
              <w:jc w:val="right"/>
              <w:ind w:right="173"/>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70AD47"/>
            </w:tcBorders>
          </w:tcPr>
          <w:p>
            <w:pPr>
              <w:spacing w:after="0"/>
              <w:rPr>
                <w:sz w:val="9"/>
                <w:szCs w:val="9"/>
                <w:color w:val="auto"/>
              </w:rPr>
            </w:pPr>
          </w:p>
        </w:tc>
        <w:tc>
          <w:tcPr>
            <w:tcW w:w="2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color w:val="auto"/>
              </w:rPr>
              <w:t>10</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b w:val="1"/>
                <w:bCs w:val="1"/>
                <w:color w:val="auto"/>
              </w:rPr>
              <w:t>10</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20" w:type="dxa"/>
            <w:vAlign w:val="bottom"/>
            <w:tcBorders>
              <w:bottom w:val="single" w:sz="8" w:color="70AD47"/>
            </w:tcBorders>
          </w:tcPr>
          <w:p>
            <w:pPr>
              <w:jc w:val="right"/>
              <w:spacing w:after="0"/>
              <w:rPr>
                <w:sz w:val="20"/>
                <w:szCs w:val="20"/>
                <w:color w:val="auto"/>
              </w:rPr>
            </w:pPr>
            <w:r>
              <w:rPr>
                <w:rFonts w:ascii="Arial" w:cs="Arial" w:eastAsia="Arial" w:hAnsi="Arial"/>
                <w:sz w:val="9"/>
                <w:szCs w:val="9"/>
                <w:b w:val="1"/>
                <w:bCs w:val="1"/>
                <w:color w:val="auto"/>
              </w:rPr>
              <w:t>10</w:t>
            </w:r>
          </w:p>
        </w:tc>
        <w:tc>
          <w:tcPr>
            <w:tcW w:w="0" w:type="dxa"/>
            <w:vAlign w:val="bottom"/>
          </w:tcPr>
          <w:p>
            <w:pPr>
              <w:spacing w:after="0"/>
              <w:rPr>
                <w:sz w:val="1"/>
                <w:szCs w:val="1"/>
                <w:color w:val="auto"/>
              </w:rPr>
            </w:pPr>
          </w:p>
        </w:tc>
      </w:tr>
      <w:tr>
        <w:trPr>
          <w:trHeight w:val="100"/>
        </w:trPr>
        <w:tc>
          <w:tcPr>
            <w:tcW w:w="1960" w:type="dxa"/>
            <w:vAlign w:val="bottom"/>
            <w:tcBorders>
              <w:bottom w:val="single" w:sz="8" w:color="70AD47"/>
            </w:tcBorders>
          </w:tcPr>
          <w:p>
            <w:pPr>
              <w:spacing w:after="0" w:line="100" w:lineRule="exact"/>
              <w:rPr>
                <w:sz w:val="20"/>
                <w:szCs w:val="20"/>
                <w:color w:val="auto"/>
              </w:rPr>
            </w:pPr>
            <w:r>
              <w:rPr>
                <w:rFonts w:ascii="Arial" w:cs="Arial" w:eastAsia="Arial" w:hAnsi="Arial"/>
                <w:sz w:val="9"/>
                <w:szCs w:val="9"/>
                <w:b w:val="1"/>
                <w:bCs w:val="1"/>
                <w:color w:val="auto"/>
              </w:rPr>
              <w:t>Total comprehensive income</w:t>
            </w:r>
          </w:p>
        </w:tc>
        <w:tc>
          <w:tcPr>
            <w:tcW w:w="920" w:type="dxa"/>
            <w:vAlign w:val="bottom"/>
            <w:tcBorders>
              <w:bottom w:val="single" w:sz="8" w:color="70AD47"/>
              <w:right w:val="single" w:sz="8" w:color="70AD47"/>
            </w:tcBorders>
          </w:tcPr>
          <w:p>
            <w:pPr>
              <w:spacing w:after="0"/>
              <w:rPr>
                <w:sz w:val="8"/>
                <w:szCs w:val="8"/>
                <w:color w:val="auto"/>
              </w:rPr>
            </w:pPr>
          </w:p>
        </w:tc>
        <w:tc>
          <w:tcPr>
            <w:tcW w:w="980" w:type="dxa"/>
            <w:vAlign w:val="bottom"/>
            <w:tcBorders>
              <w:bottom w:val="single" w:sz="8" w:color="70AD47"/>
            </w:tcBorders>
          </w:tcPr>
          <w:p>
            <w:pPr>
              <w:jc w:val="right"/>
              <w:ind w:right="33"/>
              <w:spacing w:after="0" w:line="100" w:lineRule="exact"/>
              <w:rPr>
                <w:sz w:val="20"/>
                <w:szCs w:val="20"/>
                <w:color w:val="auto"/>
              </w:rPr>
            </w:pPr>
            <w:r>
              <w:rPr>
                <w:rFonts w:ascii="Arial" w:cs="Arial" w:eastAsia="Arial" w:hAnsi="Arial"/>
                <w:sz w:val="9"/>
                <w:szCs w:val="9"/>
                <w:b w:val="1"/>
                <w:bCs w:val="1"/>
                <w:color w:val="auto"/>
              </w:rPr>
              <w:t>-</w:t>
            </w:r>
          </w:p>
        </w:tc>
        <w:tc>
          <w:tcPr>
            <w:tcW w:w="920" w:type="dxa"/>
            <w:vAlign w:val="bottom"/>
            <w:tcBorders>
              <w:bottom w:val="single" w:sz="8" w:color="70AD47"/>
            </w:tcBorders>
          </w:tcPr>
          <w:p>
            <w:pPr>
              <w:jc w:val="right"/>
              <w:ind w:right="33"/>
              <w:spacing w:after="0" w:line="100" w:lineRule="exact"/>
              <w:rPr>
                <w:sz w:val="20"/>
                <w:szCs w:val="20"/>
                <w:color w:val="auto"/>
              </w:rPr>
            </w:pPr>
            <w:r>
              <w:rPr>
                <w:rFonts w:ascii="Arial" w:cs="Arial" w:eastAsia="Arial" w:hAnsi="Arial"/>
                <w:sz w:val="9"/>
                <w:szCs w:val="9"/>
                <w:b w:val="1"/>
                <w:bCs w:val="1"/>
                <w:color w:val="auto"/>
              </w:rPr>
              <w:t>-</w:t>
            </w:r>
          </w:p>
        </w:tc>
        <w:tc>
          <w:tcPr>
            <w:tcW w:w="900" w:type="dxa"/>
            <w:vAlign w:val="bottom"/>
            <w:tcBorders>
              <w:bottom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w:t>
            </w:r>
          </w:p>
        </w:tc>
        <w:tc>
          <w:tcPr>
            <w:tcW w:w="1020" w:type="dxa"/>
            <w:vAlign w:val="bottom"/>
            <w:tcBorders>
              <w:bottom w:val="single" w:sz="8" w:color="70AD47"/>
            </w:tcBorders>
          </w:tcPr>
          <w:p>
            <w:pPr>
              <w:jc w:val="right"/>
              <w:ind w:right="93"/>
              <w:spacing w:after="0" w:line="100" w:lineRule="exact"/>
              <w:rPr>
                <w:sz w:val="20"/>
                <w:szCs w:val="20"/>
                <w:color w:val="auto"/>
              </w:rPr>
            </w:pPr>
            <w:r>
              <w:rPr>
                <w:rFonts w:ascii="Arial" w:cs="Arial" w:eastAsia="Arial" w:hAnsi="Arial"/>
                <w:sz w:val="9"/>
                <w:szCs w:val="9"/>
                <w:b w:val="1"/>
                <w:bCs w:val="1"/>
                <w:color w:val="auto"/>
              </w:rPr>
              <w:t>(48,019)</w:t>
            </w:r>
          </w:p>
        </w:tc>
        <w:tc>
          <w:tcPr>
            <w:tcW w:w="1020" w:type="dxa"/>
            <w:vAlign w:val="bottom"/>
            <w:tcBorders>
              <w:bottom w:val="single" w:sz="8" w:color="70AD47"/>
            </w:tcBorders>
          </w:tcPr>
          <w:p>
            <w:pPr>
              <w:jc w:val="right"/>
              <w:ind w:right="173"/>
              <w:spacing w:after="0" w:line="100" w:lineRule="exact"/>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70AD47"/>
            </w:tcBorders>
          </w:tcPr>
          <w:p>
            <w:pPr>
              <w:spacing w:after="0"/>
              <w:rPr>
                <w:sz w:val="8"/>
                <w:szCs w:val="8"/>
                <w:color w:val="auto"/>
              </w:rPr>
            </w:pPr>
          </w:p>
        </w:tc>
        <w:tc>
          <w:tcPr>
            <w:tcW w:w="240" w:type="dxa"/>
            <w:vAlign w:val="bottom"/>
            <w:tcBorders>
              <w:bottom w:val="single" w:sz="8" w:color="70AD47"/>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10</w:t>
            </w:r>
          </w:p>
        </w:tc>
        <w:tc>
          <w:tcPr>
            <w:tcW w:w="940" w:type="dxa"/>
            <w:vAlign w:val="bottom"/>
            <w:tcBorders>
              <w:bottom w:val="single" w:sz="8" w:color="70AD47"/>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(48,009)</w:t>
            </w:r>
          </w:p>
        </w:tc>
        <w:tc>
          <w:tcPr>
            <w:tcW w:w="940" w:type="dxa"/>
            <w:vAlign w:val="bottom"/>
            <w:tcBorders>
              <w:bottom w:val="single" w:sz="8" w:color="70AD47"/>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(243)</w:t>
            </w:r>
          </w:p>
        </w:tc>
        <w:tc>
          <w:tcPr>
            <w:tcW w:w="920" w:type="dxa"/>
            <w:vAlign w:val="bottom"/>
            <w:tcBorders>
              <w:bottom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(48,252)</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20"/>
                <w:szCs w:val="20"/>
                <w:color w:val="auto"/>
              </w:rPr>
            </w:pPr>
            <w:r>
              <w:rPr>
                <w:rFonts w:ascii="Arial" w:cs="Arial" w:eastAsia="Arial" w:hAnsi="Arial"/>
                <w:sz w:val="9"/>
                <w:szCs w:val="9"/>
                <w:color w:val="auto"/>
              </w:rPr>
              <w:t>Issuance of share capital</w:t>
            </w:r>
          </w:p>
        </w:tc>
        <w:tc>
          <w:tcPr>
            <w:tcW w:w="920" w:type="dxa"/>
            <w:vAlign w:val="bottom"/>
            <w:tcBorders>
              <w:right w:val="single" w:sz="8" w:color="70AD47"/>
            </w:tcBorders>
          </w:tcPr>
          <w:p>
            <w:pPr>
              <w:jc w:val="center"/>
              <w:ind w:left="193"/>
              <w:spacing w:after="0"/>
              <w:rPr>
                <w:sz w:val="20"/>
                <w:szCs w:val="20"/>
                <w:color w:val="auto"/>
              </w:rPr>
            </w:pPr>
            <w:r>
              <w:rPr>
                <w:rFonts w:ascii="Arial" w:cs="Arial" w:eastAsia="Arial" w:hAnsi="Arial"/>
                <w:sz w:val="9"/>
                <w:szCs w:val="9"/>
                <w:color w:val="auto"/>
                <w:w w:val="79"/>
              </w:rPr>
              <w:t>16</w:t>
            </w:r>
          </w:p>
        </w:tc>
        <w:tc>
          <w:tcPr>
            <w:tcW w:w="980" w:type="dxa"/>
            <w:vAlign w:val="bottom"/>
          </w:tcPr>
          <w:p>
            <w:pPr>
              <w:jc w:val="right"/>
              <w:ind w:right="33"/>
              <w:spacing w:after="0"/>
              <w:rPr>
                <w:sz w:val="20"/>
                <w:szCs w:val="20"/>
                <w:color w:val="auto"/>
              </w:rPr>
            </w:pPr>
            <w:r>
              <w:rPr>
                <w:rFonts w:ascii="Arial" w:cs="Arial" w:eastAsia="Arial" w:hAnsi="Arial"/>
                <w:sz w:val="9"/>
                <w:szCs w:val="9"/>
                <w:color w:val="auto"/>
              </w:rPr>
              <w:t>25,949</w:t>
            </w:r>
          </w:p>
        </w:tc>
        <w:tc>
          <w:tcPr>
            <w:tcW w:w="920" w:type="dxa"/>
            <w:vAlign w:val="bottom"/>
          </w:tcPr>
          <w:p>
            <w:pPr>
              <w:jc w:val="right"/>
              <w:ind w:right="33"/>
              <w:spacing w:after="0"/>
              <w:rPr>
                <w:sz w:val="20"/>
                <w:szCs w:val="20"/>
                <w:color w:val="auto"/>
              </w:rPr>
            </w:pPr>
            <w:r>
              <w:rPr>
                <w:rFonts w:ascii="Arial" w:cs="Arial" w:eastAsia="Arial" w:hAnsi="Arial"/>
                <w:sz w:val="9"/>
                <w:szCs w:val="9"/>
                <w:color w:val="auto"/>
              </w:rPr>
              <w:t>329,867</w:t>
            </w:r>
          </w:p>
        </w:tc>
        <w:tc>
          <w:tcPr>
            <w:tcW w:w="900" w:type="dxa"/>
            <w:vAlign w:val="bottom"/>
          </w:tcPr>
          <w:p>
            <w:pPr>
              <w:jc w:val="right"/>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93"/>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173"/>
              <w:spacing w:after="0"/>
              <w:rPr>
                <w:sz w:val="20"/>
                <w:szCs w:val="20"/>
                <w:color w:val="auto"/>
              </w:rPr>
            </w:pPr>
            <w:r>
              <w:rPr>
                <w:rFonts w:ascii="Arial" w:cs="Arial" w:eastAsia="Arial" w:hAnsi="Arial"/>
                <w:sz w:val="9"/>
                <w:szCs w:val="9"/>
                <w:color w:val="auto"/>
              </w:rPr>
              <w:t>-</w:t>
            </w:r>
          </w:p>
        </w:tc>
        <w:tc>
          <w:tcPr>
            <w:tcW w:w="520" w:type="dxa"/>
            <w:vAlign w:val="bottom"/>
          </w:tcPr>
          <w:p>
            <w:pPr>
              <w:spacing w:after="0"/>
              <w:rPr>
                <w:sz w:val="17"/>
                <w:szCs w:val="17"/>
                <w:color w:val="auto"/>
              </w:rPr>
            </w:pPr>
          </w:p>
        </w:tc>
        <w:tc>
          <w:tcPr>
            <w:tcW w:w="2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355,816</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20" w:type="dxa"/>
            <w:vAlign w:val="bottom"/>
          </w:tcPr>
          <w:p>
            <w:pPr>
              <w:jc w:val="right"/>
              <w:spacing w:after="0"/>
              <w:rPr>
                <w:sz w:val="20"/>
                <w:szCs w:val="20"/>
                <w:color w:val="auto"/>
              </w:rPr>
            </w:pPr>
            <w:r>
              <w:rPr>
                <w:rFonts w:ascii="Arial" w:cs="Arial" w:eastAsia="Arial" w:hAnsi="Arial"/>
                <w:sz w:val="9"/>
                <w:szCs w:val="9"/>
                <w:b w:val="1"/>
                <w:bCs w:val="1"/>
                <w:color w:val="auto"/>
              </w:rPr>
              <w:t>355,816</w:t>
            </w:r>
          </w:p>
        </w:tc>
        <w:tc>
          <w:tcPr>
            <w:tcW w:w="0" w:type="dxa"/>
            <w:vAlign w:val="bottom"/>
          </w:tcPr>
          <w:p>
            <w:pPr>
              <w:spacing w:after="0"/>
              <w:rPr>
                <w:sz w:val="1"/>
                <w:szCs w:val="1"/>
                <w:color w:val="auto"/>
              </w:rPr>
            </w:pPr>
          </w:p>
        </w:tc>
      </w:tr>
      <w:tr>
        <w:trPr>
          <w:trHeight w:val="110"/>
        </w:trPr>
        <w:tc>
          <w:tcPr>
            <w:tcW w:w="1960" w:type="dxa"/>
            <w:vAlign w:val="bottom"/>
          </w:tcPr>
          <w:p>
            <w:pPr>
              <w:spacing w:after="0"/>
              <w:rPr>
                <w:sz w:val="20"/>
                <w:szCs w:val="20"/>
                <w:color w:val="auto"/>
              </w:rPr>
            </w:pPr>
            <w:r>
              <w:rPr>
                <w:rFonts w:ascii="Arial" w:cs="Arial" w:eastAsia="Arial" w:hAnsi="Arial"/>
                <w:sz w:val="9"/>
                <w:szCs w:val="9"/>
                <w:color w:val="auto"/>
              </w:rPr>
              <w:t>Share based payments</w:t>
            </w:r>
          </w:p>
        </w:tc>
        <w:tc>
          <w:tcPr>
            <w:tcW w:w="920" w:type="dxa"/>
            <w:vAlign w:val="bottom"/>
            <w:tcBorders>
              <w:right w:val="single" w:sz="8" w:color="70AD47"/>
            </w:tcBorders>
          </w:tcPr>
          <w:p>
            <w:pPr>
              <w:jc w:val="center"/>
              <w:ind w:left="193"/>
              <w:spacing w:after="0"/>
              <w:rPr>
                <w:sz w:val="20"/>
                <w:szCs w:val="20"/>
                <w:color w:val="auto"/>
              </w:rPr>
            </w:pPr>
            <w:r>
              <w:rPr>
                <w:rFonts w:ascii="Arial" w:cs="Arial" w:eastAsia="Arial" w:hAnsi="Arial"/>
                <w:sz w:val="9"/>
                <w:szCs w:val="9"/>
                <w:color w:val="auto"/>
                <w:w w:val="79"/>
              </w:rPr>
              <w:t>17</w:t>
            </w:r>
          </w:p>
        </w:tc>
        <w:tc>
          <w:tcPr>
            <w:tcW w:w="98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92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900" w:type="dxa"/>
            <w:vAlign w:val="bottom"/>
          </w:tcPr>
          <w:p>
            <w:pPr>
              <w:jc w:val="right"/>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93"/>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173"/>
              <w:spacing w:after="0"/>
              <w:rPr>
                <w:sz w:val="20"/>
                <w:szCs w:val="20"/>
                <w:color w:val="auto"/>
              </w:rPr>
            </w:pPr>
            <w:r>
              <w:rPr>
                <w:rFonts w:ascii="Arial" w:cs="Arial" w:eastAsia="Arial" w:hAnsi="Arial"/>
                <w:sz w:val="9"/>
                <w:szCs w:val="9"/>
                <w:color w:val="auto"/>
              </w:rPr>
              <w:t>7,641</w:t>
            </w:r>
          </w:p>
        </w:tc>
        <w:tc>
          <w:tcPr>
            <w:tcW w:w="520" w:type="dxa"/>
            <w:vAlign w:val="bottom"/>
          </w:tcPr>
          <w:p>
            <w:pPr>
              <w:spacing w:after="0"/>
              <w:rPr>
                <w:sz w:val="9"/>
                <w:szCs w:val="9"/>
                <w:color w:val="auto"/>
              </w:rPr>
            </w:pPr>
          </w:p>
        </w:tc>
        <w:tc>
          <w:tcPr>
            <w:tcW w:w="2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7,641</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20" w:type="dxa"/>
            <w:vAlign w:val="bottom"/>
          </w:tcPr>
          <w:p>
            <w:pPr>
              <w:jc w:val="right"/>
              <w:spacing w:after="0"/>
              <w:rPr>
                <w:sz w:val="20"/>
                <w:szCs w:val="20"/>
                <w:color w:val="auto"/>
              </w:rPr>
            </w:pPr>
            <w:r>
              <w:rPr>
                <w:rFonts w:ascii="Arial" w:cs="Arial" w:eastAsia="Arial" w:hAnsi="Arial"/>
                <w:sz w:val="9"/>
                <w:szCs w:val="9"/>
                <w:b w:val="1"/>
                <w:bCs w:val="1"/>
                <w:color w:val="auto"/>
              </w:rPr>
              <w:t>7,641</w:t>
            </w:r>
          </w:p>
        </w:tc>
        <w:tc>
          <w:tcPr>
            <w:tcW w:w="0" w:type="dxa"/>
            <w:vAlign w:val="bottom"/>
          </w:tcPr>
          <w:p>
            <w:pPr>
              <w:spacing w:after="0"/>
              <w:rPr>
                <w:sz w:val="1"/>
                <w:szCs w:val="1"/>
                <w:color w:val="auto"/>
              </w:rPr>
            </w:pPr>
          </w:p>
        </w:tc>
      </w:tr>
      <w:tr>
        <w:trPr>
          <w:trHeight w:val="121"/>
        </w:trPr>
        <w:tc>
          <w:tcPr>
            <w:tcW w:w="1960" w:type="dxa"/>
            <w:vAlign w:val="bottom"/>
          </w:tcPr>
          <w:p>
            <w:pPr>
              <w:spacing w:after="0"/>
              <w:rPr>
                <w:sz w:val="20"/>
                <w:szCs w:val="20"/>
                <w:color w:val="auto"/>
              </w:rPr>
            </w:pPr>
            <w:r>
              <w:rPr>
                <w:rFonts w:ascii="Arial" w:cs="Arial" w:eastAsia="Arial" w:hAnsi="Arial"/>
                <w:sz w:val="9"/>
                <w:szCs w:val="9"/>
                <w:color w:val="auto"/>
              </w:rPr>
              <w:t>Settlement of share-based payment plan</w:t>
            </w:r>
          </w:p>
        </w:tc>
        <w:tc>
          <w:tcPr>
            <w:tcW w:w="920" w:type="dxa"/>
            <w:vAlign w:val="bottom"/>
            <w:tcBorders>
              <w:right w:val="single" w:sz="8" w:color="70AD47"/>
            </w:tcBorders>
          </w:tcPr>
          <w:p>
            <w:pPr>
              <w:spacing w:after="0"/>
              <w:rPr>
                <w:sz w:val="10"/>
                <w:szCs w:val="10"/>
                <w:color w:val="auto"/>
              </w:rPr>
            </w:pPr>
          </w:p>
        </w:tc>
        <w:tc>
          <w:tcPr>
            <w:tcW w:w="980" w:type="dxa"/>
            <w:vAlign w:val="bottom"/>
          </w:tcPr>
          <w:p>
            <w:pPr>
              <w:jc w:val="right"/>
              <w:ind w:right="33"/>
              <w:spacing w:after="0"/>
              <w:rPr>
                <w:sz w:val="20"/>
                <w:szCs w:val="20"/>
                <w:color w:val="auto"/>
              </w:rPr>
            </w:pPr>
            <w:r>
              <w:rPr>
                <w:rFonts w:ascii="Arial" w:cs="Arial" w:eastAsia="Arial" w:hAnsi="Arial"/>
                <w:sz w:val="9"/>
                <w:szCs w:val="9"/>
                <w:color w:val="auto"/>
              </w:rPr>
              <w:t>583</w:t>
            </w:r>
          </w:p>
        </w:tc>
        <w:tc>
          <w:tcPr>
            <w:tcW w:w="920" w:type="dxa"/>
            <w:vAlign w:val="bottom"/>
          </w:tcPr>
          <w:p>
            <w:pPr>
              <w:jc w:val="right"/>
              <w:ind w:right="33"/>
              <w:spacing w:after="0"/>
              <w:rPr>
                <w:sz w:val="20"/>
                <w:szCs w:val="20"/>
                <w:color w:val="auto"/>
              </w:rPr>
            </w:pPr>
            <w:r>
              <w:rPr>
                <w:rFonts w:ascii="Arial" w:cs="Arial" w:eastAsia="Arial" w:hAnsi="Arial"/>
                <w:sz w:val="9"/>
                <w:szCs w:val="9"/>
                <w:color w:val="auto"/>
              </w:rPr>
              <w:t>5,326</w:t>
            </w:r>
          </w:p>
        </w:tc>
        <w:tc>
          <w:tcPr>
            <w:tcW w:w="900" w:type="dxa"/>
            <w:vAlign w:val="bottom"/>
          </w:tcPr>
          <w:p>
            <w:pPr>
              <w:jc w:val="right"/>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93"/>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173"/>
              <w:spacing w:after="0"/>
              <w:rPr>
                <w:sz w:val="20"/>
                <w:szCs w:val="20"/>
                <w:color w:val="auto"/>
              </w:rPr>
            </w:pPr>
            <w:r>
              <w:rPr>
                <w:rFonts w:ascii="Arial" w:cs="Arial" w:eastAsia="Arial" w:hAnsi="Arial"/>
                <w:sz w:val="9"/>
                <w:szCs w:val="9"/>
                <w:color w:val="auto"/>
              </w:rPr>
              <w:t>(5,909)</w:t>
            </w:r>
          </w:p>
        </w:tc>
        <w:tc>
          <w:tcPr>
            <w:tcW w:w="520" w:type="dxa"/>
            <w:vAlign w:val="bottom"/>
          </w:tcPr>
          <w:p>
            <w:pPr>
              <w:spacing w:after="0"/>
              <w:rPr>
                <w:sz w:val="10"/>
                <w:szCs w:val="10"/>
                <w:color w:val="auto"/>
              </w:rPr>
            </w:pPr>
          </w:p>
        </w:tc>
        <w:tc>
          <w:tcPr>
            <w:tcW w:w="2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02"/>
        </w:trPr>
        <w:tc>
          <w:tcPr>
            <w:tcW w:w="1960" w:type="dxa"/>
            <w:vAlign w:val="bottom"/>
            <w:tcBorders>
              <w:bottom w:val="single" w:sz="8" w:color="70AD47"/>
            </w:tcBorders>
          </w:tcPr>
          <w:p>
            <w:pPr>
              <w:spacing w:after="0"/>
              <w:rPr>
                <w:sz w:val="8"/>
                <w:szCs w:val="8"/>
                <w:color w:val="auto"/>
              </w:rPr>
            </w:pPr>
          </w:p>
        </w:tc>
        <w:tc>
          <w:tcPr>
            <w:tcW w:w="920" w:type="dxa"/>
            <w:vAlign w:val="bottom"/>
            <w:tcBorders>
              <w:bottom w:val="single" w:sz="8" w:color="70AD47"/>
              <w:right w:val="single" w:sz="8" w:color="70AD47"/>
            </w:tcBorders>
          </w:tcPr>
          <w:p>
            <w:pPr>
              <w:spacing w:after="0"/>
              <w:rPr>
                <w:sz w:val="8"/>
                <w:szCs w:val="8"/>
                <w:color w:val="auto"/>
              </w:rPr>
            </w:pPr>
          </w:p>
        </w:tc>
        <w:tc>
          <w:tcPr>
            <w:tcW w:w="980" w:type="dxa"/>
            <w:vAlign w:val="bottom"/>
            <w:tcBorders>
              <w:bottom w:val="single" w:sz="8" w:color="70AD47"/>
            </w:tcBorders>
          </w:tcPr>
          <w:p>
            <w:pPr>
              <w:spacing w:after="0"/>
              <w:rPr>
                <w:sz w:val="8"/>
                <w:szCs w:val="8"/>
                <w:color w:val="auto"/>
              </w:rPr>
            </w:pPr>
          </w:p>
        </w:tc>
        <w:tc>
          <w:tcPr>
            <w:tcW w:w="920" w:type="dxa"/>
            <w:vAlign w:val="bottom"/>
            <w:tcBorders>
              <w:bottom w:val="single" w:sz="8" w:color="70AD47"/>
            </w:tcBorders>
          </w:tcPr>
          <w:p>
            <w:pPr>
              <w:spacing w:after="0"/>
              <w:rPr>
                <w:sz w:val="8"/>
                <w:szCs w:val="8"/>
                <w:color w:val="auto"/>
              </w:rPr>
            </w:pPr>
          </w:p>
        </w:tc>
        <w:tc>
          <w:tcPr>
            <w:tcW w:w="900" w:type="dxa"/>
            <w:vAlign w:val="bottom"/>
            <w:tcBorders>
              <w:bottom w:val="single" w:sz="8" w:color="70AD47"/>
            </w:tcBorders>
          </w:tcPr>
          <w:p>
            <w:pPr>
              <w:spacing w:after="0"/>
              <w:rPr>
                <w:sz w:val="8"/>
                <w:szCs w:val="8"/>
                <w:color w:val="auto"/>
              </w:rPr>
            </w:pPr>
          </w:p>
        </w:tc>
        <w:tc>
          <w:tcPr>
            <w:tcW w:w="1020" w:type="dxa"/>
            <w:vAlign w:val="bottom"/>
            <w:tcBorders>
              <w:bottom w:val="single" w:sz="8" w:color="70AD47"/>
            </w:tcBorders>
          </w:tcPr>
          <w:p>
            <w:pPr>
              <w:spacing w:after="0"/>
              <w:rPr>
                <w:sz w:val="8"/>
                <w:szCs w:val="8"/>
                <w:color w:val="auto"/>
              </w:rPr>
            </w:pPr>
          </w:p>
        </w:tc>
        <w:tc>
          <w:tcPr>
            <w:tcW w:w="1020" w:type="dxa"/>
            <w:vAlign w:val="bottom"/>
            <w:tcBorders>
              <w:bottom w:val="single" w:sz="8" w:color="70AD47"/>
            </w:tcBorders>
          </w:tcPr>
          <w:p>
            <w:pPr>
              <w:spacing w:after="0"/>
              <w:rPr>
                <w:sz w:val="8"/>
                <w:szCs w:val="8"/>
                <w:color w:val="auto"/>
              </w:rPr>
            </w:pPr>
          </w:p>
        </w:tc>
        <w:tc>
          <w:tcPr>
            <w:tcW w:w="520" w:type="dxa"/>
            <w:vAlign w:val="bottom"/>
            <w:tcBorders>
              <w:bottom w:val="single" w:sz="8" w:color="70AD47"/>
            </w:tcBorders>
          </w:tcPr>
          <w:p>
            <w:pPr>
              <w:spacing w:after="0"/>
              <w:rPr>
                <w:sz w:val="8"/>
                <w:szCs w:val="8"/>
                <w:color w:val="auto"/>
              </w:rPr>
            </w:pPr>
          </w:p>
        </w:tc>
        <w:tc>
          <w:tcPr>
            <w:tcW w:w="240" w:type="dxa"/>
            <w:vAlign w:val="bottom"/>
            <w:tcBorders>
              <w:bottom w:val="single" w:sz="8" w:color="70AD47"/>
              <w:right w:val="single" w:sz="8" w:color="70AD47"/>
            </w:tcBorders>
          </w:tcPr>
          <w:p>
            <w:pPr>
              <w:spacing w:after="0"/>
              <w:rPr>
                <w:sz w:val="8"/>
                <w:szCs w:val="8"/>
                <w:color w:val="auto"/>
              </w:rPr>
            </w:pPr>
          </w:p>
        </w:tc>
        <w:tc>
          <w:tcPr>
            <w:tcW w:w="940" w:type="dxa"/>
            <w:vAlign w:val="bottom"/>
            <w:tcBorders>
              <w:bottom w:val="single" w:sz="8" w:color="70AD47"/>
              <w:right w:val="single" w:sz="8" w:color="70AD47"/>
            </w:tcBorders>
          </w:tcPr>
          <w:p>
            <w:pPr>
              <w:spacing w:after="0"/>
              <w:rPr>
                <w:sz w:val="8"/>
                <w:szCs w:val="8"/>
                <w:color w:val="auto"/>
              </w:rPr>
            </w:pPr>
          </w:p>
        </w:tc>
        <w:tc>
          <w:tcPr>
            <w:tcW w:w="940" w:type="dxa"/>
            <w:vAlign w:val="bottom"/>
            <w:tcBorders>
              <w:bottom w:val="single" w:sz="8" w:color="70AD47"/>
              <w:right w:val="single" w:sz="8" w:color="70AD47"/>
            </w:tcBorders>
          </w:tcPr>
          <w:p>
            <w:pPr>
              <w:spacing w:after="0"/>
              <w:rPr>
                <w:sz w:val="8"/>
                <w:szCs w:val="8"/>
                <w:color w:val="auto"/>
              </w:rPr>
            </w:pPr>
          </w:p>
        </w:tc>
        <w:tc>
          <w:tcPr>
            <w:tcW w:w="920" w:type="dxa"/>
            <w:vAlign w:val="bottom"/>
            <w:tcBorders>
              <w:bottom w:val="single" w:sz="8" w:color="70AD47"/>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960" w:type="dxa"/>
            <w:vAlign w:val="bottom"/>
          </w:tcPr>
          <w:p>
            <w:pPr>
              <w:spacing w:after="0"/>
              <w:rPr>
                <w:sz w:val="20"/>
                <w:szCs w:val="20"/>
                <w:color w:val="auto"/>
              </w:rPr>
            </w:pPr>
            <w:r>
              <w:rPr>
                <w:rFonts w:ascii="Arial" w:cs="Arial" w:eastAsia="Arial" w:hAnsi="Arial"/>
                <w:sz w:val="9"/>
                <w:szCs w:val="9"/>
                <w:b w:val="1"/>
                <w:bCs w:val="1"/>
                <w:color w:val="auto"/>
              </w:rPr>
              <w:t>As of December 31, 2018</w:t>
            </w:r>
          </w:p>
        </w:tc>
        <w:tc>
          <w:tcPr>
            <w:tcW w:w="920" w:type="dxa"/>
            <w:vAlign w:val="bottom"/>
            <w:tcBorders>
              <w:right w:val="single" w:sz="8" w:color="70AD47"/>
            </w:tcBorders>
          </w:tcPr>
          <w:p>
            <w:pPr>
              <w:spacing w:after="0"/>
              <w:rPr>
                <w:sz w:val="9"/>
                <w:szCs w:val="9"/>
                <w:color w:val="auto"/>
              </w:rPr>
            </w:pPr>
          </w:p>
        </w:tc>
        <w:tc>
          <w:tcPr>
            <w:tcW w:w="980" w:type="dxa"/>
            <w:vAlign w:val="bottom"/>
          </w:tcPr>
          <w:p>
            <w:pPr>
              <w:jc w:val="right"/>
              <w:ind w:right="33"/>
              <w:spacing w:after="0"/>
              <w:rPr>
                <w:sz w:val="20"/>
                <w:szCs w:val="20"/>
                <w:color w:val="auto"/>
              </w:rPr>
            </w:pPr>
            <w:r>
              <w:rPr>
                <w:rFonts w:ascii="Arial" w:cs="Arial" w:eastAsia="Arial" w:hAnsi="Arial"/>
                <w:sz w:val="9"/>
                <w:szCs w:val="9"/>
                <w:b w:val="1"/>
                <w:bCs w:val="1"/>
                <w:color w:val="auto"/>
              </w:rPr>
              <w:t>€193,296</w:t>
            </w:r>
          </w:p>
        </w:tc>
        <w:tc>
          <w:tcPr>
            <w:tcW w:w="920" w:type="dxa"/>
            <w:vAlign w:val="bottom"/>
          </w:tcPr>
          <w:p>
            <w:pPr>
              <w:jc w:val="right"/>
              <w:ind w:right="33"/>
              <w:spacing w:after="0"/>
              <w:rPr>
                <w:sz w:val="20"/>
                <w:szCs w:val="20"/>
                <w:color w:val="auto"/>
              </w:rPr>
            </w:pPr>
            <w:r>
              <w:rPr>
                <w:rFonts w:ascii="Arial" w:cs="Arial" w:eastAsia="Arial" w:hAnsi="Arial"/>
                <w:sz w:val="9"/>
                <w:szCs w:val="9"/>
                <w:b w:val="1"/>
                <w:bCs w:val="1"/>
                <w:color w:val="auto"/>
              </w:rPr>
              <w:t>344,115</w:t>
            </w:r>
          </w:p>
        </w:tc>
        <w:tc>
          <w:tcPr>
            <w:tcW w:w="9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1020" w:type="dxa"/>
            <w:vAlign w:val="bottom"/>
          </w:tcPr>
          <w:p>
            <w:pPr>
              <w:jc w:val="right"/>
              <w:ind w:right="93"/>
              <w:spacing w:after="0"/>
              <w:rPr>
                <w:sz w:val="20"/>
                <w:szCs w:val="20"/>
                <w:color w:val="auto"/>
              </w:rPr>
            </w:pPr>
            <w:r>
              <w:rPr>
                <w:rFonts w:ascii="Arial" w:cs="Arial" w:eastAsia="Arial" w:hAnsi="Arial"/>
                <w:sz w:val="9"/>
                <w:szCs w:val="9"/>
                <w:b w:val="1"/>
                <w:bCs w:val="1"/>
                <w:color w:val="auto"/>
              </w:rPr>
              <w:t>(245,771)</w:t>
            </w:r>
          </w:p>
        </w:tc>
        <w:tc>
          <w:tcPr>
            <w:tcW w:w="1020" w:type="dxa"/>
            <w:vAlign w:val="bottom"/>
          </w:tcPr>
          <w:p>
            <w:pPr>
              <w:jc w:val="right"/>
              <w:ind w:right="173"/>
              <w:spacing w:after="0"/>
              <w:rPr>
                <w:sz w:val="20"/>
                <w:szCs w:val="20"/>
                <w:color w:val="auto"/>
              </w:rPr>
            </w:pPr>
            <w:r>
              <w:rPr>
                <w:rFonts w:ascii="Arial" w:cs="Arial" w:eastAsia="Arial" w:hAnsi="Arial"/>
                <w:sz w:val="9"/>
                <w:szCs w:val="9"/>
                <w:b w:val="1"/>
                <w:bCs w:val="1"/>
                <w:color w:val="auto"/>
              </w:rPr>
              <w:t>(25,474)</w:t>
            </w:r>
          </w:p>
        </w:tc>
        <w:tc>
          <w:tcPr>
            <w:tcW w:w="520" w:type="dxa"/>
            <w:vAlign w:val="bottom"/>
          </w:tcPr>
          <w:p>
            <w:pPr>
              <w:spacing w:after="0"/>
              <w:rPr>
                <w:sz w:val="9"/>
                <w:szCs w:val="9"/>
                <w:color w:val="auto"/>
              </w:rPr>
            </w:pPr>
          </w:p>
        </w:tc>
        <w:tc>
          <w:tcPr>
            <w:tcW w:w="2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(13)</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266,153</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847</w:t>
            </w:r>
          </w:p>
        </w:tc>
        <w:tc>
          <w:tcPr>
            <w:tcW w:w="920" w:type="dxa"/>
            <w:vAlign w:val="bottom"/>
          </w:tcPr>
          <w:p>
            <w:pPr>
              <w:jc w:val="right"/>
              <w:spacing w:after="0"/>
              <w:rPr>
                <w:sz w:val="20"/>
                <w:szCs w:val="20"/>
                <w:color w:val="auto"/>
              </w:rPr>
            </w:pPr>
            <w:r>
              <w:rPr>
                <w:rFonts w:ascii="Arial" w:cs="Arial" w:eastAsia="Arial" w:hAnsi="Arial"/>
                <w:sz w:val="9"/>
                <w:szCs w:val="9"/>
                <w:b w:val="1"/>
                <w:bCs w:val="1"/>
                <w:color w:val="auto"/>
              </w:rPr>
              <w:t>267,000</w:t>
            </w:r>
          </w:p>
        </w:tc>
        <w:tc>
          <w:tcPr>
            <w:tcW w:w="0" w:type="dxa"/>
            <w:vAlign w:val="bottom"/>
          </w:tcPr>
          <w:p>
            <w:pPr>
              <w:spacing w:after="0"/>
              <w:rPr>
                <w:sz w:val="1"/>
                <w:szCs w:val="1"/>
                <w:color w:val="auto"/>
              </w:rPr>
            </w:pPr>
          </w:p>
        </w:tc>
      </w:tr>
      <w:tr>
        <w:trPr>
          <w:trHeight w:val="99"/>
        </w:trPr>
        <w:tc>
          <w:tcPr>
            <w:tcW w:w="1960" w:type="dxa"/>
            <w:vAlign w:val="bottom"/>
            <w:tcBorders>
              <w:bottom w:val="single" w:sz="8" w:color="70AD47"/>
            </w:tcBorders>
          </w:tcPr>
          <w:p>
            <w:pPr>
              <w:spacing w:after="0"/>
              <w:rPr>
                <w:sz w:val="8"/>
                <w:szCs w:val="8"/>
                <w:color w:val="auto"/>
              </w:rPr>
            </w:pPr>
          </w:p>
        </w:tc>
        <w:tc>
          <w:tcPr>
            <w:tcW w:w="920" w:type="dxa"/>
            <w:vAlign w:val="bottom"/>
            <w:tcBorders>
              <w:bottom w:val="single" w:sz="8" w:color="70AD47"/>
              <w:right w:val="single" w:sz="8" w:color="70AD47"/>
            </w:tcBorders>
          </w:tcPr>
          <w:p>
            <w:pPr>
              <w:spacing w:after="0"/>
              <w:rPr>
                <w:sz w:val="8"/>
                <w:szCs w:val="8"/>
                <w:color w:val="auto"/>
              </w:rPr>
            </w:pPr>
          </w:p>
        </w:tc>
        <w:tc>
          <w:tcPr>
            <w:tcW w:w="980" w:type="dxa"/>
            <w:vAlign w:val="bottom"/>
            <w:tcBorders>
              <w:bottom w:val="single" w:sz="8" w:color="70AD47"/>
            </w:tcBorders>
          </w:tcPr>
          <w:p>
            <w:pPr>
              <w:spacing w:after="0"/>
              <w:rPr>
                <w:sz w:val="8"/>
                <w:szCs w:val="8"/>
                <w:color w:val="auto"/>
              </w:rPr>
            </w:pPr>
          </w:p>
        </w:tc>
        <w:tc>
          <w:tcPr>
            <w:tcW w:w="920" w:type="dxa"/>
            <w:vAlign w:val="bottom"/>
            <w:tcBorders>
              <w:bottom w:val="single" w:sz="8" w:color="70AD47"/>
            </w:tcBorders>
          </w:tcPr>
          <w:p>
            <w:pPr>
              <w:spacing w:after="0"/>
              <w:rPr>
                <w:sz w:val="8"/>
                <w:szCs w:val="8"/>
                <w:color w:val="auto"/>
              </w:rPr>
            </w:pPr>
          </w:p>
        </w:tc>
        <w:tc>
          <w:tcPr>
            <w:tcW w:w="900" w:type="dxa"/>
            <w:vAlign w:val="bottom"/>
            <w:tcBorders>
              <w:bottom w:val="single" w:sz="8" w:color="70AD47"/>
            </w:tcBorders>
          </w:tcPr>
          <w:p>
            <w:pPr>
              <w:spacing w:after="0"/>
              <w:rPr>
                <w:sz w:val="8"/>
                <w:szCs w:val="8"/>
                <w:color w:val="auto"/>
              </w:rPr>
            </w:pPr>
          </w:p>
        </w:tc>
        <w:tc>
          <w:tcPr>
            <w:tcW w:w="1020" w:type="dxa"/>
            <w:vAlign w:val="bottom"/>
            <w:tcBorders>
              <w:bottom w:val="single" w:sz="8" w:color="70AD47"/>
            </w:tcBorders>
          </w:tcPr>
          <w:p>
            <w:pPr>
              <w:spacing w:after="0"/>
              <w:rPr>
                <w:sz w:val="8"/>
                <w:szCs w:val="8"/>
                <w:color w:val="auto"/>
              </w:rPr>
            </w:pPr>
          </w:p>
        </w:tc>
        <w:tc>
          <w:tcPr>
            <w:tcW w:w="1020" w:type="dxa"/>
            <w:vAlign w:val="bottom"/>
            <w:tcBorders>
              <w:bottom w:val="single" w:sz="8" w:color="70AD47"/>
            </w:tcBorders>
          </w:tcPr>
          <w:p>
            <w:pPr>
              <w:spacing w:after="0"/>
              <w:rPr>
                <w:sz w:val="8"/>
                <w:szCs w:val="8"/>
                <w:color w:val="auto"/>
              </w:rPr>
            </w:pPr>
          </w:p>
        </w:tc>
        <w:tc>
          <w:tcPr>
            <w:tcW w:w="520" w:type="dxa"/>
            <w:vAlign w:val="bottom"/>
            <w:tcBorders>
              <w:bottom w:val="single" w:sz="8" w:color="70AD47"/>
            </w:tcBorders>
          </w:tcPr>
          <w:p>
            <w:pPr>
              <w:spacing w:after="0"/>
              <w:rPr>
                <w:sz w:val="8"/>
                <w:szCs w:val="8"/>
                <w:color w:val="auto"/>
              </w:rPr>
            </w:pPr>
          </w:p>
        </w:tc>
        <w:tc>
          <w:tcPr>
            <w:tcW w:w="240" w:type="dxa"/>
            <w:vAlign w:val="bottom"/>
            <w:tcBorders>
              <w:bottom w:val="single" w:sz="8" w:color="70AD47"/>
              <w:right w:val="single" w:sz="8" w:color="70AD47"/>
            </w:tcBorders>
          </w:tcPr>
          <w:p>
            <w:pPr>
              <w:spacing w:after="0"/>
              <w:rPr>
                <w:sz w:val="8"/>
                <w:szCs w:val="8"/>
                <w:color w:val="auto"/>
              </w:rPr>
            </w:pPr>
          </w:p>
        </w:tc>
        <w:tc>
          <w:tcPr>
            <w:tcW w:w="940" w:type="dxa"/>
            <w:vAlign w:val="bottom"/>
            <w:tcBorders>
              <w:bottom w:val="single" w:sz="8" w:color="70AD47"/>
              <w:right w:val="single" w:sz="8" w:color="70AD47"/>
            </w:tcBorders>
          </w:tcPr>
          <w:p>
            <w:pPr>
              <w:spacing w:after="0"/>
              <w:rPr>
                <w:sz w:val="8"/>
                <w:szCs w:val="8"/>
                <w:color w:val="auto"/>
              </w:rPr>
            </w:pPr>
          </w:p>
        </w:tc>
        <w:tc>
          <w:tcPr>
            <w:tcW w:w="940" w:type="dxa"/>
            <w:vAlign w:val="bottom"/>
            <w:tcBorders>
              <w:bottom w:val="single" w:sz="8" w:color="70AD47"/>
              <w:right w:val="single" w:sz="8" w:color="70AD47"/>
            </w:tcBorders>
          </w:tcPr>
          <w:p>
            <w:pPr>
              <w:spacing w:after="0"/>
              <w:rPr>
                <w:sz w:val="8"/>
                <w:szCs w:val="8"/>
                <w:color w:val="auto"/>
              </w:rPr>
            </w:pPr>
          </w:p>
        </w:tc>
        <w:tc>
          <w:tcPr>
            <w:tcW w:w="920" w:type="dxa"/>
            <w:vAlign w:val="bottom"/>
            <w:tcBorders>
              <w:bottom w:val="single" w:sz="8" w:color="70AD47"/>
            </w:tcBorders>
          </w:tcPr>
          <w:p>
            <w:pPr>
              <w:spacing w:after="0"/>
              <w:rPr>
                <w:sz w:val="8"/>
                <w:szCs w:val="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9"/>
          <w:szCs w:val="9"/>
          <w:color w:val="auto"/>
        </w:rPr>
        <w:t>* Numbers have been adjusted to reflect capital increase due to 1:18 share split which occurred on September 18, 2019.</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110"/>
        </w:trPr>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40" w:type="dxa"/>
            <w:vAlign w:val="bottom"/>
            <w:gridSpan w:val="2"/>
          </w:tcPr>
          <w:p>
            <w:pPr>
              <w:jc w:val="right"/>
              <w:spacing w:after="0"/>
              <w:rPr>
                <w:sz w:val="20"/>
                <w:szCs w:val="20"/>
                <w:color w:val="auto"/>
              </w:rPr>
            </w:pPr>
            <w:r>
              <w:rPr>
                <w:rFonts w:ascii="Arial" w:cs="Arial" w:eastAsia="Arial" w:hAnsi="Arial"/>
                <w:sz w:val="9"/>
                <w:szCs w:val="9"/>
                <w:b w:val="1"/>
                <w:bCs w:val="1"/>
                <w:color w:val="auto"/>
              </w:rPr>
              <w:t>Year ended December 31, 2017</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Borders>
              <w:bottom w:val="single" w:sz="8" w:color="70AD47"/>
            </w:tcBorders>
          </w:tcPr>
          <w:p>
            <w:pPr>
              <w:spacing w:after="0"/>
              <w:rPr>
                <w:sz w:val="9"/>
                <w:szCs w:val="9"/>
                <w:color w:val="auto"/>
              </w:rPr>
            </w:pPr>
          </w:p>
        </w:tc>
        <w:tc>
          <w:tcPr>
            <w:tcW w:w="2840" w:type="dxa"/>
            <w:vAlign w:val="bottom"/>
            <w:tcBorders>
              <w:bottom w:val="single" w:sz="8" w:color="70AD47"/>
            </w:tcBorders>
            <w:gridSpan w:val="3"/>
          </w:tcPr>
          <w:p>
            <w:pPr>
              <w:jc w:val="right"/>
              <w:spacing w:after="0"/>
              <w:rPr>
                <w:sz w:val="20"/>
                <w:szCs w:val="20"/>
                <w:color w:val="auto"/>
              </w:rPr>
            </w:pPr>
            <w:r>
              <w:rPr>
                <w:rFonts w:ascii="Arial" w:cs="Arial" w:eastAsia="Arial" w:hAnsi="Arial"/>
                <w:sz w:val="9"/>
                <w:szCs w:val="9"/>
                <w:b w:val="1"/>
                <w:bCs w:val="1"/>
                <w:color w:val="auto"/>
              </w:rPr>
              <w:t>Equity attributable to equity holders of the parent</w:t>
            </w:r>
          </w:p>
        </w:tc>
        <w:tc>
          <w:tcPr>
            <w:tcW w:w="1020" w:type="dxa"/>
            <w:vAlign w:val="bottom"/>
            <w:tcBorders>
              <w:bottom w:val="single" w:sz="8" w:color="70AD47"/>
            </w:tcBorders>
          </w:tcPr>
          <w:p>
            <w:pPr>
              <w:spacing w:after="0"/>
              <w:rPr>
                <w:sz w:val="9"/>
                <w:szCs w:val="9"/>
                <w:color w:val="auto"/>
              </w:rPr>
            </w:pPr>
          </w:p>
        </w:tc>
        <w:tc>
          <w:tcPr>
            <w:tcW w:w="520" w:type="dxa"/>
            <w:vAlign w:val="bottom"/>
            <w:tcBorders>
              <w:bottom w:val="single" w:sz="8" w:color="70AD47"/>
            </w:tcBorders>
          </w:tcPr>
          <w:p>
            <w:pPr>
              <w:spacing w:after="0"/>
              <w:rPr>
                <w:sz w:val="9"/>
                <w:szCs w:val="9"/>
                <w:color w:val="auto"/>
              </w:rPr>
            </w:pPr>
          </w:p>
        </w:tc>
        <w:tc>
          <w:tcPr>
            <w:tcW w:w="24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80" w:type="dxa"/>
            <w:vAlign w:val="bottom"/>
          </w:tcPr>
          <w:p>
            <w:pPr>
              <w:spacing w:after="0"/>
              <w:rPr>
                <w:sz w:val="7"/>
                <w:szCs w:val="7"/>
                <w:color w:val="auto"/>
              </w:rPr>
            </w:pPr>
          </w:p>
        </w:tc>
        <w:tc>
          <w:tcPr>
            <w:tcW w:w="1100" w:type="dxa"/>
            <w:vAlign w:val="bottom"/>
            <w:tcBorders>
              <w:right w:val="single" w:sz="8" w:color="70AD47"/>
            </w:tcBorders>
          </w:tcPr>
          <w:p>
            <w:pPr>
              <w:spacing w:after="0"/>
              <w:rPr>
                <w:sz w:val="7"/>
                <w:szCs w:val="7"/>
                <w:color w:val="auto"/>
              </w:rPr>
            </w:pP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jc w:val="center"/>
              <w:spacing w:after="0" w:line="87" w:lineRule="exact"/>
              <w:rPr>
                <w:sz w:val="20"/>
                <w:szCs w:val="20"/>
                <w:color w:val="auto"/>
              </w:rPr>
            </w:pPr>
            <w:r>
              <w:rPr>
                <w:rFonts w:ascii="Arial" w:cs="Arial" w:eastAsia="Arial" w:hAnsi="Arial"/>
                <w:sz w:val="9"/>
                <w:szCs w:val="9"/>
                <w:b w:val="1"/>
                <w:bCs w:val="1"/>
                <w:color w:val="auto"/>
                <w:w w:val="96"/>
              </w:rPr>
              <w:t>Foreign</w:t>
            </w:r>
          </w:p>
        </w:tc>
        <w:tc>
          <w:tcPr>
            <w:tcW w:w="240" w:type="dxa"/>
            <w:vAlign w:val="bottom"/>
            <w:tcBorders>
              <w:right w:val="single" w:sz="8" w:color="70AD47"/>
            </w:tcBorders>
          </w:tcPr>
          <w:p>
            <w:pPr>
              <w:spacing w:after="0"/>
              <w:rPr>
                <w:sz w:val="7"/>
                <w:szCs w:val="7"/>
                <w:color w:val="auto"/>
              </w:rPr>
            </w:pPr>
          </w:p>
        </w:tc>
        <w:tc>
          <w:tcPr>
            <w:tcW w:w="940" w:type="dxa"/>
            <w:vAlign w:val="bottom"/>
            <w:tcBorders>
              <w:right w:val="single" w:sz="8" w:color="70AD47"/>
            </w:tcBorders>
          </w:tcPr>
          <w:p>
            <w:pPr>
              <w:spacing w:after="0"/>
              <w:rPr>
                <w:sz w:val="7"/>
                <w:szCs w:val="7"/>
                <w:color w:val="auto"/>
              </w:rPr>
            </w:pPr>
          </w:p>
        </w:tc>
        <w:tc>
          <w:tcPr>
            <w:tcW w:w="940" w:type="dxa"/>
            <w:vAlign w:val="bottom"/>
            <w:tcBorders>
              <w:right w:val="single" w:sz="8" w:color="70AD47"/>
            </w:tcBorders>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780" w:type="dxa"/>
            <w:vAlign w:val="bottom"/>
            <w:vMerge w:val="restart"/>
          </w:tcPr>
          <w:p>
            <w:pPr>
              <w:spacing w:after="0"/>
              <w:rPr>
                <w:sz w:val="20"/>
                <w:szCs w:val="20"/>
                <w:color w:val="auto"/>
              </w:rPr>
            </w:pPr>
            <w:r>
              <w:rPr>
                <w:rFonts w:ascii="Arial" w:cs="Arial" w:eastAsia="Arial" w:hAnsi="Arial"/>
                <w:sz w:val="9"/>
                <w:szCs w:val="9"/>
                <w:i w:val="1"/>
                <w:iCs w:val="1"/>
                <w:color w:val="auto"/>
              </w:rPr>
              <w:t>(in thousands)</w:t>
            </w:r>
          </w:p>
        </w:tc>
        <w:tc>
          <w:tcPr>
            <w:tcW w:w="1100" w:type="dxa"/>
            <w:vAlign w:val="bottom"/>
            <w:tcBorders>
              <w:right w:val="single" w:sz="8" w:color="70AD47"/>
            </w:tcBorders>
            <w:vMerge w:val="restart"/>
          </w:tcPr>
          <w:p>
            <w:pPr>
              <w:jc w:val="center"/>
              <w:ind w:left="373"/>
              <w:spacing w:after="0"/>
              <w:rPr>
                <w:sz w:val="20"/>
                <w:szCs w:val="20"/>
                <w:color w:val="auto"/>
              </w:rPr>
            </w:pPr>
            <w:r>
              <w:rPr>
                <w:rFonts w:ascii="Arial" w:cs="Arial" w:eastAsia="Arial" w:hAnsi="Arial"/>
                <w:sz w:val="9"/>
                <w:szCs w:val="9"/>
                <w:b w:val="1"/>
                <w:bCs w:val="1"/>
                <w:color w:val="auto"/>
                <w:w w:val="99"/>
              </w:rPr>
              <w:t>Note</w:t>
            </w:r>
          </w:p>
        </w:tc>
        <w:tc>
          <w:tcPr>
            <w:tcW w:w="980" w:type="dxa"/>
            <w:vAlign w:val="bottom"/>
            <w:vMerge w:val="restart"/>
          </w:tcPr>
          <w:p>
            <w:pPr>
              <w:jc w:val="right"/>
              <w:ind w:right="213"/>
              <w:spacing w:after="0"/>
              <w:rPr>
                <w:sz w:val="20"/>
                <w:szCs w:val="20"/>
                <w:color w:val="auto"/>
              </w:rPr>
            </w:pPr>
            <w:r>
              <w:rPr>
                <w:rFonts w:ascii="Arial" w:cs="Arial" w:eastAsia="Arial" w:hAnsi="Arial"/>
                <w:sz w:val="9"/>
                <w:szCs w:val="9"/>
                <w:b w:val="1"/>
                <w:bCs w:val="1"/>
                <w:color w:val="auto"/>
              </w:rPr>
              <w:t>Share capital*</w:t>
            </w:r>
          </w:p>
        </w:tc>
        <w:tc>
          <w:tcPr>
            <w:tcW w:w="920" w:type="dxa"/>
            <w:vAlign w:val="bottom"/>
            <w:vMerge w:val="restart"/>
          </w:tcPr>
          <w:p>
            <w:pPr>
              <w:jc w:val="right"/>
              <w:ind w:right="153"/>
              <w:spacing w:after="0"/>
              <w:rPr>
                <w:sz w:val="20"/>
                <w:szCs w:val="20"/>
                <w:color w:val="auto"/>
              </w:rPr>
            </w:pPr>
            <w:r>
              <w:rPr>
                <w:rFonts w:ascii="Arial" w:cs="Arial" w:eastAsia="Arial" w:hAnsi="Arial"/>
                <w:sz w:val="9"/>
                <w:szCs w:val="9"/>
                <w:b w:val="1"/>
                <w:bCs w:val="1"/>
                <w:color w:val="auto"/>
              </w:rPr>
              <w:t>Capital reserve*</w:t>
            </w:r>
          </w:p>
        </w:tc>
        <w:tc>
          <w:tcPr>
            <w:tcW w:w="900" w:type="dxa"/>
            <w:vAlign w:val="bottom"/>
            <w:vMerge w:val="restart"/>
          </w:tcPr>
          <w:p>
            <w:pPr>
              <w:jc w:val="right"/>
              <w:ind w:right="113"/>
              <w:spacing w:after="0"/>
              <w:rPr>
                <w:sz w:val="20"/>
                <w:szCs w:val="20"/>
                <w:color w:val="auto"/>
              </w:rPr>
            </w:pPr>
            <w:r>
              <w:rPr>
                <w:rFonts w:ascii="Arial" w:cs="Arial" w:eastAsia="Arial" w:hAnsi="Arial"/>
                <w:sz w:val="9"/>
                <w:szCs w:val="9"/>
                <w:b w:val="1"/>
                <w:bCs w:val="1"/>
                <w:color w:val="auto"/>
                <w:w w:val="98"/>
              </w:rPr>
              <w:t>Treasury shares*</w:t>
            </w:r>
          </w:p>
        </w:tc>
        <w:tc>
          <w:tcPr>
            <w:tcW w:w="1020" w:type="dxa"/>
            <w:vAlign w:val="bottom"/>
            <w:vMerge w:val="restart"/>
          </w:tcPr>
          <w:p>
            <w:pPr>
              <w:jc w:val="right"/>
              <w:ind w:right="153"/>
              <w:spacing w:after="0"/>
              <w:rPr>
                <w:sz w:val="20"/>
                <w:szCs w:val="20"/>
                <w:color w:val="auto"/>
              </w:rPr>
            </w:pPr>
            <w:r>
              <w:rPr>
                <w:rFonts w:ascii="Arial" w:cs="Arial" w:eastAsia="Arial" w:hAnsi="Arial"/>
                <w:sz w:val="9"/>
                <w:szCs w:val="9"/>
                <w:b w:val="1"/>
                <w:bCs w:val="1"/>
                <w:color w:val="auto"/>
                <w:w w:val="91"/>
              </w:rPr>
              <w:t>Accumulated losses</w:t>
            </w:r>
          </w:p>
        </w:tc>
        <w:tc>
          <w:tcPr>
            <w:tcW w:w="1020" w:type="dxa"/>
            <w:vAlign w:val="bottom"/>
            <w:vMerge w:val="restart"/>
          </w:tcPr>
          <w:p>
            <w:pPr>
              <w:jc w:val="right"/>
              <w:ind w:right="333"/>
              <w:spacing w:after="0"/>
              <w:rPr>
                <w:sz w:val="20"/>
                <w:szCs w:val="20"/>
                <w:color w:val="auto"/>
              </w:rPr>
            </w:pPr>
            <w:r>
              <w:rPr>
                <w:rFonts w:ascii="Arial" w:cs="Arial" w:eastAsia="Arial" w:hAnsi="Arial"/>
                <w:sz w:val="9"/>
                <w:szCs w:val="9"/>
                <w:b w:val="1"/>
                <w:bCs w:val="1"/>
                <w:color w:val="auto"/>
                <w:w w:val="97"/>
              </w:rPr>
              <w:t>Other reserves</w:t>
            </w:r>
          </w:p>
        </w:tc>
        <w:tc>
          <w:tcPr>
            <w:tcW w:w="520" w:type="dxa"/>
            <w:vAlign w:val="bottom"/>
          </w:tcPr>
          <w:p>
            <w:pPr>
              <w:jc w:val="center"/>
              <w:spacing w:after="0" w:line="100" w:lineRule="exact"/>
              <w:rPr>
                <w:sz w:val="20"/>
                <w:szCs w:val="20"/>
                <w:color w:val="auto"/>
              </w:rPr>
            </w:pPr>
            <w:r>
              <w:rPr>
                <w:rFonts w:ascii="Arial" w:cs="Arial" w:eastAsia="Arial" w:hAnsi="Arial"/>
                <w:sz w:val="9"/>
                <w:szCs w:val="9"/>
                <w:b w:val="1"/>
                <w:bCs w:val="1"/>
                <w:color w:val="auto"/>
                <w:w w:val="94"/>
              </w:rPr>
              <w:t>currency</w:t>
            </w:r>
          </w:p>
        </w:tc>
        <w:tc>
          <w:tcPr>
            <w:tcW w:w="240" w:type="dxa"/>
            <w:vAlign w:val="bottom"/>
            <w:tcBorders>
              <w:right w:val="single" w:sz="8" w:color="70AD47"/>
            </w:tcBorders>
          </w:tcPr>
          <w:p>
            <w:pPr>
              <w:spacing w:after="0"/>
              <w:rPr>
                <w:sz w:val="8"/>
                <w:szCs w:val="8"/>
                <w:color w:val="auto"/>
              </w:rPr>
            </w:pPr>
          </w:p>
        </w:tc>
        <w:tc>
          <w:tcPr>
            <w:tcW w:w="940" w:type="dxa"/>
            <w:vAlign w:val="bottom"/>
            <w:tcBorders>
              <w:right w:val="single" w:sz="8" w:color="70AD47"/>
            </w:tcBorders>
            <w:vMerge w:val="restart"/>
          </w:tcPr>
          <w:p>
            <w:pPr>
              <w:jc w:val="right"/>
              <w:ind w:right="333"/>
              <w:spacing w:after="0"/>
              <w:rPr>
                <w:sz w:val="20"/>
                <w:szCs w:val="20"/>
                <w:color w:val="auto"/>
              </w:rPr>
            </w:pPr>
            <w:r>
              <w:rPr>
                <w:rFonts w:ascii="Arial" w:cs="Arial" w:eastAsia="Arial" w:hAnsi="Arial"/>
                <w:sz w:val="9"/>
                <w:szCs w:val="9"/>
                <w:b w:val="1"/>
                <w:bCs w:val="1"/>
                <w:color w:val="auto"/>
              </w:rPr>
              <w:t>Total</w:t>
            </w:r>
          </w:p>
        </w:tc>
        <w:tc>
          <w:tcPr>
            <w:tcW w:w="940" w:type="dxa"/>
            <w:vAlign w:val="bottom"/>
            <w:tcBorders>
              <w:right w:val="single" w:sz="8" w:color="70AD47"/>
            </w:tcBorders>
          </w:tcPr>
          <w:p>
            <w:pPr>
              <w:jc w:val="right"/>
              <w:ind w:right="133"/>
              <w:spacing w:after="0" w:line="100" w:lineRule="exact"/>
              <w:rPr>
                <w:sz w:val="20"/>
                <w:szCs w:val="20"/>
                <w:color w:val="auto"/>
              </w:rPr>
            </w:pPr>
            <w:r>
              <w:rPr>
                <w:rFonts w:ascii="Arial" w:cs="Arial" w:eastAsia="Arial" w:hAnsi="Arial"/>
                <w:sz w:val="9"/>
                <w:szCs w:val="9"/>
                <w:b w:val="1"/>
                <w:bCs w:val="1"/>
                <w:color w:val="auto"/>
              </w:rPr>
              <w:t>Non-controlling</w:t>
            </w:r>
          </w:p>
        </w:tc>
        <w:tc>
          <w:tcPr>
            <w:tcW w:w="940" w:type="dxa"/>
            <w:vAlign w:val="bottom"/>
            <w:vMerge w:val="restart"/>
          </w:tcPr>
          <w:p>
            <w:pPr>
              <w:jc w:val="right"/>
              <w:ind w:right="193"/>
              <w:spacing w:after="0"/>
              <w:rPr>
                <w:sz w:val="20"/>
                <w:szCs w:val="20"/>
                <w:color w:val="auto"/>
              </w:rPr>
            </w:pPr>
            <w:r>
              <w:rPr>
                <w:rFonts w:ascii="Arial" w:cs="Arial" w:eastAsia="Arial" w:hAnsi="Arial"/>
                <w:sz w:val="9"/>
                <w:szCs w:val="9"/>
                <w:b w:val="1"/>
                <w:bCs w:val="1"/>
                <w:color w:val="auto"/>
              </w:rPr>
              <w:t>Total equity</w:t>
            </w:r>
          </w:p>
        </w:tc>
        <w:tc>
          <w:tcPr>
            <w:tcW w:w="0" w:type="dxa"/>
            <w:vAlign w:val="bottom"/>
          </w:tcPr>
          <w:p>
            <w:pPr>
              <w:spacing w:after="0"/>
              <w:rPr>
                <w:sz w:val="1"/>
                <w:szCs w:val="1"/>
                <w:color w:val="auto"/>
              </w:rPr>
            </w:pPr>
          </w:p>
        </w:tc>
      </w:tr>
      <w:tr>
        <w:trPr>
          <w:trHeight w:val="71"/>
        </w:trPr>
        <w:tc>
          <w:tcPr>
            <w:tcW w:w="1780" w:type="dxa"/>
            <w:vAlign w:val="bottom"/>
            <w:vMerge w:val="continue"/>
          </w:tcPr>
          <w:p>
            <w:pPr>
              <w:spacing w:after="0"/>
              <w:rPr>
                <w:sz w:val="6"/>
                <w:szCs w:val="6"/>
                <w:color w:val="auto"/>
              </w:rPr>
            </w:pPr>
          </w:p>
        </w:tc>
        <w:tc>
          <w:tcPr>
            <w:tcW w:w="1100" w:type="dxa"/>
            <w:vAlign w:val="bottom"/>
            <w:tcBorders>
              <w:right w:val="single" w:sz="8" w:color="70AD47"/>
            </w:tcBorders>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20" w:type="dxa"/>
            <w:vAlign w:val="bottom"/>
            <w:vMerge w:val="restart"/>
          </w:tcPr>
          <w:p>
            <w:pPr>
              <w:jc w:val="center"/>
              <w:spacing w:after="0" w:line="100" w:lineRule="exact"/>
              <w:rPr>
                <w:sz w:val="20"/>
                <w:szCs w:val="20"/>
                <w:color w:val="auto"/>
              </w:rPr>
            </w:pPr>
            <w:r>
              <w:rPr>
                <w:rFonts w:ascii="Arial" w:cs="Arial" w:eastAsia="Arial" w:hAnsi="Arial"/>
                <w:sz w:val="9"/>
                <w:szCs w:val="9"/>
                <w:b w:val="1"/>
                <w:bCs w:val="1"/>
                <w:color w:val="auto"/>
                <w:w w:val="95"/>
              </w:rPr>
              <w:t>translation</w:t>
            </w:r>
          </w:p>
        </w:tc>
        <w:tc>
          <w:tcPr>
            <w:tcW w:w="240" w:type="dxa"/>
            <w:vAlign w:val="bottom"/>
            <w:tcBorders>
              <w:right w:val="single" w:sz="8" w:color="70AD47"/>
            </w:tcBorders>
          </w:tcPr>
          <w:p>
            <w:pPr>
              <w:spacing w:after="0"/>
              <w:rPr>
                <w:sz w:val="6"/>
                <w:szCs w:val="6"/>
                <w:color w:val="auto"/>
              </w:rPr>
            </w:pPr>
          </w:p>
        </w:tc>
        <w:tc>
          <w:tcPr>
            <w:tcW w:w="940" w:type="dxa"/>
            <w:vAlign w:val="bottom"/>
            <w:tcBorders>
              <w:right w:val="single" w:sz="8" w:color="70AD47"/>
            </w:tcBorders>
            <w:vMerge w:val="continue"/>
          </w:tcPr>
          <w:p>
            <w:pPr>
              <w:spacing w:after="0"/>
              <w:rPr>
                <w:sz w:val="6"/>
                <w:szCs w:val="6"/>
                <w:color w:val="auto"/>
              </w:rPr>
            </w:pPr>
          </w:p>
        </w:tc>
        <w:tc>
          <w:tcPr>
            <w:tcW w:w="940" w:type="dxa"/>
            <w:vAlign w:val="bottom"/>
            <w:tcBorders>
              <w:right w:val="single" w:sz="8" w:color="70AD47"/>
            </w:tcBorders>
            <w:vMerge w:val="restart"/>
          </w:tcPr>
          <w:p>
            <w:pPr>
              <w:jc w:val="right"/>
              <w:ind w:right="293"/>
              <w:spacing w:after="0" w:line="100" w:lineRule="exact"/>
              <w:rPr>
                <w:sz w:val="20"/>
                <w:szCs w:val="20"/>
                <w:color w:val="auto"/>
              </w:rPr>
            </w:pPr>
            <w:r>
              <w:rPr>
                <w:rFonts w:ascii="Arial" w:cs="Arial" w:eastAsia="Arial" w:hAnsi="Arial"/>
                <w:sz w:val="9"/>
                <w:szCs w:val="9"/>
                <w:b w:val="1"/>
                <w:bCs w:val="1"/>
                <w:color w:val="auto"/>
              </w:rPr>
              <w:t>interest</w:t>
            </w: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780" w:type="dxa"/>
            <w:vAlign w:val="bottom"/>
          </w:tcPr>
          <w:p>
            <w:pPr>
              <w:spacing w:after="0"/>
              <w:rPr>
                <w:sz w:val="2"/>
                <w:szCs w:val="2"/>
                <w:color w:val="auto"/>
              </w:rPr>
            </w:pPr>
          </w:p>
        </w:tc>
        <w:tc>
          <w:tcPr>
            <w:tcW w:w="1100" w:type="dxa"/>
            <w:vAlign w:val="bottom"/>
            <w:tcBorders>
              <w:right w:val="single" w:sz="8" w:color="70AD47"/>
            </w:tcBorders>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40" w:type="dxa"/>
            <w:vAlign w:val="bottom"/>
            <w:tcBorders>
              <w:right w:val="single" w:sz="8" w:color="70AD47"/>
            </w:tcBorders>
          </w:tcPr>
          <w:p>
            <w:pPr>
              <w:spacing w:after="0"/>
              <w:rPr>
                <w:sz w:val="2"/>
                <w:szCs w:val="2"/>
                <w:color w:val="auto"/>
              </w:rPr>
            </w:pPr>
          </w:p>
        </w:tc>
        <w:tc>
          <w:tcPr>
            <w:tcW w:w="940" w:type="dxa"/>
            <w:vAlign w:val="bottom"/>
            <w:tcBorders>
              <w:right w:val="single" w:sz="8" w:color="70AD47"/>
            </w:tcBorders>
          </w:tcPr>
          <w:p>
            <w:pPr>
              <w:spacing w:after="0"/>
              <w:rPr>
                <w:sz w:val="2"/>
                <w:szCs w:val="2"/>
                <w:color w:val="auto"/>
              </w:rPr>
            </w:pPr>
          </w:p>
        </w:tc>
        <w:tc>
          <w:tcPr>
            <w:tcW w:w="940" w:type="dxa"/>
            <w:vAlign w:val="bottom"/>
            <w:tcBorders>
              <w:right w:val="single" w:sz="8" w:color="70AD47"/>
            </w:tcBorders>
            <w:vMerge w:val="continue"/>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780" w:type="dxa"/>
            <w:vAlign w:val="bottom"/>
            <w:tcBorders>
              <w:bottom w:val="single" w:sz="8" w:color="70AD47"/>
            </w:tcBorders>
          </w:tcPr>
          <w:p>
            <w:pPr>
              <w:spacing w:after="0"/>
              <w:rPr>
                <w:sz w:val="9"/>
                <w:szCs w:val="9"/>
                <w:color w:val="auto"/>
              </w:rPr>
            </w:pPr>
          </w:p>
        </w:tc>
        <w:tc>
          <w:tcPr>
            <w:tcW w:w="1100" w:type="dxa"/>
            <w:vAlign w:val="bottom"/>
            <w:tcBorders>
              <w:bottom w:val="single" w:sz="8" w:color="70AD47"/>
              <w:right w:val="single" w:sz="8" w:color="70AD47"/>
            </w:tcBorders>
          </w:tcPr>
          <w:p>
            <w:pPr>
              <w:spacing w:after="0"/>
              <w:rPr>
                <w:sz w:val="9"/>
                <w:szCs w:val="9"/>
                <w:color w:val="auto"/>
              </w:rPr>
            </w:pPr>
          </w:p>
        </w:tc>
        <w:tc>
          <w:tcPr>
            <w:tcW w:w="980" w:type="dxa"/>
            <w:vAlign w:val="bottom"/>
            <w:tcBorders>
              <w:bottom w:val="single" w:sz="8" w:color="70AD47"/>
            </w:tcBorders>
          </w:tcPr>
          <w:p>
            <w:pPr>
              <w:spacing w:after="0"/>
              <w:rPr>
                <w:sz w:val="9"/>
                <w:szCs w:val="9"/>
                <w:color w:val="auto"/>
              </w:rPr>
            </w:pPr>
          </w:p>
        </w:tc>
        <w:tc>
          <w:tcPr>
            <w:tcW w:w="920" w:type="dxa"/>
            <w:vAlign w:val="bottom"/>
            <w:tcBorders>
              <w:bottom w:val="single" w:sz="8" w:color="70AD47"/>
            </w:tcBorders>
          </w:tcPr>
          <w:p>
            <w:pPr>
              <w:spacing w:after="0"/>
              <w:rPr>
                <w:sz w:val="9"/>
                <w:szCs w:val="9"/>
                <w:color w:val="auto"/>
              </w:rPr>
            </w:pPr>
          </w:p>
        </w:tc>
        <w:tc>
          <w:tcPr>
            <w:tcW w:w="900" w:type="dxa"/>
            <w:vAlign w:val="bottom"/>
            <w:tcBorders>
              <w:bottom w:val="single" w:sz="8" w:color="70AD47"/>
            </w:tcBorders>
          </w:tcPr>
          <w:p>
            <w:pPr>
              <w:spacing w:after="0"/>
              <w:rPr>
                <w:sz w:val="9"/>
                <w:szCs w:val="9"/>
                <w:color w:val="auto"/>
              </w:rPr>
            </w:pPr>
          </w:p>
        </w:tc>
        <w:tc>
          <w:tcPr>
            <w:tcW w:w="1020" w:type="dxa"/>
            <w:vAlign w:val="bottom"/>
            <w:tcBorders>
              <w:bottom w:val="single" w:sz="8" w:color="70AD47"/>
            </w:tcBorders>
          </w:tcPr>
          <w:p>
            <w:pPr>
              <w:spacing w:after="0"/>
              <w:rPr>
                <w:sz w:val="9"/>
                <w:szCs w:val="9"/>
                <w:color w:val="auto"/>
              </w:rPr>
            </w:pPr>
          </w:p>
        </w:tc>
        <w:tc>
          <w:tcPr>
            <w:tcW w:w="1020" w:type="dxa"/>
            <w:vAlign w:val="bottom"/>
            <w:tcBorders>
              <w:bottom w:val="single" w:sz="8" w:color="70AD47"/>
            </w:tcBorders>
          </w:tcPr>
          <w:p>
            <w:pPr>
              <w:spacing w:after="0"/>
              <w:rPr>
                <w:sz w:val="9"/>
                <w:szCs w:val="9"/>
                <w:color w:val="auto"/>
              </w:rPr>
            </w:pPr>
          </w:p>
        </w:tc>
        <w:tc>
          <w:tcPr>
            <w:tcW w:w="520" w:type="dxa"/>
            <w:vAlign w:val="bottom"/>
            <w:tcBorders>
              <w:bottom w:val="single" w:sz="8" w:color="70AD47"/>
            </w:tcBorders>
          </w:tcPr>
          <w:p>
            <w:pPr>
              <w:jc w:val="center"/>
              <w:spacing w:after="0"/>
              <w:rPr>
                <w:sz w:val="20"/>
                <w:szCs w:val="20"/>
                <w:color w:val="auto"/>
              </w:rPr>
            </w:pPr>
            <w:r>
              <w:rPr>
                <w:rFonts w:ascii="Arial" w:cs="Arial" w:eastAsia="Arial" w:hAnsi="Arial"/>
                <w:sz w:val="9"/>
                <w:szCs w:val="9"/>
                <w:b w:val="1"/>
                <w:bCs w:val="1"/>
                <w:color w:val="auto"/>
                <w:w w:val="87"/>
              </w:rPr>
              <w:t>reserve</w:t>
            </w:r>
          </w:p>
        </w:tc>
        <w:tc>
          <w:tcPr>
            <w:tcW w:w="2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80" w:type="dxa"/>
            <w:vAlign w:val="bottom"/>
            <w:tcBorders>
              <w:bottom w:val="single" w:sz="8" w:color="70AD47"/>
            </w:tcBorders>
          </w:tcPr>
          <w:p>
            <w:pPr>
              <w:spacing w:after="0"/>
              <w:rPr>
                <w:sz w:val="20"/>
                <w:szCs w:val="20"/>
                <w:color w:val="auto"/>
              </w:rPr>
            </w:pPr>
            <w:r>
              <w:rPr>
                <w:rFonts w:ascii="Arial" w:cs="Arial" w:eastAsia="Arial" w:hAnsi="Arial"/>
                <w:sz w:val="9"/>
                <w:szCs w:val="9"/>
                <w:b w:val="1"/>
                <w:bCs w:val="1"/>
                <w:color w:val="auto"/>
              </w:rPr>
              <w:t>As of January 1, 2017</w:t>
            </w:r>
          </w:p>
        </w:tc>
        <w:tc>
          <w:tcPr>
            <w:tcW w:w="1100" w:type="dxa"/>
            <w:vAlign w:val="bottom"/>
            <w:tcBorders>
              <w:bottom w:val="single" w:sz="8" w:color="70AD47"/>
              <w:right w:val="single" w:sz="8" w:color="70AD47"/>
            </w:tcBorders>
          </w:tcPr>
          <w:p>
            <w:pPr>
              <w:spacing w:after="0"/>
              <w:rPr>
                <w:sz w:val="18"/>
                <w:szCs w:val="18"/>
                <w:color w:val="auto"/>
              </w:rPr>
            </w:pPr>
          </w:p>
        </w:tc>
        <w:tc>
          <w:tcPr>
            <w:tcW w:w="980" w:type="dxa"/>
            <w:vAlign w:val="bottom"/>
            <w:tcBorders>
              <w:bottom w:val="single" w:sz="8" w:color="70AD47"/>
            </w:tcBorders>
          </w:tcPr>
          <w:p>
            <w:pPr>
              <w:jc w:val="right"/>
              <w:ind w:right="33"/>
              <w:spacing w:after="0"/>
              <w:rPr>
                <w:sz w:val="20"/>
                <w:szCs w:val="20"/>
                <w:color w:val="auto"/>
              </w:rPr>
            </w:pPr>
            <w:r>
              <w:rPr>
                <w:rFonts w:ascii="Arial" w:cs="Arial" w:eastAsia="Arial" w:hAnsi="Arial"/>
                <w:sz w:val="9"/>
                <w:szCs w:val="9"/>
                <w:b w:val="1"/>
                <w:bCs w:val="1"/>
                <w:color w:val="auto"/>
              </w:rPr>
              <w:t>€3,270</w:t>
            </w:r>
          </w:p>
        </w:tc>
        <w:tc>
          <w:tcPr>
            <w:tcW w:w="920" w:type="dxa"/>
            <w:vAlign w:val="bottom"/>
            <w:tcBorders>
              <w:bottom w:val="single" w:sz="8" w:color="70AD47"/>
            </w:tcBorders>
          </w:tcPr>
          <w:p>
            <w:pPr>
              <w:jc w:val="right"/>
              <w:ind w:right="33"/>
              <w:spacing w:after="0"/>
              <w:rPr>
                <w:sz w:val="20"/>
                <w:szCs w:val="20"/>
                <w:color w:val="auto"/>
              </w:rPr>
            </w:pPr>
            <w:r>
              <w:rPr>
                <w:rFonts w:ascii="Arial" w:cs="Arial" w:eastAsia="Arial" w:hAnsi="Arial"/>
                <w:sz w:val="9"/>
                <w:szCs w:val="9"/>
                <w:b w:val="1"/>
                <w:bCs w:val="1"/>
                <w:color w:val="auto"/>
              </w:rPr>
              <w:t>172,416</w:t>
            </w:r>
          </w:p>
        </w:tc>
        <w:tc>
          <w:tcPr>
            <w:tcW w:w="900" w:type="dxa"/>
            <w:vAlign w:val="bottom"/>
            <w:tcBorders>
              <w:bottom w:val="single" w:sz="8" w:color="70AD47"/>
            </w:tcBorders>
          </w:tcPr>
          <w:p>
            <w:pPr>
              <w:jc w:val="right"/>
              <w:spacing w:after="0"/>
              <w:rPr>
                <w:sz w:val="20"/>
                <w:szCs w:val="20"/>
                <w:color w:val="auto"/>
              </w:rPr>
            </w:pPr>
            <w:r>
              <w:rPr>
                <w:rFonts w:ascii="Arial" w:cs="Arial" w:eastAsia="Arial" w:hAnsi="Arial"/>
                <w:sz w:val="9"/>
                <w:szCs w:val="9"/>
                <w:b w:val="1"/>
                <w:bCs w:val="1"/>
                <w:color w:val="auto"/>
              </w:rPr>
              <w:t>-</w:t>
            </w:r>
          </w:p>
        </w:tc>
        <w:tc>
          <w:tcPr>
            <w:tcW w:w="1020" w:type="dxa"/>
            <w:vAlign w:val="bottom"/>
            <w:tcBorders>
              <w:bottom w:val="single" w:sz="8" w:color="70AD47"/>
            </w:tcBorders>
          </w:tcPr>
          <w:p>
            <w:pPr>
              <w:jc w:val="right"/>
              <w:ind w:right="93"/>
              <w:spacing w:after="0"/>
              <w:rPr>
                <w:sz w:val="20"/>
                <w:szCs w:val="20"/>
                <w:color w:val="auto"/>
              </w:rPr>
            </w:pPr>
            <w:r>
              <w:rPr>
                <w:rFonts w:ascii="Arial" w:cs="Arial" w:eastAsia="Arial" w:hAnsi="Arial"/>
                <w:sz w:val="9"/>
                <w:szCs w:val="9"/>
                <w:b w:val="1"/>
                <w:bCs w:val="1"/>
                <w:color w:val="auto"/>
              </w:rPr>
              <w:t>(112,100)</w:t>
            </w:r>
          </w:p>
        </w:tc>
        <w:tc>
          <w:tcPr>
            <w:tcW w:w="1020" w:type="dxa"/>
            <w:vAlign w:val="bottom"/>
            <w:tcBorders>
              <w:bottom w:val="single" w:sz="8" w:color="70AD47"/>
            </w:tcBorders>
          </w:tcPr>
          <w:p>
            <w:pPr>
              <w:jc w:val="right"/>
              <w:ind w:right="173"/>
              <w:spacing w:after="0"/>
              <w:rPr>
                <w:sz w:val="20"/>
                <w:szCs w:val="20"/>
                <w:color w:val="auto"/>
              </w:rPr>
            </w:pPr>
            <w:r>
              <w:rPr>
                <w:rFonts w:ascii="Arial" w:cs="Arial" w:eastAsia="Arial" w:hAnsi="Arial"/>
                <w:sz w:val="9"/>
                <w:szCs w:val="9"/>
                <w:b w:val="1"/>
                <w:bCs w:val="1"/>
                <w:color w:val="auto"/>
              </w:rPr>
              <w:t>(33,115)</w:t>
            </w:r>
          </w:p>
        </w:tc>
        <w:tc>
          <w:tcPr>
            <w:tcW w:w="520" w:type="dxa"/>
            <w:vAlign w:val="bottom"/>
            <w:tcBorders>
              <w:bottom w:val="single" w:sz="8" w:color="70AD47"/>
            </w:tcBorders>
          </w:tcPr>
          <w:p>
            <w:pPr>
              <w:spacing w:after="0"/>
              <w:rPr>
                <w:sz w:val="18"/>
                <w:szCs w:val="18"/>
                <w:color w:val="auto"/>
              </w:rPr>
            </w:pPr>
          </w:p>
        </w:tc>
        <w:tc>
          <w:tcPr>
            <w:tcW w:w="2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b w:val="1"/>
                <w:bCs w:val="1"/>
                <w:color w:val="auto"/>
              </w:rPr>
              <w:t>-</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b w:val="1"/>
                <w:bCs w:val="1"/>
                <w:color w:val="auto"/>
              </w:rPr>
              <w:t>30,471</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b w:val="1"/>
                <w:bCs w:val="1"/>
                <w:color w:val="auto"/>
              </w:rPr>
              <w:t>1,387</w:t>
            </w:r>
          </w:p>
        </w:tc>
        <w:tc>
          <w:tcPr>
            <w:tcW w:w="940" w:type="dxa"/>
            <w:vAlign w:val="bottom"/>
            <w:tcBorders>
              <w:bottom w:val="single" w:sz="8" w:color="70AD47"/>
            </w:tcBorders>
          </w:tcPr>
          <w:p>
            <w:pPr>
              <w:jc w:val="right"/>
              <w:spacing w:after="0"/>
              <w:rPr>
                <w:sz w:val="20"/>
                <w:szCs w:val="20"/>
                <w:color w:val="auto"/>
              </w:rPr>
            </w:pPr>
            <w:r>
              <w:rPr>
                <w:rFonts w:ascii="Arial" w:cs="Arial" w:eastAsia="Arial" w:hAnsi="Arial"/>
                <w:sz w:val="9"/>
                <w:szCs w:val="9"/>
                <w:b w:val="1"/>
                <w:bCs w:val="1"/>
                <w:color w:val="auto"/>
              </w:rPr>
              <w:t>31,858</w:t>
            </w:r>
          </w:p>
        </w:tc>
        <w:tc>
          <w:tcPr>
            <w:tcW w:w="0" w:type="dxa"/>
            <w:vAlign w:val="bottom"/>
          </w:tcPr>
          <w:p>
            <w:pPr>
              <w:spacing w:after="0"/>
              <w:rPr>
                <w:sz w:val="1"/>
                <w:szCs w:val="1"/>
                <w:color w:val="auto"/>
              </w:rPr>
            </w:pPr>
          </w:p>
        </w:tc>
      </w:tr>
      <w:tr>
        <w:trPr>
          <w:trHeight w:val="207"/>
        </w:trPr>
        <w:tc>
          <w:tcPr>
            <w:tcW w:w="1780" w:type="dxa"/>
            <w:vAlign w:val="bottom"/>
          </w:tcPr>
          <w:p>
            <w:pPr>
              <w:spacing w:after="0"/>
              <w:rPr>
                <w:sz w:val="20"/>
                <w:szCs w:val="20"/>
                <w:color w:val="auto"/>
              </w:rPr>
            </w:pPr>
            <w:r>
              <w:rPr>
                <w:rFonts w:ascii="Arial" w:cs="Arial" w:eastAsia="Arial" w:hAnsi="Arial"/>
                <w:sz w:val="9"/>
                <w:szCs w:val="9"/>
                <w:color w:val="auto"/>
              </w:rPr>
              <w:t>Loss for the period</w:t>
            </w:r>
          </w:p>
        </w:tc>
        <w:tc>
          <w:tcPr>
            <w:tcW w:w="1100" w:type="dxa"/>
            <w:vAlign w:val="bottom"/>
            <w:tcBorders>
              <w:right w:val="single" w:sz="8" w:color="70AD47"/>
            </w:tcBorders>
          </w:tcPr>
          <w:p>
            <w:pPr>
              <w:spacing w:after="0"/>
              <w:rPr>
                <w:sz w:val="17"/>
                <w:szCs w:val="17"/>
                <w:color w:val="auto"/>
              </w:rPr>
            </w:pPr>
          </w:p>
        </w:tc>
        <w:tc>
          <w:tcPr>
            <w:tcW w:w="98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92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900" w:type="dxa"/>
            <w:vAlign w:val="bottom"/>
          </w:tcPr>
          <w:p>
            <w:pPr>
              <w:jc w:val="right"/>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93"/>
              <w:spacing w:after="0"/>
              <w:rPr>
                <w:sz w:val="20"/>
                <w:szCs w:val="20"/>
                <w:color w:val="auto"/>
              </w:rPr>
            </w:pPr>
            <w:r>
              <w:rPr>
                <w:rFonts w:ascii="Arial" w:cs="Arial" w:eastAsia="Arial" w:hAnsi="Arial"/>
                <w:sz w:val="9"/>
                <w:szCs w:val="9"/>
                <w:color w:val="auto"/>
              </w:rPr>
              <w:t>(85,653)</w:t>
            </w:r>
          </w:p>
        </w:tc>
        <w:tc>
          <w:tcPr>
            <w:tcW w:w="1020" w:type="dxa"/>
            <w:vAlign w:val="bottom"/>
          </w:tcPr>
          <w:p>
            <w:pPr>
              <w:jc w:val="right"/>
              <w:ind w:right="173"/>
              <w:spacing w:after="0"/>
              <w:rPr>
                <w:sz w:val="20"/>
                <w:szCs w:val="20"/>
                <w:color w:val="auto"/>
              </w:rPr>
            </w:pPr>
            <w:r>
              <w:rPr>
                <w:rFonts w:ascii="Arial" w:cs="Arial" w:eastAsia="Arial" w:hAnsi="Arial"/>
                <w:sz w:val="9"/>
                <w:szCs w:val="9"/>
                <w:color w:val="auto"/>
              </w:rPr>
              <w:t>-</w:t>
            </w:r>
          </w:p>
        </w:tc>
        <w:tc>
          <w:tcPr>
            <w:tcW w:w="520" w:type="dxa"/>
            <w:vAlign w:val="bottom"/>
          </w:tcPr>
          <w:p>
            <w:pPr>
              <w:spacing w:after="0"/>
              <w:rPr>
                <w:sz w:val="17"/>
                <w:szCs w:val="17"/>
                <w:color w:val="auto"/>
              </w:rPr>
            </w:pPr>
          </w:p>
        </w:tc>
        <w:tc>
          <w:tcPr>
            <w:tcW w:w="2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(85,653)</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(297)</w:t>
            </w:r>
          </w:p>
        </w:tc>
        <w:tc>
          <w:tcPr>
            <w:tcW w:w="940" w:type="dxa"/>
            <w:vAlign w:val="bottom"/>
          </w:tcPr>
          <w:p>
            <w:pPr>
              <w:jc w:val="right"/>
              <w:spacing w:after="0"/>
              <w:rPr>
                <w:sz w:val="20"/>
                <w:szCs w:val="20"/>
                <w:color w:val="auto"/>
              </w:rPr>
            </w:pPr>
            <w:r>
              <w:rPr>
                <w:rFonts w:ascii="Arial" w:cs="Arial" w:eastAsia="Arial" w:hAnsi="Arial"/>
                <w:sz w:val="9"/>
                <w:szCs w:val="9"/>
                <w:b w:val="1"/>
                <w:bCs w:val="1"/>
                <w:color w:val="auto"/>
              </w:rPr>
              <w:t>(85,950)</w:t>
            </w:r>
          </w:p>
        </w:tc>
        <w:tc>
          <w:tcPr>
            <w:tcW w:w="0" w:type="dxa"/>
            <w:vAlign w:val="bottom"/>
          </w:tcPr>
          <w:p>
            <w:pPr>
              <w:spacing w:after="0"/>
              <w:rPr>
                <w:sz w:val="1"/>
                <w:szCs w:val="1"/>
                <w:color w:val="auto"/>
              </w:rPr>
            </w:pPr>
          </w:p>
        </w:tc>
      </w:tr>
      <w:tr>
        <w:trPr>
          <w:trHeight w:val="113"/>
        </w:trPr>
        <w:tc>
          <w:tcPr>
            <w:tcW w:w="1780" w:type="dxa"/>
            <w:vAlign w:val="bottom"/>
            <w:tcBorders>
              <w:bottom w:val="single" w:sz="8" w:color="70AD47"/>
            </w:tcBorders>
          </w:tcPr>
          <w:p>
            <w:pPr>
              <w:spacing w:after="0"/>
              <w:rPr>
                <w:sz w:val="20"/>
                <w:szCs w:val="20"/>
                <w:color w:val="auto"/>
              </w:rPr>
            </w:pPr>
            <w:r>
              <w:rPr>
                <w:rFonts w:ascii="Arial" w:cs="Arial" w:eastAsia="Arial" w:hAnsi="Arial"/>
                <w:sz w:val="9"/>
                <w:szCs w:val="9"/>
                <w:color w:val="auto"/>
              </w:rPr>
              <w:t>Other comprehensive income</w:t>
            </w:r>
          </w:p>
        </w:tc>
        <w:tc>
          <w:tcPr>
            <w:tcW w:w="1100" w:type="dxa"/>
            <w:vAlign w:val="bottom"/>
            <w:tcBorders>
              <w:bottom w:val="single" w:sz="8" w:color="70AD47"/>
              <w:right w:val="single" w:sz="8" w:color="70AD47"/>
            </w:tcBorders>
          </w:tcPr>
          <w:p>
            <w:pPr>
              <w:spacing w:after="0"/>
              <w:rPr>
                <w:sz w:val="9"/>
                <w:szCs w:val="9"/>
                <w:color w:val="auto"/>
              </w:rPr>
            </w:pPr>
          </w:p>
        </w:tc>
        <w:tc>
          <w:tcPr>
            <w:tcW w:w="980" w:type="dxa"/>
            <w:vAlign w:val="bottom"/>
            <w:tcBorders>
              <w:bottom w:val="single" w:sz="8" w:color="70AD47"/>
            </w:tcBorders>
          </w:tcPr>
          <w:p>
            <w:pPr>
              <w:jc w:val="right"/>
              <w:ind w:right="33"/>
              <w:spacing w:after="0"/>
              <w:rPr>
                <w:sz w:val="20"/>
                <w:szCs w:val="20"/>
                <w:color w:val="auto"/>
              </w:rPr>
            </w:pPr>
            <w:r>
              <w:rPr>
                <w:rFonts w:ascii="Arial" w:cs="Arial" w:eastAsia="Arial" w:hAnsi="Arial"/>
                <w:sz w:val="9"/>
                <w:szCs w:val="9"/>
                <w:color w:val="auto"/>
              </w:rPr>
              <w:t>-</w:t>
            </w:r>
          </w:p>
        </w:tc>
        <w:tc>
          <w:tcPr>
            <w:tcW w:w="920" w:type="dxa"/>
            <w:vAlign w:val="bottom"/>
            <w:tcBorders>
              <w:bottom w:val="single" w:sz="8" w:color="70AD47"/>
            </w:tcBorders>
          </w:tcPr>
          <w:p>
            <w:pPr>
              <w:jc w:val="right"/>
              <w:ind w:right="33"/>
              <w:spacing w:after="0"/>
              <w:rPr>
                <w:sz w:val="20"/>
                <w:szCs w:val="20"/>
                <w:color w:val="auto"/>
              </w:rPr>
            </w:pPr>
            <w:r>
              <w:rPr>
                <w:rFonts w:ascii="Arial" w:cs="Arial" w:eastAsia="Arial" w:hAnsi="Arial"/>
                <w:sz w:val="9"/>
                <w:szCs w:val="9"/>
                <w:color w:val="auto"/>
              </w:rPr>
              <w:t>-</w:t>
            </w:r>
          </w:p>
        </w:tc>
        <w:tc>
          <w:tcPr>
            <w:tcW w:w="900" w:type="dxa"/>
            <w:vAlign w:val="bottom"/>
            <w:tcBorders>
              <w:bottom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1020" w:type="dxa"/>
            <w:vAlign w:val="bottom"/>
            <w:tcBorders>
              <w:bottom w:val="single" w:sz="8" w:color="70AD47"/>
            </w:tcBorders>
          </w:tcPr>
          <w:p>
            <w:pPr>
              <w:jc w:val="right"/>
              <w:ind w:right="93"/>
              <w:spacing w:after="0"/>
              <w:rPr>
                <w:sz w:val="20"/>
                <w:szCs w:val="20"/>
                <w:color w:val="auto"/>
              </w:rPr>
            </w:pPr>
            <w:r>
              <w:rPr>
                <w:rFonts w:ascii="Arial" w:cs="Arial" w:eastAsia="Arial" w:hAnsi="Arial"/>
                <w:sz w:val="9"/>
                <w:szCs w:val="9"/>
                <w:color w:val="auto"/>
              </w:rPr>
              <w:t>-</w:t>
            </w:r>
          </w:p>
        </w:tc>
        <w:tc>
          <w:tcPr>
            <w:tcW w:w="1020" w:type="dxa"/>
            <w:vAlign w:val="bottom"/>
            <w:tcBorders>
              <w:bottom w:val="single" w:sz="8" w:color="70AD47"/>
            </w:tcBorders>
          </w:tcPr>
          <w:p>
            <w:pPr>
              <w:jc w:val="right"/>
              <w:ind w:right="173"/>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70AD47"/>
            </w:tcBorders>
          </w:tcPr>
          <w:p>
            <w:pPr>
              <w:spacing w:after="0"/>
              <w:rPr>
                <w:sz w:val="9"/>
                <w:szCs w:val="9"/>
                <w:color w:val="auto"/>
              </w:rPr>
            </w:pPr>
          </w:p>
        </w:tc>
        <w:tc>
          <w:tcPr>
            <w:tcW w:w="2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color w:val="auto"/>
              </w:rPr>
              <w:t>(23)</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b w:val="1"/>
                <w:bCs w:val="1"/>
                <w:color w:val="auto"/>
              </w:rPr>
              <w:t>(23)</w:t>
            </w:r>
          </w:p>
        </w:tc>
        <w:tc>
          <w:tcPr>
            <w:tcW w:w="9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bottom w:val="single" w:sz="8" w:color="70AD47"/>
            </w:tcBorders>
          </w:tcPr>
          <w:p>
            <w:pPr>
              <w:jc w:val="right"/>
              <w:spacing w:after="0"/>
              <w:rPr>
                <w:sz w:val="20"/>
                <w:szCs w:val="20"/>
                <w:color w:val="auto"/>
              </w:rPr>
            </w:pPr>
            <w:r>
              <w:rPr>
                <w:rFonts w:ascii="Arial" w:cs="Arial" w:eastAsia="Arial" w:hAnsi="Arial"/>
                <w:sz w:val="9"/>
                <w:szCs w:val="9"/>
                <w:b w:val="1"/>
                <w:bCs w:val="1"/>
                <w:color w:val="auto"/>
              </w:rPr>
              <w:t>(23)</w:t>
            </w:r>
          </w:p>
        </w:tc>
        <w:tc>
          <w:tcPr>
            <w:tcW w:w="0" w:type="dxa"/>
            <w:vAlign w:val="bottom"/>
          </w:tcPr>
          <w:p>
            <w:pPr>
              <w:spacing w:after="0"/>
              <w:rPr>
                <w:sz w:val="1"/>
                <w:szCs w:val="1"/>
                <w:color w:val="auto"/>
              </w:rPr>
            </w:pPr>
          </w:p>
        </w:tc>
      </w:tr>
      <w:tr>
        <w:trPr>
          <w:trHeight w:val="100"/>
        </w:trPr>
        <w:tc>
          <w:tcPr>
            <w:tcW w:w="1780" w:type="dxa"/>
            <w:vAlign w:val="bottom"/>
            <w:tcBorders>
              <w:bottom w:val="single" w:sz="8" w:color="70AD47"/>
            </w:tcBorders>
          </w:tcPr>
          <w:p>
            <w:pPr>
              <w:spacing w:after="0" w:line="100" w:lineRule="exact"/>
              <w:rPr>
                <w:sz w:val="20"/>
                <w:szCs w:val="20"/>
                <w:color w:val="auto"/>
              </w:rPr>
            </w:pPr>
            <w:r>
              <w:rPr>
                <w:rFonts w:ascii="Arial" w:cs="Arial" w:eastAsia="Arial" w:hAnsi="Arial"/>
                <w:sz w:val="9"/>
                <w:szCs w:val="9"/>
                <w:b w:val="1"/>
                <w:bCs w:val="1"/>
                <w:color w:val="auto"/>
              </w:rPr>
              <w:t>Total comprehensive income</w:t>
            </w:r>
          </w:p>
        </w:tc>
        <w:tc>
          <w:tcPr>
            <w:tcW w:w="1100" w:type="dxa"/>
            <w:vAlign w:val="bottom"/>
            <w:tcBorders>
              <w:bottom w:val="single" w:sz="8" w:color="70AD47"/>
              <w:right w:val="single" w:sz="8" w:color="70AD47"/>
            </w:tcBorders>
          </w:tcPr>
          <w:p>
            <w:pPr>
              <w:spacing w:after="0"/>
              <w:rPr>
                <w:sz w:val="8"/>
                <w:szCs w:val="8"/>
                <w:color w:val="auto"/>
              </w:rPr>
            </w:pPr>
          </w:p>
        </w:tc>
        <w:tc>
          <w:tcPr>
            <w:tcW w:w="980" w:type="dxa"/>
            <w:vAlign w:val="bottom"/>
            <w:tcBorders>
              <w:bottom w:val="single" w:sz="8" w:color="70AD47"/>
            </w:tcBorders>
          </w:tcPr>
          <w:p>
            <w:pPr>
              <w:jc w:val="right"/>
              <w:ind w:right="33"/>
              <w:spacing w:after="0" w:line="100" w:lineRule="exact"/>
              <w:rPr>
                <w:sz w:val="20"/>
                <w:szCs w:val="20"/>
                <w:color w:val="auto"/>
              </w:rPr>
            </w:pPr>
            <w:r>
              <w:rPr>
                <w:rFonts w:ascii="Arial" w:cs="Arial" w:eastAsia="Arial" w:hAnsi="Arial"/>
                <w:sz w:val="9"/>
                <w:szCs w:val="9"/>
                <w:b w:val="1"/>
                <w:bCs w:val="1"/>
                <w:color w:val="auto"/>
              </w:rPr>
              <w:t>-</w:t>
            </w:r>
          </w:p>
        </w:tc>
        <w:tc>
          <w:tcPr>
            <w:tcW w:w="920" w:type="dxa"/>
            <w:vAlign w:val="bottom"/>
            <w:tcBorders>
              <w:bottom w:val="single" w:sz="8" w:color="70AD47"/>
            </w:tcBorders>
          </w:tcPr>
          <w:p>
            <w:pPr>
              <w:jc w:val="right"/>
              <w:ind w:right="33"/>
              <w:spacing w:after="0" w:line="100" w:lineRule="exact"/>
              <w:rPr>
                <w:sz w:val="20"/>
                <w:szCs w:val="20"/>
                <w:color w:val="auto"/>
              </w:rPr>
            </w:pPr>
            <w:r>
              <w:rPr>
                <w:rFonts w:ascii="Arial" w:cs="Arial" w:eastAsia="Arial" w:hAnsi="Arial"/>
                <w:sz w:val="9"/>
                <w:szCs w:val="9"/>
                <w:b w:val="1"/>
                <w:bCs w:val="1"/>
                <w:color w:val="auto"/>
              </w:rPr>
              <w:t>-</w:t>
            </w:r>
          </w:p>
        </w:tc>
        <w:tc>
          <w:tcPr>
            <w:tcW w:w="900" w:type="dxa"/>
            <w:vAlign w:val="bottom"/>
            <w:tcBorders>
              <w:bottom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w:t>
            </w:r>
          </w:p>
        </w:tc>
        <w:tc>
          <w:tcPr>
            <w:tcW w:w="1020" w:type="dxa"/>
            <w:vAlign w:val="bottom"/>
            <w:tcBorders>
              <w:bottom w:val="single" w:sz="8" w:color="70AD47"/>
            </w:tcBorders>
          </w:tcPr>
          <w:p>
            <w:pPr>
              <w:jc w:val="right"/>
              <w:ind w:right="93"/>
              <w:spacing w:after="0" w:line="100" w:lineRule="exact"/>
              <w:rPr>
                <w:sz w:val="20"/>
                <w:szCs w:val="20"/>
                <w:color w:val="auto"/>
              </w:rPr>
            </w:pPr>
            <w:r>
              <w:rPr>
                <w:rFonts w:ascii="Arial" w:cs="Arial" w:eastAsia="Arial" w:hAnsi="Arial"/>
                <w:sz w:val="9"/>
                <w:szCs w:val="9"/>
                <w:b w:val="1"/>
                <w:bCs w:val="1"/>
                <w:color w:val="auto"/>
              </w:rPr>
              <w:t>(85,653)</w:t>
            </w:r>
          </w:p>
        </w:tc>
        <w:tc>
          <w:tcPr>
            <w:tcW w:w="1020" w:type="dxa"/>
            <w:vAlign w:val="bottom"/>
            <w:tcBorders>
              <w:bottom w:val="single" w:sz="8" w:color="70AD47"/>
            </w:tcBorders>
          </w:tcPr>
          <w:p>
            <w:pPr>
              <w:jc w:val="right"/>
              <w:ind w:right="173"/>
              <w:spacing w:after="0" w:line="100" w:lineRule="exact"/>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70AD47"/>
            </w:tcBorders>
          </w:tcPr>
          <w:p>
            <w:pPr>
              <w:spacing w:after="0"/>
              <w:rPr>
                <w:sz w:val="8"/>
                <w:szCs w:val="8"/>
                <w:color w:val="auto"/>
              </w:rPr>
            </w:pPr>
          </w:p>
        </w:tc>
        <w:tc>
          <w:tcPr>
            <w:tcW w:w="240" w:type="dxa"/>
            <w:vAlign w:val="bottom"/>
            <w:tcBorders>
              <w:bottom w:val="single" w:sz="8" w:color="70AD47"/>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(23)</w:t>
            </w:r>
          </w:p>
        </w:tc>
        <w:tc>
          <w:tcPr>
            <w:tcW w:w="940" w:type="dxa"/>
            <w:vAlign w:val="bottom"/>
            <w:tcBorders>
              <w:bottom w:val="single" w:sz="8" w:color="70AD47"/>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(85,676)</w:t>
            </w:r>
          </w:p>
        </w:tc>
        <w:tc>
          <w:tcPr>
            <w:tcW w:w="940" w:type="dxa"/>
            <w:vAlign w:val="bottom"/>
            <w:tcBorders>
              <w:bottom w:val="single" w:sz="8" w:color="70AD47"/>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(297)</w:t>
            </w:r>
          </w:p>
        </w:tc>
        <w:tc>
          <w:tcPr>
            <w:tcW w:w="940" w:type="dxa"/>
            <w:vAlign w:val="bottom"/>
            <w:tcBorders>
              <w:bottom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(85,973)</w:t>
            </w:r>
          </w:p>
        </w:tc>
        <w:tc>
          <w:tcPr>
            <w:tcW w:w="0" w:type="dxa"/>
            <w:vAlign w:val="bottom"/>
          </w:tcPr>
          <w:p>
            <w:pPr>
              <w:spacing w:after="0"/>
              <w:rPr>
                <w:sz w:val="1"/>
                <w:szCs w:val="1"/>
                <w:color w:val="auto"/>
              </w:rPr>
            </w:pPr>
          </w:p>
        </w:tc>
      </w:tr>
      <w:tr>
        <w:trPr>
          <w:trHeight w:val="207"/>
        </w:trPr>
        <w:tc>
          <w:tcPr>
            <w:tcW w:w="1780" w:type="dxa"/>
            <w:vAlign w:val="bottom"/>
          </w:tcPr>
          <w:p>
            <w:pPr>
              <w:spacing w:after="0"/>
              <w:rPr>
                <w:sz w:val="20"/>
                <w:szCs w:val="20"/>
                <w:color w:val="auto"/>
              </w:rPr>
            </w:pPr>
            <w:r>
              <w:rPr>
                <w:rFonts w:ascii="Arial" w:cs="Arial" w:eastAsia="Arial" w:hAnsi="Arial"/>
                <w:sz w:val="9"/>
                <w:szCs w:val="9"/>
                <w:color w:val="auto"/>
              </w:rPr>
              <w:t>Issuance of share capital</w:t>
            </w:r>
          </w:p>
        </w:tc>
        <w:tc>
          <w:tcPr>
            <w:tcW w:w="1100" w:type="dxa"/>
            <w:vAlign w:val="bottom"/>
            <w:tcBorders>
              <w:right w:val="single" w:sz="8" w:color="70AD47"/>
            </w:tcBorders>
          </w:tcPr>
          <w:p>
            <w:pPr>
              <w:jc w:val="center"/>
              <w:ind w:left="373"/>
              <w:spacing w:after="0"/>
              <w:rPr>
                <w:sz w:val="20"/>
                <w:szCs w:val="20"/>
                <w:color w:val="auto"/>
              </w:rPr>
            </w:pPr>
            <w:r>
              <w:rPr>
                <w:rFonts w:ascii="Arial" w:cs="Arial" w:eastAsia="Arial" w:hAnsi="Arial"/>
                <w:sz w:val="9"/>
                <w:szCs w:val="9"/>
                <w:color w:val="auto"/>
                <w:w w:val="79"/>
              </w:rPr>
              <w:t>16</w:t>
            </w:r>
          </w:p>
        </w:tc>
        <w:tc>
          <w:tcPr>
            <w:tcW w:w="980" w:type="dxa"/>
            <w:vAlign w:val="bottom"/>
          </w:tcPr>
          <w:p>
            <w:pPr>
              <w:jc w:val="right"/>
              <w:ind w:right="33"/>
              <w:spacing w:after="0"/>
              <w:rPr>
                <w:sz w:val="20"/>
                <w:szCs w:val="20"/>
                <w:color w:val="auto"/>
              </w:rPr>
            </w:pPr>
            <w:r>
              <w:rPr>
                <w:rFonts w:ascii="Arial" w:cs="Arial" w:eastAsia="Arial" w:hAnsi="Arial"/>
                <w:sz w:val="9"/>
                <w:szCs w:val="9"/>
                <w:color w:val="auto"/>
              </w:rPr>
              <w:t>163,494</w:t>
            </w:r>
          </w:p>
        </w:tc>
        <w:tc>
          <w:tcPr>
            <w:tcW w:w="920" w:type="dxa"/>
            <w:vAlign w:val="bottom"/>
          </w:tcPr>
          <w:p>
            <w:pPr>
              <w:jc w:val="right"/>
              <w:ind w:right="33"/>
              <w:spacing w:after="0"/>
              <w:rPr>
                <w:sz w:val="20"/>
                <w:szCs w:val="20"/>
                <w:color w:val="auto"/>
              </w:rPr>
            </w:pPr>
            <w:r>
              <w:rPr>
                <w:rFonts w:ascii="Arial" w:cs="Arial" w:eastAsia="Arial" w:hAnsi="Arial"/>
                <w:sz w:val="9"/>
                <w:szCs w:val="9"/>
                <w:color w:val="auto"/>
              </w:rPr>
              <w:t>(163,494)</w:t>
            </w:r>
          </w:p>
        </w:tc>
        <w:tc>
          <w:tcPr>
            <w:tcW w:w="900" w:type="dxa"/>
            <w:vAlign w:val="bottom"/>
          </w:tcPr>
          <w:p>
            <w:pPr>
              <w:jc w:val="right"/>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93"/>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173"/>
              <w:spacing w:after="0"/>
              <w:rPr>
                <w:sz w:val="20"/>
                <w:szCs w:val="20"/>
                <w:color w:val="auto"/>
              </w:rPr>
            </w:pPr>
            <w:r>
              <w:rPr>
                <w:rFonts w:ascii="Arial" w:cs="Arial" w:eastAsia="Arial" w:hAnsi="Arial"/>
                <w:sz w:val="9"/>
                <w:szCs w:val="9"/>
                <w:color w:val="auto"/>
              </w:rPr>
              <w:t>-</w:t>
            </w:r>
          </w:p>
        </w:tc>
        <w:tc>
          <w:tcPr>
            <w:tcW w:w="520" w:type="dxa"/>
            <w:vAlign w:val="bottom"/>
          </w:tcPr>
          <w:p>
            <w:pPr>
              <w:spacing w:after="0"/>
              <w:rPr>
                <w:sz w:val="17"/>
                <w:szCs w:val="17"/>
                <w:color w:val="auto"/>
              </w:rPr>
            </w:pPr>
          </w:p>
        </w:tc>
        <w:tc>
          <w:tcPr>
            <w:tcW w:w="2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20"/>
                <w:szCs w:val="20"/>
                <w:color w:val="auto"/>
              </w:rPr>
            </w:pPr>
            <w:r>
              <w:rPr>
                <w:rFonts w:ascii="Arial" w:cs="Arial" w:eastAsia="Arial" w:hAnsi="Arial"/>
                <w:sz w:val="9"/>
                <w:szCs w:val="9"/>
                <w:color w:val="auto"/>
              </w:rPr>
              <w:t>Share based payments</w:t>
            </w:r>
          </w:p>
        </w:tc>
        <w:tc>
          <w:tcPr>
            <w:tcW w:w="1100" w:type="dxa"/>
            <w:vAlign w:val="bottom"/>
            <w:tcBorders>
              <w:right w:val="single" w:sz="8" w:color="70AD47"/>
            </w:tcBorders>
          </w:tcPr>
          <w:p>
            <w:pPr>
              <w:jc w:val="center"/>
              <w:ind w:left="373"/>
              <w:spacing w:after="0"/>
              <w:rPr>
                <w:sz w:val="20"/>
                <w:szCs w:val="20"/>
                <w:color w:val="auto"/>
              </w:rPr>
            </w:pPr>
            <w:r>
              <w:rPr>
                <w:rFonts w:ascii="Arial" w:cs="Arial" w:eastAsia="Arial" w:hAnsi="Arial"/>
                <w:sz w:val="9"/>
                <w:szCs w:val="9"/>
                <w:color w:val="auto"/>
                <w:w w:val="79"/>
              </w:rPr>
              <w:t>17</w:t>
            </w:r>
          </w:p>
        </w:tc>
        <w:tc>
          <w:tcPr>
            <w:tcW w:w="98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92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900" w:type="dxa"/>
            <w:vAlign w:val="bottom"/>
          </w:tcPr>
          <w:p>
            <w:pPr>
              <w:jc w:val="right"/>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93"/>
              <w:spacing w:after="0"/>
              <w:rPr>
                <w:sz w:val="20"/>
                <w:szCs w:val="20"/>
                <w:color w:val="auto"/>
              </w:rPr>
            </w:pPr>
            <w:r>
              <w:rPr>
                <w:rFonts w:ascii="Arial" w:cs="Arial" w:eastAsia="Arial" w:hAnsi="Arial"/>
                <w:sz w:val="9"/>
                <w:szCs w:val="9"/>
                <w:color w:val="auto"/>
              </w:rPr>
              <w:t>-</w:t>
            </w:r>
          </w:p>
        </w:tc>
        <w:tc>
          <w:tcPr>
            <w:tcW w:w="1020" w:type="dxa"/>
            <w:vAlign w:val="bottom"/>
          </w:tcPr>
          <w:p>
            <w:pPr>
              <w:jc w:val="right"/>
              <w:ind w:right="173"/>
              <w:spacing w:after="0"/>
              <w:rPr>
                <w:sz w:val="20"/>
                <w:szCs w:val="20"/>
                <w:color w:val="auto"/>
              </w:rPr>
            </w:pPr>
            <w:r>
              <w:rPr>
                <w:rFonts w:ascii="Arial" w:cs="Arial" w:eastAsia="Arial" w:hAnsi="Arial"/>
                <w:sz w:val="9"/>
                <w:szCs w:val="9"/>
                <w:color w:val="auto"/>
              </w:rPr>
              <w:t>5,909</w:t>
            </w:r>
          </w:p>
        </w:tc>
        <w:tc>
          <w:tcPr>
            <w:tcW w:w="520" w:type="dxa"/>
            <w:vAlign w:val="bottom"/>
          </w:tcPr>
          <w:p>
            <w:pPr>
              <w:spacing w:after="0"/>
              <w:rPr>
                <w:sz w:val="10"/>
                <w:szCs w:val="10"/>
                <w:color w:val="auto"/>
              </w:rPr>
            </w:pPr>
          </w:p>
        </w:tc>
        <w:tc>
          <w:tcPr>
            <w:tcW w:w="2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b w:val="1"/>
                <w:bCs w:val="1"/>
                <w:color w:val="auto"/>
              </w:rPr>
              <w:t>5,909</w:t>
            </w:r>
          </w:p>
        </w:tc>
        <w:tc>
          <w:tcPr>
            <w:tcW w:w="940" w:type="dxa"/>
            <w:vAlign w:val="bottom"/>
            <w:tcBorders>
              <w:right w:val="single" w:sz="8" w:color="70AD47"/>
            </w:tcBorders>
          </w:tcPr>
          <w:p>
            <w:pPr>
              <w:jc w:val="right"/>
              <w:spacing w:after="0"/>
              <w:rPr>
                <w:sz w:val="20"/>
                <w:szCs w:val="20"/>
                <w:color w:val="auto"/>
              </w:rPr>
            </w:pPr>
            <w:r>
              <w:rPr>
                <w:rFonts w:ascii="Arial" w:cs="Arial" w:eastAsia="Arial" w:hAnsi="Arial"/>
                <w:sz w:val="9"/>
                <w:szCs w:val="9"/>
                <w:color w:val="auto"/>
              </w:rPr>
              <w:t>-</w:t>
            </w:r>
          </w:p>
        </w:tc>
        <w:tc>
          <w:tcPr>
            <w:tcW w:w="940" w:type="dxa"/>
            <w:vAlign w:val="bottom"/>
          </w:tcPr>
          <w:p>
            <w:pPr>
              <w:jc w:val="right"/>
              <w:spacing w:after="0"/>
              <w:rPr>
                <w:sz w:val="20"/>
                <w:szCs w:val="20"/>
                <w:color w:val="auto"/>
              </w:rPr>
            </w:pPr>
            <w:r>
              <w:rPr>
                <w:rFonts w:ascii="Arial" w:cs="Arial" w:eastAsia="Arial" w:hAnsi="Arial"/>
                <w:sz w:val="9"/>
                <w:szCs w:val="9"/>
                <w:b w:val="1"/>
                <w:bCs w:val="1"/>
                <w:color w:val="auto"/>
              </w:rPr>
              <w:t>5,909</w:t>
            </w:r>
          </w:p>
        </w:tc>
        <w:tc>
          <w:tcPr>
            <w:tcW w:w="0" w:type="dxa"/>
            <w:vAlign w:val="bottom"/>
          </w:tcPr>
          <w:p>
            <w:pPr>
              <w:spacing w:after="0"/>
              <w:rPr>
                <w:sz w:val="1"/>
                <w:szCs w:val="1"/>
                <w:color w:val="auto"/>
              </w:rPr>
            </w:pPr>
          </w:p>
        </w:tc>
      </w:tr>
      <w:tr>
        <w:trPr>
          <w:trHeight w:val="102"/>
        </w:trPr>
        <w:tc>
          <w:tcPr>
            <w:tcW w:w="1780" w:type="dxa"/>
            <w:vAlign w:val="bottom"/>
            <w:tcBorders>
              <w:bottom w:val="single" w:sz="8" w:color="70AD47"/>
            </w:tcBorders>
          </w:tcPr>
          <w:p>
            <w:pPr>
              <w:spacing w:after="0"/>
              <w:rPr>
                <w:sz w:val="8"/>
                <w:szCs w:val="8"/>
                <w:color w:val="auto"/>
              </w:rPr>
            </w:pPr>
          </w:p>
        </w:tc>
        <w:tc>
          <w:tcPr>
            <w:tcW w:w="1100" w:type="dxa"/>
            <w:vAlign w:val="bottom"/>
            <w:tcBorders>
              <w:bottom w:val="single" w:sz="8" w:color="70AD47"/>
              <w:right w:val="single" w:sz="8" w:color="70AD47"/>
            </w:tcBorders>
          </w:tcPr>
          <w:p>
            <w:pPr>
              <w:spacing w:after="0"/>
              <w:rPr>
                <w:sz w:val="8"/>
                <w:szCs w:val="8"/>
                <w:color w:val="auto"/>
              </w:rPr>
            </w:pPr>
          </w:p>
        </w:tc>
        <w:tc>
          <w:tcPr>
            <w:tcW w:w="980" w:type="dxa"/>
            <w:vAlign w:val="bottom"/>
            <w:tcBorders>
              <w:bottom w:val="single" w:sz="8" w:color="70AD47"/>
            </w:tcBorders>
          </w:tcPr>
          <w:p>
            <w:pPr>
              <w:spacing w:after="0"/>
              <w:rPr>
                <w:sz w:val="8"/>
                <w:szCs w:val="8"/>
                <w:color w:val="auto"/>
              </w:rPr>
            </w:pPr>
          </w:p>
        </w:tc>
        <w:tc>
          <w:tcPr>
            <w:tcW w:w="920" w:type="dxa"/>
            <w:vAlign w:val="bottom"/>
            <w:tcBorders>
              <w:bottom w:val="single" w:sz="8" w:color="70AD47"/>
            </w:tcBorders>
          </w:tcPr>
          <w:p>
            <w:pPr>
              <w:spacing w:after="0"/>
              <w:rPr>
                <w:sz w:val="8"/>
                <w:szCs w:val="8"/>
                <w:color w:val="auto"/>
              </w:rPr>
            </w:pPr>
          </w:p>
        </w:tc>
        <w:tc>
          <w:tcPr>
            <w:tcW w:w="900" w:type="dxa"/>
            <w:vAlign w:val="bottom"/>
            <w:tcBorders>
              <w:bottom w:val="single" w:sz="8" w:color="70AD47"/>
            </w:tcBorders>
          </w:tcPr>
          <w:p>
            <w:pPr>
              <w:spacing w:after="0"/>
              <w:rPr>
                <w:sz w:val="8"/>
                <w:szCs w:val="8"/>
                <w:color w:val="auto"/>
              </w:rPr>
            </w:pPr>
          </w:p>
        </w:tc>
        <w:tc>
          <w:tcPr>
            <w:tcW w:w="1020" w:type="dxa"/>
            <w:vAlign w:val="bottom"/>
            <w:tcBorders>
              <w:bottom w:val="single" w:sz="8" w:color="70AD47"/>
            </w:tcBorders>
          </w:tcPr>
          <w:p>
            <w:pPr>
              <w:spacing w:after="0"/>
              <w:rPr>
                <w:sz w:val="8"/>
                <w:szCs w:val="8"/>
                <w:color w:val="auto"/>
              </w:rPr>
            </w:pPr>
          </w:p>
        </w:tc>
        <w:tc>
          <w:tcPr>
            <w:tcW w:w="1020" w:type="dxa"/>
            <w:vAlign w:val="bottom"/>
            <w:tcBorders>
              <w:bottom w:val="single" w:sz="8" w:color="70AD47"/>
            </w:tcBorders>
          </w:tcPr>
          <w:p>
            <w:pPr>
              <w:spacing w:after="0"/>
              <w:rPr>
                <w:sz w:val="8"/>
                <w:szCs w:val="8"/>
                <w:color w:val="auto"/>
              </w:rPr>
            </w:pPr>
          </w:p>
        </w:tc>
        <w:tc>
          <w:tcPr>
            <w:tcW w:w="520" w:type="dxa"/>
            <w:vAlign w:val="bottom"/>
            <w:tcBorders>
              <w:bottom w:val="single" w:sz="8" w:color="70AD47"/>
            </w:tcBorders>
          </w:tcPr>
          <w:p>
            <w:pPr>
              <w:spacing w:after="0"/>
              <w:rPr>
                <w:sz w:val="8"/>
                <w:szCs w:val="8"/>
                <w:color w:val="auto"/>
              </w:rPr>
            </w:pPr>
          </w:p>
        </w:tc>
        <w:tc>
          <w:tcPr>
            <w:tcW w:w="240" w:type="dxa"/>
            <w:vAlign w:val="bottom"/>
            <w:tcBorders>
              <w:bottom w:val="single" w:sz="8" w:color="70AD47"/>
              <w:right w:val="single" w:sz="8" w:color="70AD47"/>
            </w:tcBorders>
          </w:tcPr>
          <w:p>
            <w:pPr>
              <w:spacing w:after="0"/>
              <w:rPr>
                <w:sz w:val="8"/>
                <w:szCs w:val="8"/>
                <w:color w:val="auto"/>
              </w:rPr>
            </w:pPr>
          </w:p>
        </w:tc>
        <w:tc>
          <w:tcPr>
            <w:tcW w:w="940" w:type="dxa"/>
            <w:vAlign w:val="bottom"/>
            <w:tcBorders>
              <w:bottom w:val="single" w:sz="8" w:color="70AD47"/>
              <w:right w:val="single" w:sz="8" w:color="70AD47"/>
            </w:tcBorders>
          </w:tcPr>
          <w:p>
            <w:pPr>
              <w:spacing w:after="0"/>
              <w:rPr>
                <w:sz w:val="8"/>
                <w:szCs w:val="8"/>
                <w:color w:val="auto"/>
              </w:rPr>
            </w:pPr>
          </w:p>
        </w:tc>
        <w:tc>
          <w:tcPr>
            <w:tcW w:w="940" w:type="dxa"/>
            <w:vAlign w:val="bottom"/>
            <w:tcBorders>
              <w:bottom w:val="single" w:sz="8" w:color="70AD47"/>
              <w:right w:val="single" w:sz="8" w:color="70AD47"/>
            </w:tcBorders>
          </w:tcPr>
          <w:p>
            <w:pPr>
              <w:spacing w:after="0"/>
              <w:rPr>
                <w:sz w:val="8"/>
                <w:szCs w:val="8"/>
                <w:color w:val="auto"/>
              </w:rPr>
            </w:pPr>
          </w:p>
        </w:tc>
        <w:tc>
          <w:tcPr>
            <w:tcW w:w="940" w:type="dxa"/>
            <w:vAlign w:val="bottom"/>
            <w:tcBorders>
              <w:bottom w:val="single" w:sz="8" w:color="70AD47"/>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80" w:type="dxa"/>
            <w:vAlign w:val="bottom"/>
          </w:tcPr>
          <w:p>
            <w:pPr>
              <w:spacing w:after="0" w:line="100" w:lineRule="exact"/>
              <w:rPr>
                <w:sz w:val="20"/>
                <w:szCs w:val="20"/>
                <w:color w:val="auto"/>
              </w:rPr>
            </w:pPr>
            <w:r>
              <w:rPr>
                <w:rFonts w:ascii="Arial" w:cs="Arial" w:eastAsia="Arial" w:hAnsi="Arial"/>
                <w:sz w:val="9"/>
                <w:szCs w:val="9"/>
                <w:b w:val="1"/>
                <w:bCs w:val="1"/>
                <w:color w:val="auto"/>
              </w:rPr>
              <w:t>As of December 31, 2017</w:t>
            </w:r>
          </w:p>
        </w:tc>
        <w:tc>
          <w:tcPr>
            <w:tcW w:w="1100" w:type="dxa"/>
            <w:vAlign w:val="bottom"/>
            <w:tcBorders>
              <w:right w:val="single" w:sz="8" w:color="70AD47"/>
            </w:tcBorders>
          </w:tcPr>
          <w:p>
            <w:pPr>
              <w:spacing w:after="0"/>
              <w:rPr>
                <w:sz w:val="8"/>
                <w:szCs w:val="8"/>
                <w:color w:val="auto"/>
              </w:rPr>
            </w:pPr>
          </w:p>
        </w:tc>
        <w:tc>
          <w:tcPr>
            <w:tcW w:w="980" w:type="dxa"/>
            <w:vAlign w:val="bottom"/>
          </w:tcPr>
          <w:p>
            <w:pPr>
              <w:jc w:val="right"/>
              <w:ind w:right="33"/>
              <w:spacing w:after="0" w:line="100" w:lineRule="exact"/>
              <w:rPr>
                <w:sz w:val="20"/>
                <w:szCs w:val="20"/>
                <w:color w:val="auto"/>
              </w:rPr>
            </w:pPr>
            <w:r>
              <w:rPr>
                <w:rFonts w:ascii="Arial" w:cs="Arial" w:eastAsia="Arial" w:hAnsi="Arial"/>
                <w:sz w:val="9"/>
                <w:szCs w:val="9"/>
                <w:b w:val="1"/>
                <w:bCs w:val="1"/>
                <w:color w:val="auto"/>
              </w:rPr>
              <w:t>€166,764</w:t>
            </w:r>
          </w:p>
        </w:tc>
        <w:tc>
          <w:tcPr>
            <w:tcW w:w="920" w:type="dxa"/>
            <w:vAlign w:val="bottom"/>
          </w:tcPr>
          <w:p>
            <w:pPr>
              <w:jc w:val="right"/>
              <w:ind w:right="33"/>
              <w:spacing w:after="0" w:line="100" w:lineRule="exact"/>
              <w:rPr>
                <w:sz w:val="20"/>
                <w:szCs w:val="20"/>
                <w:color w:val="auto"/>
              </w:rPr>
            </w:pPr>
            <w:r>
              <w:rPr>
                <w:rFonts w:ascii="Arial" w:cs="Arial" w:eastAsia="Arial" w:hAnsi="Arial"/>
                <w:sz w:val="9"/>
                <w:szCs w:val="9"/>
                <w:b w:val="1"/>
                <w:bCs w:val="1"/>
                <w:color w:val="auto"/>
              </w:rPr>
              <w:t>8,922</w:t>
            </w:r>
          </w:p>
        </w:tc>
        <w:tc>
          <w:tcPr>
            <w:tcW w:w="900" w:type="dxa"/>
            <w:vAlign w:val="bottom"/>
          </w:tcPr>
          <w:p>
            <w:pPr>
              <w:jc w:val="right"/>
              <w:spacing w:after="0" w:line="100" w:lineRule="exact"/>
              <w:rPr>
                <w:sz w:val="20"/>
                <w:szCs w:val="20"/>
                <w:color w:val="auto"/>
              </w:rPr>
            </w:pPr>
            <w:r>
              <w:rPr>
                <w:rFonts w:ascii="Arial" w:cs="Arial" w:eastAsia="Arial" w:hAnsi="Arial"/>
                <w:sz w:val="9"/>
                <w:szCs w:val="9"/>
                <w:b w:val="1"/>
                <w:bCs w:val="1"/>
                <w:color w:val="auto"/>
              </w:rPr>
              <w:t>-</w:t>
            </w:r>
          </w:p>
        </w:tc>
        <w:tc>
          <w:tcPr>
            <w:tcW w:w="1020" w:type="dxa"/>
            <w:vAlign w:val="bottom"/>
          </w:tcPr>
          <w:p>
            <w:pPr>
              <w:jc w:val="right"/>
              <w:ind w:right="93"/>
              <w:spacing w:after="0" w:line="100" w:lineRule="exact"/>
              <w:rPr>
                <w:sz w:val="20"/>
                <w:szCs w:val="20"/>
                <w:color w:val="auto"/>
              </w:rPr>
            </w:pPr>
            <w:r>
              <w:rPr>
                <w:rFonts w:ascii="Arial" w:cs="Arial" w:eastAsia="Arial" w:hAnsi="Arial"/>
                <w:sz w:val="9"/>
                <w:szCs w:val="9"/>
                <w:b w:val="1"/>
                <w:bCs w:val="1"/>
                <w:color w:val="auto"/>
              </w:rPr>
              <w:t>(197,753)</w:t>
            </w:r>
          </w:p>
        </w:tc>
        <w:tc>
          <w:tcPr>
            <w:tcW w:w="1020" w:type="dxa"/>
            <w:vAlign w:val="bottom"/>
          </w:tcPr>
          <w:p>
            <w:pPr>
              <w:jc w:val="right"/>
              <w:ind w:right="173"/>
              <w:spacing w:after="0" w:line="100" w:lineRule="exact"/>
              <w:rPr>
                <w:sz w:val="20"/>
                <w:szCs w:val="20"/>
                <w:color w:val="auto"/>
              </w:rPr>
            </w:pPr>
            <w:r>
              <w:rPr>
                <w:rFonts w:ascii="Arial" w:cs="Arial" w:eastAsia="Arial" w:hAnsi="Arial"/>
                <w:sz w:val="9"/>
                <w:szCs w:val="9"/>
                <w:b w:val="1"/>
                <w:bCs w:val="1"/>
                <w:color w:val="auto"/>
              </w:rPr>
              <w:t>(27,206)</w:t>
            </w:r>
          </w:p>
        </w:tc>
        <w:tc>
          <w:tcPr>
            <w:tcW w:w="520" w:type="dxa"/>
            <w:vAlign w:val="bottom"/>
          </w:tcPr>
          <w:p>
            <w:pPr>
              <w:spacing w:after="0"/>
              <w:rPr>
                <w:sz w:val="8"/>
                <w:szCs w:val="8"/>
                <w:color w:val="auto"/>
              </w:rPr>
            </w:pPr>
          </w:p>
        </w:tc>
        <w:tc>
          <w:tcPr>
            <w:tcW w:w="240" w:type="dxa"/>
            <w:vAlign w:val="bottom"/>
            <w:tcBorders>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(23)</w:t>
            </w:r>
          </w:p>
        </w:tc>
        <w:tc>
          <w:tcPr>
            <w:tcW w:w="940" w:type="dxa"/>
            <w:vAlign w:val="bottom"/>
            <w:tcBorders>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(49,296)</w:t>
            </w:r>
          </w:p>
        </w:tc>
        <w:tc>
          <w:tcPr>
            <w:tcW w:w="940" w:type="dxa"/>
            <w:vAlign w:val="bottom"/>
            <w:tcBorders>
              <w:right w:val="single" w:sz="8" w:color="70AD47"/>
            </w:tcBorders>
          </w:tcPr>
          <w:p>
            <w:pPr>
              <w:jc w:val="right"/>
              <w:spacing w:after="0" w:line="100" w:lineRule="exact"/>
              <w:rPr>
                <w:sz w:val="20"/>
                <w:szCs w:val="20"/>
                <w:color w:val="auto"/>
              </w:rPr>
            </w:pPr>
            <w:r>
              <w:rPr>
                <w:rFonts w:ascii="Arial" w:cs="Arial" w:eastAsia="Arial" w:hAnsi="Arial"/>
                <w:sz w:val="9"/>
                <w:szCs w:val="9"/>
                <w:b w:val="1"/>
                <w:bCs w:val="1"/>
                <w:color w:val="auto"/>
              </w:rPr>
              <w:t>1,090</w:t>
            </w:r>
          </w:p>
        </w:tc>
        <w:tc>
          <w:tcPr>
            <w:tcW w:w="940" w:type="dxa"/>
            <w:vAlign w:val="bottom"/>
          </w:tcPr>
          <w:p>
            <w:pPr>
              <w:jc w:val="right"/>
              <w:spacing w:after="0" w:line="100" w:lineRule="exact"/>
              <w:rPr>
                <w:sz w:val="20"/>
                <w:szCs w:val="20"/>
                <w:color w:val="auto"/>
              </w:rPr>
            </w:pPr>
            <w:r>
              <w:rPr>
                <w:rFonts w:ascii="Arial" w:cs="Arial" w:eastAsia="Arial" w:hAnsi="Arial"/>
                <w:sz w:val="9"/>
                <w:szCs w:val="9"/>
                <w:b w:val="1"/>
                <w:bCs w:val="1"/>
                <w:color w:val="auto"/>
              </w:rPr>
              <w:t>(48,206)</w:t>
            </w:r>
          </w:p>
        </w:tc>
        <w:tc>
          <w:tcPr>
            <w:tcW w:w="0" w:type="dxa"/>
            <w:vAlign w:val="bottom"/>
          </w:tcPr>
          <w:p>
            <w:pPr>
              <w:spacing w:after="0"/>
              <w:rPr>
                <w:sz w:val="1"/>
                <w:szCs w:val="1"/>
                <w:color w:val="auto"/>
              </w:rPr>
            </w:pPr>
          </w:p>
        </w:tc>
      </w:tr>
      <w:tr>
        <w:trPr>
          <w:trHeight w:val="110"/>
        </w:trPr>
        <w:tc>
          <w:tcPr>
            <w:tcW w:w="1780" w:type="dxa"/>
            <w:vAlign w:val="bottom"/>
            <w:tcBorders>
              <w:bottom w:val="single" w:sz="8" w:color="70AD47"/>
            </w:tcBorders>
          </w:tcPr>
          <w:p>
            <w:pPr>
              <w:spacing w:after="0"/>
              <w:rPr>
                <w:sz w:val="9"/>
                <w:szCs w:val="9"/>
                <w:color w:val="auto"/>
              </w:rPr>
            </w:pPr>
          </w:p>
        </w:tc>
        <w:tc>
          <w:tcPr>
            <w:tcW w:w="1100" w:type="dxa"/>
            <w:vAlign w:val="bottom"/>
            <w:tcBorders>
              <w:bottom w:val="single" w:sz="8" w:color="70AD47"/>
              <w:right w:val="single" w:sz="8" w:color="70AD47"/>
            </w:tcBorders>
          </w:tcPr>
          <w:p>
            <w:pPr>
              <w:spacing w:after="0"/>
              <w:rPr>
                <w:sz w:val="9"/>
                <w:szCs w:val="9"/>
                <w:color w:val="auto"/>
              </w:rPr>
            </w:pPr>
          </w:p>
        </w:tc>
        <w:tc>
          <w:tcPr>
            <w:tcW w:w="980" w:type="dxa"/>
            <w:vAlign w:val="bottom"/>
            <w:tcBorders>
              <w:bottom w:val="single" w:sz="8" w:color="70AD47"/>
            </w:tcBorders>
          </w:tcPr>
          <w:p>
            <w:pPr>
              <w:spacing w:after="0"/>
              <w:rPr>
                <w:sz w:val="9"/>
                <w:szCs w:val="9"/>
                <w:color w:val="auto"/>
              </w:rPr>
            </w:pPr>
          </w:p>
        </w:tc>
        <w:tc>
          <w:tcPr>
            <w:tcW w:w="920" w:type="dxa"/>
            <w:vAlign w:val="bottom"/>
            <w:tcBorders>
              <w:bottom w:val="single" w:sz="8" w:color="70AD47"/>
            </w:tcBorders>
          </w:tcPr>
          <w:p>
            <w:pPr>
              <w:spacing w:after="0"/>
              <w:rPr>
                <w:sz w:val="9"/>
                <w:szCs w:val="9"/>
                <w:color w:val="auto"/>
              </w:rPr>
            </w:pPr>
          </w:p>
        </w:tc>
        <w:tc>
          <w:tcPr>
            <w:tcW w:w="900" w:type="dxa"/>
            <w:vAlign w:val="bottom"/>
            <w:tcBorders>
              <w:bottom w:val="single" w:sz="8" w:color="70AD47"/>
            </w:tcBorders>
          </w:tcPr>
          <w:p>
            <w:pPr>
              <w:spacing w:after="0"/>
              <w:rPr>
                <w:sz w:val="9"/>
                <w:szCs w:val="9"/>
                <w:color w:val="auto"/>
              </w:rPr>
            </w:pPr>
          </w:p>
        </w:tc>
        <w:tc>
          <w:tcPr>
            <w:tcW w:w="1020" w:type="dxa"/>
            <w:vAlign w:val="bottom"/>
            <w:tcBorders>
              <w:bottom w:val="single" w:sz="8" w:color="70AD47"/>
            </w:tcBorders>
          </w:tcPr>
          <w:p>
            <w:pPr>
              <w:spacing w:after="0"/>
              <w:rPr>
                <w:sz w:val="9"/>
                <w:szCs w:val="9"/>
                <w:color w:val="auto"/>
              </w:rPr>
            </w:pPr>
          </w:p>
        </w:tc>
        <w:tc>
          <w:tcPr>
            <w:tcW w:w="1020" w:type="dxa"/>
            <w:vAlign w:val="bottom"/>
            <w:tcBorders>
              <w:bottom w:val="single" w:sz="8" w:color="70AD47"/>
            </w:tcBorders>
          </w:tcPr>
          <w:p>
            <w:pPr>
              <w:spacing w:after="0"/>
              <w:rPr>
                <w:sz w:val="9"/>
                <w:szCs w:val="9"/>
                <w:color w:val="auto"/>
              </w:rPr>
            </w:pPr>
          </w:p>
        </w:tc>
        <w:tc>
          <w:tcPr>
            <w:tcW w:w="520" w:type="dxa"/>
            <w:vAlign w:val="bottom"/>
            <w:tcBorders>
              <w:bottom w:val="single" w:sz="8" w:color="70AD47"/>
            </w:tcBorders>
          </w:tcPr>
          <w:p>
            <w:pPr>
              <w:spacing w:after="0"/>
              <w:rPr>
                <w:sz w:val="9"/>
                <w:szCs w:val="9"/>
                <w:color w:val="auto"/>
              </w:rPr>
            </w:pPr>
          </w:p>
        </w:tc>
        <w:tc>
          <w:tcPr>
            <w:tcW w:w="2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940" w:type="dxa"/>
            <w:vAlign w:val="bottom"/>
            <w:tcBorders>
              <w:bottom w:val="single" w:sz="8" w:color="70AD47"/>
              <w:right w:val="single" w:sz="8" w:color="70AD47"/>
            </w:tcBorders>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9"/>
          <w:szCs w:val="9"/>
          <w:color w:val="auto"/>
        </w:rPr>
        <w:t>* Numbers have been adjusted to reflect capital increase due to 1:18 share split which occurred on September 18, 2019.</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300"/>
          </w:cols>
          <w:pgMar w:left="300" w:top="196" w:right="29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173"/>
        </w:trPr>
        <w:tc>
          <w:tcPr>
            <w:tcW w:w="7120" w:type="dxa"/>
            <w:vAlign w:val="bottom"/>
            <w:gridSpan w:val="2"/>
          </w:tcPr>
          <w:p>
            <w:pPr>
              <w:ind w:left="4520"/>
              <w:spacing w:after="0"/>
              <w:rPr>
                <w:sz w:val="20"/>
                <w:szCs w:val="20"/>
                <w:color w:val="auto"/>
              </w:rPr>
            </w:pPr>
            <w:r>
              <w:rPr>
                <w:rFonts w:ascii="Arial" w:cs="Arial" w:eastAsia="Arial" w:hAnsi="Arial"/>
                <w:sz w:val="13"/>
                <w:szCs w:val="13"/>
                <w:b w:val="1"/>
                <w:bCs w:val="1"/>
                <w:color w:val="auto"/>
              </w:rPr>
              <w:t>Consolidated Statements of Cash Flows</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17"/>
        </w:trPr>
        <w:tc>
          <w:tcPr>
            <w:tcW w:w="6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r>
      <w:tr>
        <w:trPr>
          <w:trHeight w:val="173"/>
        </w:trPr>
        <w:tc>
          <w:tcPr>
            <w:tcW w:w="6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3"/>
        </w:trPr>
        <w:tc>
          <w:tcPr>
            <w:tcW w:w="6500" w:type="dxa"/>
            <w:vAlign w:val="bottom"/>
            <w:tcBorders>
              <w:right w:val="single" w:sz="8" w:color="70AD47"/>
            </w:tcBorders>
          </w:tcPr>
          <w:p>
            <w:pPr>
              <w:spacing w:after="0"/>
              <w:rPr>
                <w:sz w:val="15"/>
                <w:szCs w:val="15"/>
                <w:color w:val="auto"/>
              </w:rPr>
            </w:pP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r>
        <w:trPr>
          <w:trHeight w:val="182"/>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620" w:type="dxa"/>
            <w:vAlign w:val="bottom"/>
            <w:tcBorders>
              <w:bottom w:val="single" w:sz="8" w:color="70AD47"/>
            </w:tcBorders>
            <w:shd w:val="clear" w:color="auto" w:fill="C5E0B3"/>
          </w:tcPr>
          <w:p>
            <w:pPr>
              <w:spacing w:after="0"/>
              <w:rPr>
                <w:sz w:val="15"/>
                <w:szCs w:val="15"/>
                <w:color w:val="auto"/>
              </w:rPr>
            </w:pPr>
          </w:p>
        </w:tc>
        <w:tc>
          <w:tcPr>
            <w:tcW w:w="980" w:type="dxa"/>
            <w:vAlign w:val="bottom"/>
            <w:tcBorders>
              <w:bottom w:val="single" w:sz="8" w:color="70AD47"/>
              <w:right w:val="single" w:sz="8" w:color="70AD47"/>
            </w:tcBorders>
            <w:shd w:val="clear" w:color="auto" w:fill="C5E0B3"/>
          </w:tcPr>
          <w:p>
            <w:pPr>
              <w:spacing w:after="0"/>
              <w:rPr>
                <w:sz w:val="15"/>
                <w:szCs w:val="15"/>
                <w:color w:val="auto"/>
              </w:rPr>
            </w:pPr>
          </w:p>
        </w:tc>
        <w:tc>
          <w:tcPr>
            <w:tcW w:w="1600" w:type="dxa"/>
            <w:vAlign w:val="bottom"/>
            <w:tcBorders>
              <w:bottom w:val="single" w:sz="8" w:color="70AD47"/>
              <w:right w:val="single" w:sz="8" w:color="70AD47"/>
            </w:tcBorders>
          </w:tcPr>
          <w:p>
            <w:pPr>
              <w:spacing w:after="0"/>
              <w:rPr>
                <w:sz w:val="15"/>
                <w:szCs w:val="15"/>
                <w:color w:val="auto"/>
              </w:rPr>
            </w:pPr>
          </w:p>
        </w:tc>
        <w:tc>
          <w:tcPr>
            <w:tcW w:w="1580" w:type="dxa"/>
            <w:vAlign w:val="bottom"/>
            <w:tcBorders>
              <w:bottom w:val="single" w:sz="8" w:color="70AD47"/>
            </w:tcBorders>
          </w:tcPr>
          <w:p>
            <w:pPr>
              <w:spacing w:after="0"/>
              <w:rPr>
                <w:sz w:val="15"/>
                <w:szCs w:val="15"/>
                <w:color w:val="auto"/>
              </w:rPr>
            </w:pPr>
          </w:p>
        </w:tc>
      </w:tr>
      <w:tr>
        <w:trPr>
          <w:trHeight w:val="345"/>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Operating activities</w:t>
            </w: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80" w:type="dxa"/>
            <w:vAlign w:val="bottom"/>
          </w:tcPr>
          <w:p>
            <w:pPr>
              <w:spacing w:after="0"/>
              <w:rPr>
                <w:sz w:val="24"/>
                <w:szCs w:val="24"/>
                <w:color w:val="auto"/>
              </w:rPr>
            </w:pP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Loss for the period</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€(179,172)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€(48,262)</w:t>
            </w:r>
          </w:p>
        </w:tc>
        <w:tc>
          <w:tcPr>
            <w:tcW w:w="1580" w:type="dxa"/>
            <w:vAlign w:val="bottom"/>
          </w:tcPr>
          <w:p>
            <w:pPr>
              <w:jc w:val="right"/>
              <w:spacing w:after="0"/>
              <w:rPr>
                <w:sz w:val="20"/>
                <w:szCs w:val="20"/>
                <w:color w:val="auto"/>
              </w:rPr>
            </w:pPr>
            <w:r>
              <w:rPr>
                <w:rFonts w:ascii="Arial" w:cs="Arial" w:eastAsia="Arial" w:hAnsi="Arial"/>
                <w:sz w:val="13"/>
                <w:szCs w:val="13"/>
                <w:color w:val="auto"/>
              </w:rPr>
              <w:t>€(85,950)</w:t>
            </w:r>
          </w:p>
        </w:tc>
      </w:tr>
      <w:tr>
        <w:trPr>
          <w:trHeight w:val="185"/>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Income taxes</w:t>
            </w:r>
          </w:p>
        </w:tc>
        <w:tc>
          <w:tcPr>
            <w:tcW w:w="620" w:type="dxa"/>
            <w:vAlign w:val="bottom"/>
            <w:tcBorders>
              <w:bottom w:val="single" w:sz="8" w:color="70AD47"/>
            </w:tcBorders>
            <w:shd w:val="clear" w:color="auto" w:fill="C6E0B4"/>
          </w:tcPr>
          <w:p>
            <w:pPr>
              <w:spacing w:after="0"/>
              <w:rPr>
                <w:sz w:val="16"/>
                <w:szCs w:val="16"/>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(268)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600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Loss before tax</w:t>
            </w:r>
          </w:p>
        </w:tc>
        <w:tc>
          <w:tcPr>
            <w:tcW w:w="620" w:type="dxa"/>
            <w:vAlign w:val="bottom"/>
            <w:tcBorders>
              <w:bottom w:val="single" w:sz="8" w:color="70AD47"/>
            </w:tcBorders>
            <w:shd w:val="clear" w:color="auto" w:fill="C6E0B4"/>
          </w:tcPr>
          <w:p>
            <w:pPr>
              <w:spacing w:after="0"/>
              <w:rPr>
                <w:sz w:val="14"/>
                <w:szCs w:val="14"/>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€(179,440)</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€(47,662)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€(85,905)</w:t>
            </w:r>
          </w:p>
        </w:tc>
      </w:tr>
      <w:tr>
        <w:trPr>
          <w:trHeight w:val="164"/>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Adjustments to reconcile loss before tax to net cash flows:</w:t>
            </w:r>
          </w:p>
        </w:tc>
        <w:tc>
          <w:tcPr>
            <w:tcW w:w="620" w:type="dxa"/>
            <w:vAlign w:val="bottom"/>
            <w:shd w:val="clear" w:color="auto" w:fill="C6E0B4"/>
          </w:tcPr>
          <w:p>
            <w:pPr>
              <w:spacing w:after="0"/>
              <w:rPr>
                <w:sz w:val="14"/>
                <w:szCs w:val="14"/>
                <w:color w:val="auto"/>
              </w:rPr>
            </w:pPr>
          </w:p>
        </w:tc>
        <w:tc>
          <w:tcPr>
            <w:tcW w:w="980" w:type="dxa"/>
            <w:vAlign w:val="bottom"/>
            <w:tcBorders>
              <w:right w:val="single" w:sz="8" w:color="70AD47"/>
            </w:tcBorders>
            <w:shd w:val="clear" w:color="auto" w:fill="C6E0B4"/>
          </w:tcPr>
          <w:p>
            <w:pPr>
              <w:spacing w:after="0"/>
              <w:rPr>
                <w:sz w:val="14"/>
                <w:szCs w:val="14"/>
                <w:color w:val="auto"/>
              </w:rPr>
            </w:pPr>
          </w:p>
        </w:tc>
        <w:tc>
          <w:tcPr>
            <w:tcW w:w="1600" w:type="dxa"/>
            <w:vAlign w:val="bottom"/>
            <w:tcBorders>
              <w:right w:val="single" w:sz="8" w:color="70AD47"/>
            </w:tcBorders>
          </w:tcPr>
          <w:p>
            <w:pPr>
              <w:spacing w:after="0"/>
              <w:rPr>
                <w:sz w:val="14"/>
                <w:szCs w:val="14"/>
                <w:color w:val="auto"/>
              </w:rPr>
            </w:pPr>
          </w:p>
        </w:tc>
        <w:tc>
          <w:tcPr>
            <w:tcW w:w="1580" w:type="dxa"/>
            <w:vAlign w:val="bottom"/>
          </w:tcPr>
          <w:p>
            <w:pPr>
              <w:spacing w:after="0"/>
              <w:rPr>
                <w:sz w:val="14"/>
                <w:szCs w:val="14"/>
                <w:color w:val="auto"/>
              </w:rPr>
            </w:pP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Depreciation and amortization of property, plant, equipment and intangible assets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33,896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21,984</w:t>
            </w:r>
          </w:p>
        </w:tc>
        <w:tc>
          <w:tcPr>
            <w:tcW w:w="1580" w:type="dxa"/>
            <w:vAlign w:val="bottom"/>
          </w:tcPr>
          <w:p>
            <w:pPr>
              <w:jc w:val="right"/>
              <w:spacing w:after="0"/>
              <w:rPr>
                <w:sz w:val="20"/>
                <w:szCs w:val="20"/>
                <w:color w:val="auto"/>
              </w:rPr>
            </w:pPr>
            <w:r>
              <w:rPr>
                <w:rFonts w:ascii="Arial" w:cs="Arial" w:eastAsia="Arial" w:hAnsi="Arial"/>
                <w:sz w:val="13"/>
                <w:szCs w:val="13"/>
                <w:color w:val="auto"/>
              </w:rPr>
              <w:t>10,529</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Share-based payment expense</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30,235</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7,641</w:t>
            </w:r>
          </w:p>
        </w:tc>
        <w:tc>
          <w:tcPr>
            <w:tcW w:w="1580" w:type="dxa"/>
            <w:vAlign w:val="bottom"/>
          </w:tcPr>
          <w:p>
            <w:pPr>
              <w:jc w:val="right"/>
              <w:spacing w:after="0"/>
              <w:rPr>
                <w:sz w:val="20"/>
                <w:szCs w:val="20"/>
                <w:color w:val="auto"/>
              </w:rPr>
            </w:pPr>
            <w:r>
              <w:rPr>
                <w:rFonts w:ascii="Arial" w:cs="Arial" w:eastAsia="Arial" w:hAnsi="Arial"/>
                <w:sz w:val="13"/>
                <w:szCs w:val="13"/>
                <w:color w:val="auto"/>
              </w:rPr>
              <w:t>5,909</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Net foreign exchange differences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459</w:t>
            </w:r>
          </w:p>
        </w:tc>
        <w:tc>
          <w:tcPr>
            <w:tcW w:w="1580" w:type="dxa"/>
            <w:vAlign w:val="bottom"/>
          </w:tcPr>
          <w:p>
            <w:pPr>
              <w:jc w:val="right"/>
              <w:spacing w:after="0"/>
              <w:rPr>
                <w:sz w:val="20"/>
                <w:szCs w:val="20"/>
                <w:color w:val="auto"/>
              </w:rPr>
            </w:pPr>
            <w:r>
              <w:rPr>
                <w:rFonts w:ascii="Arial" w:cs="Arial" w:eastAsia="Arial" w:hAnsi="Arial"/>
                <w:sz w:val="13"/>
                <w:szCs w:val="13"/>
                <w:color w:val="auto"/>
              </w:rPr>
              <w:t>24,820</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(Gain)/Loss on disposal of property, plant and equipment</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542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w:t>
            </w:r>
          </w:p>
        </w:tc>
        <w:tc>
          <w:tcPr>
            <w:tcW w:w="15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Finance income</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(1,782)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(1,996)</w:t>
            </w:r>
          </w:p>
        </w:tc>
        <w:tc>
          <w:tcPr>
            <w:tcW w:w="1580" w:type="dxa"/>
            <w:vAlign w:val="bottom"/>
          </w:tcPr>
          <w:p>
            <w:pPr>
              <w:jc w:val="right"/>
              <w:spacing w:after="0"/>
              <w:rPr>
                <w:sz w:val="20"/>
                <w:szCs w:val="20"/>
                <w:color w:val="auto"/>
              </w:rPr>
            </w:pPr>
            <w:r>
              <w:rPr>
                <w:rFonts w:ascii="Arial" w:cs="Arial" w:eastAsia="Arial" w:hAnsi="Arial"/>
                <w:sz w:val="13"/>
                <w:szCs w:val="13"/>
                <w:color w:val="auto"/>
              </w:rPr>
              <w:t>(2,133)</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Interest on lease liability</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1,718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1,721</w:t>
            </w:r>
          </w:p>
        </w:tc>
        <w:tc>
          <w:tcPr>
            <w:tcW w:w="1580" w:type="dxa"/>
            <w:vAlign w:val="bottom"/>
          </w:tcPr>
          <w:p>
            <w:pPr>
              <w:jc w:val="right"/>
              <w:spacing w:after="0"/>
              <w:rPr>
                <w:sz w:val="20"/>
                <w:szCs w:val="20"/>
                <w:color w:val="auto"/>
              </w:rPr>
            </w:pPr>
            <w:r>
              <w:rPr>
                <w:rFonts w:ascii="Arial" w:cs="Arial" w:eastAsia="Arial" w:hAnsi="Arial"/>
                <w:sz w:val="13"/>
                <w:szCs w:val="13"/>
                <w:color w:val="auto"/>
              </w:rPr>
              <w:t>676</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Finance expense</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326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w:t>
            </w:r>
          </w:p>
        </w:tc>
        <w:tc>
          <w:tcPr>
            <w:tcW w:w="15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Share of loss of an associate and a joint venture</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84</w:t>
            </w:r>
          </w:p>
        </w:tc>
        <w:tc>
          <w:tcPr>
            <w:tcW w:w="158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Working capital adjustments: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spacing w:after="0"/>
              <w:rPr>
                <w:sz w:val="15"/>
                <w:szCs w:val="15"/>
                <w:color w:val="auto"/>
              </w:rPr>
            </w:pPr>
          </w:p>
        </w:tc>
        <w:tc>
          <w:tcPr>
            <w:tcW w:w="1600" w:type="dxa"/>
            <w:vAlign w:val="bottom"/>
            <w:tcBorders>
              <w:right w:val="single" w:sz="8" w:color="70AD47"/>
            </w:tcBorders>
          </w:tcPr>
          <w:p>
            <w:pPr>
              <w:spacing w:after="0"/>
              <w:rPr>
                <w:sz w:val="15"/>
                <w:szCs w:val="15"/>
                <w:color w:val="auto"/>
              </w:rPr>
            </w:pPr>
          </w:p>
        </w:tc>
        <w:tc>
          <w:tcPr>
            <w:tcW w:w="1580" w:type="dxa"/>
            <w:vAlign w:val="bottom"/>
          </w:tcPr>
          <w:p>
            <w:pPr>
              <w:spacing w:after="0"/>
              <w:rPr>
                <w:sz w:val="15"/>
                <w:szCs w:val="15"/>
                <w:color w:val="auto"/>
              </w:rPr>
            </w:pP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Decrease/(Increase) in trade receivable and contract assets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2,939</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(18,732)</w:t>
            </w:r>
          </w:p>
        </w:tc>
        <w:tc>
          <w:tcPr>
            <w:tcW w:w="1580" w:type="dxa"/>
            <w:vAlign w:val="bottom"/>
          </w:tcPr>
          <w:p>
            <w:pPr>
              <w:jc w:val="right"/>
              <w:spacing w:after="0"/>
              <w:rPr>
                <w:sz w:val="20"/>
                <w:szCs w:val="20"/>
                <w:color w:val="auto"/>
              </w:rPr>
            </w:pPr>
            <w:r>
              <w:rPr>
                <w:rFonts w:ascii="Arial" w:cs="Arial" w:eastAsia="Arial" w:hAnsi="Arial"/>
                <w:sz w:val="13"/>
                <w:szCs w:val="13"/>
                <w:color w:val="auto"/>
              </w:rPr>
              <w:t>(2,816)</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Decrease/(Increase) in inventories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(5,798)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(1,253)</w:t>
            </w:r>
          </w:p>
        </w:tc>
        <w:tc>
          <w:tcPr>
            <w:tcW w:w="1580" w:type="dxa"/>
            <w:vAlign w:val="bottom"/>
          </w:tcPr>
          <w:p>
            <w:pPr>
              <w:jc w:val="right"/>
              <w:spacing w:after="0"/>
              <w:rPr>
                <w:sz w:val="20"/>
                <w:szCs w:val="20"/>
                <w:color w:val="auto"/>
              </w:rPr>
            </w:pPr>
            <w:r>
              <w:rPr>
                <w:rFonts w:ascii="Arial" w:cs="Arial" w:eastAsia="Arial" w:hAnsi="Arial"/>
                <w:sz w:val="13"/>
                <w:szCs w:val="13"/>
                <w:color w:val="auto"/>
              </w:rPr>
              <w:t>(574)</w:t>
            </w:r>
          </w:p>
        </w:tc>
      </w:tr>
      <w:tr>
        <w:trPr>
          <w:trHeight w:val="180"/>
        </w:trPr>
        <w:tc>
          <w:tcPr>
            <w:tcW w:w="6500" w:type="dxa"/>
            <w:vAlign w:val="bottom"/>
            <w:tcBorders>
              <w:right w:val="single" w:sz="8" w:color="70AD47"/>
            </w:tcBorders>
          </w:tcPr>
          <w:p>
            <w:pPr>
              <w:ind w:left="360"/>
              <w:spacing w:after="0"/>
              <w:rPr>
                <w:sz w:val="20"/>
                <w:szCs w:val="20"/>
                <w:color w:val="auto"/>
              </w:rPr>
            </w:pPr>
            <w:r>
              <w:rPr>
                <w:rFonts w:ascii="Arial" w:cs="Arial" w:eastAsia="Arial" w:hAnsi="Arial"/>
                <w:sz w:val="13"/>
                <w:szCs w:val="13"/>
                <w:color w:val="auto"/>
              </w:rPr>
              <w:t>(Decrease)/Increase in trade and other payables, contract liabilities and provisions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(80,577)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(21,080)</w:t>
            </w:r>
          </w:p>
        </w:tc>
        <w:tc>
          <w:tcPr>
            <w:tcW w:w="1580" w:type="dxa"/>
            <w:vAlign w:val="bottom"/>
          </w:tcPr>
          <w:p>
            <w:pPr>
              <w:jc w:val="right"/>
              <w:spacing w:after="0"/>
              <w:rPr>
                <w:sz w:val="20"/>
                <w:szCs w:val="20"/>
                <w:color w:val="auto"/>
              </w:rPr>
            </w:pPr>
            <w:r>
              <w:rPr>
                <w:rFonts w:ascii="Arial" w:cs="Arial" w:eastAsia="Arial" w:hAnsi="Arial"/>
                <w:sz w:val="13"/>
                <w:szCs w:val="13"/>
                <w:color w:val="auto"/>
              </w:rPr>
              <w:t>(4,574)</w:t>
            </w: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Interest received</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1,256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1,996</w:t>
            </w:r>
          </w:p>
        </w:tc>
        <w:tc>
          <w:tcPr>
            <w:tcW w:w="1580" w:type="dxa"/>
            <w:vAlign w:val="bottom"/>
          </w:tcPr>
          <w:p>
            <w:pPr>
              <w:jc w:val="right"/>
              <w:spacing w:after="0"/>
              <w:rPr>
                <w:sz w:val="20"/>
                <w:szCs w:val="20"/>
                <w:color w:val="auto"/>
              </w:rPr>
            </w:pPr>
            <w:r>
              <w:rPr>
                <w:rFonts w:ascii="Arial" w:cs="Arial" w:eastAsia="Arial" w:hAnsi="Arial"/>
                <w:sz w:val="13"/>
                <w:szCs w:val="13"/>
                <w:color w:val="auto"/>
              </w:rPr>
              <w:t>2,133</w:t>
            </w: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Interest paid</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(2,044)</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(1,769)</w:t>
            </w:r>
          </w:p>
        </w:tc>
        <w:tc>
          <w:tcPr>
            <w:tcW w:w="1580" w:type="dxa"/>
            <w:vAlign w:val="bottom"/>
          </w:tcPr>
          <w:p>
            <w:pPr>
              <w:jc w:val="right"/>
              <w:spacing w:after="0"/>
              <w:rPr>
                <w:sz w:val="20"/>
                <w:szCs w:val="20"/>
                <w:color w:val="auto"/>
              </w:rPr>
            </w:pPr>
            <w:r>
              <w:rPr>
                <w:rFonts w:ascii="Arial" w:cs="Arial" w:eastAsia="Arial" w:hAnsi="Arial"/>
                <w:sz w:val="13"/>
                <w:szCs w:val="13"/>
                <w:color w:val="auto"/>
              </w:rPr>
              <w:t>(729)</w:t>
            </w:r>
          </w:p>
        </w:tc>
      </w:tr>
      <w:tr>
        <w:trPr>
          <w:trHeight w:val="185"/>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Income tax received (paid), net</w:t>
            </w:r>
          </w:p>
        </w:tc>
        <w:tc>
          <w:tcPr>
            <w:tcW w:w="620" w:type="dxa"/>
            <w:vAlign w:val="bottom"/>
            <w:tcBorders>
              <w:bottom w:val="single" w:sz="8" w:color="70AD47"/>
            </w:tcBorders>
            <w:shd w:val="clear" w:color="auto" w:fill="C6E0B4"/>
          </w:tcPr>
          <w:p>
            <w:pPr>
              <w:spacing w:after="0"/>
              <w:rPr>
                <w:sz w:val="16"/>
                <w:szCs w:val="16"/>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122</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(304)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Net cash flows used in operating activities</w:t>
            </w:r>
          </w:p>
        </w:tc>
        <w:tc>
          <w:tcPr>
            <w:tcW w:w="620" w:type="dxa"/>
            <w:vAlign w:val="bottom"/>
            <w:tcBorders>
              <w:bottom w:val="single" w:sz="8" w:color="70AD47"/>
            </w:tcBorders>
            <w:shd w:val="clear" w:color="auto" w:fill="C6E0B4"/>
          </w:tcPr>
          <w:p>
            <w:pPr>
              <w:spacing w:after="0"/>
              <w:rPr>
                <w:sz w:val="14"/>
                <w:szCs w:val="14"/>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€(198,537)</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€(58,877)</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€(52,562)</w:t>
            </w:r>
          </w:p>
        </w:tc>
      </w:tr>
      <w:tr>
        <w:trPr>
          <w:trHeight w:val="344"/>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Investing activities</w:t>
            </w: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80" w:type="dxa"/>
            <w:vAlign w:val="bottom"/>
          </w:tcPr>
          <w:p>
            <w:pPr>
              <w:spacing w:after="0"/>
              <w:rPr>
                <w:sz w:val="24"/>
                <w:szCs w:val="24"/>
                <w:color w:val="auto"/>
              </w:rPr>
            </w:pP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Purchase of property, plant and equipment</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(38,592)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(29,901)</w:t>
            </w:r>
          </w:p>
        </w:tc>
        <w:tc>
          <w:tcPr>
            <w:tcW w:w="1580" w:type="dxa"/>
            <w:vAlign w:val="bottom"/>
          </w:tcPr>
          <w:p>
            <w:pPr>
              <w:jc w:val="right"/>
              <w:spacing w:after="0"/>
              <w:rPr>
                <w:sz w:val="20"/>
                <w:szCs w:val="20"/>
                <w:color w:val="auto"/>
              </w:rPr>
            </w:pPr>
            <w:r>
              <w:rPr>
                <w:rFonts w:ascii="Arial" w:cs="Arial" w:eastAsia="Arial" w:hAnsi="Arial"/>
                <w:sz w:val="13"/>
                <w:szCs w:val="13"/>
                <w:color w:val="auto"/>
              </w:rPr>
              <w:t>(24,320)</w:t>
            </w: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Proceeds from sale of property, plant and equipment</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21</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705</w:t>
            </w:r>
          </w:p>
        </w:tc>
        <w:tc>
          <w:tcPr>
            <w:tcW w:w="1580" w:type="dxa"/>
            <w:vAlign w:val="bottom"/>
          </w:tcPr>
          <w:p>
            <w:pPr>
              <w:jc w:val="right"/>
              <w:spacing w:after="0"/>
              <w:rPr>
                <w:sz w:val="20"/>
                <w:szCs w:val="20"/>
                <w:color w:val="auto"/>
              </w:rPr>
            </w:pPr>
            <w:r>
              <w:rPr>
                <w:rFonts w:ascii="Arial" w:cs="Arial" w:eastAsia="Arial" w:hAnsi="Arial"/>
                <w:sz w:val="13"/>
                <w:szCs w:val="13"/>
                <w:color w:val="auto"/>
              </w:rPr>
              <w:t>5,193</w:t>
            </w: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Purchase of intangibles assets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(32,488)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(37,256)</w:t>
            </w:r>
          </w:p>
        </w:tc>
        <w:tc>
          <w:tcPr>
            <w:tcW w:w="1580" w:type="dxa"/>
            <w:vAlign w:val="bottom"/>
          </w:tcPr>
          <w:p>
            <w:pPr>
              <w:jc w:val="right"/>
              <w:spacing w:after="0"/>
              <w:rPr>
                <w:sz w:val="20"/>
                <w:szCs w:val="20"/>
                <w:color w:val="auto"/>
              </w:rPr>
            </w:pPr>
            <w:r>
              <w:rPr>
                <w:rFonts w:ascii="Arial" w:cs="Arial" w:eastAsia="Arial" w:hAnsi="Arial"/>
                <w:sz w:val="13"/>
                <w:szCs w:val="13"/>
                <w:color w:val="auto"/>
              </w:rPr>
              <w:t>(33,422)</w:t>
            </w:r>
          </w:p>
        </w:tc>
      </w:tr>
      <w:tr>
        <w:trPr>
          <w:trHeight w:val="185"/>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Acquisition of subsidiaries and businesses, net of cash acquired</w:t>
            </w:r>
          </w:p>
        </w:tc>
        <w:tc>
          <w:tcPr>
            <w:tcW w:w="620" w:type="dxa"/>
            <w:vAlign w:val="bottom"/>
            <w:tcBorders>
              <w:bottom w:val="single" w:sz="8" w:color="70AD47"/>
            </w:tcBorders>
            <w:shd w:val="clear" w:color="auto" w:fill="C6E0B4"/>
          </w:tcPr>
          <w:p>
            <w:pPr>
              <w:spacing w:after="0"/>
              <w:rPr>
                <w:sz w:val="16"/>
                <w:szCs w:val="16"/>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(6,056)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Net cash flows used in investing activities</w:t>
            </w:r>
          </w:p>
        </w:tc>
        <w:tc>
          <w:tcPr>
            <w:tcW w:w="620" w:type="dxa"/>
            <w:vAlign w:val="bottom"/>
            <w:tcBorders>
              <w:bottom w:val="single" w:sz="8" w:color="70AD47"/>
            </w:tcBorders>
            <w:shd w:val="clear" w:color="auto" w:fill="C6E0B4"/>
          </w:tcPr>
          <w:p>
            <w:pPr>
              <w:spacing w:after="0"/>
              <w:rPr>
                <w:sz w:val="14"/>
                <w:szCs w:val="14"/>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€(77,115)</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€(66,452)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€(52,549)</w:t>
            </w:r>
          </w:p>
        </w:tc>
      </w:tr>
      <w:tr>
        <w:trPr>
          <w:trHeight w:val="344"/>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b w:val="1"/>
                <w:bCs w:val="1"/>
                <w:color w:val="auto"/>
              </w:rPr>
              <w:t>Financing activities</w:t>
            </w: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80" w:type="dxa"/>
            <w:vAlign w:val="bottom"/>
          </w:tcPr>
          <w:p>
            <w:pPr>
              <w:spacing w:after="0"/>
              <w:rPr>
                <w:sz w:val="24"/>
                <w:szCs w:val="24"/>
                <w:color w:val="auto"/>
              </w:rPr>
            </w:pP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Proceeds from issuance of share capital, net of costs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375,351</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361,725</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Proceeds from loans and borrowings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11,000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5,600</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Payment of finance lease liabilities</w:t>
            </w:r>
          </w:p>
        </w:tc>
        <w:tc>
          <w:tcPr>
            <w:tcW w:w="620" w:type="dxa"/>
            <w:vAlign w:val="bottom"/>
            <w:tcBorders>
              <w:bottom w:val="single" w:sz="8" w:color="70AD47"/>
            </w:tcBorders>
            <w:shd w:val="clear" w:color="auto" w:fill="C6E0B4"/>
          </w:tcPr>
          <w:p>
            <w:pPr>
              <w:spacing w:after="0"/>
              <w:rPr>
                <w:sz w:val="16"/>
                <w:szCs w:val="16"/>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(3,061)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(2,148)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(1,643)</w:t>
            </w:r>
          </w:p>
        </w:tc>
      </w:tr>
      <w:tr>
        <w:trPr>
          <w:trHeight w:val="171"/>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Net cash flows from/(used in) financing activities</w:t>
            </w:r>
          </w:p>
        </w:tc>
        <w:tc>
          <w:tcPr>
            <w:tcW w:w="620" w:type="dxa"/>
            <w:vAlign w:val="bottom"/>
            <w:tcBorders>
              <w:bottom w:val="single" w:sz="8" w:color="70AD47"/>
            </w:tcBorders>
            <w:shd w:val="clear" w:color="auto" w:fill="C6E0B4"/>
          </w:tcPr>
          <w:p>
            <w:pPr>
              <w:spacing w:after="0"/>
              <w:rPr>
                <w:sz w:val="14"/>
                <w:szCs w:val="14"/>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€383,290</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€365,177</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€(1,643)</w:t>
            </w:r>
          </w:p>
        </w:tc>
      </w:tr>
      <w:tr>
        <w:trPr>
          <w:trHeight w:val="344"/>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Net increase/(decrease) in cash and cash equivalents</w:t>
            </w:r>
          </w:p>
        </w:tc>
        <w:tc>
          <w:tcPr>
            <w:tcW w:w="620" w:type="dxa"/>
            <w:vAlign w:val="bottom"/>
            <w:shd w:val="clear" w:color="auto" w:fill="C6E0B4"/>
          </w:tcPr>
          <w:p>
            <w:pPr>
              <w:spacing w:after="0"/>
              <w:rPr>
                <w:sz w:val="24"/>
                <w:szCs w:val="24"/>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107,638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239,848</w:t>
            </w:r>
          </w:p>
        </w:tc>
        <w:tc>
          <w:tcPr>
            <w:tcW w:w="1580" w:type="dxa"/>
            <w:vAlign w:val="bottom"/>
          </w:tcPr>
          <w:p>
            <w:pPr>
              <w:jc w:val="right"/>
              <w:spacing w:after="0"/>
              <w:rPr>
                <w:sz w:val="20"/>
                <w:szCs w:val="20"/>
                <w:color w:val="auto"/>
              </w:rPr>
            </w:pPr>
            <w:r>
              <w:rPr>
                <w:rFonts w:ascii="Arial" w:cs="Arial" w:eastAsia="Arial" w:hAnsi="Arial"/>
                <w:sz w:val="13"/>
                <w:szCs w:val="13"/>
                <w:color w:val="auto"/>
              </w:rPr>
              <w:t>(106,753)</w:t>
            </w:r>
          </w:p>
        </w:tc>
      </w:tr>
      <w:tr>
        <w:trPr>
          <w:trHeight w:val="18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Change in cash resulting from exchange rate differences</w:t>
            </w:r>
          </w:p>
        </w:tc>
        <w:tc>
          <w:tcPr>
            <w:tcW w:w="620" w:type="dxa"/>
            <w:vAlign w:val="bottom"/>
            <w:shd w:val="clear" w:color="auto" w:fill="C6E0B4"/>
          </w:tcPr>
          <w:p>
            <w:pPr>
              <w:spacing w:after="0"/>
              <w:rPr>
                <w:sz w:val="15"/>
                <w:szCs w:val="15"/>
                <w:color w:val="auto"/>
              </w:rPr>
            </w:pPr>
          </w:p>
        </w:tc>
        <w:tc>
          <w:tcPr>
            <w:tcW w:w="9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(459)</w:t>
            </w:r>
          </w:p>
        </w:tc>
        <w:tc>
          <w:tcPr>
            <w:tcW w:w="1580" w:type="dxa"/>
            <w:vAlign w:val="bottom"/>
          </w:tcPr>
          <w:p>
            <w:pPr>
              <w:jc w:val="right"/>
              <w:spacing w:after="0"/>
              <w:rPr>
                <w:sz w:val="20"/>
                <w:szCs w:val="20"/>
                <w:color w:val="auto"/>
              </w:rPr>
            </w:pPr>
            <w:r>
              <w:rPr>
                <w:rFonts w:ascii="Arial" w:cs="Arial" w:eastAsia="Arial" w:hAnsi="Arial"/>
                <w:sz w:val="13"/>
                <w:szCs w:val="13"/>
                <w:color w:val="auto"/>
              </w:rPr>
              <w:t>(24,820)</w:t>
            </w:r>
          </w:p>
        </w:tc>
      </w:tr>
      <w:tr>
        <w:trPr>
          <w:trHeight w:val="185"/>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Cash and cash equivalents at January 1</w:t>
            </w:r>
          </w:p>
        </w:tc>
        <w:tc>
          <w:tcPr>
            <w:tcW w:w="620" w:type="dxa"/>
            <w:vAlign w:val="bottom"/>
            <w:tcBorders>
              <w:bottom w:val="single" w:sz="8" w:color="70AD47"/>
            </w:tcBorders>
            <w:shd w:val="clear" w:color="auto" w:fill="C6E0B4"/>
          </w:tcPr>
          <w:p>
            <w:pPr>
              <w:spacing w:after="0"/>
              <w:rPr>
                <w:sz w:val="16"/>
                <w:szCs w:val="16"/>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411,495</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172,106</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303,680</w:t>
            </w:r>
          </w:p>
        </w:tc>
      </w:tr>
      <w:tr>
        <w:trPr>
          <w:trHeight w:val="171"/>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Cash and cash equivalents at December 31</w:t>
            </w:r>
          </w:p>
        </w:tc>
        <w:tc>
          <w:tcPr>
            <w:tcW w:w="620" w:type="dxa"/>
            <w:vAlign w:val="bottom"/>
            <w:tcBorders>
              <w:bottom w:val="single" w:sz="8" w:color="70AD47"/>
            </w:tcBorders>
            <w:shd w:val="clear" w:color="auto" w:fill="C6E0B4"/>
          </w:tcPr>
          <w:p>
            <w:pPr>
              <w:spacing w:after="0"/>
              <w:rPr>
                <w:sz w:val="14"/>
                <w:szCs w:val="14"/>
                <w:color w:val="auto"/>
              </w:rPr>
            </w:pPr>
          </w:p>
        </w:tc>
        <w:tc>
          <w:tcPr>
            <w:tcW w:w="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€519,149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€411,495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€172,106</w:t>
            </w:r>
          </w:p>
        </w:tc>
      </w:tr>
    </w:tbl>
    <w:p>
      <w:pPr>
        <w:spacing w:after="0" w:line="231"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The accompanying notes form an integral part of these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250" w:lineRule="exact"/>
        <w:rPr>
          <w:sz w:val="20"/>
          <w:szCs w:val="20"/>
          <w:color w:val="auto"/>
        </w:rPr>
      </w:pPr>
    </w:p>
    <w:p>
      <w:pPr>
        <w:ind w:left="800" w:hanging="800"/>
        <w:spacing w:after="0"/>
        <w:tabs>
          <w:tab w:leader="none" w:pos="800" w:val="left"/>
        </w:tabs>
        <w:numPr>
          <w:ilvl w:val="0"/>
          <w:numId w:val="308"/>
        </w:numPr>
        <w:rPr>
          <w:rFonts w:ascii="Arial" w:cs="Arial" w:eastAsia="Arial" w:hAnsi="Arial"/>
          <w:sz w:val="13"/>
          <w:szCs w:val="13"/>
          <w:b w:val="1"/>
          <w:bCs w:val="1"/>
          <w:color w:val="auto"/>
        </w:rPr>
      </w:pPr>
      <w:r>
        <w:rPr>
          <w:rFonts w:ascii="Arial" w:cs="Arial" w:eastAsia="Arial" w:hAnsi="Arial"/>
          <w:sz w:val="13"/>
          <w:szCs w:val="13"/>
          <w:b w:val="1"/>
          <w:bCs w:val="1"/>
          <w:color w:val="auto"/>
        </w:rPr>
        <w:t>Corporate Information</w:t>
      </w:r>
    </w:p>
    <w:p>
      <w:pPr>
        <w:spacing w:after="0" w:line="94" w:lineRule="exact"/>
        <w:rPr>
          <w:sz w:val="20"/>
          <w:szCs w:val="20"/>
          <w:color w:val="auto"/>
        </w:rPr>
      </w:pPr>
    </w:p>
    <w:p>
      <w:pPr>
        <w:ind w:right="40" w:firstLine="556"/>
        <w:spacing w:after="0" w:line="272" w:lineRule="auto"/>
        <w:rPr>
          <w:sz w:val="20"/>
          <w:szCs w:val="20"/>
          <w:color w:val="auto"/>
        </w:rPr>
      </w:pPr>
      <w:r>
        <w:rPr>
          <w:rFonts w:ascii="Arial" w:cs="Arial" w:eastAsia="Arial" w:hAnsi="Arial"/>
          <w:sz w:val="13"/>
          <w:szCs w:val="13"/>
          <w:color w:val="auto"/>
        </w:rPr>
        <w:t>BioNTech SE is a limited company incorporated and domiciled in Germany. American Depository Shares (ADS) representing BioNTech’s shares are publicly traded on Nasdaq Global Select Market since October 10, 2019. The registered office is located in Mainz, An der Goldgrube 12, 55131 Germany. The accompanying International Financial Reporting Standards (IFRS) consolidated financial statements present the financial position and the results of operation of BioNTech SE and its subsidiaries, hereinafter also referred to as “BioNTech” or the “Group”.</w:t>
      </w:r>
    </w:p>
    <w:p>
      <w:pPr>
        <w:spacing w:after="0" w:line="132" w:lineRule="exact"/>
        <w:rPr>
          <w:sz w:val="20"/>
          <w:szCs w:val="20"/>
          <w:color w:val="auto"/>
        </w:rPr>
      </w:pPr>
    </w:p>
    <w:p>
      <w:pPr>
        <w:ind w:right="20" w:firstLine="556"/>
        <w:spacing w:after="0" w:line="287" w:lineRule="auto"/>
        <w:rPr>
          <w:sz w:val="20"/>
          <w:szCs w:val="20"/>
          <w:color w:val="auto"/>
        </w:rPr>
      </w:pPr>
      <w:r>
        <w:rPr>
          <w:rFonts w:ascii="Arial" w:cs="Arial" w:eastAsia="Arial" w:hAnsi="Arial"/>
          <w:sz w:val="13"/>
          <w:szCs w:val="13"/>
          <w:color w:val="auto"/>
        </w:rPr>
        <w:t>Effective March 8, 2019, BioNTech AG changed its name and legal form to BioNTech SE. The Group is principally engaged in developing innovative immunotherapies for the individualized treatment of cancer and other infectious diseases.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During the year ended December 31, 2019 the following changes to the Group structure occurred:</w:t>
      </w:r>
    </w:p>
    <w:p>
      <w:pPr>
        <w:spacing w:after="0" w:line="100" w:lineRule="exact"/>
        <w:rPr>
          <w:sz w:val="20"/>
          <w:szCs w:val="20"/>
          <w:color w:val="auto"/>
        </w:rPr>
      </w:pPr>
    </w:p>
    <w:p>
      <w:pPr>
        <w:ind w:left="1020" w:hanging="340"/>
        <w:spacing w:after="0"/>
        <w:tabs>
          <w:tab w:leader="none" w:pos="1020" w:val="left"/>
        </w:tabs>
        <w:numPr>
          <w:ilvl w:val="0"/>
          <w:numId w:val="309"/>
        </w:numPr>
        <w:rPr>
          <w:rFonts w:ascii="Arial" w:cs="Arial" w:eastAsia="Arial" w:hAnsi="Arial"/>
          <w:sz w:val="13"/>
          <w:szCs w:val="13"/>
          <w:color w:val="auto"/>
        </w:rPr>
      </w:pPr>
      <w:r>
        <w:rPr>
          <w:rFonts w:ascii="Arial" w:cs="Arial" w:eastAsia="Arial" w:hAnsi="Arial"/>
          <w:sz w:val="13"/>
          <w:szCs w:val="13"/>
          <w:color w:val="auto"/>
        </w:rPr>
        <w:t>Two entities were founded in the United States: BioNTech USA Holding, LLC and BioNTech Research &amp; Development, Inc. Both are wholly-owned subsidiaries of BioNTech SE.</w:t>
      </w:r>
    </w:p>
    <w:p>
      <w:pPr>
        <w:spacing w:after="0" w:line="100" w:lineRule="exact"/>
        <w:rPr>
          <w:rFonts w:ascii="Arial" w:cs="Arial" w:eastAsia="Arial" w:hAnsi="Arial"/>
          <w:sz w:val="13"/>
          <w:szCs w:val="13"/>
          <w:color w:val="auto"/>
        </w:rPr>
      </w:pPr>
    </w:p>
    <w:p>
      <w:pPr>
        <w:ind w:left="1020" w:hanging="340"/>
        <w:spacing w:after="0"/>
        <w:tabs>
          <w:tab w:leader="none" w:pos="1020" w:val="left"/>
        </w:tabs>
        <w:numPr>
          <w:ilvl w:val="0"/>
          <w:numId w:val="309"/>
        </w:numPr>
        <w:rPr>
          <w:rFonts w:ascii="Arial" w:cs="Arial" w:eastAsia="Arial" w:hAnsi="Arial"/>
          <w:sz w:val="13"/>
          <w:szCs w:val="13"/>
          <w:color w:val="auto"/>
        </w:rPr>
      </w:pPr>
      <w:r>
        <w:rPr>
          <w:rFonts w:ascii="Arial" w:cs="Arial" w:eastAsia="Arial" w:hAnsi="Arial"/>
          <w:sz w:val="13"/>
          <w:szCs w:val="13"/>
          <w:color w:val="auto"/>
        </w:rPr>
        <w:t>reBOOST Management GmbH, was acquired through a share purchase which represents a related party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All entities listed above are included in the Group’s consolidated financial statements.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Information on the Group’s structure is provided in Note 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consolidated financial statements of the Group for the year ended year ended December 31, 2019 were authorized for issue in accordance with a resolution of the directors on March 31, 2020.</w:t>
      </w:r>
    </w:p>
    <w:p>
      <w:pPr>
        <w:spacing w:after="0" w:line="258" w:lineRule="exact"/>
        <w:rPr>
          <w:sz w:val="20"/>
          <w:szCs w:val="20"/>
          <w:color w:val="auto"/>
        </w:rPr>
      </w:pPr>
    </w:p>
    <w:p>
      <w:pPr>
        <w:ind w:left="800" w:hanging="800"/>
        <w:spacing w:after="0"/>
        <w:tabs>
          <w:tab w:leader="none" w:pos="800" w:val="left"/>
        </w:tabs>
        <w:numPr>
          <w:ilvl w:val="0"/>
          <w:numId w:val="310"/>
        </w:numPr>
        <w:rPr>
          <w:rFonts w:ascii="Arial" w:cs="Arial" w:eastAsia="Arial" w:hAnsi="Arial"/>
          <w:sz w:val="13"/>
          <w:szCs w:val="13"/>
          <w:b w:val="1"/>
          <w:bCs w:val="1"/>
          <w:color w:val="auto"/>
        </w:rPr>
      </w:pPr>
      <w:r>
        <w:rPr>
          <w:rFonts w:ascii="Arial" w:cs="Arial" w:eastAsia="Arial" w:hAnsi="Arial"/>
          <w:sz w:val="13"/>
          <w:szCs w:val="13"/>
          <w:b w:val="1"/>
          <w:bCs w:val="1"/>
          <w:color w:val="auto"/>
        </w:rPr>
        <w:t>Significant Accounting Policies</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1"/>
          <w:szCs w:val="11"/>
          <w:b w:val="1"/>
          <w:bCs w:val="1"/>
          <w:color w:val="auto"/>
        </w:rPr>
        <w:t>Basis of Preparation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consolidated financial statements have been prepared on a going concern basis in accordance with the IFRS as issued by the International Accounting Standards Board (IASB).</w:t>
      </w:r>
    </w:p>
    <w:p>
      <w:pPr>
        <w:spacing w:after="0" w:line="17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BioNTech prepares and publishes its consolidated financial statements in Euros. Unless otherwise stated, the numbers are rounded to thousands of Euros. Accordingly, numerical figures shown as totals in some tables may not be exact arithmetic aggregations of the figures that preceded them.</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1"/>
          <w:szCs w:val="11"/>
          <w:b w:val="1"/>
          <w:bCs w:val="1"/>
          <w:color w:val="auto"/>
        </w:rPr>
        <w:t>Basis of Consolidation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consolidated financial statements comprise the financial statements of the Company and its controlled investees (subsidiaries).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 controls an investee if, and only if, the Group has</w:t>
      </w:r>
    </w:p>
    <w:p>
      <w:pPr>
        <w:spacing w:after="0" w:line="100" w:lineRule="exact"/>
        <w:rPr>
          <w:sz w:val="20"/>
          <w:szCs w:val="20"/>
          <w:color w:val="auto"/>
        </w:rPr>
      </w:pPr>
    </w:p>
    <w:p>
      <w:pPr>
        <w:ind w:left="1020" w:hanging="340"/>
        <w:spacing w:after="0"/>
        <w:tabs>
          <w:tab w:leader="none" w:pos="1020" w:val="left"/>
        </w:tabs>
        <w:numPr>
          <w:ilvl w:val="0"/>
          <w:numId w:val="311"/>
        </w:numPr>
        <w:rPr>
          <w:rFonts w:ascii="Arial" w:cs="Arial" w:eastAsia="Arial" w:hAnsi="Arial"/>
          <w:sz w:val="13"/>
          <w:szCs w:val="13"/>
          <w:color w:val="auto"/>
        </w:rPr>
      </w:pPr>
      <w:r>
        <w:rPr>
          <w:rFonts w:ascii="Arial" w:cs="Arial" w:eastAsia="Arial" w:hAnsi="Arial"/>
          <w:sz w:val="13"/>
          <w:szCs w:val="13"/>
          <w:color w:val="auto"/>
        </w:rPr>
        <w:t>power over the investee (</w:t>
      </w:r>
      <w:r>
        <w:rPr>
          <w:rFonts w:ascii="Arial" w:cs="Arial" w:eastAsia="Arial" w:hAnsi="Arial"/>
          <w:sz w:val="13"/>
          <w:szCs w:val="13"/>
          <w:i w:val="1"/>
          <w:iCs w:val="1"/>
          <w:color w:val="auto"/>
        </w:rPr>
        <w:t>i.e.</w:t>
      </w:r>
      <w:r>
        <w:rPr>
          <w:rFonts w:ascii="Arial" w:cs="Arial" w:eastAsia="Arial" w:hAnsi="Arial"/>
          <w:sz w:val="13"/>
          <w:szCs w:val="13"/>
          <w:color w:val="auto"/>
        </w:rPr>
        <w:t>, existing rights that give it the current ability to direct the relevant activities of the investee);</w:t>
      </w:r>
    </w:p>
    <w:p>
      <w:pPr>
        <w:spacing w:after="0" w:line="100" w:lineRule="exact"/>
        <w:rPr>
          <w:rFonts w:ascii="Arial" w:cs="Arial" w:eastAsia="Arial" w:hAnsi="Arial"/>
          <w:sz w:val="13"/>
          <w:szCs w:val="13"/>
          <w:color w:val="auto"/>
        </w:rPr>
      </w:pPr>
    </w:p>
    <w:p>
      <w:pPr>
        <w:ind w:left="1020" w:hanging="340"/>
        <w:spacing w:after="0"/>
        <w:tabs>
          <w:tab w:leader="none" w:pos="1020" w:val="left"/>
        </w:tabs>
        <w:numPr>
          <w:ilvl w:val="0"/>
          <w:numId w:val="311"/>
        </w:numPr>
        <w:rPr>
          <w:rFonts w:ascii="Arial" w:cs="Arial" w:eastAsia="Arial" w:hAnsi="Arial"/>
          <w:sz w:val="13"/>
          <w:szCs w:val="13"/>
          <w:color w:val="auto"/>
        </w:rPr>
      </w:pPr>
      <w:r>
        <w:rPr>
          <w:rFonts w:ascii="Arial" w:cs="Arial" w:eastAsia="Arial" w:hAnsi="Arial"/>
          <w:sz w:val="13"/>
          <w:szCs w:val="13"/>
          <w:color w:val="auto"/>
        </w:rPr>
        <w:t>exposure, or rights, to variable returns from its involvement with the investee; and</w:t>
      </w:r>
    </w:p>
    <w:p>
      <w:pPr>
        <w:spacing w:after="0" w:line="100" w:lineRule="exact"/>
        <w:rPr>
          <w:rFonts w:ascii="Arial" w:cs="Arial" w:eastAsia="Arial" w:hAnsi="Arial"/>
          <w:sz w:val="13"/>
          <w:szCs w:val="13"/>
          <w:color w:val="auto"/>
        </w:rPr>
      </w:pPr>
    </w:p>
    <w:p>
      <w:pPr>
        <w:ind w:left="1020" w:hanging="340"/>
        <w:spacing w:after="0"/>
        <w:tabs>
          <w:tab w:leader="none" w:pos="1020" w:val="left"/>
        </w:tabs>
        <w:numPr>
          <w:ilvl w:val="0"/>
          <w:numId w:val="311"/>
        </w:numPr>
        <w:rPr>
          <w:rFonts w:ascii="Arial" w:cs="Arial" w:eastAsia="Arial" w:hAnsi="Arial"/>
          <w:sz w:val="13"/>
          <w:szCs w:val="13"/>
          <w:color w:val="auto"/>
        </w:rPr>
      </w:pPr>
      <w:r>
        <w:rPr>
          <w:rFonts w:ascii="Arial" w:cs="Arial" w:eastAsia="Arial" w:hAnsi="Arial"/>
          <w:sz w:val="13"/>
          <w:szCs w:val="13"/>
          <w:color w:val="auto"/>
        </w:rPr>
        <w:t>the ability to use its power over the investee to affect its returns.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Generally, there is a presumption that a majority of voting rights results in control.</w:t>
      </w:r>
    </w:p>
    <w:p>
      <w:pPr>
        <w:spacing w:after="0" w:line="170" w:lineRule="exact"/>
        <w:rPr>
          <w:sz w:val="20"/>
          <w:szCs w:val="20"/>
          <w:color w:val="auto"/>
        </w:rPr>
      </w:pPr>
    </w:p>
    <w:p>
      <w:pPr>
        <w:ind w:right="280" w:firstLine="556"/>
        <w:spacing w:after="0" w:line="287" w:lineRule="auto"/>
        <w:rPr>
          <w:sz w:val="20"/>
          <w:szCs w:val="20"/>
          <w:color w:val="auto"/>
        </w:rPr>
      </w:pPr>
      <w:r>
        <w:rPr>
          <w:rFonts w:ascii="Arial" w:cs="Arial" w:eastAsia="Arial" w:hAnsi="Arial"/>
          <w:sz w:val="13"/>
          <w:szCs w:val="13"/>
          <w:color w:val="auto"/>
        </w:rPr>
        <w:t>The Group re-assesses whether it controls an investee if facts and circumstances indicate that there are changes to one or more of the three elements of control. Consolidation of a subsidiary begins when the Group obtains control over the subsidiary and ceases when the Group loses control of the subsidiary.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73" w:name="page274"/>
    <w:bookmarkEnd w:id="273"/>
    <w:p>
      <w:pPr>
        <w:ind w:right="20" w:firstLine="556"/>
        <w:spacing w:after="0" w:line="304" w:lineRule="auto"/>
        <w:rPr>
          <w:sz w:val="20"/>
          <w:szCs w:val="20"/>
          <w:color w:val="auto"/>
        </w:rPr>
      </w:pPr>
      <w:r>
        <w:rPr>
          <w:rFonts w:ascii="Arial" w:cs="Arial" w:eastAsia="Arial" w:hAnsi="Arial"/>
          <w:sz w:val="12"/>
          <w:szCs w:val="12"/>
          <w:color w:val="auto"/>
        </w:rPr>
        <w:t>The statement of operations and each component of other comprehensive income are attributed to the equity holders of the parent of the Group and to the non-controlling interests, even if this results in the non-controlling interests having a deficit balance. When necessary, adjustments are made to the financial statements of subsidiaries to bring their accounting policies in line with the Group’s accounting policies. All intra-group assets and liabilities, equity, income, expenses and cash flows relating to transactions between members of the Group are eliminated on consolidation.</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change in the ownership interest of a subsidiary, without a loss of control, is accounted for as an equity transaction.</w:t>
      </w:r>
    </w:p>
    <w:p>
      <w:pPr>
        <w:spacing w:after="0" w:line="170"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If the Group loses control over a subsidiary, it derecognizes the related assets (including goodwill), liabilities, non-controlling interests and other components of equity, while any resultant gain or loss is recognized in the statement of operations. Any investment retained is recognized at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Pr>
          <w:p>
            <w:pPr>
              <w:spacing w:after="0"/>
              <w:rPr>
                <w:sz w:val="20"/>
                <w:szCs w:val="20"/>
                <w:color w:val="auto"/>
              </w:rPr>
            </w:pPr>
            <w:r>
              <w:rPr>
                <w:rFonts w:ascii="Arial" w:cs="Arial" w:eastAsia="Arial" w:hAnsi="Arial"/>
                <w:sz w:val="13"/>
                <w:szCs w:val="13"/>
                <w:b w:val="1"/>
                <w:bCs w:val="1"/>
                <w:color w:val="auto"/>
              </w:rPr>
              <w:t>2.3</w:t>
            </w:r>
          </w:p>
        </w:tc>
        <w:tc>
          <w:tcPr>
            <w:tcW w:w="2780" w:type="dxa"/>
            <w:vAlign w:val="bottom"/>
          </w:tcPr>
          <w:p>
            <w:pPr>
              <w:ind w:left="260"/>
              <w:spacing w:after="0"/>
              <w:rPr>
                <w:sz w:val="20"/>
                <w:szCs w:val="20"/>
                <w:color w:val="auto"/>
              </w:rPr>
            </w:pPr>
            <w:r>
              <w:rPr>
                <w:rFonts w:ascii="Arial" w:cs="Arial" w:eastAsia="Arial" w:hAnsi="Arial"/>
                <w:sz w:val="13"/>
                <w:szCs w:val="13"/>
                <w:b w:val="1"/>
                <w:bCs w:val="1"/>
                <w:color w:val="auto"/>
                <w:w w:val="91"/>
              </w:rPr>
              <w:t>Summary of Significant Accounting Policies</w:t>
            </w:r>
          </w:p>
        </w:tc>
      </w:tr>
      <w:tr>
        <w:trPr>
          <w:trHeight w:val="240"/>
        </w:trPr>
        <w:tc>
          <w:tcPr>
            <w:tcW w:w="540" w:type="dxa"/>
            <w:vAlign w:val="bottom"/>
          </w:tcPr>
          <w:p>
            <w:pPr>
              <w:spacing w:after="0"/>
              <w:rPr>
                <w:sz w:val="20"/>
                <w:szCs w:val="20"/>
                <w:color w:val="auto"/>
              </w:rPr>
            </w:pPr>
            <w:r>
              <w:rPr>
                <w:rFonts w:ascii="Arial" w:cs="Arial" w:eastAsia="Arial" w:hAnsi="Arial"/>
                <w:sz w:val="13"/>
                <w:szCs w:val="13"/>
                <w:b w:val="1"/>
                <w:bCs w:val="1"/>
                <w:color w:val="auto"/>
              </w:rPr>
              <w:t>2.3.1</w:t>
            </w:r>
          </w:p>
        </w:tc>
        <w:tc>
          <w:tcPr>
            <w:tcW w:w="2780" w:type="dxa"/>
            <w:vAlign w:val="bottom"/>
          </w:tcPr>
          <w:p>
            <w:pPr>
              <w:ind w:left="260"/>
              <w:spacing w:after="0"/>
              <w:rPr>
                <w:sz w:val="20"/>
                <w:szCs w:val="20"/>
                <w:color w:val="auto"/>
              </w:rPr>
            </w:pPr>
            <w:r>
              <w:rPr>
                <w:rFonts w:ascii="Arial" w:cs="Arial" w:eastAsia="Arial" w:hAnsi="Arial"/>
                <w:sz w:val="13"/>
                <w:szCs w:val="13"/>
                <w:b w:val="1"/>
                <w:bCs w:val="1"/>
                <w:color w:val="auto"/>
              </w:rPr>
              <w:t>Business combinations and Goodwill</w:t>
            </w:r>
          </w:p>
        </w:tc>
      </w:tr>
    </w:tbl>
    <w:p>
      <w:pPr>
        <w:spacing w:after="0" w:line="71" w:lineRule="exact"/>
        <w:rPr>
          <w:sz w:val="20"/>
          <w:szCs w:val="20"/>
          <w:color w:val="auto"/>
        </w:rPr>
      </w:pPr>
    </w:p>
    <w:p>
      <w:pPr>
        <w:ind w:right="180" w:firstLine="556"/>
        <w:spacing w:after="0" w:line="287" w:lineRule="auto"/>
        <w:rPr>
          <w:sz w:val="20"/>
          <w:szCs w:val="20"/>
          <w:color w:val="auto"/>
        </w:rPr>
      </w:pPr>
      <w:r>
        <w:rPr>
          <w:rFonts w:ascii="Arial" w:cs="Arial" w:eastAsia="Arial" w:hAnsi="Arial"/>
          <w:sz w:val="13"/>
          <w:szCs w:val="13"/>
          <w:color w:val="auto"/>
        </w:rPr>
        <w:t>Business combinations are accounted for using the acquisition method. The cost of an acquisition is measured as the aggregate of the consideration transferred, which is measured at acquisition date fair value, and the amount of any non-controlling interests in the acquiree.</w:t>
      </w:r>
    </w:p>
    <w:p>
      <w:pPr>
        <w:spacing w:after="0" w:line="122"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Goodwill is initially measured at cost as the excess of the aggregate of the consideration transferred and the amount recognized for non-controlling interests and any previous interest held over the net identifiable assets acquired and liabilities assumed.</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After initial recognition, goodwill is tested at least annually or when there is an indication for impairment. See Note 2.3.13.</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2.3.2</w:t>
      </w:r>
      <w:r>
        <w:rPr>
          <w:sz w:val="20"/>
          <w:szCs w:val="20"/>
          <w:color w:val="auto"/>
        </w:rPr>
        <w:tab/>
      </w:r>
      <w:r>
        <w:rPr>
          <w:rFonts w:ascii="Arial" w:cs="Arial" w:eastAsia="Arial" w:hAnsi="Arial"/>
          <w:sz w:val="12"/>
          <w:szCs w:val="12"/>
          <w:b w:val="1"/>
          <w:bCs w:val="1"/>
          <w:color w:val="auto"/>
        </w:rPr>
        <w:t>Current versus Non-Current Classifications</w:t>
      </w:r>
    </w:p>
    <w:p>
      <w:pPr>
        <w:spacing w:after="0" w:line="94" w:lineRule="exact"/>
        <w:rPr>
          <w:sz w:val="20"/>
          <w:szCs w:val="20"/>
          <w:color w:val="auto"/>
        </w:rPr>
      </w:pPr>
    </w:p>
    <w:p>
      <w:pPr>
        <w:ind w:right="240" w:firstLine="556"/>
        <w:spacing w:after="0" w:line="304" w:lineRule="auto"/>
        <w:rPr>
          <w:sz w:val="20"/>
          <w:szCs w:val="20"/>
          <w:color w:val="auto"/>
        </w:rPr>
      </w:pPr>
      <w:r>
        <w:rPr>
          <w:rFonts w:ascii="Arial" w:cs="Arial" w:eastAsia="Arial" w:hAnsi="Arial"/>
          <w:sz w:val="12"/>
          <w:szCs w:val="12"/>
          <w:color w:val="auto"/>
        </w:rPr>
        <w:t>The Group presents assets and liabilities in the consolidated statements of financial position based on current or non-current classification. An asset is current when it is either: (i) expected to be realized within 12 months after the reporting period or (ii) cash or cash equivalents, unless it is restricted from being exchanged or used to settle a liability for at least 12 months after the reporting period. All other assets are classified as non-current. A liability is current when it is due to be settled within 12 months after the reporting period. The Group classifies all other liabilities as non-current.</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Deferred tax assets and liabilities are classified as non-current assets and liabilities, respectively.</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2.3.3</w:t>
      </w:r>
      <w:r>
        <w:rPr>
          <w:sz w:val="20"/>
          <w:szCs w:val="20"/>
          <w:color w:val="auto"/>
        </w:rPr>
        <w:tab/>
      </w:r>
      <w:r>
        <w:rPr>
          <w:rFonts w:ascii="Arial" w:cs="Arial" w:eastAsia="Arial" w:hAnsi="Arial"/>
          <w:sz w:val="12"/>
          <w:szCs w:val="12"/>
          <w:b w:val="1"/>
          <w:bCs w:val="1"/>
          <w:color w:val="auto"/>
        </w:rPr>
        <w:t>Fair Value Measurement</w:t>
      </w:r>
    </w:p>
    <w:p>
      <w:pPr>
        <w:spacing w:after="0" w:line="94"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auto"/>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p>
      <w:pPr>
        <w:spacing w:after="0" w:line="52" w:lineRule="exact"/>
        <w:rPr>
          <w:sz w:val="20"/>
          <w:szCs w:val="20"/>
          <w:color w:val="auto"/>
        </w:rPr>
      </w:pPr>
    </w:p>
    <w:p>
      <w:pPr>
        <w:ind w:left="1020" w:hanging="340"/>
        <w:spacing w:after="0"/>
        <w:tabs>
          <w:tab w:leader="none" w:pos="1020" w:val="left"/>
        </w:tabs>
        <w:numPr>
          <w:ilvl w:val="0"/>
          <w:numId w:val="312"/>
        </w:numPr>
        <w:rPr>
          <w:rFonts w:ascii="Arial" w:cs="Arial" w:eastAsia="Arial" w:hAnsi="Arial"/>
          <w:sz w:val="13"/>
          <w:szCs w:val="13"/>
          <w:color w:val="auto"/>
        </w:rPr>
      </w:pPr>
      <w:r>
        <w:rPr>
          <w:rFonts w:ascii="Arial" w:cs="Arial" w:eastAsia="Arial" w:hAnsi="Arial"/>
          <w:sz w:val="13"/>
          <w:szCs w:val="13"/>
          <w:color w:val="auto"/>
        </w:rPr>
        <w:t>Level 1 contains the use of quoted prices in active markets for identical assets or liabilities.</w:t>
      </w:r>
    </w:p>
    <w:p>
      <w:pPr>
        <w:spacing w:after="0" w:line="100" w:lineRule="exact"/>
        <w:rPr>
          <w:rFonts w:ascii="Arial" w:cs="Arial" w:eastAsia="Arial" w:hAnsi="Arial"/>
          <w:sz w:val="13"/>
          <w:szCs w:val="13"/>
          <w:color w:val="auto"/>
        </w:rPr>
      </w:pPr>
    </w:p>
    <w:p>
      <w:pPr>
        <w:ind w:left="1020" w:hanging="340"/>
        <w:spacing w:after="0"/>
        <w:tabs>
          <w:tab w:leader="none" w:pos="1020" w:val="left"/>
        </w:tabs>
        <w:numPr>
          <w:ilvl w:val="0"/>
          <w:numId w:val="312"/>
        </w:numPr>
        <w:rPr>
          <w:rFonts w:ascii="Arial" w:cs="Arial" w:eastAsia="Arial" w:hAnsi="Arial"/>
          <w:sz w:val="13"/>
          <w:szCs w:val="13"/>
          <w:color w:val="auto"/>
        </w:rPr>
      </w:pPr>
      <w:r>
        <w:rPr>
          <w:rFonts w:ascii="Arial" w:cs="Arial" w:eastAsia="Arial" w:hAnsi="Arial"/>
          <w:sz w:val="13"/>
          <w:szCs w:val="13"/>
          <w:color w:val="auto"/>
        </w:rPr>
        <w:t>Level 2 inputs are inputs other than quoted prices included within Level 1 that are observable for the asset or liability either directly or indirectly.</w:t>
      </w:r>
    </w:p>
    <w:p>
      <w:pPr>
        <w:spacing w:after="0" w:line="100" w:lineRule="exact"/>
        <w:rPr>
          <w:rFonts w:ascii="Arial" w:cs="Arial" w:eastAsia="Arial" w:hAnsi="Arial"/>
          <w:sz w:val="13"/>
          <w:szCs w:val="13"/>
          <w:color w:val="auto"/>
        </w:rPr>
      </w:pPr>
    </w:p>
    <w:p>
      <w:pPr>
        <w:ind w:left="1020" w:hanging="340"/>
        <w:spacing w:after="0"/>
        <w:tabs>
          <w:tab w:leader="none" w:pos="1020" w:val="left"/>
        </w:tabs>
        <w:numPr>
          <w:ilvl w:val="0"/>
          <w:numId w:val="312"/>
        </w:numPr>
        <w:rPr>
          <w:rFonts w:ascii="Arial" w:cs="Arial" w:eastAsia="Arial" w:hAnsi="Arial"/>
          <w:sz w:val="13"/>
          <w:szCs w:val="13"/>
          <w:color w:val="auto"/>
        </w:rPr>
      </w:pPr>
      <w:r>
        <w:rPr>
          <w:rFonts w:ascii="Arial" w:cs="Arial" w:eastAsia="Arial" w:hAnsi="Arial"/>
          <w:sz w:val="13"/>
          <w:szCs w:val="13"/>
          <w:color w:val="auto"/>
        </w:rPr>
        <w:t>Level 3 inputs are unobservable.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Within this hierarchy, estimated values are made by management based on reasonable assumptions, including other fair value methods.</w:t>
      </w:r>
    </w:p>
    <w:p>
      <w:pPr>
        <w:spacing w:after="0" w:line="17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For assets and liabilities that are recognized in the financial statements at fair value on a recurring basis, the Group determines whether transfers have occurred between levels in the fair value hierarchy by re-assessing categorization (based on the lowest level input that is significant to the fair value measurement as a whole) at the end of each reporting period.</w:t>
      </w:r>
    </w:p>
    <w:p>
      <w:pPr>
        <w:spacing w:after="0" w:line="122" w:lineRule="exact"/>
        <w:rPr>
          <w:sz w:val="20"/>
          <w:szCs w:val="20"/>
          <w:color w:val="auto"/>
        </w:rPr>
      </w:pPr>
    </w:p>
    <w:p>
      <w:pPr>
        <w:ind w:right="260" w:firstLine="556"/>
        <w:spacing w:after="0" w:line="287" w:lineRule="auto"/>
        <w:rPr>
          <w:sz w:val="20"/>
          <w:szCs w:val="20"/>
          <w:color w:val="auto"/>
        </w:rPr>
      </w:pPr>
      <w:r>
        <w:rPr>
          <w:rFonts w:ascii="Arial" w:cs="Arial" w:eastAsia="Arial" w:hAnsi="Arial"/>
          <w:sz w:val="13"/>
          <w:szCs w:val="13"/>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451" w:right="339" w:bottom="1440" w:gutter="0" w:footer="0" w:header="0"/>
        </w:sectPr>
      </w:pPr>
    </w:p>
    <w:bookmarkStart w:id="274" w:name="page275"/>
    <w:bookmarkEnd w:id="274"/>
    <w:p>
      <w:pPr>
        <w:spacing w:after="0"/>
        <w:tabs>
          <w:tab w:leader="none" w:pos="720" w:val="left"/>
        </w:tabs>
        <w:rPr>
          <w:sz w:val="20"/>
          <w:szCs w:val="20"/>
          <w:color w:val="auto"/>
        </w:rPr>
      </w:pPr>
      <w:r>
        <w:rPr>
          <w:rFonts w:ascii="Arial" w:cs="Arial" w:eastAsia="Arial" w:hAnsi="Arial"/>
          <w:sz w:val="13"/>
          <w:szCs w:val="13"/>
          <w:b w:val="1"/>
          <w:bCs w:val="1"/>
          <w:color w:val="auto"/>
        </w:rPr>
        <w:t>2.3.4</w:t>
      </w:r>
      <w:r>
        <w:rPr>
          <w:sz w:val="20"/>
          <w:szCs w:val="20"/>
          <w:color w:val="auto"/>
        </w:rPr>
        <w:tab/>
      </w:r>
      <w:r>
        <w:rPr>
          <w:rFonts w:ascii="Arial" w:cs="Arial" w:eastAsia="Arial" w:hAnsi="Arial"/>
          <w:sz w:val="12"/>
          <w:szCs w:val="12"/>
          <w:b w:val="1"/>
          <w:bCs w:val="1"/>
          <w:color w:val="auto"/>
        </w:rPr>
        <w:t>Revenue from Contracts with Customers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Revenue Recognition</w:t>
      </w:r>
    </w:p>
    <w:p>
      <w:pPr>
        <w:spacing w:after="0" w:line="94" w:lineRule="exact"/>
        <w:rPr>
          <w:sz w:val="20"/>
          <w:szCs w:val="20"/>
          <w:color w:val="auto"/>
        </w:rPr>
      </w:pPr>
    </w:p>
    <w:p>
      <w:pPr>
        <w:jc w:val="both"/>
        <w:ind w:right="20" w:firstLine="556"/>
        <w:spacing w:after="0" w:line="267" w:lineRule="auto"/>
        <w:rPr>
          <w:sz w:val="20"/>
          <w:szCs w:val="20"/>
          <w:color w:val="auto"/>
        </w:rPr>
      </w:pPr>
      <w:r>
        <w:rPr>
          <w:rFonts w:ascii="Arial" w:cs="Arial" w:eastAsia="Arial" w:hAnsi="Arial"/>
          <w:sz w:val="13"/>
          <w:szCs w:val="13"/>
          <w:color w:val="auto"/>
        </w:rPr>
        <w:t>Revenue from contracts with customers is recognized when control of the goods or services are transferred to the customer at an amount that reflects the consideration to which BioNTech expects to be entitled in exchange for those goods or services. If a contract with a customer contains more than one performance obligation, the transaction price is allocated to each performance obligation on a relative-stand-alone selling price basis. BioNTech has generally concluded that it acts as the principal in its revenue arrangements because it typically controls the goods or services before transferring them to the customer. The following is a description of these activities.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Revenue from Collaboration and License Agreements</w:t>
      </w:r>
    </w:p>
    <w:p>
      <w:pPr>
        <w:spacing w:after="0" w:line="94" w:lineRule="exact"/>
        <w:rPr>
          <w:sz w:val="20"/>
          <w:szCs w:val="20"/>
          <w:color w:val="auto"/>
        </w:rPr>
      </w:pPr>
    </w:p>
    <w:p>
      <w:pPr>
        <w:ind w:right="120" w:firstLine="556"/>
        <w:spacing w:after="0" w:line="288" w:lineRule="auto"/>
        <w:rPr>
          <w:sz w:val="20"/>
          <w:szCs w:val="20"/>
          <w:color w:val="auto"/>
        </w:rPr>
      </w:pPr>
      <w:r>
        <w:rPr>
          <w:rFonts w:ascii="Arial" w:cs="Arial" w:eastAsia="Arial" w:hAnsi="Arial"/>
          <w:sz w:val="12"/>
          <w:szCs w:val="12"/>
          <w:color w:val="auto"/>
        </w:rPr>
        <w:t>BioNTech generates revenues from collaboration and license agreements under which BioNTech grants licenses to use, research, develop, manufacture and commercialize product candidates and products. If the grant of a license is bundled together with the rendering of services, it is assessed whether these agreements are comprised of more than one performance obligation. A performance obligation is only accounted for as the grant of a license if the grant of a license is the sole or the predominant promise of the performance obligation. For each promise to grant a license that is a separate performance obligation, it is considered whether control is transferred to a licensee either at a point in time or over time. Under the terms of its licensing arrangements, BioNTech provides the licensee with a right to access BioNTech’s intellectual property as it exists throughout the license period (as BioNTech’s intellectual property is still subject to further research). Therefore, the promise to grant a license is accounted for as a performance obligation satisfied over time, as the licensee simultaneously receives and consumes the benefits of BioNTech’s performance.</w:t>
      </w:r>
    </w:p>
    <w:p>
      <w:pPr>
        <w:spacing w:after="0" w:line="126" w:lineRule="exact"/>
        <w:rPr>
          <w:sz w:val="20"/>
          <w:szCs w:val="20"/>
          <w:color w:val="auto"/>
        </w:rPr>
      </w:pPr>
    </w:p>
    <w:p>
      <w:pPr>
        <w:ind w:right="60" w:firstLine="556"/>
        <w:spacing w:after="0" w:line="267" w:lineRule="auto"/>
        <w:rPr>
          <w:sz w:val="20"/>
          <w:szCs w:val="20"/>
          <w:color w:val="auto"/>
        </w:rPr>
      </w:pPr>
      <w:r>
        <w:rPr>
          <w:rFonts w:ascii="Arial" w:cs="Arial" w:eastAsia="Arial" w:hAnsi="Arial"/>
          <w:sz w:val="13"/>
          <w:szCs w:val="13"/>
          <w:color w:val="auto"/>
        </w:rPr>
        <w:t>If the consideration in an agreement includes a variable amount, BioNTech estimates the amount of consideration to which BioNTech will be entitled in exchange for transferring the goods to the customer. At contract inception, the variable consideration is estimated based on the most likely amount of consideration expected from the transaction and constrained until it is highly probable that a significant revenue reversal in the amount of cumulative revenue recognized will not occur when the associated uncertainty with respect the variable consideration is subsequently resolved. The estimated deferred revenue is updated at each reporting date to reflect the current facts and circumstances.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Rendering of Services</w:t>
      </w:r>
    </w:p>
    <w:p>
      <w:pPr>
        <w:spacing w:after="0" w:line="94" w:lineRule="exact"/>
        <w:rPr>
          <w:sz w:val="20"/>
          <w:szCs w:val="20"/>
          <w:color w:val="auto"/>
        </w:rPr>
      </w:pPr>
    </w:p>
    <w:p>
      <w:pPr>
        <w:ind w:right="160" w:firstLine="556"/>
        <w:spacing w:after="0" w:line="267" w:lineRule="auto"/>
        <w:rPr>
          <w:sz w:val="20"/>
          <w:szCs w:val="20"/>
          <w:color w:val="auto"/>
        </w:rPr>
      </w:pPr>
      <w:r>
        <w:rPr>
          <w:rFonts w:ascii="Arial" w:cs="Arial" w:eastAsia="Arial" w:hAnsi="Arial"/>
          <w:sz w:val="13"/>
          <w:szCs w:val="13"/>
          <w:color w:val="auto"/>
        </w:rPr>
        <w:t>BioNTech provides development and manufacturing services to customers and recognizes revenue over time using an input-based method to measure progress toward complete satisfaction of the services because the customer simultaneously receives and consumes the benefits provided by BioNTech. If BioNTech has a right to consideration from a customer in the amount that corresponds directly with the value to the customer of BioNTech’s performance completed to date (for example, service contracts in which BioNTech bills a fixed amount for each hour or day of service provided), BioNTech recognizes revenue in the amount for which BioNTech has a right to invoice the customer.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Sale of Products</w:t>
      </w:r>
    </w:p>
    <w:p>
      <w:pPr>
        <w:spacing w:after="0" w:line="94"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Revenue from the sale of medical products (</w:t>
      </w:r>
      <w:r>
        <w:rPr>
          <w:rFonts w:ascii="Arial" w:cs="Arial" w:eastAsia="Arial" w:hAnsi="Arial"/>
          <w:sz w:val="13"/>
          <w:szCs w:val="13"/>
          <w:i w:val="1"/>
          <w:iCs w:val="1"/>
          <w:color w:val="auto"/>
        </w:rPr>
        <w:t>e.g</w:t>
      </w:r>
      <w:r>
        <w:rPr>
          <w:rFonts w:ascii="Arial" w:cs="Arial" w:eastAsia="Arial" w:hAnsi="Arial"/>
          <w:sz w:val="13"/>
          <w:szCs w:val="13"/>
          <w:color w:val="auto"/>
        </w:rPr>
        <w:t>., peptides and retroviral vectors for clinical supply) is recognized when BioNTech transfers control of the product to the customer. Control of the product normally transfers when the customer gains physical possession and BioNTech has not retained any significant risks of ownership or future obligations with respect to the product. A receivable is recognized, as the consideration is unconditional and only the passage of time is required before payment is due. The transaction price is quoted in the relevant price lists in force at the date of customer placing the respective order for such products. Payments from customers are due within 20 days (Europe) or 30 days (non-Europe) after invoice.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Contract Balances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Contract Assets</w:t>
      </w:r>
    </w:p>
    <w:p>
      <w:pPr>
        <w:spacing w:after="0" w:line="94" w:lineRule="exact"/>
        <w:rPr>
          <w:sz w:val="20"/>
          <w:szCs w:val="20"/>
          <w:color w:val="auto"/>
        </w:rPr>
      </w:pPr>
    </w:p>
    <w:p>
      <w:pPr>
        <w:ind w:right="240" w:firstLine="556"/>
        <w:spacing w:after="0" w:line="287" w:lineRule="auto"/>
        <w:rPr>
          <w:sz w:val="20"/>
          <w:szCs w:val="20"/>
          <w:color w:val="auto"/>
        </w:rPr>
      </w:pPr>
      <w:r>
        <w:rPr>
          <w:rFonts w:ascii="Arial" w:cs="Arial" w:eastAsia="Arial" w:hAnsi="Arial"/>
          <w:sz w:val="13"/>
          <w:szCs w:val="13"/>
          <w:color w:val="auto"/>
        </w:rPr>
        <w:t>A contract asset is the right to consideration in exchange for goods or services transferred to the customer. If BioNTech performs by transferring goods or services to a customer before the customer pays consideration or before payment is due, a contract asset is recognized for the earned consideration that is conditional.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47" w:right="319" w:bottom="1440" w:gutter="0" w:footer="0" w:header="0"/>
        </w:sectPr>
      </w:pPr>
    </w:p>
    <w:bookmarkStart w:id="275" w:name="page276"/>
    <w:bookmarkEnd w:id="275"/>
    <w:p>
      <w:pPr>
        <w:ind w:left="560"/>
        <w:spacing w:after="0"/>
        <w:rPr>
          <w:sz w:val="20"/>
          <w:szCs w:val="20"/>
          <w:color w:val="auto"/>
        </w:rPr>
      </w:pPr>
      <w:r>
        <w:rPr>
          <w:rFonts w:ascii="Arial" w:cs="Arial" w:eastAsia="Arial" w:hAnsi="Arial"/>
          <w:sz w:val="13"/>
          <w:szCs w:val="13"/>
          <w:b w:val="1"/>
          <w:bCs w:val="1"/>
          <w:color w:val="auto"/>
        </w:rPr>
        <w:t>Trade Receivables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receivable represents BioNTech’s right to an amount of consideration that is unconditional (</w:t>
      </w:r>
      <w:r>
        <w:rPr>
          <w:rFonts w:ascii="Arial" w:cs="Arial" w:eastAsia="Arial" w:hAnsi="Arial"/>
          <w:sz w:val="13"/>
          <w:szCs w:val="13"/>
          <w:i w:val="1"/>
          <w:iCs w:val="1"/>
          <w:color w:val="auto"/>
        </w:rPr>
        <w:t>i.e</w:t>
      </w:r>
      <w:r>
        <w:rPr>
          <w:rFonts w:ascii="Arial" w:cs="Arial" w:eastAsia="Arial" w:hAnsi="Arial"/>
          <w:sz w:val="13"/>
          <w:szCs w:val="13"/>
          <w:color w:val="auto"/>
        </w:rPr>
        <w:t>., only the passage of time is required before payment of the consideration is due).</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Contract Liabilities</w:t>
      </w:r>
    </w:p>
    <w:p>
      <w:pPr>
        <w:spacing w:after="0" w:line="94" w:lineRule="exact"/>
        <w:rPr>
          <w:sz w:val="20"/>
          <w:szCs w:val="20"/>
          <w:color w:val="auto"/>
        </w:rPr>
      </w:pPr>
    </w:p>
    <w:p>
      <w:pPr>
        <w:jc w:val="both"/>
        <w:ind w:right="40" w:firstLine="556"/>
        <w:spacing w:after="0" w:line="272" w:lineRule="auto"/>
        <w:rPr>
          <w:sz w:val="20"/>
          <w:szCs w:val="20"/>
          <w:color w:val="auto"/>
        </w:rPr>
      </w:pPr>
      <w:r>
        <w:rPr>
          <w:rFonts w:ascii="Arial" w:cs="Arial" w:eastAsia="Arial" w:hAnsi="Arial"/>
          <w:sz w:val="13"/>
          <w:szCs w:val="13"/>
          <w:color w:val="auto"/>
        </w:rPr>
        <w:t>A contract liability is the obligation to transfer goods or services to a customer for which BioNTech has received consideration (or an amount of consideration is due) from the customer. If a customer pays consideration before BioNTech transfers goods or services to the customer, a contract liability is recognized when the payment is made or when the payment is due (whichever is earlier). Contract liabilities are recognized as revenue when BioNTech performs under the contract.</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2.3.5</w:t>
      </w:r>
      <w:r>
        <w:rPr>
          <w:sz w:val="20"/>
          <w:szCs w:val="20"/>
          <w:color w:val="auto"/>
        </w:rPr>
        <w:tab/>
      </w:r>
      <w:r>
        <w:rPr>
          <w:rFonts w:ascii="Arial" w:cs="Arial" w:eastAsia="Arial" w:hAnsi="Arial"/>
          <w:sz w:val="12"/>
          <w:szCs w:val="12"/>
          <w:b w:val="1"/>
          <w:bCs w:val="1"/>
          <w:color w:val="auto"/>
        </w:rPr>
        <w:t>Government Grants</w:t>
      </w:r>
    </w:p>
    <w:p>
      <w:pPr>
        <w:spacing w:after="0" w:line="94" w:lineRule="exact"/>
        <w:rPr>
          <w:sz w:val="20"/>
          <w:szCs w:val="20"/>
          <w:color w:val="auto"/>
        </w:rPr>
      </w:pPr>
    </w:p>
    <w:p>
      <w:pPr>
        <w:jc w:val="both"/>
        <w:ind w:right="80" w:firstLine="556"/>
        <w:spacing w:after="0" w:line="304" w:lineRule="auto"/>
        <w:rPr>
          <w:sz w:val="20"/>
          <w:szCs w:val="20"/>
          <w:color w:val="auto"/>
        </w:rPr>
      </w:pPr>
      <w:r>
        <w:rPr>
          <w:rFonts w:ascii="Arial" w:cs="Arial" w:eastAsia="Arial" w:hAnsi="Arial"/>
          <w:sz w:val="12"/>
          <w:szCs w:val="12"/>
          <w:color w:val="auto"/>
        </w:rPr>
        <w:t>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the grant is intended to compensate, are expensed. When the grant relates to an asset, it is recognized as deduction in calculating the carrying amount of the asset and thus in the statement of operations over the life of the depreciable asset as a reduced depreciation expense.</w:t>
      </w:r>
    </w:p>
    <w:p>
      <w:pPr>
        <w:spacing w:after="0" w:line="192"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2.3.6</w:t>
      </w:r>
      <w:r>
        <w:rPr>
          <w:sz w:val="20"/>
          <w:szCs w:val="20"/>
          <w:color w:val="auto"/>
        </w:rPr>
        <w:tab/>
      </w:r>
      <w:r>
        <w:rPr>
          <w:rFonts w:ascii="Arial" w:cs="Arial" w:eastAsia="Arial" w:hAnsi="Arial"/>
          <w:sz w:val="11"/>
          <w:szCs w:val="11"/>
          <w:b w:val="1"/>
          <w:bCs w:val="1"/>
          <w:color w:val="auto"/>
        </w:rPr>
        <w:t>Taxes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Current Income Tax</w:t>
      </w:r>
    </w:p>
    <w:p>
      <w:pPr>
        <w:spacing w:after="0" w:line="94"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122" w:lineRule="exact"/>
        <w:rPr>
          <w:sz w:val="20"/>
          <w:szCs w:val="20"/>
          <w:color w:val="auto"/>
        </w:rPr>
      </w:pPr>
    </w:p>
    <w:p>
      <w:pPr>
        <w:ind w:right="480" w:firstLine="556"/>
        <w:spacing w:after="0" w:line="287" w:lineRule="auto"/>
        <w:rPr>
          <w:sz w:val="20"/>
          <w:szCs w:val="20"/>
          <w:color w:val="auto"/>
        </w:rPr>
      </w:pPr>
      <w:r>
        <w:rPr>
          <w:rFonts w:ascii="Arial" w:cs="Arial" w:eastAsia="Arial" w:hAnsi="Arial"/>
          <w:sz w:val="13"/>
          <w:szCs w:val="13"/>
          <w:color w:val="auto"/>
        </w:rPr>
        <w:t>Management periodically evaluates positions taken in the tax returns with respect to situations in which applicable tax regulations are subject to interpretation and establishes provisions where appropriate.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Deferred Tax</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Deferred tax is provided using the liability method on temporary differences between the tax bases of assets and liabilities and their carrying amounts for financial reporting purposes at the reporting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Deferred tax liabilities are recognized for all taxable temporary differences, except:</w:t>
      </w:r>
    </w:p>
    <w:p>
      <w:pPr>
        <w:spacing w:after="0" w:line="80" w:lineRule="exact"/>
        <w:rPr>
          <w:sz w:val="20"/>
          <w:szCs w:val="20"/>
          <w:color w:val="auto"/>
        </w:rPr>
      </w:pPr>
    </w:p>
    <w:p>
      <w:pPr>
        <w:ind w:left="1020" w:right="40" w:hanging="340"/>
        <w:spacing w:after="0" w:line="287" w:lineRule="auto"/>
        <w:tabs>
          <w:tab w:leader="none" w:pos="1020" w:val="left"/>
        </w:tabs>
        <w:numPr>
          <w:ilvl w:val="0"/>
          <w:numId w:val="313"/>
        </w:numPr>
        <w:rPr>
          <w:rFonts w:ascii="Arial" w:cs="Arial" w:eastAsia="Arial" w:hAnsi="Arial"/>
          <w:sz w:val="13"/>
          <w:szCs w:val="13"/>
          <w:color w:val="auto"/>
        </w:rPr>
      </w:pPr>
      <w:r>
        <w:rPr>
          <w:rFonts w:ascii="Arial" w:cs="Arial" w:eastAsia="Arial" w:hAnsi="Arial"/>
          <w:sz w:val="13"/>
          <w:szCs w:val="13"/>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or</w:t>
      </w:r>
    </w:p>
    <w:p>
      <w:pPr>
        <w:spacing w:after="0" w:line="32" w:lineRule="exact"/>
        <w:rPr>
          <w:rFonts w:ascii="Arial" w:cs="Arial" w:eastAsia="Arial" w:hAnsi="Arial"/>
          <w:sz w:val="13"/>
          <w:szCs w:val="13"/>
          <w:color w:val="auto"/>
        </w:rPr>
      </w:pPr>
    </w:p>
    <w:p>
      <w:pPr>
        <w:ind w:left="1020" w:right="500" w:hanging="340"/>
        <w:spacing w:after="0" w:line="287" w:lineRule="auto"/>
        <w:tabs>
          <w:tab w:leader="none" w:pos="1020" w:val="left"/>
        </w:tabs>
        <w:numPr>
          <w:ilvl w:val="0"/>
          <w:numId w:val="313"/>
        </w:numPr>
        <w:rPr>
          <w:rFonts w:ascii="Arial" w:cs="Arial" w:eastAsia="Arial" w:hAnsi="Arial"/>
          <w:sz w:val="13"/>
          <w:szCs w:val="13"/>
          <w:color w:val="auto"/>
        </w:rPr>
      </w:pPr>
      <w:r>
        <w:rPr>
          <w:rFonts w:ascii="Arial" w:cs="Arial" w:eastAsia="Arial" w:hAnsi="Arial"/>
          <w:sz w:val="13"/>
          <w:szCs w:val="13"/>
          <w:color w:val="auto"/>
        </w:rPr>
        <w:t>in respect of taxable temporary differences associated with investments in subsidiaries, associates and interests in joint arrangements, when the timing of the reversal of the temporary differences can be controlled and it is probable that the temporary differences will not reverse in the foreseeable future.</w:t>
      </w:r>
    </w:p>
    <w:p>
      <w:pPr>
        <w:spacing w:after="0" w:line="122" w:lineRule="exact"/>
        <w:rPr>
          <w:sz w:val="20"/>
          <w:szCs w:val="20"/>
          <w:color w:val="auto"/>
        </w:rPr>
      </w:pPr>
    </w:p>
    <w:p>
      <w:pPr>
        <w:ind w:right="120" w:firstLine="556"/>
        <w:spacing w:after="0" w:line="331" w:lineRule="auto"/>
        <w:rPr>
          <w:sz w:val="20"/>
          <w:szCs w:val="20"/>
          <w:color w:val="auto"/>
        </w:rPr>
      </w:pPr>
      <w:r>
        <w:rPr>
          <w:rFonts w:ascii="Arial" w:cs="Arial" w:eastAsia="Arial" w:hAnsi="Arial"/>
          <w:sz w:val="12"/>
          <w:szCs w:val="12"/>
          <w:color w:val="auto"/>
        </w:rPr>
        <w:t>Deferred tax assets are recognized for all deductible temporary differences, the carry forward of unused tax credits and any unused tax losses. Deferred tax assets are recognized to the extent that it is probable that taxable profit will be available against which the deductible temporary differences, the carry forward of unused tax credits and unused tax losses can be utilized, except:</w:t>
      </w:r>
    </w:p>
    <w:p>
      <w:pPr>
        <w:spacing w:after="0" w:line="9" w:lineRule="exact"/>
        <w:rPr>
          <w:sz w:val="20"/>
          <w:szCs w:val="20"/>
          <w:color w:val="auto"/>
        </w:rPr>
      </w:pPr>
    </w:p>
    <w:p>
      <w:pPr>
        <w:ind w:left="1020" w:hanging="340"/>
        <w:spacing w:after="0" w:line="287" w:lineRule="auto"/>
        <w:tabs>
          <w:tab w:leader="none" w:pos="10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32" w:lineRule="exact"/>
        <w:rPr>
          <w:rFonts w:ascii="Arial" w:cs="Arial" w:eastAsia="Arial" w:hAnsi="Arial"/>
          <w:sz w:val="13"/>
          <w:szCs w:val="13"/>
          <w:color w:val="auto"/>
        </w:rPr>
      </w:pPr>
    </w:p>
    <w:p>
      <w:pPr>
        <w:ind w:left="1020" w:right="160" w:hanging="340"/>
        <w:spacing w:after="0" w:line="331" w:lineRule="auto"/>
        <w:tabs>
          <w:tab w:leader="none" w:pos="1020" w:val="left"/>
        </w:tabs>
        <w:numPr>
          <w:ilvl w:val="0"/>
          <w:numId w:val="314"/>
        </w:numPr>
        <w:rPr>
          <w:rFonts w:ascii="Arial" w:cs="Arial" w:eastAsia="Arial" w:hAnsi="Arial"/>
          <w:sz w:val="12"/>
          <w:szCs w:val="12"/>
          <w:color w:val="auto"/>
        </w:rPr>
      </w:pPr>
      <w:r>
        <w:rPr>
          <w:rFonts w:ascii="Arial" w:cs="Arial" w:eastAsia="Arial" w:hAnsi="Arial"/>
          <w:sz w:val="12"/>
          <w:szCs w:val="12"/>
          <w:color w:val="auto"/>
        </w:rPr>
        <w:t>in respect of deductible temporary differences associated with investments in subsidiaries, associates and interests in joint arrangements, deferred tax assets are recognized only to the extent that it is probable that the temporary differences will reverse in the foreseeable future and taxable profit will be available against which the temporary differences can be utilized.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527" w:right="359" w:bottom="1440" w:gutter="0" w:footer="0" w:header="0"/>
        </w:sectPr>
      </w:pPr>
    </w:p>
    <w:bookmarkStart w:id="276" w:name="page277"/>
    <w:bookmarkEnd w:id="276"/>
    <w:p>
      <w:pPr>
        <w:ind w:right="200" w:firstLine="556"/>
        <w:spacing w:after="0" w:line="287" w:lineRule="auto"/>
        <w:rPr>
          <w:sz w:val="20"/>
          <w:szCs w:val="20"/>
          <w:color w:val="auto"/>
        </w:rPr>
      </w:pPr>
      <w:r>
        <w:rPr>
          <w:rFonts w:ascii="Arial" w:cs="Arial" w:eastAsia="Arial" w:hAnsi="Arial"/>
          <w:sz w:val="13"/>
          <w:szCs w:val="13"/>
          <w:color w:val="auto"/>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Recognition of Taxes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Current and deferred tax items are recognized similar to the underlying transaction either in profit or loss, other comprehensive income or directly in equity.</w:t>
      </w:r>
    </w:p>
    <w:p>
      <w:pPr>
        <w:spacing w:after="0" w:line="170"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The Group offsets current tax assets and current tax liabilities if, and only if, it has a legally enforceable right to set off the recognized amounts and intends either to settle on a net basis, or to realize the asset and settle the liability simultaneously. Deferred tax assets and deferred tax liabilities are only offset when the Group has a legally enforceable right to set off current tax assets and current tax liabilities and the deferred tax assets and deferred tax liabilities relate to income taxes levied by the same taxation authority on either (i) the same taxable entity or (ii)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Sales Tax</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Expenses and assets are recognized net of sales tax, except when the sales tax incurred on a purchase of assets or services is not recoverable from the taxation authority.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net amount of sales tax recoverable from, or payable to, the taxation authority is included as part of receivables or payables in the statement of financial position.</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2.3.7</w:t>
      </w:r>
      <w:r>
        <w:rPr>
          <w:sz w:val="20"/>
          <w:szCs w:val="20"/>
          <w:color w:val="auto"/>
        </w:rPr>
        <w:tab/>
      </w:r>
      <w:r>
        <w:rPr>
          <w:rFonts w:ascii="Arial" w:cs="Arial" w:eastAsia="Arial" w:hAnsi="Arial"/>
          <w:sz w:val="12"/>
          <w:szCs w:val="12"/>
          <w:b w:val="1"/>
          <w:bCs w:val="1"/>
          <w:color w:val="auto"/>
        </w:rPr>
        <w:t>Foreign Currencies</w:t>
      </w:r>
    </w:p>
    <w:p>
      <w:pPr>
        <w:spacing w:after="0" w:line="94"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auto"/>
        </w:rPr>
        <w:t>The Group’s consolidated financial statements are presented in Euros, which is also the parent company’s functional currency. For each entity, the Group determines the functional currency, and items included in the financial statements of such entity are measured using that functional currency. The Group uses the direct method of consolidation and on disposal of a foreign operation, the gain or loss that is reclassified to the statement of operations reflects the amount that arises from using this method.</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Transactions and Balances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Transactions in foreign currencies are initially recorded by the Group’s entities at their respective functional currency spot rates at the date the transaction first qualifies for recognition.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Monetary assets and liabilities denominated in foreign currencies are translated at the functional currency spot rates of exchange at the reporting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Non-monetary items that are measured in terms of historical cost in a foreign currency are translated using the exchange rates at the dates of the initial transactions.</w:t>
      </w:r>
    </w:p>
    <w:p>
      <w:pPr>
        <w:spacing w:after="0" w:line="170"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3"/>
          <w:szCs w:val="13"/>
          <w:color w:val="auto"/>
        </w:rPr>
        <w:t>In determining the spot exchange rate to use on initial recognition of the related asset, expense or income (or part of it) on the derecognition of a non-monetary asset or non-monetary liability relating to advance consideration, the date of the transaction is the date on which the Group initially recognizes the non-monetary asset or non-monetary liability arising from the advance consideration. If there are multiple payments or receipts in advance, the Group determines the transaction date for each payment or receipt of advance consideration.</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Foreign Currency Translation</w:t>
      </w:r>
    </w:p>
    <w:p>
      <w:pPr>
        <w:spacing w:after="0" w:line="94" w:lineRule="exact"/>
        <w:rPr>
          <w:sz w:val="20"/>
          <w:szCs w:val="20"/>
          <w:color w:val="auto"/>
        </w:rPr>
      </w:pPr>
    </w:p>
    <w:p>
      <w:pPr>
        <w:ind w:right="380" w:firstLine="556"/>
        <w:spacing w:after="0" w:line="287" w:lineRule="auto"/>
        <w:rPr>
          <w:sz w:val="20"/>
          <w:szCs w:val="20"/>
          <w:color w:val="auto"/>
        </w:rPr>
      </w:pPr>
      <w:r>
        <w:rPr>
          <w:rFonts w:ascii="Arial" w:cs="Arial" w:eastAsia="Arial" w:hAnsi="Arial"/>
          <w:sz w:val="13"/>
          <w:szCs w:val="13"/>
          <w:color w:val="auto"/>
        </w:rPr>
        <w:t>On consolidation, the assets and liabilities of foreign operations are translated into Euros at the rate of exchange prevailing at the reporting date and their statements of operations are translated at exchange rates prevailing at the dates of the transactions.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sectPr>
      </w:pPr>
    </w:p>
    <w:bookmarkStart w:id="277" w:name="page278"/>
    <w:bookmarkEnd w:id="277"/>
    <w:p>
      <w:pPr>
        <w:ind w:right="240" w:firstLine="556"/>
        <w:spacing w:after="0" w:line="287" w:lineRule="auto"/>
        <w:rPr>
          <w:sz w:val="20"/>
          <w:szCs w:val="20"/>
          <w:color w:val="auto"/>
        </w:rPr>
      </w:pPr>
      <w:r>
        <w:rPr>
          <w:rFonts w:ascii="Arial" w:cs="Arial" w:eastAsia="Arial" w:hAnsi="Arial"/>
          <w:sz w:val="13"/>
          <w:szCs w:val="13"/>
          <w:color w:val="auto"/>
        </w:rPr>
        <w:t>The exchange differences arising on translation for consolidation are recognized in other comprehensive income. On disposal of a foreign operation, the component of other comprehensive income relating to that particular foreign operation is reclassified to profit or loss.</w:t>
      </w:r>
    </w:p>
    <w:p>
      <w:pPr>
        <w:spacing w:after="0" w:line="122" w:lineRule="exact"/>
        <w:rPr>
          <w:sz w:val="20"/>
          <w:szCs w:val="20"/>
          <w:color w:val="auto"/>
        </w:rPr>
      </w:pPr>
    </w:p>
    <w:p>
      <w:pPr>
        <w:ind w:right="360" w:firstLine="556"/>
        <w:spacing w:after="0" w:line="287" w:lineRule="auto"/>
        <w:rPr>
          <w:sz w:val="20"/>
          <w:szCs w:val="20"/>
          <w:color w:val="auto"/>
        </w:rPr>
      </w:pPr>
      <w:r>
        <w:rPr>
          <w:rFonts w:ascii="Arial" w:cs="Arial" w:eastAsia="Arial" w:hAnsi="Arial"/>
          <w:sz w:val="13"/>
          <w:szCs w:val="13"/>
          <w:color w:val="auto"/>
        </w:rPr>
        <w:t>Any goodwill arising on the acquisition of a foreign operation and any fair value adjustments to the carrying amounts of assets and liabilities arising upon the acquisition are treated as assets and liabilities of the foreign operation and translated at the spot rate of exchange at the reporting date.</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2.3.8</w:t>
      </w:r>
      <w:r>
        <w:rPr>
          <w:sz w:val="20"/>
          <w:szCs w:val="20"/>
          <w:color w:val="auto"/>
        </w:rPr>
        <w:tab/>
      </w:r>
      <w:r>
        <w:rPr>
          <w:rFonts w:ascii="Arial" w:cs="Arial" w:eastAsia="Arial" w:hAnsi="Arial"/>
          <w:sz w:val="12"/>
          <w:szCs w:val="12"/>
          <w:b w:val="1"/>
          <w:bCs w:val="1"/>
          <w:color w:val="auto"/>
        </w:rPr>
        <w:t>Property, Plant and Equipment</w:t>
      </w:r>
    </w:p>
    <w:p>
      <w:pPr>
        <w:spacing w:after="0" w:line="94" w:lineRule="exact"/>
        <w:rPr>
          <w:sz w:val="20"/>
          <w:szCs w:val="20"/>
          <w:color w:val="auto"/>
        </w:rPr>
      </w:pPr>
    </w:p>
    <w:p>
      <w:pPr>
        <w:ind w:right="140" w:firstLine="556"/>
        <w:spacing w:after="0" w:line="331" w:lineRule="auto"/>
        <w:rPr>
          <w:sz w:val="20"/>
          <w:szCs w:val="20"/>
          <w:color w:val="auto"/>
        </w:rPr>
      </w:pPr>
      <w:r>
        <w:rPr>
          <w:rFonts w:ascii="Arial" w:cs="Arial" w:eastAsia="Arial" w:hAnsi="Arial"/>
          <w:sz w:val="12"/>
          <w:szCs w:val="12"/>
          <w:color w:val="auto"/>
        </w:rPr>
        <w:t>Construction in progress is stated at cost, net of accumulated impairment losses, if any. Property, plant and equipment are stated at cost, net of accumulated depreciation and accumulated impairment losses, if any. Such cost includes the cost of replacing part of the property, plant and equipment if the recognition criteria are met. All other repair and maintenance costs are expensed as incurred.</w:t>
      </w:r>
    </w:p>
    <w:p>
      <w:pPr>
        <w:sectPr>
          <w:pgSz w:w="11900" w:h="16838" w:orient="portrait"/>
          <w:cols w:equalWidth="0" w:num="1">
            <w:col w:w="11240"/>
          </w:cols>
          <w:pgMar w:left="300" w:top="451" w:right="359" w:bottom="1440" w:gutter="0" w:footer="0" w:header="0"/>
        </w:sectPr>
      </w:pPr>
    </w:p>
    <w:p>
      <w:pPr>
        <w:spacing w:after="0" w:line="99"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Depreciation is calculated on a straight-line basis over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67880" cy="4381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7167880" cy="43815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plant and equipment</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Buildings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Equipment, tools and installations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840"/>
        <w:spacing w:after="0"/>
        <w:rPr>
          <w:sz w:val="20"/>
          <w:szCs w:val="20"/>
          <w:color w:val="auto"/>
        </w:rPr>
      </w:pPr>
      <w:r>
        <w:rPr>
          <w:rFonts w:ascii="Arial" w:cs="Arial" w:eastAsia="Arial" w:hAnsi="Arial"/>
          <w:sz w:val="12"/>
          <w:szCs w:val="12"/>
          <w:b w:val="1"/>
          <w:bCs w:val="1"/>
          <w:color w:val="auto"/>
        </w:rPr>
        <w:t>Useful life</w:t>
      </w:r>
    </w:p>
    <w:p>
      <w:pPr>
        <w:spacing w:after="0" w:line="35" w:lineRule="exact"/>
        <w:rPr>
          <w:sz w:val="20"/>
          <w:szCs w:val="20"/>
          <w:color w:val="auto"/>
        </w:rPr>
      </w:pPr>
    </w:p>
    <w:p>
      <w:pPr>
        <w:jc w:val="center"/>
        <w:ind w:right="860"/>
        <w:spacing w:after="0"/>
        <w:rPr>
          <w:sz w:val="20"/>
          <w:szCs w:val="20"/>
          <w:color w:val="auto"/>
        </w:rPr>
      </w:pPr>
      <w:r>
        <w:rPr>
          <w:rFonts w:ascii="Arial" w:cs="Arial" w:eastAsia="Arial" w:hAnsi="Arial"/>
          <w:sz w:val="13"/>
          <w:szCs w:val="13"/>
          <w:b w:val="1"/>
          <w:bCs w:val="1"/>
          <w:color w:val="auto"/>
        </w:rPr>
        <w:t>(Years)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7-33</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3-15</w:t>
      </w:r>
    </w:p>
    <w:p>
      <w:pPr>
        <w:spacing w:after="0" w:line="200" w:lineRule="exact"/>
        <w:rPr>
          <w:sz w:val="20"/>
          <w:szCs w:val="20"/>
          <w:color w:val="auto"/>
        </w:rPr>
      </w:pPr>
    </w:p>
    <w:p>
      <w:pPr>
        <w:sectPr>
          <w:pgSz w:w="11900" w:h="16838" w:orient="portrait"/>
          <w:cols w:equalWidth="0" w:num="2">
            <w:col w:w="9100" w:space="720"/>
            <w:col w:w="1420"/>
          </w:cols>
          <w:pgMar w:left="300" w:top="451" w:right="359" w:bottom="1440" w:gutter="0" w:footer="0" w:header="0"/>
          <w:type w:val="continuous"/>
        </w:sectPr>
      </w:pPr>
    </w:p>
    <w:p>
      <w:pPr>
        <w:spacing w:after="0" w:line="10"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An item of property, plant and equipment initially recognized is derecognized upon disposal (</w:t>
      </w:r>
      <w:r>
        <w:rPr>
          <w:rFonts w:ascii="Arial" w:cs="Arial" w:eastAsia="Arial" w:hAnsi="Arial"/>
          <w:sz w:val="13"/>
          <w:szCs w:val="13"/>
          <w:i w:val="1"/>
          <w:iCs w:val="1"/>
          <w:color w:val="auto"/>
        </w:rPr>
        <w:t>i.e</w:t>
      </w:r>
      <w:r>
        <w:rPr>
          <w:rFonts w:ascii="Arial" w:cs="Arial" w:eastAsia="Arial" w:hAnsi="Arial"/>
          <w:sz w:val="13"/>
          <w:szCs w:val="13"/>
          <w:color w:val="auto"/>
        </w:rPr>
        <w:t>.,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statement of operations when the asset is derecognized.</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residual values, useful lives and methods of depreciation of property, plant and equipment are reviewed at each financial year end and adjusted prospectively, if appropriate.</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2.3.9</w:t>
      </w:r>
      <w:r>
        <w:rPr>
          <w:sz w:val="20"/>
          <w:szCs w:val="20"/>
          <w:color w:val="auto"/>
        </w:rPr>
        <w:tab/>
      </w:r>
      <w:r>
        <w:rPr>
          <w:rFonts w:ascii="Arial" w:cs="Arial" w:eastAsia="Arial" w:hAnsi="Arial"/>
          <w:sz w:val="11"/>
          <w:szCs w:val="11"/>
          <w:b w:val="1"/>
          <w:bCs w:val="1"/>
          <w:color w:val="auto"/>
        </w:rPr>
        <w:t>Leases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 early adopted IFRS 16 Leases for annual periods beginning on January 1, 2017.</w:t>
      </w:r>
    </w:p>
    <w:p>
      <w:pPr>
        <w:spacing w:after="0" w:line="170"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At the inception of a contract, the Group assesses whether the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Group assesses whether:</w:t>
      </w:r>
    </w:p>
    <w:p>
      <w:pPr>
        <w:spacing w:after="0" w:line="32" w:lineRule="exact"/>
        <w:rPr>
          <w:sz w:val="20"/>
          <w:szCs w:val="20"/>
          <w:color w:val="auto"/>
        </w:rPr>
      </w:pPr>
    </w:p>
    <w:p>
      <w:pPr>
        <w:ind w:left="1020" w:right="120" w:hanging="340"/>
        <w:spacing w:after="0" w:line="287" w:lineRule="auto"/>
        <w:tabs>
          <w:tab w:leader="none" w:pos="1020" w:val="left"/>
        </w:tabs>
        <w:numPr>
          <w:ilvl w:val="0"/>
          <w:numId w:val="315"/>
        </w:numPr>
        <w:rPr>
          <w:rFonts w:ascii="Arial" w:cs="Arial" w:eastAsia="Arial" w:hAnsi="Arial"/>
          <w:sz w:val="13"/>
          <w:szCs w:val="13"/>
          <w:color w:val="auto"/>
        </w:rPr>
      </w:pPr>
      <w:r>
        <w:rPr>
          <w:rFonts w:ascii="Arial" w:cs="Arial" w:eastAsia="Arial" w:hAnsi="Arial"/>
          <w:sz w:val="13"/>
          <w:szCs w:val="13"/>
          <w:color w:val="auto"/>
        </w:rPr>
        <w:t>the contract involves the use of an identified asset—this may be specified explicitly or implicitly and should be physically distinct or represent substantially all of the capacity of a physically distinct asset. If the supplier has a substantive substitution right, then the asset is not identified;</w:t>
      </w:r>
    </w:p>
    <w:p>
      <w:pPr>
        <w:spacing w:after="0" w:line="32" w:lineRule="exact"/>
        <w:rPr>
          <w:rFonts w:ascii="Arial" w:cs="Arial" w:eastAsia="Arial" w:hAnsi="Arial"/>
          <w:sz w:val="13"/>
          <w:szCs w:val="13"/>
          <w:color w:val="auto"/>
        </w:rPr>
      </w:pPr>
    </w:p>
    <w:p>
      <w:pPr>
        <w:ind w:left="1020" w:hanging="340"/>
        <w:spacing w:after="0"/>
        <w:tabs>
          <w:tab w:leader="none" w:pos="1020" w:val="left"/>
        </w:tabs>
        <w:numPr>
          <w:ilvl w:val="0"/>
          <w:numId w:val="315"/>
        </w:numPr>
        <w:rPr>
          <w:rFonts w:ascii="Arial" w:cs="Arial" w:eastAsia="Arial" w:hAnsi="Arial"/>
          <w:sz w:val="13"/>
          <w:szCs w:val="13"/>
          <w:color w:val="auto"/>
        </w:rPr>
      </w:pPr>
      <w:r>
        <w:rPr>
          <w:rFonts w:ascii="Arial" w:cs="Arial" w:eastAsia="Arial" w:hAnsi="Arial"/>
          <w:sz w:val="13"/>
          <w:szCs w:val="13"/>
          <w:color w:val="auto"/>
        </w:rPr>
        <w:t>the Group has the right to obtain substantially all of the economic benefits from use of the asset throughout the period of use; and</w:t>
      </w:r>
    </w:p>
    <w:p>
      <w:pPr>
        <w:spacing w:after="0" w:line="80" w:lineRule="exact"/>
        <w:rPr>
          <w:rFonts w:ascii="Arial" w:cs="Arial" w:eastAsia="Arial" w:hAnsi="Arial"/>
          <w:sz w:val="13"/>
          <w:szCs w:val="13"/>
          <w:color w:val="auto"/>
        </w:rPr>
      </w:pPr>
    </w:p>
    <w:p>
      <w:pPr>
        <w:ind w:left="1020" w:right="140" w:hanging="340"/>
        <w:spacing w:after="0" w:line="331" w:lineRule="auto"/>
        <w:tabs>
          <w:tab w:leader="none" w:pos="1020" w:val="left"/>
        </w:tabs>
        <w:numPr>
          <w:ilvl w:val="0"/>
          <w:numId w:val="315"/>
        </w:numPr>
        <w:rPr>
          <w:rFonts w:ascii="Arial" w:cs="Arial" w:eastAsia="Arial" w:hAnsi="Arial"/>
          <w:sz w:val="12"/>
          <w:szCs w:val="12"/>
          <w:color w:val="auto"/>
        </w:rPr>
      </w:pPr>
      <w:r>
        <w:rPr>
          <w:rFonts w:ascii="Arial" w:cs="Arial" w:eastAsia="Arial" w:hAnsi="Arial"/>
          <w:sz w:val="12"/>
          <w:szCs w:val="12"/>
          <w:color w:val="auto"/>
        </w:rPr>
        <w:t>the Group has the right to direct the use of the asset. The Group has this right when it has the decision-making rights that are most relevant to changing how and for what purpose the asset is used. In rare cases where the decision about how and for what purpose the asset is used is predetermined, the Group has the right to direct the use of the asset if either:</w:t>
      </w:r>
    </w:p>
    <w:p>
      <w:pPr>
        <w:spacing w:after="0" w:line="9" w:lineRule="exact"/>
        <w:rPr>
          <w:rFonts w:ascii="Arial" w:cs="Arial" w:eastAsia="Arial" w:hAnsi="Arial"/>
          <w:sz w:val="12"/>
          <w:szCs w:val="12"/>
          <w:color w:val="auto"/>
        </w:rPr>
      </w:pPr>
    </w:p>
    <w:p>
      <w:pPr>
        <w:ind w:left="1360" w:hanging="330"/>
        <w:spacing w:after="0"/>
        <w:tabs>
          <w:tab w:leader="none" w:pos="1360" w:val="left"/>
        </w:tabs>
        <w:numPr>
          <w:ilvl w:val="1"/>
          <w:numId w:val="315"/>
        </w:numPr>
        <w:rPr>
          <w:rFonts w:ascii="Arial" w:cs="Arial" w:eastAsia="Arial" w:hAnsi="Arial"/>
          <w:sz w:val="13"/>
          <w:szCs w:val="13"/>
          <w:color w:val="auto"/>
        </w:rPr>
      </w:pPr>
      <w:r>
        <w:rPr>
          <w:rFonts w:ascii="Arial" w:cs="Arial" w:eastAsia="Arial" w:hAnsi="Arial"/>
          <w:sz w:val="13"/>
          <w:szCs w:val="13"/>
          <w:color w:val="auto"/>
        </w:rPr>
        <w:t>the Group has the right to operate the asset; or</w:t>
      </w:r>
    </w:p>
    <w:p>
      <w:pPr>
        <w:spacing w:after="0" w:line="80" w:lineRule="exact"/>
        <w:rPr>
          <w:rFonts w:ascii="Arial" w:cs="Arial" w:eastAsia="Arial" w:hAnsi="Arial"/>
          <w:sz w:val="13"/>
          <w:szCs w:val="13"/>
          <w:color w:val="auto"/>
        </w:rPr>
      </w:pPr>
    </w:p>
    <w:p>
      <w:pPr>
        <w:ind w:left="1360" w:hanging="330"/>
        <w:spacing w:after="0"/>
        <w:tabs>
          <w:tab w:leader="none" w:pos="1360" w:val="left"/>
        </w:tabs>
        <w:numPr>
          <w:ilvl w:val="1"/>
          <w:numId w:val="315"/>
        </w:numPr>
        <w:rPr>
          <w:rFonts w:ascii="Arial" w:cs="Arial" w:eastAsia="Arial" w:hAnsi="Arial"/>
          <w:sz w:val="13"/>
          <w:szCs w:val="13"/>
          <w:color w:val="auto"/>
        </w:rPr>
      </w:pPr>
      <w:r>
        <w:rPr>
          <w:rFonts w:ascii="Arial" w:cs="Arial" w:eastAsia="Arial" w:hAnsi="Arial"/>
          <w:sz w:val="13"/>
          <w:szCs w:val="13"/>
          <w:color w:val="auto"/>
        </w:rPr>
        <w:t>the Group designed the asset in a way that predetermines how and for what purpose it will be used.</w:t>
      </w:r>
    </w:p>
    <w:p>
      <w:pPr>
        <w:spacing w:after="0" w:line="170"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auto"/>
        </w:rPr>
        <w:t>At inception or on reassessment of a contract that contains a lease component, the Group allocates the consideration in the contract to each lease component on the basis of their relative stand-alone prices. However, for the leases of land and buildings in which it is a lessee, the Group has elected not to separate non-lease components, and instead accounts for the lease and non-lease components as a single lease component.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451" w:right="359" w:bottom="1440" w:gutter="0" w:footer="0" w:header="0"/>
          <w:type w:val="continuous"/>
        </w:sectPr>
      </w:pPr>
    </w:p>
    <w:bookmarkStart w:id="278" w:name="page279"/>
    <w:bookmarkEnd w:id="278"/>
    <w:p>
      <w:pPr>
        <w:ind w:firstLine="556"/>
        <w:spacing w:after="0" w:line="272" w:lineRule="auto"/>
        <w:rPr>
          <w:sz w:val="20"/>
          <w:szCs w:val="20"/>
          <w:color w:val="auto"/>
        </w:rPr>
      </w:pPr>
      <w:r>
        <w:rPr>
          <w:rFonts w:ascii="Arial" w:cs="Arial" w:eastAsia="Arial" w:hAnsi="Arial"/>
          <w:sz w:val="13"/>
          <w:szCs w:val="13"/>
          <w:color w:val="auto"/>
        </w:rPr>
        <w:t>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the costs to dismantle and remove the underlying asset or to restore the underlying asset or the site on which it is located, less any lease incentives received by the Group.</w:t>
      </w:r>
    </w:p>
    <w:p>
      <w:pPr>
        <w:spacing w:after="0" w:line="132"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3"/>
          <w:szCs w:val="13"/>
          <w:color w:val="auto"/>
        </w:rPr>
        <w:t>The right-of-use asset is subsequently depreciated using the straight-line method from the commencement date to the earlier of the end of the useful life of the right-of-use asset and the end of the lease term. The estimated useful lives of right-of-use assets are determined on the same basis as those of property and equipment. In addition, the right-of-use asset is periodically reduced by impairment losses, if any, and adjusted for certain remeasurements of the lease liability.</w:t>
      </w:r>
    </w:p>
    <w:p>
      <w:pPr>
        <w:spacing w:after="0" w:line="132"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auto"/>
        </w:rPr>
        <w:t>The lease liability is initially measured at the present value of the lease payments that are not paid at the commencement date, discounted using the incremental borrowing interest rate implicit in the lease or, if that rate cannot be readily determined, the Group’s incremental borrowing rate. Generally, the Group uses its incremental borrowing rate as the discount rate.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Lease payments included in the measurement of the lease liability comprise the following:</w:t>
      </w:r>
    </w:p>
    <w:p>
      <w:pPr>
        <w:spacing w:after="0" w:line="80" w:lineRule="exact"/>
        <w:rPr>
          <w:sz w:val="20"/>
          <w:szCs w:val="20"/>
          <w:color w:val="auto"/>
        </w:rPr>
      </w:pPr>
    </w:p>
    <w:p>
      <w:pPr>
        <w:ind w:left="1020" w:hanging="340"/>
        <w:spacing w:after="0"/>
        <w:tabs>
          <w:tab w:leader="none" w:pos="102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fixed payments, including in-substance fixed payments;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variable lease payments that depend on an index or a rate, initially measured using the index or rate as of the commencement date;</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amounts expected to be payable under a residual value guarantee; and</w:t>
      </w:r>
    </w:p>
    <w:p>
      <w:pPr>
        <w:spacing w:after="0" w:line="80" w:lineRule="exact"/>
        <w:rPr>
          <w:rFonts w:ascii="Arial" w:cs="Arial" w:eastAsia="Arial" w:hAnsi="Arial"/>
          <w:sz w:val="13"/>
          <w:szCs w:val="13"/>
          <w:color w:val="auto"/>
        </w:rPr>
      </w:pPr>
    </w:p>
    <w:p>
      <w:pPr>
        <w:ind w:left="1020" w:right="380" w:hanging="340"/>
        <w:spacing w:after="0" w:line="287" w:lineRule="auto"/>
        <w:tabs>
          <w:tab w:leader="none" w:pos="102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exercise price under a purchase option that the Group is reasonably certain to exercise, lease payments in an optional renewal period if the Group is reasonably certain to exercise an extension option, and penalties for early termination of a lease unless the Group is reasonably certain not to terminate early.</w:t>
      </w:r>
    </w:p>
    <w:p>
      <w:pPr>
        <w:spacing w:after="0" w:line="122" w:lineRule="exact"/>
        <w:rPr>
          <w:sz w:val="20"/>
          <w:szCs w:val="20"/>
          <w:color w:val="auto"/>
        </w:rPr>
      </w:pPr>
    </w:p>
    <w:p>
      <w:pPr>
        <w:jc w:val="both"/>
        <w:ind w:right="40" w:firstLine="556"/>
        <w:spacing w:after="0" w:line="267" w:lineRule="auto"/>
        <w:rPr>
          <w:sz w:val="20"/>
          <w:szCs w:val="20"/>
          <w:color w:val="auto"/>
        </w:rPr>
      </w:pPr>
      <w:r>
        <w:rPr>
          <w:rFonts w:ascii="Arial" w:cs="Arial" w:eastAsia="Arial" w:hAnsi="Arial"/>
          <w:sz w:val="13"/>
          <w:szCs w:val="13"/>
          <w:color w:val="auto"/>
        </w:rPr>
        <w:t>The lease liability is subsequently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a corresponding adjustment is made to the carrying amount of the right-of-use asset or is recorded in the statement of operations if the carrying amount of the right-of-use asset has been reduced to zero.</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 presents right-of-use assets separately and lease liabilities in ‘financial liabilities’ in the statement of financial position.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Depreciation is calculated on a straight-line basis over the estimated useful lives of the assets or shorter lease term, as follows:</w:t>
      </w:r>
    </w:p>
    <w:p>
      <w:pPr>
        <w:sectPr>
          <w:pgSz w:w="11900" w:h="16838" w:orient="portrait"/>
          <w:cols w:equalWidth="0" w:num="1">
            <w:col w:w="11240"/>
          </w:cols>
          <w:pgMar w:left="300" w:top="451" w:right="35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67880" cy="514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7167880" cy="51435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Buildings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Equipment, tools and installations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Automobiles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840"/>
        <w:spacing w:after="0"/>
        <w:rPr>
          <w:sz w:val="20"/>
          <w:szCs w:val="20"/>
          <w:color w:val="auto"/>
        </w:rPr>
      </w:pPr>
      <w:r>
        <w:rPr>
          <w:rFonts w:ascii="Arial" w:cs="Arial" w:eastAsia="Arial" w:hAnsi="Arial"/>
          <w:sz w:val="12"/>
          <w:szCs w:val="12"/>
          <w:b w:val="1"/>
          <w:bCs w:val="1"/>
          <w:color w:val="auto"/>
        </w:rPr>
        <w:t>Useful life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(Years)</w:t>
      </w:r>
    </w:p>
    <w:p>
      <w:pPr>
        <w:ind w:left="160"/>
        <w:spacing w:after="0"/>
        <w:rPr>
          <w:sz w:val="20"/>
          <w:szCs w:val="20"/>
          <w:color w:val="auto"/>
        </w:rPr>
      </w:pPr>
      <w:r>
        <w:rPr>
          <w:rFonts w:ascii="Arial" w:cs="Arial" w:eastAsia="Arial" w:hAnsi="Arial"/>
          <w:sz w:val="13"/>
          <w:szCs w:val="13"/>
          <w:color w:val="auto"/>
        </w:rPr>
        <w:t>2-25</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3-4</w:t>
      </w:r>
    </w:p>
    <w:p>
      <w:pPr>
        <w:spacing w:after="0" w:line="200" w:lineRule="exact"/>
        <w:rPr>
          <w:sz w:val="20"/>
          <w:szCs w:val="20"/>
          <w:color w:val="auto"/>
        </w:rPr>
      </w:pPr>
    </w:p>
    <w:p>
      <w:pPr>
        <w:sectPr>
          <w:pgSz w:w="11900" w:h="16838" w:orient="portrait"/>
          <w:cols w:equalWidth="0" w:num="2">
            <w:col w:w="9100" w:space="720"/>
            <w:col w:w="1420"/>
          </w:cols>
          <w:pgMar w:left="300" w:top="451" w:right="359" w:bottom="1440" w:gutter="0" w:footer="0" w:header="0"/>
          <w:type w:val="continuous"/>
        </w:sectPr>
      </w:pPr>
    </w:p>
    <w:p>
      <w:pPr>
        <w:spacing w:after="0" w:line="8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Short-Term Leases and Leases of Low-Value Assets</w:t>
      </w:r>
    </w:p>
    <w:p>
      <w:pPr>
        <w:spacing w:after="0" w:line="94" w:lineRule="exact"/>
        <w:rPr>
          <w:sz w:val="20"/>
          <w:szCs w:val="20"/>
          <w:color w:val="auto"/>
        </w:rPr>
      </w:pPr>
    </w:p>
    <w:p>
      <w:pPr>
        <w:ind w:right="160" w:firstLine="556"/>
        <w:spacing w:after="0" w:line="287" w:lineRule="auto"/>
        <w:rPr>
          <w:sz w:val="20"/>
          <w:szCs w:val="20"/>
          <w:color w:val="auto"/>
        </w:rPr>
      </w:pPr>
      <w:r>
        <w:rPr>
          <w:rFonts w:ascii="Arial" w:cs="Arial" w:eastAsia="Arial" w:hAnsi="Arial"/>
          <w:sz w:val="13"/>
          <w:szCs w:val="13"/>
          <w:color w:val="auto"/>
        </w:rPr>
        <w:t>The Group has elected not to recognize right-of-use assets and lease liabilities for short-term leases of machinery that have a lease term of 12 months or less or leases of low-value assets. The Group recognizes the lease payments associated with these leases as an expense in the statement of operations on a straight-line basis over the lease term.</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2.3.10</w:t>
      </w:r>
      <w:r>
        <w:rPr>
          <w:sz w:val="20"/>
          <w:szCs w:val="20"/>
          <w:color w:val="auto"/>
        </w:rPr>
        <w:tab/>
      </w:r>
      <w:r>
        <w:rPr>
          <w:rFonts w:ascii="Arial" w:cs="Arial" w:eastAsia="Arial" w:hAnsi="Arial"/>
          <w:sz w:val="11"/>
          <w:szCs w:val="11"/>
          <w:b w:val="1"/>
          <w:bCs w:val="1"/>
          <w:color w:val="auto"/>
        </w:rPr>
        <w:t>Intangible Assets</w:t>
      </w:r>
    </w:p>
    <w:p>
      <w:pPr>
        <w:spacing w:after="0" w:line="94"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40"/>
          </w:cols>
          <w:pgMar w:left="300" w:top="451" w:right="359" w:bottom="1440" w:gutter="0" w:footer="0" w:header="0"/>
          <w:type w:val="continuous"/>
        </w:sectPr>
      </w:pPr>
    </w:p>
    <w:bookmarkStart w:id="279" w:name="page280"/>
    <w:bookmarkEnd w:id="279"/>
    <w:p>
      <w:pPr>
        <w:ind w:left="560"/>
        <w:spacing w:after="0"/>
        <w:rPr>
          <w:sz w:val="20"/>
          <w:szCs w:val="20"/>
          <w:color w:val="auto"/>
        </w:rPr>
      </w:pPr>
      <w:r>
        <w:rPr>
          <w:rFonts w:ascii="Arial" w:cs="Arial" w:eastAsia="Arial" w:hAnsi="Arial"/>
          <w:sz w:val="13"/>
          <w:szCs w:val="13"/>
          <w:color w:val="auto"/>
        </w:rPr>
        <w:t>The useful lives of intangible assets are assessed as either finite or indefinite.</w:t>
      </w:r>
    </w:p>
    <w:p>
      <w:pPr>
        <w:spacing w:after="0" w:line="170" w:lineRule="exact"/>
        <w:rPr>
          <w:sz w:val="20"/>
          <w:szCs w:val="20"/>
          <w:color w:val="auto"/>
        </w:rPr>
      </w:pPr>
    </w:p>
    <w:p>
      <w:pPr>
        <w:jc w:val="both"/>
        <w:ind w:right="40" w:firstLine="556"/>
        <w:spacing w:after="0" w:line="272" w:lineRule="auto"/>
        <w:rPr>
          <w:sz w:val="20"/>
          <w:szCs w:val="20"/>
          <w:color w:val="auto"/>
        </w:rPr>
      </w:pPr>
      <w:r>
        <w:rPr>
          <w:rFonts w:ascii="Arial" w:cs="Arial" w:eastAsia="Arial" w:hAnsi="Arial"/>
          <w:sz w:val="13"/>
          <w:szCs w:val="13"/>
          <w:color w:val="auto"/>
        </w:rPr>
        <w:t>Intangible assets with finite lives are amortized generally on a straight-line basis over the useful economic life and assessed for impairment whenever there is an indication that the intangible asset may be impaired. The amortization period and the amortization method for an intangible asset with a finite useful life are at least reviewed at the end of each reporting period. The amortization expense on intangible assets with finite lives is recognized in the statement of operations in the expense category that is consistent with the function of the intangible assets.</w:t>
      </w:r>
    </w:p>
    <w:p>
      <w:pPr>
        <w:sectPr>
          <w:pgSz w:w="11900" w:h="16838" w:orient="portrait"/>
          <w:cols w:equalWidth="0" w:num="1">
            <w:col w:w="11260"/>
          </w:cols>
          <w:pgMar w:left="300" w:top="451" w:right="339" w:bottom="1440" w:gutter="0" w:footer="0" w:header="0"/>
        </w:sectPr>
      </w:pPr>
    </w:p>
    <w:p>
      <w:pPr>
        <w:spacing w:after="0" w:line="132" w:lineRule="exact"/>
        <w:rPr>
          <w:sz w:val="20"/>
          <w:szCs w:val="20"/>
          <w:color w:val="auto"/>
        </w:rPr>
      </w:pPr>
    </w:p>
    <w:p>
      <w:pPr>
        <w:jc w:val="right"/>
        <w:ind w:right="4060"/>
        <w:spacing w:after="0"/>
        <w:rPr>
          <w:sz w:val="20"/>
          <w:szCs w:val="20"/>
          <w:color w:val="auto"/>
        </w:rPr>
      </w:pPr>
      <w:r>
        <w:rPr>
          <w:rFonts w:ascii="Arial" w:cs="Arial" w:eastAsia="Arial" w:hAnsi="Arial"/>
          <w:sz w:val="13"/>
          <w:szCs w:val="13"/>
          <w:color w:val="auto"/>
        </w:rPr>
        <w:t>A summary of the useful lives applied to the Group’s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67880" cy="406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7167880" cy="40640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Intellectual property rights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Licenses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2"/>
          <w:szCs w:val="12"/>
          <w:b w:val="1"/>
          <w:bCs w:val="1"/>
          <w:color w:val="auto"/>
        </w:rPr>
        <w:t>Useful life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(Years)</w:t>
      </w:r>
    </w:p>
    <w:p>
      <w:pPr>
        <w:ind w:left="120"/>
        <w:spacing w:after="0"/>
        <w:rPr>
          <w:sz w:val="20"/>
          <w:szCs w:val="20"/>
          <w:color w:val="auto"/>
        </w:rPr>
      </w:pPr>
      <w:r>
        <w:rPr>
          <w:rFonts w:ascii="Arial" w:cs="Arial" w:eastAsia="Arial" w:hAnsi="Arial"/>
          <w:sz w:val="13"/>
          <w:szCs w:val="13"/>
          <w:color w:val="auto"/>
        </w:rPr>
        <w:t>10-20</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3-20</w:t>
      </w:r>
    </w:p>
    <w:p>
      <w:pPr>
        <w:spacing w:after="0" w:line="200" w:lineRule="exact"/>
        <w:rPr>
          <w:sz w:val="20"/>
          <w:szCs w:val="20"/>
          <w:color w:val="auto"/>
        </w:rPr>
      </w:pPr>
    </w:p>
    <w:p>
      <w:pPr>
        <w:sectPr>
          <w:pgSz w:w="11900" w:h="16838" w:orient="portrait"/>
          <w:cols w:equalWidth="0" w:num="2">
            <w:col w:w="9100" w:space="720"/>
            <w:col w:w="1440"/>
          </w:cols>
          <w:pgMar w:left="300" w:top="451" w:right="339" w:bottom="1440" w:gutter="0" w:footer="0" w:header="0"/>
          <w:type w:val="continuous"/>
        </w:sectPr>
      </w:pPr>
    </w:p>
    <w:p>
      <w:pPr>
        <w:spacing w:after="0" w:line="60"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3"/>
          <w:szCs w:val="13"/>
          <w:color w:val="auto"/>
        </w:rPr>
        <w:t>Intangible assets with indefinite useful lives are not amortized, but are tested for impairment at least annually, or when there is an indication for impairment, either individually or at the level of a cash-generating unit (see Note 2.3.13 for further details). The assessment of indefinite life is reviewed annually to determine whether the indefinite life continues to be supportable. If not, the change in useful life from indefinite to finite is made on a prospective basis.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group has classified advanced payments on intangible assets as intangible assets which are not yet ready for use. Advanced payments on intangible assets are tested for impairment on an annual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basis.</w:t>
      </w:r>
    </w:p>
    <w:p>
      <w:pPr>
        <w:spacing w:after="0" w:line="162"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3"/>
          <w:szCs w:val="13"/>
          <w:color w:val="auto"/>
        </w:rPr>
        <w:t>An intangible asset is derecognized upon disposal (</w:t>
      </w:r>
      <w:r>
        <w:rPr>
          <w:rFonts w:ascii="Arial" w:cs="Arial" w:eastAsia="Arial" w:hAnsi="Arial"/>
          <w:sz w:val="13"/>
          <w:szCs w:val="13"/>
          <w:i w:val="1"/>
          <w:iCs w:val="1"/>
          <w:color w:val="auto"/>
        </w:rPr>
        <w:t>i.e</w:t>
      </w:r>
      <w:r>
        <w:rPr>
          <w:rFonts w:ascii="Arial" w:cs="Arial" w:eastAsia="Arial" w:hAnsi="Arial"/>
          <w:sz w:val="13"/>
          <w:szCs w:val="13"/>
          <w:color w:val="auto"/>
        </w:rPr>
        <w:t>.,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statement of operations.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90" w:lineRule="exact"/>
        <w:rPr>
          <w:sz w:val="20"/>
          <w:szCs w:val="20"/>
          <w:color w:val="auto"/>
        </w:rPr>
      </w:pPr>
    </w:p>
    <w:p>
      <w:pPr>
        <w:ind w:right="40" w:firstLine="556"/>
        <w:spacing w:after="0" w:line="287" w:lineRule="auto"/>
        <w:rPr>
          <w:sz w:val="20"/>
          <w:szCs w:val="20"/>
          <w:color w:val="auto"/>
        </w:rPr>
      </w:pPr>
      <w:r>
        <w:rPr>
          <w:rFonts w:ascii="Arial" w:cs="Arial" w:eastAsia="Arial" w:hAnsi="Arial"/>
          <w:sz w:val="13"/>
          <w:szCs w:val="13"/>
          <w:color w:val="auto"/>
        </w:rPr>
        <w:t>Research costs are expensed as incurred. Development expenditures on an individual project are recognized as an intangible asset if, and only if, all of the following six criteria can be demonstrated by the Group:</w:t>
      </w:r>
    </w:p>
    <w:p>
      <w:pPr>
        <w:spacing w:after="0" w:line="32" w:lineRule="exact"/>
        <w:rPr>
          <w:sz w:val="20"/>
          <w:szCs w:val="20"/>
          <w:color w:val="auto"/>
        </w:rPr>
      </w:pPr>
    </w:p>
    <w:p>
      <w:pPr>
        <w:ind w:left="1020" w:hanging="340"/>
        <w:spacing w:after="0"/>
        <w:tabs>
          <w:tab w:leader="none" w:pos="102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the technical feasibility of completing the intangible asset so that the asset will be available for use or sale;</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its intention to complete the project;</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the ability and intention to use or sell the asset;</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how the asset will generate future economic benefits;</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the availability of resources to complete the asset;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the ability to reliably measure the expenditure during development.</w:t>
      </w:r>
    </w:p>
    <w:p>
      <w:pPr>
        <w:spacing w:after="0" w:line="170" w:lineRule="exact"/>
        <w:rPr>
          <w:sz w:val="20"/>
          <w:szCs w:val="20"/>
          <w:color w:val="auto"/>
        </w:rPr>
      </w:pPr>
    </w:p>
    <w:p>
      <w:pPr>
        <w:ind w:right="200" w:firstLine="556"/>
        <w:spacing w:after="0" w:line="331" w:lineRule="auto"/>
        <w:rPr>
          <w:sz w:val="20"/>
          <w:szCs w:val="20"/>
          <w:color w:val="auto"/>
        </w:rPr>
      </w:pPr>
      <w:r>
        <w:rPr>
          <w:rFonts w:ascii="Arial" w:cs="Arial" w:eastAsia="Arial" w:hAnsi="Arial"/>
          <w:sz w:val="12"/>
          <w:szCs w:val="12"/>
          <w:color w:val="auto"/>
        </w:rPr>
        <w:t>Owing to the high risks up to the time that pharmaceutical products are approved, these criteria are not met in the Biotech business sector until regulatory approval has been provided. Therefore, the Group has not yet capitalized any development expenditures. The related expenditure is reflected in the statement of operations in the period in which the expenditure is incurred.</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2.3.11</w:t>
      </w:r>
      <w:r>
        <w:rPr>
          <w:sz w:val="20"/>
          <w:szCs w:val="20"/>
          <w:color w:val="auto"/>
        </w:rPr>
        <w:tab/>
      </w:r>
      <w:r>
        <w:rPr>
          <w:rFonts w:ascii="Arial" w:cs="Arial" w:eastAsia="Arial" w:hAnsi="Arial"/>
          <w:sz w:val="12"/>
          <w:szCs w:val="12"/>
          <w:b w:val="1"/>
          <w:bCs w:val="1"/>
          <w:color w:val="auto"/>
        </w:rPr>
        <w:t>Financial Instruments – Initial Recognition and Subsequent Measurement</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financial instrument is any contract that gives rise to a financial asset of one entity and a financial liability or equity instrument of another entity.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451" w:right="339" w:bottom="1440" w:gutter="0" w:footer="0" w:header="0"/>
          <w:type w:val="continuous"/>
        </w:sectPr>
      </w:pPr>
    </w:p>
    <w:bookmarkStart w:id="280" w:name="page281"/>
    <w:bookmarkEnd w:id="280"/>
    <w:p>
      <w:pPr>
        <w:ind w:left="560"/>
        <w:spacing w:after="0"/>
        <w:rPr>
          <w:sz w:val="20"/>
          <w:szCs w:val="20"/>
          <w:color w:val="auto"/>
        </w:rPr>
      </w:pPr>
      <w:r>
        <w:rPr>
          <w:rFonts w:ascii="Arial" w:cs="Arial" w:eastAsia="Arial" w:hAnsi="Arial"/>
          <w:sz w:val="13"/>
          <w:szCs w:val="13"/>
          <w:b w:val="1"/>
          <w:bCs w:val="1"/>
          <w:color w:val="auto"/>
        </w:rPr>
        <w:t>i) Financial Assets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Initial recognition and Measurement</w:t>
      </w:r>
    </w:p>
    <w:p>
      <w:pPr>
        <w:spacing w:after="0" w:line="94" w:lineRule="exact"/>
        <w:rPr>
          <w:sz w:val="20"/>
          <w:szCs w:val="20"/>
          <w:color w:val="auto"/>
        </w:rPr>
      </w:pPr>
    </w:p>
    <w:p>
      <w:pPr>
        <w:ind w:right="640" w:firstLine="556"/>
        <w:spacing w:after="0" w:line="287" w:lineRule="auto"/>
        <w:rPr>
          <w:sz w:val="20"/>
          <w:szCs w:val="20"/>
          <w:color w:val="auto"/>
        </w:rPr>
      </w:pPr>
      <w:r>
        <w:rPr>
          <w:rFonts w:ascii="Arial" w:cs="Arial" w:eastAsia="Arial" w:hAnsi="Arial"/>
          <w:sz w:val="13"/>
          <w:szCs w:val="13"/>
          <w:color w:val="auto"/>
        </w:rPr>
        <w:t>Financial assets are initially measured at fair value, after the initial measurement the financial assets are subsequently classified as either measured at amortized cost, fair value through other comprehensive income, or fair value through profit or loss.</w:t>
      </w:r>
    </w:p>
    <w:p>
      <w:pPr>
        <w:spacing w:after="0" w:line="122"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the Group initially measures a financial asset at its fair value plus, in the case of a financial asset not at fair value through profit or loss, transaction costs. Trade receivables that do not contain a significant financing component or for which the Group has applied the practical expedient are measured at the transaction price determined under IFRS 15. Refer to the accounting policies in Note 2.3.4.</w:t>
      </w:r>
    </w:p>
    <w:p>
      <w:pPr>
        <w:spacing w:after="0" w:line="135" w:lineRule="exact"/>
        <w:rPr>
          <w:sz w:val="20"/>
          <w:szCs w:val="20"/>
          <w:color w:val="auto"/>
        </w:rPr>
      </w:pPr>
    </w:p>
    <w:p>
      <w:pPr>
        <w:ind w:right="180" w:firstLine="556"/>
        <w:spacing w:after="0" w:line="287" w:lineRule="auto"/>
        <w:rPr>
          <w:sz w:val="20"/>
          <w:szCs w:val="20"/>
          <w:color w:val="auto"/>
        </w:rPr>
      </w:pPr>
      <w:r>
        <w:rPr>
          <w:rFonts w:ascii="Arial" w:cs="Arial" w:eastAsia="Arial" w:hAnsi="Arial"/>
          <w:sz w:val="13"/>
          <w:szCs w:val="13"/>
          <w:color w:val="auto"/>
        </w:rPr>
        <w:t>In order for a financial asset to be classified and measured at amortized cost or fair value through OCI, it needs to give rise to cash flows that are ‘solely payments of principal and interest (SPPI)’ on the principal amount outstanding. This assessment is referred to as the SPPI test and is performed at an instrument level.</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Financial Assets at Amortized Cost (Debt Instruments)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 measures financial assets at amortized cost if both of the following conditions are met:</w:t>
      </w:r>
    </w:p>
    <w:p>
      <w:pPr>
        <w:spacing w:after="0" w:line="80" w:lineRule="exact"/>
        <w:rPr>
          <w:sz w:val="20"/>
          <w:szCs w:val="20"/>
          <w:color w:val="auto"/>
        </w:rPr>
      </w:pPr>
    </w:p>
    <w:p>
      <w:pPr>
        <w:ind w:left="1020" w:hanging="340"/>
        <w:spacing w:after="0"/>
        <w:tabs>
          <w:tab w:leader="none" w:pos="1020"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financial asset is held within a business model with the objective to hold financial assets in order to collect contractual cash flows; and</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8"/>
        </w:numPr>
        <w:rPr>
          <w:rFonts w:ascii="Arial" w:cs="Arial" w:eastAsia="Arial" w:hAnsi="Arial"/>
          <w:sz w:val="13"/>
          <w:szCs w:val="13"/>
          <w:color w:val="auto"/>
        </w:rPr>
      </w:pPr>
      <w:r>
        <w:rPr>
          <w:rFonts w:ascii="Arial" w:cs="Arial" w:eastAsia="Arial" w:hAnsi="Arial"/>
          <w:sz w:val="13"/>
          <w:szCs w:val="13"/>
          <w:color w:val="auto"/>
        </w:rPr>
        <w:t>the contractual terms of the financial asset give rise on specified dates to cash flows that are solely payments of principal and interest on the principal amount outstanding.</w:t>
      </w:r>
    </w:p>
    <w:p>
      <w:pPr>
        <w:spacing w:after="0" w:line="170"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Financial assets at amortized cost are subsequently measured using the effective interest rate (EIR) method, and are subject to impairment. Gains and losses are recognized in the statement of operations when the asset is derecognized, modified or impaired.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Derecognition</w:t>
      </w:r>
    </w:p>
    <w:p>
      <w:pPr>
        <w:spacing w:after="0" w:line="94" w:lineRule="exact"/>
        <w:rPr>
          <w:sz w:val="20"/>
          <w:szCs w:val="20"/>
          <w:color w:val="auto"/>
        </w:rPr>
      </w:pPr>
    </w:p>
    <w:p>
      <w:pPr>
        <w:ind w:right="360" w:firstLine="556"/>
        <w:spacing w:after="0" w:line="287" w:lineRule="auto"/>
        <w:rPr>
          <w:sz w:val="20"/>
          <w:szCs w:val="20"/>
          <w:color w:val="auto"/>
        </w:rPr>
      </w:pPr>
      <w:r>
        <w:rPr>
          <w:rFonts w:ascii="Arial" w:cs="Arial" w:eastAsia="Arial" w:hAnsi="Arial"/>
          <w:sz w:val="13"/>
          <w:szCs w:val="13"/>
          <w:color w:val="auto"/>
        </w:rPr>
        <w:t>A financial asset (or, where applicable, a part of a financial asset or part of a group of similar financial assets) is primarily derecognized (i.e., removed from the Group’s consolidated statement of financial position) when the rights to receive cash flows from the asset have expired or have been transferred in terms of fulfilling the derecognition criteria.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Impairment of Financial Assets</w:t>
      </w:r>
    </w:p>
    <w:p>
      <w:pPr>
        <w:spacing w:after="0" w:line="94" w:lineRule="exact"/>
        <w:rPr>
          <w:sz w:val="20"/>
          <w:szCs w:val="20"/>
          <w:color w:val="auto"/>
        </w:rPr>
      </w:pPr>
    </w:p>
    <w:p>
      <w:pPr>
        <w:ind w:right="140" w:firstLine="556"/>
        <w:spacing w:after="0" w:line="272" w:lineRule="auto"/>
        <w:rPr>
          <w:sz w:val="20"/>
          <w:szCs w:val="20"/>
          <w:color w:val="auto"/>
        </w:rPr>
      </w:pPr>
      <w:r>
        <w:rPr>
          <w:rFonts w:ascii="Arial" w:cs="Arial" w:eastAsia="Arial" w:hAnsi="Arial"/>
          <w:sz w:val="13"/>
          <w:szCs w:val="13"/>
          <w:color w:val="auto"/>
        </w:rPr>
        <w:t>An allowance for expected credit losses (ECLs) is recognized for all debt instruments not held at fair value through profit or loss. ECLs are based on the difference between the contractual cash flows due in accordance with the contract and all of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32" w:lineRule="exact"/>
        <w:rPr>
          <w:sz w:val="20"/>
          <w:szCs w:val="20"/>
          <w:color w:val="auto"/>
        </w:rPr>
      </w:pPr>
    </w:p>
    <w:p>
      <w:pPr>
        <w:ind w:right="260" w:firstLine="556"/>
        <w:spacing w:after="0" w:line="272" w:lineRule="auto"/>
        <w:rPr>
          <w:sz w:val="20"/>
          <w:szCs w:val="20"/>
          <w:color w:val="auto"/>
        </w:rPr>
      </w:pPr>
      <w:r>
        <w:rPr>
          <w:rFonts w:ascii="Arial" w:cs="Arial" w:eastAsia="Arial" w:hAnsi="Arial"/>
          <w:sz w:val="13"/>
          <w:szCs w:val="13"/>
          <w:color w:val="auto"/>
        </w:rPr>
        <w:t>For trade receivables and contract assets,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ii) Financial Liabilities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Initial Recognition and Measurement</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Financial liabilities are classified, at initial recognition, as financial liabilities at fair value through profit or loss, loans and borrowings or as payables.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527" w:right="319" w:bottom="1440" w:gutter="0" w:footer="0" w:header="0"/>
        </w:sectPr>
      </w:pPr>
    </w:p>
    <w:bookmarkStart w:id="281" w:name="page282"/>
    <w:bookmarkEnd w:id="281"/>
    <w:p>
      <w:pPr>
        <w:ind w:left="560"/>
        <w:spacing w:after="0"/>
        <w:rPr>
          <w:sz w:val="20"/>
          <w:szCs w:val="20"/>
          <w:color w:val="auto"/>
        </w:rPr>
      </w:pPr>
      <w:r>
        <w:rPr>
          <w:rFonts w:ascii="Arial" w:cs="Arial" w:eastAsia="Arial" w:hAnsi="Arial"/>
          <w:sz w:val="13"/>
          <w:szCs w:val="13"/>
          <w:color w:val="auto"/>
        </w:rPr>
        <w:t>All financial liabilities are recognized initially at fair value and, in the case of loans and borrowings and payables, net of directly attributable transaction costs.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Group’s financial liabilities include trade payables and other financial liabilities.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Subsequent Measurement</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measurement of financial liabilities depends on their classification, as described below.</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Financial Liabilities at Fair Value through Profit or Loss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 has no financial liabilities measured at fair value through profit or loss.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Loans, Borrowings, Trade Payables and Other Financial Liabilities</w:t>
      </w:r>
    </w:p>
    <w:p>
      <w:pPr>
        <w:spacing w:after="0" w:line="90" w:lineRule="exact"/>
        <w:rPr>
          <w:sz w:val="20"/>
          <w:szCs w:val="20"/>
          <w:color w:val="auto"/>
        </w:rPr>
      </w:pPr>
    </w:p>
    <w:p>
      <w:pPr>
        <w:ind w:right="200" w:firstLine="556"/>
        <w:spacing w:after="0" w:line="287" w:lineRule="auto"/>
        <w:rPr>
          <w:sz w:val="20"/>
          <w:szCs w:val="20"/>
          <w:color w:val="auto"/>
        </w:rPr>
      </w:pPr>
      <w:r>
        <w:rPr>
          <w:rFonts w:ascii="Arial" w:cs="Arial" w:eastAsia="Arial" w:hAnsi="Arial"/>
          <w:sz w:val="13"/>
          <w:szCs w:val="13"/>
          <w:color w:val="auto"/>
        </w:rPr>
        <w:t>After initial recognition, interest-bearing loans and borrowings, trade payables and other financial liabilities are subsequently measured at amortized cost using the EIR method. Gains and losses are recognized in the statement of operations when the liabilities are derecognized as well as through the EIR amortization process.</w:t>
      </w:r>
    </w:p>
    <w:p>
      <w:pPr>
        <w:spacing w:after="0" w:line="122"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Amortized cost is calculated by taking into account any discount or premium on acquisition and fees or costs that are an integral part of the EIR. The EIR amortization is included as finance costs in the statement of operations.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This category generally applies to interest-bearing loans and borrowings.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Derecognition</w:t>
      </w:r>
    </w:p>
    <w:p>
      <w:pPr>
        <w:spacing w:after="0" w:line="94" w:lineRule="exact"/>
        <w:rPr>
          <w:sz w:val="20"/>
          <w:szCs w:val="20"/>
          <w:color w:val="auto"/>
        </w:rPr>
      </w:pPr>
    </w:p>
    <w:p>
      <w:pPr>
        <w:ind w:right="160" w:firstLine="556"/>
        <w:spacing w:after="0" w:line="272" w:lineRule="auto"/>
        <w:rPr>
          <w:sz w:val="20"/>
          <w:szCs w:val="20"/>
          <w:color w:val="auto"/>
        </w:rPr>
      </w:pPr>
      <w:r>
        <w:rPr>
          <w:rFonts w:ascii="Arial" w:cs="Arial" w:eastAsia="Arial" w:hAnsi="Arial"/>
          <w:sz w:val="13"/>
          <w:szCs w:val="13"/>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the statement of operations.</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2.3.12</w:t>
      </w:r>
      <w:r>
        <w:rPr>
          <w:sz w:val="20"/>
          <w:szCs w:val="20"/>
          <w:color w:val="auto"/>
        </w:rPr>
        <w:tab/>
      </w:r>
      <w:r>
        <w:rPr>
          <w:rFonts w:ascii="Arial" w:cs="Arial" w:eastAsia="Arial" w:hAnsi="Arial"/>
          <w:sz w:val="12"/>
          <w:szCs w:val="12"/>
          <w:b w:val="1"/>
          <w:bCs w:val="1"/>
          <w:color w:val="auto"/>
        </w:rPr>
        <w:t>Inventories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Inventories are valued at the lower of cost and net realizable value.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Costs incurred in bringing each product to its present location and condition are accounted for as follows:</w:t>
      </w:r>
    </w:p>
    <w:p>
      <w:pPr>
        <w:spacing w:after="0" w:line="80" w:lineRule="exact"/>
        <w:rPr>
          <w:sz w:val="20"/>
          <w:szCs w:val="20"/>
          <w:color w:val="auto"/>
        </w:rPr>
      </w:pPr>
    </w:p>
    <w:p>
      <w:pPr>
        <w:ind w:left="1020" w:hanging="340"/>
        <w:spacing w:after="0"/>
        <w:tabs>
          <w:tab w:leader="none" w:pos="1020" w:val="left"/>
        </w:tabs>
        <w:numPr>
          <w:ilvl w:val="0"/>
          <w:numId w:val="319"/>
        </w:numPr>
        <w:rPr>
          <w:rFonts w:ascii="Arial" w:cs="Arial" w:eastAsia="Arial" w:hAnsi="Arial"/>
          <w:sz w:val="13"/>
          <w:szCs w:val="13"/>
          <w:color w:val="auto"/>
        </w:rPr>
      </w:pPr>
      <w:r>
        <w:rPr>
          <w:rFonts w:ascii="Arial" w:cs="Arial" w:eastAsia="Arial" w:hAnsi="Arial"/>
          <w:sz w:val="13"/>
          <w:szCs w:val="13"/>
          <w:color w:val="auto"/>
        </w:rPr>
        <w:t>raw materials and supplies: purchase cost on a first-in/first-out basis; or</w:t>
      </w:r>
    </w:p>
    <w:p>
      <w:pPr>
        <w:spacing w:after="0" w:line="80" w:lineRule="exact"/>
        <w:rPr>
          <w:rFonts w:ascii="Arial" w:cs="Arial" w:eastAsia="Arial" w:hAnsi="Arial"/>
          <w:sz w:val="13"/>
          <w:szCs w:val="13"/>
          <w:color w:val="auto"/>
        </w:rPr>
      </w:pPr>
    </w:p>
    <w:p>
      <w:pPr>
        <w:ind w:left="1020" w:hanging="340"/>
        <w:spacing w:after="0"/>
        <w:tabs>
          <w:tab w:leader="none" w:pos="1020" w:val="left"/>
        </w:tabs>
        <w:numPr>
          <w:ilvl w:val="0"/>
          <w:numId w:val="319"/>
        </w:numPr>
        <w:rPr>
          <w:rFonts w:ascii="Arial" w:cs="Arial" w:eastAsia="Arial" w:hAnsi="Arial"/>
          <w:sz w:val="12"/>
          <w:szCs w:val="12"/>
          <w:color w:val="auto"/>
        </w:rPr>
      </w:pPr>
      <w:r>
        <w:rPr>
          <w:rFonts w:ascii="Arial" w:cs="Arial" w:eastAsia="Arial" w:hAnsi="Arial"/>
          <w:sz w:val="12"/>
          <w:szCs w:val="12"/>
          <w:color w:val="auto"/>
        </w:rPr>
        <w:t>unfinished goods and finished goods: cost of direct materials and labor and a proportion of manufacturing overheads based on the normal operating capacity, but excluding borrowing costs.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Net realizable value is the estimated selling price in the ordinary course of business, less estimated costs of completion and the estimated costs necessary to make the sale.</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2.3.13</w:t>
      </w:r>
      <w:r>
        <w:rPr>
          <w:sz w:val="20"/>
          <w:szCs w:val="20"/>
          <w:color w:val="auto"/>
        </w:rPr>
        <w:tab/>
      </w:r>
      <w:r>
        <w:rPr>
          <w:rFonts w:ascii="Arial" w:cs="Arial" w:eastAsia="Arial" w:hAnsi="Arial"/>
          <w:sz w:val="12"/>
          <w:szCs w:val="12"/>
          <w:b w:val="1"/>
          <w:bCs w:val="1"/>
          <w:color w:val="auto"/>
        </w:rPr>
        <w:t>Impairment of Non-Financial Assets</w:t>
      </w:r>
    </w:p>
    <w:p>
      <w:pPr>
        <w:spacing w:after="0" w:line="94" w:lineRule="exact"/>
        <w:rPr>
          <w:sz w:val="20"/>
          <w:szCs w:val="20"/>
          <w:color w:val="auto"/>
        </w:rPr>
      </w:pPr>
    </w:p>
    <w:p>
      <w:pPr>
        <w:ind w:right="60" w:firstLine="556"/>
        <w:spacing w:after="0" w:line="267" w:lineRule="auto"/>
        <w:rPr>
          <w:sz w:val="20"/>
          <w:szCs w:val="20"/>
          <w:color w:val="auto"/>
        </w:rPr>
      </w:pPr>
      <w:r>
        <w:rPr>
          <w:rFonts w:ascii="Arial" w:cs="Arial" w:eastAsia="Arial" w:hAnsi="Arial"/>
          <w:sz w:val="13"/>
          <w:szCs w:val="13"/>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 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 generating unit exceeds its recoverable amount, the asset is considered impaired and is written down to its recoverable amount.</w:t>
      </w:r>
    </w:p>
    <w:p>
      <w:pPr>
        <w:spacing w:after="0" w:line="135"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auto"/>
        </w:rPr>
        <w:t>In assessing value in use, the estimated future cash flows are discounted to their present value using a pre-tax discount rate that reflects current market assessments of the time value of money and the risks specific to the asset. 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451" w:right="339" w:bottom="1440" w:gutter="0" w:footer="0" w:header="0"/>
        </w:sectPr>
      </w:pPr>
    </w:p>
    <w:bookmarkStart w:id="282" w:name="page283"/>
    <w:bookmarkEnd w:id="282"/>
    <w:p>
      <w:pPr>
        <w:spacing w:after="0" w:line="287" w:lineRule="auto"/>
        <w:rPr>
          <w:sz w:val="20"/>
          <w:szCs w:val="20"/>
          <w:color w:val="auto"/>
        </w:rPr>
      </w:pPr>
      <w:r>
        <w:rPr>
          <w:rFonts w:ascii="Arial" w:cs="Arial" w:eastAsia="Arial" w:hAnsi="Arial"/>
          <w:sz w:val="13"/>
          <w:szCs w:val="13"/>
          <w:color w:val="auto"/>
        </w:rPr>
        <w:t>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22" w:lineRule="exact"/>
        <w:rPr>
          <w:sz w:val="20"/>
          <w:szCs w:val="20"/>
          <w:color w:val="auto"/>
        </w:rPr>
      </w:pPr>
    </w:p>
    <w:p>
      <w:pPr>
        <w:ind w:right="80" w:firstLine="556"/>
        <w:spacing w:after="0" w:line="331" w:lineRule="auto"/>
        <w:rPr>
          <w:sz w:val="20"/>
          <w:szCs w:val="20"/>
          <w:color w:val="auto"/>
        </w:rPr>
      </w:pPr>
      <w:r>
        <w:rPr>
          <w:rFonts w:ascii="Arial" w:cs="Arial" w:eastAsia="Arial" w:hAnsi="Arial"/>
          <w:sz w:val="12"/>
          <w:szCs w:val="12"/>
          <w:color w:val="auto"/>
        </w:rPr>
        <w:t>The Group bases its impairment calculation on detailed budgets and forecast calculations, which are prepared separately for each of the Group’s cash generating units to which the individual assets are allocated. These budgets and forecast calculations generally cover a period of five years. A long-term growth rate is calculated and applied to project future cash flows after the fifth year.</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Impairment losses of continuing operations are recognized in the statement of operations in expense categories consistent with the function of the impaired asset.</w:t>
      </w:r>
    </w:p>
    <w:p>
      <w:pPr>
        <w:spacing w:after="0" w:line="170"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For assets excluding goodwill, an assessment is made at each reporting date to determine whether there is an indication that previously recognized impairment losses no longer exist or have decreased. If such indication exists, the Group estimates the asset’s or cash 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operations unless the asset is carried at a revalued amount, in which case, the reversal is treated as a revaluation increase.</w:t>
      </w:r>
    </w:p>
    <w:p>
      <w:pPr>
        <w:spacing w:after="0" w:line="214"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2.3.14</w:t>
      </w:r>
      <w:r>
        <w:rPr>
          <w:sz w:val="20"/>
          <w:szCs w:val="20"/>
          <w:color w:val="auto"/>
        </w:rPr>
        <w:tab/>
      </w:r>
      <w:r>
        <w:rPr>
          <w:rFonts w:ascii="Arial" w:cs="Arial" w:eastAsia="Arial" w:hAnsi="Arial"/>
          <w:sz w:val="12"/>
          <w:szCs w:val="12"/>
          <w:b w:val="1"/>
          <w:bCs w:val="1"/>
          <w:color w:val="auto"/>
        </w:rPr>
        <w:t>Cash and Cash Equivalents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Cash and cash equivalents comprise cash in banks and on hand and short-term deposits with an original maturity of three months or less, which are subject to an insignificant risk of changes in value.</w:t>
      </w:r>
    </w:p>
    <w:p>
      <w:pPr>
        <w:spacing w:after="0" w:line="25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2.3.15</w:t>
      </w:r>
      <w:r>
        <w:rPr>
          <w:sz w:val="20"/>
          <w:szCs w:val="20"/>
          <w:color w:val="auto"/>
        </w:rPr>
        <w:tab/>
      </w:r>
      <w:r>
        <w:rPr>
          <w:rFonts w:ascii="Arial" w:cs="Arial" w:eastAsia="Arial" w:hAnsi="Arial"/>
          <w:sz w:val="11"/>
          <w:szCs w:val="11"/>
          <w:b w:val="1"/>
          <w:bCs w:val="1"/>
          <w:color w:val="auto"/>
        </w:rPr>
        <w:t>Provisions</w:t>
      </w:r>
    </w:p>
    <w:p>
      <w:pPr>
        <w:spacing w:after="0" w:line="94" w:lineRule="exact"/>
        <w:rPr>
          <w:sz w:val="20"/>
          <w:szCs w:val="20"/>
          <w:color w:val="auto"/>
        </w:rPr>
      </w:pPr>
    </w:p>
    <w:p>
      <w:pPr>
        <w:ind w:firstLine="556"/>
        <w:spacing w:after="0" w:line="304" w:lineRule="auto"/>
        <w:rPr>
          <w:sz w:val="20"/>
          <w:szCs w:val="20"/>
          <w:color w:val="auto"/>
        </w:rPr>
      </w:pPr>
      <w:r>
        <w:rPr>
          <w:rFonts w:ascii="Arial" w:cs="Arial" w:eastAsia="Arial" w:hAnsi="Arial"/>
          <w:sz w:val="12"/>
          <w:szCs w:val="12"/>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operations net of any reimbursement.</w:t>
      </w:r>
    </w:p>
    <w:p>
      <w:pPr>
        <w:spacing w:after="0" w:line="192"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2.3.16</w:t>
      </w:r>
      <w:r>
        <w:rPr>
          <w:sz w:val="20"/>
          <w:szCs w:val="20"/>
          <w:color w:val="auto"/>
        </w:rPr>
        <w:tab/>
      </w:r>
      <w:r>
        <w:rPr>
          <w:rFonts w:ascii="Arial" w:cs="Arial" w:eastAsia="Arial" w:hAnsi="Arial"/>
          <w:sz w:val="11"/>
          <w:szCs w:val="11"/>
          <w:b w:val="1"/>
          <w:bCs w:val="1"/>
          <w:color w:val="auto"/>
        </w:rPr>
        <w:t>Share-Based Payments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Employees (and others providing similar services) receive remuneration in the form of share-based payments, which are settled in equity instruments (equity-settled transactions).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Equity-Settled Transactions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cost of equity-settled transactions is determined by the fair value at the date when the grant is made using an appropriate valuation model, further details of which are given in Note 17.</w:t>
      </w:r>
    </w:p>
    <w:p>
      <w:pPr>
        <w:spacing w:after="0" w:line="102" w:lineRule="exact"/>
        <w:rPr>
          <w:sz w:val="20"/>
          <w:szCs w:val="20"/>
          <w:color w:val="auto"/>
        </w:rPr>
      </w:pPr>
    </w:p>
    <w:p>
      <w:pPr>
        <w:ind w:right="120" w:firstLine="556"/>
        <w:spacing w:after="0" w:line="272" w:lineRule="auto"/>
        <w:rPr>
          <w:sz w:val="20"/>
          <w:szCs w:val="20"/>
          <w:color w:val="auto"/>
        </w:rPr>
      </w:pPr>
      <w:r>
        <w:rPr>
          <w:rFonts w:ascii="Arial" w:cs="Arial" w:eastAsia="Arial" w:hAnsi="Arial"/>
          <w:sz w:val="13"/>
          <w:szCs w:val="13"/>
          <w:color w:val="auto"/>
        </w:rPr>
        <w:t>These costs are recognized in cost of sales, research and development expenses, sales and marketing expenses or general and administrative expenses, together with a corresponding increase in equity (other reserves), over the period in which the service is provided (the vesting period).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sectPr>
      </w:pPr>
    </w:p>
    <w:bookmarkStart w:id="283" w:name="page284"/>
    <w:bookmarkEnd w:id="283"/>
    <w:p>
      <w:pPr>
        <w:spacing w:after="0"/>
        <w:tabs>
          <w:tab w:leader="none" w:pos="78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2"/>
          <w:szCs w:val="12"/>
          <w:b w:val="1"/>
          <w:bCs w:val="1"/>
          <w:color w:val="auto"/>
        </w:rPr>
        <w:t>Standards applied for the First Time</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2019 several new and amended standards and interpretations became effective. These were applied for the first time, but did not have an impact on the consolidated financial statements of the Group.</w:t>
      </w:r>
    </w:p>
    <w:p>
      <w:pPr>
        <w:sectPr>
          <w:pgSz w:w="11900" w:h="16838" w:orient="portrait"/>
          <w:cols w:equalWidth="0" w:num="1">
            <w:col w:w="11280"/>
          </w:cols>
          <w:pgMar w:left="300" w:top="527" w:right="3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Standards/Interpretations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67880" cy="6223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7167880" cy="6223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IFRIC 23 Uncertainty over income tax treatment</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Amendments to IFRS 9 Prepayment Features with Negative Compensation</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Amendments to IAS 19 Plan Amendment, Curtailment or Settlement</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Amendments to IAS 28 Long-term interests in associates and joint ventures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Annual improvement cycle to IFRS 2015-2017</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640"/>
        <w:spacing w:after="0"/>
        <w:rPr>
          <w:sz w:val="20"/>
          <w:szCs w:val="20"/>
          <w:color w:val="auto"/>
        </w:rPr>
      </w:pPr>
      <w:r>
        <w:rPr>
          <w:rFonts w:ascii="Arial" w:cs="Arial" w:eastAsia="Arial" w:hAnsi="Arial"/>
          <w:sz w:val="12"/>
          <w:szCs w:val="12"/>
          <w:b w:val="1"/>
          <w:bCs w:val="1"/>
          <w:color w:val="auto"/>
        </w:rPr>
        <w:t>Date of application</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2019</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2019</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2019</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2019</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2019</w:t>
      </w:r>
    </w:p>
    <w:p>
      <w:pPr>
        <w:spacing w:after="0" w:line="200" w:lineRule="exact"/>
        <w:rPr>
          <w:sz w:val="20"/>
          <w:szCs w:val="20"/>
          <w:color w:val="auto"/>
        </w:rPr>
      </w:pPr>
    </w:p>
    <w:p>
      <w:pPr>
        <w:sectPr>
          <w:pgSz w:w="11900" w:h="16838" w:orient="portrait"/>
          <w:cols w:equalWidth="0" w:num="2">
            <w:col w:w="8840" w:space="720"/>
            <w:col w:w="1720"/>
          </w:cols>
          <w:pgMar w:left="300" w:top="527" w:right="319" w:bottom="1440" w:gutter="0" w:footer="0" w:header="0"/>
          <w:type w:val="continuous"/>
        </w:sectPr>
      </w:pPr>
    </w:p>
    <w:p>
      <w:pPr>
        <w:spacing w:after="0" w:line="12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2.5</w:t>
      </w:r>
      <w:r>
        <w:rPr>
          <w:sz w:val="20"/>
          <w:szCs w:val="20"/>
          <w:color w:val="auto"/>
        </w:rPr>
        <w:tab/>
      </w:r>
      <w:r>
        <w:rPr>
          <w:rFonts w:ascii="Arial" w:cs="Arial" w:eastAsia="Arial" w:hAnsi="Arial"/>
          <w:sz w:val="11"/>
          <w:szCs w:val="11"/>
          <w:b w:val="1"/>
          <w:bCs w:val="1"/>
          <w:color w:val="auto"/>
        </w:rPr>
        <w:t>Standard issued but not yet effective</w:t>
      </w:r>
    </w:p>
    <w:p>
      <w:pPr>
        <w:spacing w:after="0" w:line="94" w:lineRule="exact"/>
        <w:rPr>
          <w:sz w:val="20"/>
          <w:szCs w:val="20"/>
          <w:color w:val="auto"/>
        </w:rPr>
      </w:pPr>
    </w:p>
    <w:p>
      <w:pPr>
        <w:jc w:val="both"/>
        <w:ind w:right="240" w:firstLine="556"/>
        <w:spacing w:after="0" w:line="383" w:lineRule="auto"/>
        <w:rPr>
          <w:sz w:val="20"/>
          <w:szCs w:val="20"/>
          <w:color w:val="auto"/>
        </w:rPr>
      </w:pPr>
      <w:r>
        <w:rPr>
          <w:rFonts w:ascii="Arial" w:cs="Arial" w:eastAsia="Arial" w:hAnsi="Arial"/>
          <w:sz w:val="11"/>
          <w:szCs w:val="11"/>
          <w:color w:val="auto"/>
        </w:rPr>
        <w:t>The new and amended standards and interpretations that are issued, but not yet effective, up to the date of issuance of the Group’s financial statements and that might have an impact on the Group’s financial statements are disclosed below. The Group has not early adopted any standards and intends to adopt these new and amended standards and interpretations, if applicable, when they become effective.</w:t>
      </w:r>
    </w:p>
    <w:p>
      <w:pPr>
        <w:sectPr>
          <w:pgSz w:w="11900" w:h="16838" w:orient="portrait"/>
          <w:cols w:equalWidth="0" w:num="1">
            <w:col w:w="11280"/>
          </w:cols>
          <w:pgMar w:left="300" w:top="527" w:right="31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Standards/Interpretations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67880" cy="6223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7167880" cy="6223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Amendments to IFRS 3 Business Combinations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Amendments to IFRS 9, IAS 39 and IFRS 7 Interest Rate Benchmark Reform</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Amendments to IAS 1 and IAS 8 Definition of Material</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Amendments to References to the Conceptual Framework in IFRS Standards</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Amendments to IAS 1 Presentation of Financial Statements: Classification of Liabilities as Current or Non-current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640"/>
        <w:spacing w:after="0"/>
        <w:rPr>
          <w:sz w:val="20"/>
          <w:szCs w:val="20"/>
          <w:color w:val="auto"/>
        </w:rPr>
      </w:pPr>
      <w:r>
        <w:rPr>
          <w:rFonts w:ascii="Arial" w:cs="Arial" w:eastAsia="Arial" w:hAnsi="Arial"/>
          <w:sz w:val="12"/>
          <w:szCs w:val="12"/>
          <w:b w:val="1"/>
          <w:bCs w:val="1"/>
          <w:color w:val="auto"/>
        </w:rPr>
        <w:t>Date of application</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2020</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2020</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2020</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2020</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January 1, 2022</w:t>
      </w:r>
    </w:p>
    <w:p>
      <w:pPr>
        <w:spacing w:after="0" w:line="200" w:lineRule="exact"/>
        <w:rPr>
          <w:sz w:val="20"/>
          <w:szCs w:val="20"/>
          <w:color w:val="auto"/>
        </w:rPr>
      </w:pPr>
    </w:p>
    <w:p>
      <w:pPr>
        <w:sectPr>
          <w:pgSz w:w="11900" w:h="16838" w:orient="portrait"/>
          <w:cols w:equalWidth="0" w:num="2">
            <w:col w:w="8840" w:space="720"/>
            <w:col w:w="1720"/>
          </w:cols>
          <w:pgMar w:left="300" w:top="527" w:right="319" w:bottom="1440" w:gutter="0" w:footer="0" w:header="0"/>
          <w:type w:val="continuous"/>
        </w:sectPr>
      </w:pPr>
    </w:p>
    <w:p>
      <w:pPr>
        <w:spacing w:after="0" w:line="13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 does not expect a significant impact of the application of any of these amendments.</w:t>
      </w:r>
    </w:p>
    <w:p>
      <w:pPr>
        <w:spacing w:after="0" w:line="246" w:lineRule="exact"/>
        <w:rPr>
          <w:sz w:val="20"/>
          <w:szCs w:val="20"/>
          <w:color w:val="auto"/>
        </w:rPr>
      </w:pPr>
    </w:p>
    <w:p>
      <w:pPr>
        <w:ind w:left="800" w:hanging="800"/>
        <w:spacing w:after="0"/>
        <w:tabs>
          <w:tab w:leader="none" w:pos="800" w:val="left"/>
        </w:tabs>
        <w:numPr>
          <w:ilvl w:val="0"/>
          <w:numId w:val="320"/>
        </w:numPr>
        <w:rPr>
          <w:rFonts w:ascii="Arial" w:cs="Arial" w:eastAsia="Arial" w:hAnsi="Arial"/>
          <w:sz w:val="13"/>
          <w:szCs w:val="13"/>
          <w:b w:val="1"/>
          <w:bCs w:val="1"/>
          <w:color w:val="auto"/>
        </w:rPr>
      </w:pPr>
      <w:r>
        <w:rPr>
          <w:rFonts w:ascii="Arial" w:cs="Arial" w:eastAsia="Arial" w:hAnsi="Arial"/>
          <w:sz w:val="13"/>
          <w:szCs w:val="13"/>
          <w:b w:val="1"/>
          <w:bCs w:val="1"/>
          <w:color w:val="auto"/>
        </w:rPr>
        <w:t>Significant Accounting Judgments, Estimates and Assumptions Continued</w:t>
      </w:r>
    </w:p>
    <w:p>
      <w:pPr>
        <w:spacing w:after="0" w:line="94" w:lineRule="exact"/>
        <w:rPr>
          <w:sz w:val="20"/>
          <w:szCs w:val="20"/>
          <w:color w:val="auto"/>
        </w:rPr>
      </w:pPr>
    </w:p>
    <w:p>
      <w:pPr>
        <w:ind w:right="200" w:firstLine="556"/>
        <w:spacing w:after="0" w:line="272" w:lineRule="auto"/>
        <w:rPr>
          <w:sz w:val="20"/>
          <w:szCs w:val="20"/>
          <w:color w:val="auto"/>
        </w:rPr>
      </w:pPr>
      <w:r>
        <w:rPr>
          <w:rFonts w:ascii="Arial" w:cs="Arial" w:eastAsia="Arial" w:hAnsi="Arial"/>
          <w:sz w:val="13"/>
          <w:szCs w:val="13"/>
          <w:color w:val="auto"/>
        </w:rPr>
        <w:t>The preparation of the Group’s consolidated financial statements requires management to make judgements, estimates and assumptions that affect the reported amounts of revenues, expenses, assets and liabilities, the accompanying disclosures, and the disclosure of contingent liabilities. Uncertainty about these assumptions and estimates could result in outcomes that require a material adjustment to the carrying amount of assets or liabilities affected in future periods.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Judgments</w:t>
      </w:r>
    </w:p>
    <w:p>
      <w:pPr>
        <w:spacing w:after="0" w:line="94" w:lineRule="exact"/>
        <w:rPr>
          <w:sz w:val="20"/>
          <w:szCs w:val="20"/>
          <w:color w:val="auto"/>
        </w:rPr>
      </w:pPr>
    </w:p>
    <w:p>
      <w:pPr>
        <w:ind w:right="400" w:firstLine="556"/>
        <w:spacing w:after="0" w:line="287" w:lineRule="auto"/>
        <w:rPr>
          <w:sz w:val="20"/>
          <w:szCs w:val="20"/>
          <w:color w:val="auto"/>
        </w:rPr>
      </w:pPr>
      <w:r>
        <w:rPr>
          <w:rFonts w:ascii="Arial" w:cs="Arial" w:eastAsia="Arial" w:hAnsi="Arial"/>
          <w:sz w:val="13"/>
          <w:szCs w:val="13"/>
          <w:color w:val="auto"/>
        </w:rPr>
        <w:t>In the process of applying the Group’s accounting policies, management has made the following judgments, which have the most significant effect on the amounts recognized in the consolidated financial statements: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Revenue from Contracts with Customers</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BioNTech applied the following judgements that significantly affect the determination of the amount and timing of revenue from contracts with customers: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Identification and Determination of the Nature of Performance Obligations in Collaboration and License Agreements</w:t>
      </w:r>
    </w:p>
    <w:p>
      <w:pPr>
        <w:spacing w:after="0" w:line="90"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auto"/>
        </w:rPr>
        <w:t>BioNTech generates revenues from collaboration and license agreements under which BioNTech grants licenses to use, research, develop, manufacture and commercialize candidates and products. As these agreements comprise several promises, it must be assessed whether these promises are capable of being distinct within the context of the contract. If these promises are not distinct, they have to be combined until the bundle of promised goods and services is distinct. For some agreements, this results in BioNTech accounting for all goods and services promised in a collaboration and license agreement as a single performance obligation with a single measure of progress.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527" w:right="319" w:bottom="1440" w:gutter="0" w:footer="0" w:header="0"/>
          <w:type w:val="continuous"/>
        </w:sectPr>
      </w:pPr>
    </w:p>
    <w:bookmarkStart w:id="284" w:name="page285"/>
    <w:bookmarkEnd w:id="284"/>
    <w:p>
      <w:pPr>
        <w:ind w:right="60" w:firstLine="556"/>
        <w:spacing w:after="0" w:line="272" w:lineRule="auto"/>
        <w:rPr>
          <w:sz w:val="20"/>
          <w:szCs w:val="20"/>
          <w:color w:val="auto"/>
        </w:rPr>
      </w:pPr>
      <w:r>
        <w:rPr>
          <w:rFonts w:ascii="Arial" w:cs="Arial" w:eastAsia="Arial" w:hAnsi="Arial"/>
          <w:sz w:val="13"/>
          <w:szCs w:val="13"/>
          <w:color w:val="auto"/>
        </w:rPr>
        <w:t>For these combined performance obligations, it must be assessed which of these promises is the predominant promise to determine the nature of the performance obligation. BioNTech determined that the grant of the license is the predominant promise within the (combined) performance obligation to grant a license to the customers. It was assessed that BioNTech grants their customers a right to access or a right to use BioNTech’s intellectual property due to the collaboration and license agreements.</w:t>
      </w:r>
    </w:p>
    <w:p>
      <w:pPr>
        <w:spacing w:after="0" w:line="132" w:lineRule="exact"/>
        <w:rPr>
          <w:sz w:val="20"/>
          <w:szCs w:val="20"/>
          <w:color w:val="auto"/>
        </w:rPr>
      </w:pPr>
    </w:p>
    <w:p>
      <w:pPr>
        <w:ind w:right="600" w:firstLine="556"/>
        <w:spacing w:after="0" w:line="287" w:lineRule="auto"/>
        <w:rPr>
          <w:sz w:val="20"/>
          <w:szCs w:val="20"/>
          <w:color w:val="auto"/>
        </w:rPr>
      </w:pPr>
      <w:r>
        <w:rPr>
          <w:rFonts w:ascii="Arial" w:cs="Arial" w:eastAsia="Arial" w:hAnsi="Arial"/>
          <w:sz w:val="13"/>
          <w:szCs w:val="13"/>
          <w:color w:val="auto"/>
        </w:rPr>
        <w:t>Consequently, the promise to grant a license is accounted for as a performance obligation satisfied over time as BioNTech’s customer simultaneously receive and consumes the benefits from BioNTech’s performance.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Estimation of Variable Consideration and Assessment of the Constraint when Determining the Deferred Revenue</w:t>
      </w:r>
    </w:p>
    <w:p>
      <w:pPr>
        <w:spacing w:after="0" w:line="90"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 xml:space="preserve">BioNTech’s collaboration and license agreements comprise variable considerations which are contingent on the occurrence or non-occurrence of a future event </w:t>
      </w:r>
      <w:r>
        <w:rPr>
          <w:rFonts w:ascii="Arial" w:cs="Arial" w:eastAsia="Arial" w:hAnsi="Arial"/>
          <w:sz w:val="13"/>
          <w:szCs w:val="13"/>
          <w:i w:val="1"/>
          <w:iCs w:val="1"/>
          <w:color w:val="auto"/>
        </w:rPr>
        <w:t>(i.e.</w:t>
      </w:r>
      <w:r>
        <w:rPr>
          <w:rFonts w:ascii="Arial" w:cs="Arial" w:eastAsia="Arial" w:hAnsi="Arial"/>
          <w:sz w:val="13"/>
          <w:szCs w:val="13"/>
          <w:color w:val="auto"/>
        </w:rPr>
        <w:t>, reaching a certain milestone). When determining the deferred revenue of a collaboration and license agreement, BioNTech is required to estimate the amount of consideration to which it will be entitled in exchange for transferring the promised goods or services to the customer.</w:t>
      </w:r>
    </w:p>
    <w:p>
      <w:pPr>
        <w:spacing w:after="0" w:line="132" w:lineRule="exact"/>
        <w:rPr>
          <w:sz w:val="20"/>
          <w:szCs w:val="20"/>
          <w:color w:val="auto"/>
        </w:rPr>
      </w:pPr>
    </w:p>
    <w:p>
      <w:pPr>
        <w:ind w:right="460" w:firstLine="556"/>
        <w:spacing w:after="0" w:line="287" w:lineRule="auto"/>
        <w:rPr>
          <w:sz w:val="20"/>
          <w:szCs w:val="20"/>
          <w:color w:val="auto"/>
        </w:rPr>
      </w:pPr>
      <w:r>
        <w:rPr>
          <w:rFonts w:ascii="Arial" w:cs="Arial" w:eastAsia="Arial" w:hAnsi="Arial"/>
          <w:sz w:val="13"/>
          <w:szCs w:val="13"/>
          <w:color w:val="auto"/>
        </w:rPr>
        <w:t>As there are usually only two possible outcomes (</w:t>
      </w:r>
      <w:r>
        <w:rPr>
          <w:rFonts w:ascii="Arial" w:cs="Arial" w:eastAsia="Arial" w:hAnsi="Arial"/>
          <w:sz w:val="13"/>
          <w:szCs w:val="13"/>
          <w:i w:val="1"/>
          <w:iCs w:val="1"/>
          <w:color w:val="auto"/>
        </w:rPr>
        <w:t>i.e.</w:t>
      </w:r>
      <w:r>
        <w:rPr>
          <w:rFonts w:ascii="Arial" w:cs="Arial" w:eastAsia="Arial" w:hAnsi="Arial"/>
          <w:sz w:val="13"/>
          <w:szCs w:val="13"/>
          <w:color w:val="auto"/>
        </w:rPr>
        <w:t>, milestone is reached or not), BioNTech has assessed that the method of the most likely amount is the best method to predict the amount of consideration to which BioNTech will be entitled.</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 xml:space="preserve">The most likely amount of these milestone payments </w:t>
      </w:r>
      <w:r>
        <w:rPr>
          <w:rFonts w:ascii="Arial" w:cs="Arial" w:eastAsia="Arial" w:hAnsi="Arial"/>
          <w:sz w:val="12"/>
          <w:szCs w:val="12"/>
          <w:i w:val="1"/>
          <w:iCs w:val="1"/>
          <w:color w:val="auto"/>
        </w:rPr>
        <w:t>(i.e.</w:t>
      </w:r>
      <w:r>
        <w:rPr>
          <w:rFonts w:ascii="Arial" w:cs="Arial" w:eastAsia="Arial" w:hAnsi="Arial"/>
          <w:sz w:val="12"/>
          <w:szCs w:val="12"/>
          <w:color w:val="auto"/>
        </w:rPr>
        <w:t>, the full milestone payment) is only included in the transaction price if the occurrence of reaching future milestone is highly probable.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BioNTech has assessed that the likelihood of achieving the respective milestone decreases depending on how far the expected date of achieving the milestone lies in the future.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BioNTech has concluded that future milestone payments are fully constrained at the end of the current fiscal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Future milestone payments would become unconstrained at the satisfaction of the milestone event, specifically a development event, a regulatory approval or achievement of a sales milestone.</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carrying amounts of the revenue recognition-related contract balances, see Note 4.</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Estimates and Assumptions</w:t>
      </w:r>
    </w:p>
    <w:p>
      <w:pPr>
        <w:spacing w:after="0" w:line="94"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Share-Based Payments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Determining the fair value of share-based payment transactions requires the most appropriate valuation for the specific program, which depends on the underlying terms and conditions.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This estimate also requires the determination of the most appropriate inputs to the valuation model when calculating the fair value of the share option.</w:t>
      </w:r>
    </w:p>
    <w:p>
      <w:pPr>
        <w:spacing w:after="0" w:line="170" w:lineRule="exact"/>
        <w:rPr>
          <w:sz w:val="20"/>
          <w:szCs w:val="20"/>
          <w:color w:val="auto"/>
        </w:rPr>
      </w:pPr>
    </w:p>
    <w:p>
      <w:pPr>
        <w:ind w:right="80" w:firstLine="556"/>
        <w:spacing w:after="0" w:line="267" w:lineRule="auto"/>
        <w:rPr>
          <w:sz w:val="20"/>
          <w:szCs w:val="20"/>
          <w:color w:val="auto"/>
        </w:rPr>
      </w:pPr>
      <w:r>
        <w:rPr>
          <w:rFonts w:ascii="Arial" w:cs="Arial" w:eastAsia="Arial" w:hAnsi="Arial"/>
          <w:sz w:val="13"/>
          <w:szCs w:val="13"/>
          <w:color w:val="auto"/>
        </w:rPr>
        <w:t xml:space="preserve">The Group has used an external appraisal for the measurement of the cash- and equity-settled transactions’ fair value at the grant date considering certain assumption relating to, </w:t>
      </w:r>
      <w:r>
        <w:rPr>
          <w:rFonts w:ascii="Arial" w:cs="Arial" w:eastAsia="Arial" w:hAnsi="Arial"/>
          <w:sz w:val="13"/>
          <w:szCs w:val="13"/>
          <w:i w:val="1"/>
          <w:iCs w:val="1"/>
          <w:color w:val="auto"/>
        </w:rPr>
        <w:t>e.g.</w:t>
      </w:r>
      <w:r>
        <w:rPr>
          <w:rFonts w:ascii="Arial" w:cs="Arial" w:eastAsia="Arial" w:hAnsi="Arial"/>
          <w:sz w:val="13"/>
          <w:szCs w:val="13"/>
          <w:color w:val="auto"/>
        </w:rPr>
        <w:t>, the volatility of stock price, the determination of an appropriate risk-free interest rate, expected dividends and the probability of reaching a minimum hurdle to exercise the relevant options. For awards which were granted prior to the initial public offering, at a time where no quoted market prices existed, the valuation model assumptions included the option’s underlying share price. For awards which were granted post the initial public offering, the grant date’s share prices on the Nasdaq Global Select Market were included in the valuation.</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further disclosures relating to share-based payments, see Note 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451" w:right="339" w:bottom="1440" w:gutter="0" w:footer="0" w:header="0"/>
        </w:sectPr>
      </w:pPr>
    </w:p>
    <w:bookmarkStart w:id="285" w:name="page286"/>
    <w:bookmarkEnd w:id="285"/>
    <w:p>
      <w:pPr>
        <w:ind w:left="560"/>
        <w:spacing w:after="0"/>
        <w:rPr>
          <w:sz w:val="20"/>
          <w:szCs w:val="20"/>
          <w:color w:val="auto"/>
        </w:rPr>
      </w:pPr>
      <w:r>
        <w:rPr>
          <w:rFonts w:ascii="Arial" w:cs="Arial" w:eastAsia="Arial" w:hAnsi="Arial"/>
          <w:sz w:val="13"/>
          <w:szCs w:val="13"/>
          <w:b w:val="1"/>
          <w:bCs w:val="1"/>
          <w:color w:val="auto"/>
        </w:rPr>
        <w:t>Leases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Right-of-use assets are measured at the amount equal to the lease liability, adjusted by the amount of any prepaid or accrued lease payments relating to that lease.</w:t>
      </w:r>
    </w:p>
    <w:p>
      <w:pPr>
        <w:spacing w:after="0" w:line="170"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Significant accounting judgments are required for the determination of the appropriate incremental borrowing rate, which is to be used in the calculation of the asset and liability that are recognized in the financial statements regarding the lease contracts.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carrying amounts of right-of-use assets and the related lease liability, see Note 19.</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Taxes</w:t>
      </w:r>
    </w:p>
    <w:p>
      <w:pPr>
        <w:spacing w:after="0" w:line="94" w:lineRule="exact"/>
        <w:rPr>
          <w:sz w:val="20"/>
          <w:szCs w:val="20"/>
          <w:color w:val="auto"/>
        </w:rPr>
      </w:pPr>
    </w:p>
    <w:p>
      <w:pPr>
        <w:jc w:val="both"/>
        <w:ind w:right="420" w:firstLine="556"/>
        <w:spacing w:after="0" w:line="331" w:lineRule="auto"/>
        <w:rPr>
          <w:sz w:val="20"/>
          <w:szCs w:val="20"/>
          <w:color w:val="auto"/>
        </w:rPr>
      </w:pPr>
      <w:r>
        <w:rPr>
          <w:rFonts w:ascii="Arial" w:cs="Arial" w:eastAsia="Arial" w:hAnsi="Arial"/>
          <w:sz w:val="12"/>
          <w:szCs w:val="12"/>
          <w:color w:val="auto"/>
        </w:rPr>
        <w:t>Deferred tax assets are recognized for unused tax losses only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w:t>
      </w:r>
    </w:p>
    <w:p>
      <w:pPr>
        <w:spacing w:after="0" w:line="99" w:lineRule="exact"/>
        <w:rPr>
          <w:sz w:val="20"/>
          <w:szCs w:val="20"/>
          <w:color w:val="auto"/>
        </w:rPr>
      </w:pPr>
    </w:p>
    <w:p>
      <w:pPr>
        <w:ind w:right="440" w:firstLine="556"/>
        <w:spacing w:after="0" w:line="287" w:lineRule="auto"/>
        <w:rPr>
          <w:sz w:val="20"/>
          <w:szCs w:val="20"/>
          <w:color w:val="auto"/>
        </w:rPr>
      </w:pPr>
      <w:r>
        <w:rPr>
          <w:rFonts w:ascii="Arial" w:cs="Arial" w:eastAsia="Arial" w:hAnsi="Arial"/>
          <w:sz w:val="13"/>
          <w:szCs w:val="13"/>
          <w:color w:val="auto"/>
        </w:rPr>
        <w:t>The Group has tax losses carried forward and these losses relate to subsidiaries that have a history of losses. The subsidiaries neither have any taxable temporary difference nor any tax planning opportunities available that could partly support the recognition of these losses as deferred tax assets.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On this basis, the Group has determined that it cannot recognize deferred tax assets on the tax losses carried forward.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further disclosures relating to deferred taxes, see Note 8.</w:t>
      </w:r>
    </w:p>
    <w:p>
      <w:pPr>
        <w:spacing w:after="0" w:line="246" w:lineRule="exact"/>
        <w:rPr>
          <w:sz w:val="20"/>
          <w:szCs w:val="20"/>
          <w:color w:val="auto"/>
        </w:rPr>
      </w:pPr>
    </w:p>
    <w:p>
      <w:pPr>
        <w:ind w:left="540" w:hanging="540"/>
        <w:spacing w:after="0"/>
        <w:tabs>
          <w:tab w:leader="none" w:pos="540" w:val="left"/>
        </w:tabs>
        <w:numPr>
          <w:ilvl w:val="0"/>
          <w:numId w:val="321"/>
        </w:numPr>
        <w:rPr>
          <w:rFonts w:ascii="Arial" w:cs="Arial" w:eastAsia="Arial" w:hAnsi="Arial"/>
          <w:sz w:val="13"/>
          <w:szCs w:val="13"/>
          <w:b w:val="1"/>
          <w:bCs w:val="1"/>
          <w:color w:val="auto"/>
        </w:rPr>
      </w:pPr>
      <w:r>
        <w:rPr>
          <w:rFonts w:ascii="Arial" w:cs="Arial" w:eastAsia="Arial" w:hAnsi="Arial"/>
          <w:sz w:val="13"/>
          <w:szCs w:val="13"/>
          <w:b w:val="1"/>
          <w:bCs w:val="1"/>
          <w:color w:val="auto"/>
        </w:rPr>
        <w:t>Revenue from contracts with customers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4.1</w:t>
            </w:r>
          </w:p>
        </w:tc>
        <w:tc>
          <w:tcPr>
            <w:tcW w:w="5720" w:type="dxa"/>
            <w:vAlign w:val="bottom"/>
          </w:tcPr>
          <w:p>
            <w:pPr>
              <w:ind w:left="20"/>
              <w:spacing w:after="0"/>
              <w:rPr>
                <w:sz w:val="20"/>
                <w:szCs w:val="20"/>
                <w:color w:val="auto"/>
              </w:rPr>
            </w:pPr>
            <w:r>
              <w:rPr>
                <w:rFonts w:ascii="Arial" w:cs="Arial" w:eastAsia="Arial" w:hAnsi="Arial"/>
                <w:sz w:val="13"/>
                <w:szCs w:val="13"/>
                <w:b w:val="1"/>
                <w:bCs w:val="1"/>
                <w:color w:val="auto"/>
              </w:rPr>
              <w:t>Disaggregated revenue information</w:t>
            </w: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0"/>
        </w:trPr>
        <w:tc>
          <w:tcPr>
            <w:tcW w:w="6500" w:type="dxa"/>
            <w:vAlign w:val="bottom"/>
            <w:gridSpan w:val="2"/>
          </w:tcPr>
          <w:p>
            <w:pPr>
              <w:ind w:left="560"/>
              <w:spacing w:after="0"/>
              <w:rPr>
                <w:sz w:val="20"/>
                <w:szCs w:val="20"/>
                <w:color w:val="auto"/>
              </w:rPr>
            </w:pPr>
            <w:r>
              <w:rPr>
                <w:rFonts w:ascii="Arial" w:cs="Arial" w:eastAsia="Arial" w:hAnsi="Arial"/>
                <w:sz w:val="13"/>
                <w:szCs w:val="13"/>
                <w:color w:val="auto"/>
              </w:rPr>
              <w:t>Set out below is the disaggregation of the Group’s revenue from contracts with customers:</w:t>
            </w: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7"/>
        </w:trPr>
        <w:tc>
          <w:tcPr>
            <w:tcW w:w="7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r>
      <w:tr>
        <w:trPr>
          <w:trHeight w:val="173"/>
        </w:trPr>
        <w:tc>
          <w:tcPr>
            <w:tcW w:w="7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572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r>
      <w:tr>
        <w:trPr>
          <w:trHeight w:val="160"/>
        </w:trPr>
        <w:tc>
          <w:tcPr>
            <w:tcW w:w="650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Revenues resulting from collaboration and license agreements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€84,428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€101,837</w:t>
            </w:r>
          </w:p>
        </w:tc>
        <w:tc>
          <w:tcPr>
            <w:tcW w:w="1580" w:type="dxa"/>
            <w:vAlign w:val="bottom"/>
          </w:tcPr>
          <w:p>
            <w:pPr>
              <w:jc w:val="right"/>
              <w:spacing w:after="0"/>
              <w:rPr>
                <w:sz w:val="20"/>
                <w:szCs w:val="20"/>
                <w:color w:val="auto"/>
              </w:rPr>
            </w:pPr>
            <w:r>
              <w:rPr>
                <w:rFonts w:ascii="Arial" w:cs="Arial" w:eastAsia="Arial" w:hAnsi="Arial"/>
                <w:sz w:val="13"/>
                <w:szCs w:val="13"/>
                <w:color w:val="auto"/>
              </w:rPr>
              <w:t>€42,333</w:t>
            </w:r>
          </w:p>
        </w:tc>
      </w:tr>
      <w:tr>
        <w:trPr>
          <w:trHeight w:val="170"/>
        </w:trPr>
        <w:tc>
          <w:tcPr>
            <w:tcW w:w="6500" w:type="dxa"/>
            <w:vAlign w:val="bottom"/>
            <w:tcBorders>
              <w:right w:val="single" w:sz="8" w:color="70AD47"/>
            </w:tcBorders>
            <w:gridSpan w:val="2"/>
          </w:tcPr>
          <w:p>
            <w:pPr>
              <w:ind w:left="100"/>
              <w:spacing w:after="0"/>
              <w:rPr>
                <w:sz w:val="20"/>
                <w:szCs w:val="20"/>
                <w:color w:val="auto"/>
              </w:rPr>
            </w:pPr>
            <w:r>
              <w:rPr>
                <w:rFonts w:ascii="Arial" w:cs="Arial" w:eastAsia="Arial" w:hAnsi="Arial"/>
                <w:sz w:val="13"/>
                <w:szCs w:val="13"/>
                <w:i w:val="1"/>
                <w:iCs w:val="1"/>
                <w:color w:val="auto"/>
              </w:rPr>
              <w:t>Genentech Inc.</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i w:val="1"/>
                <w:iCs w:val="1"/>
                <w:color w:val="auto"/>
              </w:rPr>
              <w:t>64,026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i w:val="1"/>
                <w:iCs w:val="1"/>
                <w:color w:val="auto"/>
              </w:rPr>
              <w:t>49,536</w:t>
            </w:r>
          </w:p>
        </w:tc>
        <w:tc>
          <w:tcPr>
            <w:tcW w:w="1580" w:type="dxa"/>
            <w:vAlign w:val="bottom"/>
          </w:tcPr>
          <w:p>
            <w:pPr>
              <w:jc w:val="right"/>
              <w:spacing w:after="0"/>
              <w:rPr>
                <w:sz w:val="20"/>
                <w:szCs w:val="20"/>
                <w:color w:val="auto"/>
              </w:rPr>
            </w:pPr>
            <w:r>
              <w:rPr>
                <w:rFonts w:ascii="Arial" w:cs="Arial" w:eastAsia="Arial" w:hAnsi="Arial"/>
                <w:sz w:val="13"/>
                <w:szCs w:val="13"/>
                <w:i w:val="1"/>
                <w:iCs w:val="1"/>
                <w:color w:val="auto"/>
              </w:rPr>
              <w:t>27,829</w:t>
            </w:r>
          </w:p>
        </w:tc>
      </w:tr>
      <w:tr>
        <w:trPr>
          <w:trHeight w:val="170"/>
        </w:trPr>
        <w:tc>
          <w:tcPr>
            <w:tcW w:w="780" w:type="dxa"/>
            <w:vAlign w:val="bottom"/>
          </w:tcPr>
          <w:p>
            <w:pPr>
              <w:ind w:left="100"/>
              <w:spacing w:after="0"/>
              <w:rPr>
                <w:sz w:val="20"/>
                <w:szCs w:val="20"/>
                <w:color w:val="auto"/>
              </w:rPr>
            </w:pPr>
            <w:r>
              <w:rPr>
                <w:rFonts w:ascii="Arial" w:cs="Arial" w:eastAsia="Arial" w:hAnsi="Arial"/>
                <w:sz w:val="13"/>
                <w:szCs w:val="13"/>
                <w:i w:val="1"/>
                <w:iCs w:val="1"/>
                <w:color w:val="auto"/>
              </w:rPr>
              <w:t>Pfizer Inc.</w:t>
            </w:r>
          </w:p>
        </w:tc>
        <w:tc>
          <w:tcPr>
            <w:tcW w:w="572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i w:val="1"/>
                <w:iCs w:val="1"/>
                <w:color w:val="auto"/>
              </w:rPr>
              <w:t>14,348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i w:val="1"/>
                <w:iCs w:val="1"/>
                <w:color w:val="auto"/>
              </w:rPr>
              <w:t>7,174</w:t>
            </w:r>
          </w:p>
        </w:tc>
        <w:tc>
          <w:tcPr>
            <w:tcW w:w="1580" w:type="dxa"/>
            <w:vAlign w:val="bottom"/>
          </w:tcPr>
          <w:p>
            <w:pPr>
              <w:jc w:val="right"/>
              <w:spacing w:after="0"/>
              <w:rPr>
                <w:sz w:val="20"/>
                <w:szCs w:val="20"/>
                <w:color w:val="auto"/>
              </w:rPr>
            </w:pPr>
            <w:r>
              <w:rPr>
                <w:rFonts w:ascii="Arial" w:cs="Arial" w:eastAsia="Arial" w:hAnsi="Arial"/>
                <w:sz w:val="13"/>
                <w:szCs w:val="13"/>
                <w:i w:val="1"/>
                <w:iCs w:val="1"/>
                <w:color w:val="auto"/>
              </w:rPr>
              <w:t>-</w:t>
            </w:r>
          </w:p>
        </w:tc>
      </w:tr>
      <w:tr>
        <w:trPr>
          <w:trHeight w:val="170"/>
        </w:trPr>
        <w:tc>
          <w:tcPr>
            <w:tcW w:w="780" w:type="dxa"/>
            <w:vAlign w:val="bottom"/>
          </w:tcPr>
          <w:p>
            <w:pPr>
              <w:ind w:left="100"/>
              <w:spacing w:after="0"/>
              <w:rPr>
                <w:sz w:val="20"/>
                <w:szCs w:val="20"/>
                <w:color w:val="auto"/>
              </w:rPr>
            </w:pPr>
            <w:r>
              <w:rPr>
                <w:rFonts w:ascii="Arial" w:cs="Arial" w:eastAsia="Arial" w:hAnsi="Arial"/>
                <w:sz w:val="13"/>
                <w:szCs w:val="13"/>
                <w:i w:val="1"/>
                <w:iCs w:val="1"/>
                <w:color w:val="auto"/>
              </w:rPr>
              <w:t>Sanofi S.A.</w:t>
            </w:r>
          </w:p>
        </w:tc>
        <w:tc>
          <w:tcPr>
            <w:tcW w:w="572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i w:val="1"/>
                <w:iCs w:val="1"/>
                <w:color w:val="auto"/>
              </w:rPr>
              <w:t>4,233</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i w:val="1"/>
                <w:iCs w:val="1"/>
                <w:color w:val="auto"/>
              </w:rPr>
              <w:t>41,712</w:t>
            </w:r>
          </w:p>
        </w:tc>
        <w:tc>
          <w:tcPr>
            <w:tcW w:w="1580" w:type="dxa"/>
            <w:vAlign w:val="bottom"/>
          </w:tcPr>
          <w:p>
            <w:pPr>
              <w:jc w:val="right"/>
              <w:spacing w:after="0"/>
              <w:rPr>
                <w:sz w:val="20"/>
                <w:szCs w:val="20"/>
                <w:color w:val="auto"/>
              </w:rPr>
            </w:pPr>
            <w:r>
              <w:rPr>
                <w:rFonts w:ascii="Arial" w:cs="Arial" w:eastAsia="Arial" w:hAnsi="Arial"/>
                <w:sz w:val="13"/>
                <w:szCs w:val="13"/>
                <w:i w:val="1"/>
                <w:iCs w:val="1"/>
                <w:color w:val="auto"/>
              </w:rPr>
              <w:t>5,665</w:t>
            </w:r>
          </w:p>
        </w:tc>
      </w:tr>
      <w:tr>
        <w:trPr>
          <w:trHeight w:val="170"/>
        </w:trPr>
        <w:tc>
          <w:tcPr>
            <w:tcW w:w="780" w:type="dxa"/>
            <w:vAlign w:val="bottom"/>
          </w:tcPr>
          <w:p>
            <w:pPr>
              <w:ind w:left="100"/>
              <w:spacing w:after="0"/>
              <w:rPr>
                <w:sz w:val="20"/>
                <w:szCs w:val="20"/>
                <w:color w:val="auto"/>
              </w:rPr>
            </w:pPr>
            <w:r>
              <w:rPr>
                <w:rFonts w:ascii="Arial" w:cs="Arial" w:eastAsia="Arial" w:hAnsi="Arial"/>
                <w:sz w:val="13"/>
                <w:szCs w:val="13"/>
                <w:i w:val="1"/>
                <w:iCs w:val="1"/>
                <w:color w:val="auto"/>
                <w:w w:val="88"/>
              </w:rPr>
              <w:t>Genmab A/S</w:t>
            </w:r>
          </w:p>
        </w:tc>
        <w:tc>
          <w:tcPr>
            <w:tcW w:w="572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i w:val="1"/>
                <w:iCs w:val="1"/>
                <w:color w:val="auto"/>
              </w:rPr>
              <w:t>-</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i w:val="1"/>
                <w:iCs w:val="1"/>
                <w:color w:val="auto"/>
              </w:rPr>
              <w:t>2,740</w:t>
            </w:r>
          </w:p>
        </w:tc>
        <w:tc>
          <w:tcPr>
            <w:tcW w:w="1580" w:type="dxa"/>
            <w:vAlign w:val="bottom"/>
          </w:tcPr>
          <w:p>
            <w:pPr>
              <w:jc w:val="right"/>
              <w:spacing w:after="0"/>
              <w:rPr>
                <w:sz w:val="20"/>
                <w:szCs w:val="20"/>
                <w:color w:val="auto"/>
              </w:rPr>
            </w:pPr>
            <w:r>
              <w:rPr>
                <w:rFonts w:ascii="Arial" w:cs="Arial" w:eastAsia="Arial" w:hAnsi="Arial"/>
                <w:sz w:val="13"/>
                <w:szCs w:val="13"/>
                <w:i w:val="1"/>
                <w:iCs w:val="1"/>
                <w:color w:val="auto"/>
              </w:rPr>
              <w:t>6,765</w:t>
            </w:r>
          </w:p>
        </w:tc>
      </w:tr>
      <w:tr>
        <w:trPr>
          <w:trHeight w:val="170"/>
        </w:trPr>
        <w:tc>
          <w:tcPr>
            <w:tcW w:w="6500" w:type="dxa"/>
            <w:vAlign w:val="bottom"/>
            <w:tcBorders>
              <w:right w:val="single" w:sz="8" w:color="70AD47"/>
            </w:tcBorders>
            <w:gridSpan w:val="2"/>
          </w:tcPr>
          <w:p>
            <w:pPr>
              <w:ind w:left="100"/>
              <w:spacing w:after="0"/>
              <w:rPr>
                <w:sz w:val="20"/>
                <w:szCs w:val="20"/>
                <w:color w:val="auto"/>
              </w:rPr>
            </w:pPr>
            <w:r>
              <w:rPr>
                <w:rFonts w:ascii="Arial" w:cs="Arial" w:eastAsia="Arial" w:hAnsi="Arial"/>
                <w:sz w:val="13"/>
                <w:szCs w:val="13"/>
                <w:i w:val="1"/>
                <w:iCs w:val="1"/>
                <w:color w:val="auto"/>
              </w:rPr>
              <w:t>Eli Lilly and Company</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i w:val="1"/>
                <w:iCs w:val="1"/>
                <w:color w:val="auto"/>
              </w:rPr>
              <w:t>1,821</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i w:val="1"/>
                <w:iCs w:val="1"/>
                <w:color w:val="auto"/>
              </w:rPr>
              <w:t>676</w:t>
            </w:r>
          </w:p>
        </w:tc>
        <w:tc>
          <w:tcPr>
            <w:tcW w:w="1580" w:type="dxa"/>
            <w:vAlign w:val="bottom"/>
          </w:tcPr>
          <w:p>
            <w:pPr>
              <w:jc w:val="right"/>
              <w:spacing w:after="0"/>
              <w:rPr>
                <w:sz w:val="20"/>
                <w:szCs w:val="20"/>
                <w:color w:val="auto"/>
              </w:rPr>
            </w:pPr>
            <w:r>
              <w:rPr>
                <w:rFonts w:ascii="Arial" w:cs="Arial" w:eastAsia="Arial" w:hAnsi="Arial"/>
                <w:sz w:val="13"/>
                <w:szCs w:val="13"/>
                <w:i w:val="1"/>
                <w:iCs w:val="1"/>
                <w:color w:val="auto"/>
              </w:rPr>
              <w:t>2,074</w:t>
            </w:r>
          </w:p>
        </w:tc>
      </w:tr>
      <w:tr>
        <w:trPr>
          <w:trHeight w:val="170"/>
        </w:trPr>
        <w:tc>
          <w:tcPr>
            <w:tcW w:w="650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Revenues from other sales transactions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24,161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25,738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19,265</w:t>
            </w: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572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€108,589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€127,575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€61,598</w:t>
            </w:r>
          </w:p>
        </w:tc>
      </w:tr>
    </w:tbl>
    <w:p>
      <w:pPr>
        <w:spacing w:after="0" w:line="231" w:lineRule="exact"/>
        <w:rPr>
          <w:sz w:val="20"/>
          <w:szCs w:val="20"/>
          <w:color w:val="auto"/>
        </w:rPr>
      </w:pPr>
    </w:p>
    <w:p>
      <w:pPr>
        <w:ind w:right="360" w:firstLine="554"/>
        <w:spacing w:after="0" w:line="267" w:lineRule="auto"/>
        <w:rPr>
          <w:sz w:val="20"/>
          <w:szCs w:val="20"/>
          <w:color w:val="auto"/>
        </w:rPr>
      </w:pPr>
      <w:r>
        <w:rPr>
          <w:rFonts w:ascii="Arial" w:cs="Arial" w:eastAsia="Arial" w:hAnsi="Arial"/>
          <w:sz w:val="13"/>
          <w:szCs w:val="13"/>
          <w:color w:val="auto"/>
        </w:rPr>
        <w:t>Through December 31, 2019, BioNTech received k€279,542 in upfront fees from Genentech under the Genentech Collaboration Agreement. Such amounts are initially deferred and subsequently recognized as revenue as the Company performs under the agreement and measured based on the costs incurred under the respective research programs. Of these upfront fees, k€64,026 was recognized as revenue in the year ended December 31, 2019 (k€49,536 in 2018; k€27,829 in 2017). As of December 31, 2019, k€131,556 upfront fees is recognized as deferred revenue within contract liabilities in the statement of financial position (as of December 31, 2018: k€195,582).</w:t>
      </w:r>
    </w:p>
    <w:p>
      <w:pPr>
        <w:spacing w:after="0" w:line="135" w:lineRule="exact"/>
        <w:rPr>
          <w:sz w:val="20"/>
          <w:szCs w:val="20"/>
          <w:color w:val="auto"/>
        </w:rPr>
      </w:pPr>
    </w:p>
    <w:p>
      <w:pPr>
        <w:ind w:right="20" w:firstLine="556"/>
        <w:spacing w:after="0" w:line="267" w:lineRule="auto"/>
        <w:rPr>
          <w:sz w:val="20"/>
          <w:szCs w:val="20"/>
          <w:color w:val="auto"/>
        </w:rPr>
      </w:pPr>
      <w:r>
        <w:rPr>
          <w:rFonts w:ascii="Arial" w:cs="Arial" w:eastAsia="Arial" w:hAnsi="Arial"/>
          <w:sz w:val="13"/>
          <w:szCs w:val="13"/>
          <w:color w:val="auto"/>
        </w:rPr>
        <w:t>Through December 31, 2019, BioNTech received k€59,560 in upfront and near-term milestone payments from Sanofi under the Sanofi Agreement. Such amounts are initially deferred and subsequently recognized as revenue as the Company performs under the agreement and measured based on the costs incurred under the respective research programs. Of these upfront fees, k€4,233 was recognized as revenue in the year ended December 31, 2019 (k€8,535 in 2018; k€5,665 in 2017). As of December 31, 2019, k€34,483 upfront fees is recognized as deferred revenue within contract liabilities in the statement of financial position (as of December 31, 2018: k€38,716). During the year ended December 31, 2018, BioNTech</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286" w:name="page287"/>
    <w:bookmarkEnd w:id="286"/>
    <w:p>
      <w:pPr>
        <w:spacing w:after="0"/>
        <w:rPr>
          <w:sz w:val="20"/>
          <w:szCs w:val="20"/>
          <w:color w:val="auto"/>
        </w:rPr>
      </w:pPr>
      <w:r>
        <w:rPr>
          <w:rFonts w:ascii="Arial" w:cs="Arial" w:eastAsia="Arial" w:hAnsi="Arial"/>
          <w:sz w:val="13"/>
          <w:szCs w:val="13"/>
          <w:color w:val="auto"/>
        </w:rPr>
        <w:t>recognized k€33,177 of revenue from Sanofi for reimbursement of 50% of Cellscript sublicense costs pursuant to a separate sub-sublicense agreement dated December 22, 2018.</w:t>
      </w:r>
    </w:p>
    <w:p>
      <w:pPr>
        <w:spacing w:after="0" w:line="170" w:lineRule="exact"/>
        <w:rPr>
          <w:sz w:val="20"/>
          <w:szCs w:val="20"/>
          <w:color w:val="auto"/>
        </w:rPr>
      </w:pPr>
    </w:p>
    <w:p>
      <w:pPr>
        <w:ind w:right="60" w:firstLine="556"/>
        <w:spacing w:after="0" w:line="267" w:lineRule="auto"/>
        <w:rPr>
          <w:sz w:val="20"/>
          <w:szCs w:val="20"/>
          <w:color w:val="auto"/>
        </w:rPr>
      </w:pPr>
      <w:r>
        <w:rPr>
          <w:rFonts w:ascii="Arial" w:cs="Arial" w:eastAsia="Arial" w:hAnsi="Arial"/>
          <w:sz w:val="13"/>
          <w:szCs w:val="13"/>
          <w:color w:val="auto"/>
        </w:rPr>
        <w:t>Through December 31, 2019, BioNTech received k€43,044 in upfront fees from Pfizer under the Pfizer Collaboration Agreement. Such amounts are initially deferred and subsequently recognized as revenue as BioNTech performs under the agreement and measured based on the time elapsed under the respective research programs. Of these upfront fees, k€14,348 was recognized as revenue in the year ended December 31, 2019 (k€7,174 in 2018). As of December 31, 2019, k€21,522 upfront fees is recognized as deferred revenue within contract liabilities in the statement of financial position (as of December 31, 2018: k€35,870).</w:t>
      </w:r>
    </w:p>
    <w:p>
      <w:pPr>
        <w:sectPr>
          <w:pgSz w:w="11900" w:h="16838" w:orient="portrait"/>
          <w:cols w:equalWidth="0" w:num="1">
            <w:col w:w="11300"/>
          </w:cols>
          <w:pgMar w:left="300" w:top="451" w:right="299" w:bottom="1440"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60" w:type="dxa"/>
            <w:vAlign w:val="bottom"/>
            <w:gridSpan w:val="2"/>
          </w:tcPr>
          <w:p>
            <w:pPr>
              <w:ind w:left="560"/>
              <w:spacing w:after="0"/>
              <w:rPr>
                <w:sz w:val="20"/>
                <w:szCs w:val="20"/>
                <w:color w:val="auto"/>
              </w:rPr>
            </w:pPr>
            <w:r>
              <w:rPr>
                <w:rFonts w:ascii="Arial" w:cs="Arial" w:eastAsia="Arial" w:hAnsi="Arial"/>
                <w:sz w:val="13"/>
                <w:szCs w:val="13"/>
                <w:color w:val="auto"/>
                <w:w w:val="94"/>
              </w:rPr>
              <w:t>The transactions resulting from product sales that are included within the revenue from other sales transactions are as follows:</w:t>
            </w: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17"/>
        </w:trPr>
        <w:tc>
          <w:tcPr>
            <w:tcW w:w="6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jc w:val="right"/>
              <w:ind w:right="373"/>
              <w:spacing w:after="0"/>
              <w:rPr>
                <w:sz w:val="20"/>
                <w:szCs w:val="20"/>
                <w:color w:val="auto"/>
              </w:rPr>
            </w:pPr>
            <w:r>
              <w:rPr>
                <w:rFonts w:ascii="Arial" w:cs="Arial" w:eastAsia="Arial" w:hAnsi="Arial"/>
                <w:sz w:val="13"/>
                <w:szCs w:val="13"/>
                <w:b w:val="1"/>
                <w:bCs w:val="1"/>
                <w:color w:val="auto"/>
              </w:rPr>
              <w:t>Years ended</w:t>
            </w:r>
          </w:p>
        </w:tc>
      </w:tr>
      <w:tr>
        <w:trPr>
          <w:trHeight w:val="173"/>
        </w:trPr>
        <w:tc>
          <w:tcPr>
            <w:tcW w:w="6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960" w:type="dxa"/>
            <w:vAlign w:val="bottom"/>
            <w:shd w:val="clear" w:color="auto" w:fill="C6E0B4"/>
          </w:tcPr>
          <w:p>
            <w:pPr>
              <w:spacing w:after="0"/>
              <w:rPr>
                <w:sz w:val="15"/>
                <w:szCs w:val="15"/>
                <w:color w:val="auto"/>
              </w:rPr>
            </w:pPr>
          </w:p>
        </w:tc>
        <w:tc>
          <w:tcPr>
            <w:tcW w:w="6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r>
      <w:tr>
        <w:trPr>
          <w:trHeight w:val="177"/>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Product sales of JPT Peptide Technologies GmbH</w:t>
            </w:r>
          </w:p>
        </w:tc>
        <w:tc>
          <w:tcPr>
            <w:tcW w:w="960" w:type="dxa"/>
            <w:vAlign w:val="bottom"/>
            <w:shd w:val="clear" w:color="auto" w:fill="C6E0B4"/>
          </w:tcPr>
          <w:p>
            <w:pPr>
              <w:spacing w:after="0"/>
              <w:rPr>
                <w:sz w:val="15"/>
                <w:szCs w:val="15"/>
                <w:color w:val="auto"/>
              </w:rPr>
            </w:pPr>
          </w:p>
        </w:tc>
        <w:tc>
          <w:tcPr>
            <w:tcW w:w="6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€12,111</w:t>
            </w:r>
          </w:p>
        </w:tc>
        <w:tc>
          <w:tcPr>
            <w:tcW w:w="1560" w:type="dxa"/>
            <w:vAlign w:val="bottom"/>
          </w:tcPr>
          <w:p>
            <w:pPr>
              <w:jc w:val="right"/>
              <w:spacing w:after="0"/>
              <w:rPr>
                <w:sz w:val="20"/>
                <w:szCs w:val="20"/>
                <w:color w:val="auto"/>
              </w:rPr>
            </w:pPr>
            <w:r>
              <w:rPr>
                <w:rFonts w:ascii="Arial" w:cs="Arial" w:eastAsia="Arial" w:hAnsi="Arial"/>
                <w:sz w:val="13"/>
                <w:szCs w:val="13"/>
                <w:color w:val="auto"/>
              </w:rPr>
              <w:t>€10,748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67880" cy="2222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7167880" cy="222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2017</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€10,652</w:t>
      </w:r>
    </w:p>
    <w:p>
      <w:pPr>
        <w:spacing w:after="0" w:line="230" w:lineRule="exact"/>
        <w:rPr>
          <w:sz w:val="20"/>
          <w:szCs w:val="20"/>
          <w:color w:val="auto"/>
        </w:rPr>
      </w:pPr>
    </w:p>
    <w:p>
      <w:pPr>
        <w:sectPr>
          <w:pgSz w:w="11900" w:h="16838" w:orient="portrait"/>
          <w:cols w:equalWidth="0" w:num="2">
            <w:col w:w="10120" w:space="720"/>
            <w:col w:w="460"/>
          </w:cols>
          <w:pgMar w:left="300" w:top="451" w:right="299" w:bottom="1440" w:gutter="0" w:footer="0" w:header="0"/>
          <w:type w:val="continuous"/>
        </w:sectPr>
      </w:pPr>
    </w:p>
    <w:p>
      <w:pPr>
        <w:spacing w:after="0" w:line="31" w:lineRule="exact"/>
        <w:rPr>
          <w:sz w:val="20"/>
          <w:szCs w:val="20"/>
          <w:color w:val="auto"/>
        </w:rPr>
      </w:pPr>
    </w:p>
    <w:p>
      <w:pPr>
        <w:ind w:right="580" w:firstLine="554"/>
        <w:spacing w:after="0" w:line="287" w:lineRule="auto"/>
        <w:rPr>
          <w:sz w:val="20"/>
          <w:szCs w:val="20"/>
          <w:color w:val="auto"/>
        </w:rPr>
      </w:pPr>
      <w:r>
        <w:rPr>
          <w:rFonts w:ascii="Arial" w:cs="Arial" w:eastAsia="Arial" w:hAnsi="Arial"/>
          <w:sz w:val="13"/>
          <w:szCs w:val="13"/>
          <w:color w:val="auto"/>
        </w:rPr>
        <w:t>During the year ended December 31, 2019, BioNTech recognized revenue of k€1,059 under a bill-and-hold transaction for which the customer already had obtained control. The bill-and-hold arrangement is substantive since the request to retain the product in BioNTech’s facilities until January 2020 was initiated by the customer.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4.2</w:t>
            </w:r>
          </w:p>
        </w:tc>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Contract Balances</w:t>
            </w: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13"/>
                <w:szCs w:val="13"/>
                <w:color w:val="auto"/>
              </w:rPr>
            </w:pPr>
          </w:p>
        </w:tc>
        <w:tc>
          <w:tcPr>
            <w:tcW w:w="732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7320" w:type="dxa"/>
            <w:vAlign w:val="bottom"/>
            <w:tcBorders>
              <w:bottom w:val="single" w:sz="8" w:color="70AD47"/>
              <w:right w:val="single" w:sz="8" w:color="70AD47"/>
            </w:tcBorders>
          </w:tcPr>
          <w:p>
            <w:pPr>
              <w:spacing w:after="0"/>
              <w:rPr>
                <w:sz w:val="15"/>
                <w:szCs w:val="15"/>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0"/>
        </w:trPr>
        <w:tc>
          <w:tcPr>
            <w:tcW w:w="810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Trade receivables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€11,913</w:t>
            </w:r>
          </w:p>
        </w:tc>
        <w:tc>
          <w:tcPr>
            <w:tcW w:w="1580" w:type="dxa"/>
            <w:vAlign w:val="bottom"/>
          </w:tcPr>
          <w:p>
            <w:pPr>
              <w:jc w:val="right"/>
              <w:spacing w:after="0"/>
              <w:rPr>
                <w:sz w:val="20"/>
                <w:szCs w:val="20"/>
                <w:color w:val="auto"/>
              </w:rPr>
            </w:pPr>
            <w:r>
              <w:rPr>
                <w:rFonts w:ascii="Arial" w:cs="Arial" w:eastAsia="Arial" w:hAnsi="Arial"/>
                <w:sz w:val="13"/>
                <w:szCs w:val="13"/>
                <w:color w:val="auto"/>
              </w:rPr>
              <w:t>€18,938</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Contract liabilities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190,692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271,674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Trade receivables are non-interest bearing and are generally settled within 20 to 30 days.</w:t>
      </w:r>
    </w:p>
    <w:p>
      <w:pPr>
        <w:spacing w:after="0" w:line="170" w:lineRule="exact"/>
        <w:rPr>
          <w:sz w:val="20"/>
          <w:szCs w:val="20"/>
          <w:color w:val="auto"/>
        </w:rPr>
      </w:pPr>
    </w:p>
    <w:p>
      <w:pPr>
        <w:ind w:right="280" w:firstLine="556"/>
        <w:spacing w:after="0" w:line="272" w:lineRule="auto"/>
        <w:rPr>
          <w:sz w:val="20"/>
          <w:szCs w:val="20"/>
          <w:color w:val="auto"/>
        </w:rPr>
      </w:pPr>
      <w:r>
        <w:rPr>
          <w:rFonts w:ascii="Arial" w:cs="Arial" w:eastAsia="Arial" w:hAnsi="Arial"/>
          <w:sz w:val="13"/>
          <w:szCs w:val="13"/>
          <w:color w:val="auto"/>
        </w:rPr>
        <w:t>Contract assets are recognized for revenue earned from sales and services based on individual customer contracts of BioNTech Innovative Manufacturing Services GmbH. However, the customers’ advance payments exceeded BioNTech’s transferred goods and services for which a conditional right to consideration exists. Therefore, only contract liabilities net of contract assets are presented as per December 31, 2019 and December 31, 2018, respectively.</w:t>
      </w:r>
    </w:p>
    <w:p>
      <w:pPr>
        <w:spacing w:after="0" w:line="132" w:lineRule="exact"/>
        <w:rPr>
          <w:sz w:val="20"/>
          <w:szCs w:val="20"/>
          <w:color w:val="auto"/>
        </w:rPr>
      </w:pPr>
    </w:p>
    <w:p>
      <w:pPr>
        <w:ind w:right="20" w:firstLine="556"/>
        <w:spacing w:after="0" w:line="264" w:lineRule="auto"/>
        <w:rPr>
          <w:sz w:val="20"/>
          <w:szCs w:val="20"/>
          <w:color w:val="auto"/>
        </w:rPr>
      </w:pPr>
      <w:r>
        <w:rPr>
          <w:rFonts w:ascii="Arial" w:cs="Arial" w:eastAsia="Arial" w:hAnsi="Arial"/>
          <w:sz w:val="13"/>
          <w:szCs w:val="13"/>
          <w:color w:val="auto"/>
        </w:rPr>
        <w:t>Contract liabilities include mainly upfront fees received from BioNTech’s major collaboration and license agreements. The outstanding balances of these accounts decreased during the year ended December 31, 2019 as revenues resulting from these agreements exceeded further payments received from the collaborators due to the achievement of milestones. During the year ended December 31, 2019, BioNTech did not receive upfront fees or an unconditional right of consideration from the collaboration and license agreements (year ended December 31, 2018: k€41,120) and recognized revenues resulting from collaboration and license agreements of k€82,607 (during the year ended December 31, 2018: k€65,068), which reduced the contract liabilities. In addition, during the year ended December 31, 2019, a milestone payment of k€1,821 was received from the Eli Lilly and Company collaboration agreement and recorded as revenue.</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Set out below is the amount of revenue recognized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45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456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9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r>
      <w:tr>
        <w:trPr>
          <w:trHeight w:val="160"/>
        </w:trPr>
        <w:tc>
          <w:tcPr>
            <w:tcW w:w="456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Amounts included in contract liabilities at the beginning of the year</w:t>
            </w:r>
          </w:p>
        </w:tc>
        <w:tc>
          <w:tcPr>
            <w:tcW w:w="194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€82,607</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€65,068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€40,428</w:t>
            </w:r>
          </w:p>
        </w:tc>
        <w:tc>
          <w:tcPr>
            <w:tcW w:w="20" w:type="dxa"/>
            <w:vAlign w:val="bottom"/>
          </w:tcPr>
          <w:p>
            <w:pPr>
              <w:spacing w:after="0"/>
              <w:rPr>
                <w:sz w:val="13"/>
                <w:szCs w:val="13"/>
                <w:color w:val="auto"/>
              </w:rPr>
            </w:pPr>
          </w:p>
        </w:tc>
      </w:tr>
      <w:tr>
        <w:trPr>
          <w:trHeight w:val="470"/>
        </w:trPr>
        <w:tc>
          <w:tcPr>
            <w:tcW w:w="4560" w:type="dxa"/>
            <w:vAlign w:val="bottom"/>
          </w:tcPr>
          <w:p>
            <w:pPr>
              <w:spacing w:after="0"/>
              <w:rPr>
                <w:sz w:val="24"/>
                <w:szCs w:val="24"/>
                <w:color w:val="auto"/>
              </w:rPr>
            </w:pPr>
          </w:p>
        </w:tc>
        <w:tc>
          <w:tcPr>
            <w:tcW w:w="3540" w:type="dxa"/>
            <w:vAlign w:val="bottom"/>
            <w:gridSpan w:val="2"/>
          </w:tcPr>
          <w:p>
            <w:pPr>
              <w:jc w:val="right"/>
              <w:ind w:right="2273"/>
              <w:spacing w:after="0"/>
              <w:rPr>
                <w:sz w:val="20"/>
                <w:szCs w:val="20"/>
                <w:color w:val="auto"/>
              </w:rPr>
            </w:pPr>
            <w:r>
              <w:rPr>
                <w:rFonts w:ascii="Arial" w:cs="Arial" w:eastAsia="Arial" w:hAnsi="Arial"/>
                <w:sz w:val="13"/>
                <w:szCs w:val="13"/>
                <w:color w:val="auto"/>
              </w:rPr>
              <w:t>F-23</w:t>
            </w: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456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451" w:right="299" w:bottom="1440" w:gutter="0" w:footer="0" w:header="0"/>
          <w:type w:val="continuous"/>
        </w:sectPr>
      </w:pPr>
    </w:p>
    <w:bookmarkStart w:id="287" w:name="page288"/>
    <w:bookmarkEnd w:id="287"/>
    <w:p>
      <w:pPr>
        <w:spacing w:after="0"/>
        <w:tabs>
          <w:tab w:leader="none" w:pos="780" w:val="left"/>
        </w:tabs>
        <w:rPr>
          <w:sz w:val="20"/>
          <w:szCs w:val="20"/>
          <w:color w:val="auto"/>
        </w:rPr>
      </w:pPr>
      <w:r>
        <w:rPr>
          <w:rFonts w:ascii="Arial" w:cs="Arial" w:eastAsia="Arial" w:hAnsi="Arial"/>
          <w:sz w:val="13"/>
          <w:szCs w:val="13"/>
          <w:b w:val="1"/>
          <w:bCs w:val="1"/>
          <w:color w:val="auto"/>
        </w:rPr>
        <w:t>4.3</w:t>
      </w:r>
      <w:r>
        <w:rPr>
          <w:sz w:val="20"/>
          <w:szCs w:val="20"/>
          <w:color w:val="auto"/>
        </w:rPr>
        <w:tab/>
      </w:r>
      <w:r>
        <w:rPr>
          <w:rFonts w:ascii="Arial" w:cs="Arial" w:eastAsia="Arial" w:hAnsi="Arial"/>
          <w:sz w:val="12"/>
          <w:szCs w:val="12"/>
          <w:b w:val="1"/>
          <w:bCs w:val="1"/>
          <w:color w:val="auto"/>
        </w:rPr>
        <w:t>Performance Obligations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Information about BioNTech’s performance obligations is summarized below:</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Collaboration and License Agreements</w:t>
      </w:r>
    </w:p>
    <w:p>
      <w:pPr>
        <w:spacing w:after="0" w:line="94" w:lineRule="exact"/>
        <w:rPr>
          <w:sz w:val="20"/>
          <w:szCs w:val="20"/>
          <w:color w:val="auto"/>
        </w:rPr>
      </w:pPr>
    </w:p>
    <w:p>
      <w:pPr>
        <w:ind w:right="120" w:firstLine="556"/>
        <w:spacing w:after="0" w:line="291" w:lineRule="auto"/>
        <w:rPr>
          <w:sz w:val="20"/>
          <w:szCs w:val="20"/>
          <w:color w:val="auto"/>
        </w:rPr>
      </w:pPr>
      <w:r>
        <w:rPr>
          <w:rFonts w:ascii="Arial" w:cs="Arial" w:eastAsia="Arial" w:hAnsi="Arial"/>
          <w:sz w:val="12"/>
          <w:szCs w:val="12"/>
          <w:color w:val="auto"/>
        </w:rPr>
        <w:t>BioNTech accounts for its promises to grant licenses as performance obligations satisfied over time as the customers simultaneously receive and consume the benefit of BioNTech’s performance of providing access to its intellectual property as the performance occurs. BioNTech recognizes revenue over time by measuring the progress toward complete satisfaction of that performance obligation according to the method that demonstrates BioNTech’s performance towards complete satisfaction. In contracts in which the costs vary based on the stage of research, an input-based measure considering cost incurred depicts most reliably the progress of the related research activities. In other contracts, revenue recognition on a straight-line basis most reliably depicts BioNTech’s performance toward complete satisfaction. In case the contractual activities progress, the achievement of development milestones will be used to measure the progress toward complete satisfaction.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00" w:type="dxa"/>
            <w:vAlign w:val="bottom"/>
          </w:tcPr>
          <w:p>
            <w:pPr>
              <w:ind w:left="560"/>
              <w:spacing w:after="0"/>
              <w:rPr>
                <w:sz w:val="20"/>
                <w:szCs w:val="20"/>
                <w:color w:val="auto"/>
              </w:rPr>
            </w:pPr>
            <w:r>
              <w:rPr>
                <w:rFonts w:ascii="Arial" w:cs="Arial" w:eastAsia="Arial" w:hAnsi="Arial"/>
                <w:sz w:val="13"/>
                <w:szCs w:val="13"/>
                <w:color w:val="auto"/>
                <w:w w:val="94"/>
              </w:rPr>
              <w:t>The deferred revenue allocated to the remaining performance obligations (unsatisfied or partially unsatisfied) as at year-end are as follows:</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810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0"/>
        </w:trPr>
        <w:tc>
          <w:tcPr>
            <w:tcW w:w="81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Within one year</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€90,453</w:t>
            </w:r>
          </w:p>
        </w:tc>
        <w:tc>
          <w:tcPr>
            <w:tcW w:w="1580" w:type="dxa"/>
            <w:vAlign w:val="bottom"/>
          </w:tcPr>
          <w:p>
            <w:pPr>
              <w:jc w:val="right"/>
              <w:spacing w:after="0"/>
              <w:rPr>
                <w:sz w:val="20"/>
                <w:szCs w:val="20"/>
                <w:color w:val="auto"/>
              </w:rPr>
            </w:pPr>
            <w:r>
              <w:rPr>
                <w:rFonts w:ascii="Arial" w:cs="Arial" w:eastAsia="Arial" w:hAnsi="Arial"/>
                <w:sz w:val="13"/>
                <w:szCs w:val="13"/>
                <w:color w:val="auto"/>
              </w:rPr>
              <w:t>€64,522</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More than one year</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97,109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205,647</w:t>
            </w:r>
          </w:p>
        </w:tc>
        <w:tc>
          <w:tcPr>
            <w:tcW w:w="0" w:type="dxa"/>
            <w:vAlign w:val="bottom"/>
          </w:tcPr>
          <w:p>
            <w:pPr>
              <w:spacing w:after="0"/>
              <w:rPr>
                <w:sz w:val="1"/>
                <w:szCs w:val="1"/>
                <w:color w:val="auto"/>
              </w:rPr>
            </w:pPr>
          </w:p>
        </w:tc>
      </w:tr>
      <w:tr>
        <w:trPr>
          <w:trHeight w:val="16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€187,562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€270,169</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300" w:firstLine="554"/>
        <w:spacing w:after="0" w:line="272" w:lineRule="auto"/>
        <w:rPr>
          <w:sz w:val="20"/>
          <w:szCs w:val="20"/>
          <w:color w:val="auto"/>
        </w:rPr>
      </w:pPr>
      <w:r>
        <w:rPr>
          <w:rFonts w:ascii="Arial" w:cs="Arial" w:eastAsia="Arial" w:hAnsi="Arial"/>
          <w:sz w:val="13"/>
          <w:szCs w:val="13"/>
          <w:color w:val="auto"/>
        </w:rPr>
        <w:t>The deferred revenue allocated to the remaining performance obligations does not contain deferred revenues of performance obligations which are part of contracts that have an original expected duration of one year or less or of performance obligations for which the consideration from the customer corresponds directly to the value to the customer of BioNTech’s performance to date at an amount of k€3,130 (December 31, 2018: k€1,505).</w:t>
      </w:r>
    </w:p>
    <w:p>
      <w:pPr>
        <w:spacing w:after="0" w:line="208" w:lineRule="exact"/>
        <w:rPr>
          <w:sz w:val="20"/>
          <w:szCs w:val="20"/>
          <w:color w:val="auto"/>
        </w:rPr>
      </w:pPr>
    </w:p>
    <w:p>
      <w:pPr>
        <w:ind w:left="800" w:hanging="800"/>
        <w:spacing w:after="0"/>
        <w:tabs>
          <w:tab w:leader="none" w:pos="800" w:val="left"/>
        </w:tabs>
        <w:numPr>
          <w:ilvl w:val="0"/>
          <w:numId w:val="322"/>
        </w:numPr>
        <w:rPr>
          <w:rFonts w:ascii="Arial" w:cs="Arial" w:eastAsia="Arial" w:hAnsi="Arial"/>
          <w:sz w:val="13"/>
          <w:szCs w:val="13"/>
          <w:b w:val="1"/>
          <w:bCs w:val="1"/>
          <w:color w:val="auto"/>
        </w:rPr>
      </w:pPr>
      <w:r>
        <w:rPr>
          <w:rFonts w:ascii="Arial" w:cs="Arial" w:eastAsia="Arial" w:hAnsi="Arial"/>
          <w:sz w:val="13"/>
          <w:szCs w:val="13"/>
          <w:b w:val="1"/>
          <w:bCs w:val="1"/>
          <w:color w:val="auto"/>
        </w:rPr>
        <w:t>Group information</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Information about Subsidiaries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consolidated financial statements of the Group include the following subsidiaries: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0" w:type="dxa"/>
            <w:vAlign w:val="bottom"/>
            <w:tcBorders>
              <w:bottom w:val="single" w:sz="8" w:color="70AD47"/>
            </w:tcBorders>
            <w:gridSpan w:val="3"/>
          </w:tcPr>
          <w:p>
            <w:pPr>
              <w:ind w:left="1160"/>
              <w:spacing w:after="0"/>
              <w:rPr>
                <w:sz w:val="20"/>
                <w:szCs w:val="20"/>
                <w:color w:val="auto"/>
              </w:rPr>
            </w:pPr>
            <w:r>
              <w:rPr>
                <w:rFonts w:ascii="Arial" w:cs="Arial" w:eastAsia="Arial" w:hAnsi="Arial"/>
                <w:sz w:val="12"/>
                <w:szCs w:val="12"/>
                <w:b w:val="1"/>
                <w:bCs w:val="1"/>
                <w:color w:val="auto"/>
              </w:rPr>
              <w:t>% equity interest</w:t>
            </w:r>
          </w:p>
        </w:tc>
        <w:tc>
          <w:tcPr>
            <w:tcW w:w="400" w:type="dxa"/>
            <w:vAlign w:val="bottom"/>
            <w:tcBorders>
              <w:bottom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2560" w:type="dxa"/>
            <w:vAlign w:val="bottom"/>
            <w:vMerge w:val="restart"/>
          </w:tcPr>
          <w:p>
            <w:pPr>
              <w:ind w:left="1060"/>
              <w:spacing w:after="0"/>
              <w:rPr>
                <w:sz w:val="20"/>
                <w:szCs w:val="20"/>
                <w:color w:val="auto"/>
              </w:rPr>
            </w:pPr>
            <w:r>
              <w:rPr>
                <w:rFonts w:ascii="Arial" w:cs="Arial" w:eastAsia="Arial" w:hAnsi="Arial"/>
                <w:sz w:val="12"/>
                <w:szCs w:val="12"/>
                <w:b w:val="1"/>
                <w:bCs w:val="1"/>
                <w:color w:val="auto"/>
              </w:rPr>
              <w:t>Country of incorporation</w:t>
            </w:r>
          </w:p>
        </w:tc>
        <w:tc>
          <w:tcPr>
            <w:tcW w:w="1900" w:type="dxa"/>
            <w:vAlign w:val="bottom"/>
            <w:tcBorders>
              <w:right w:val="single" w:sz="8" w:color="70AD47"/>
            </w:tcBorders>
            <w:vMerge w:val="restart"/>
          </w:tcPr>
          <w:p>
            <w:pPr>
              <w:ind w:left="200"/>
              <w:spacing w:after="0"/>
              <w:rPr>
                <w:sz w:val="20"/>
                <w:szCs w:val="20"/>
                <w:color w:val="auto"/>
              </w:rPr>
            </w:pPr>
            <w:r>
              <w:rPr>
                <w:rFonts w:ascii="Arial" w:cs="Arial" w:eastAsia="Arial" w:hAnsi="Arial"/>
                <w:sz w:val="12"/>
                <w:szCs w:val="12"/>
                <w:b w:val="1"/>
                <w:bCs w:val="1"/>
                <w:color w:val="auto"/>
              </w:rPr>
              <w:t>Registered office</w:t>
            </w:r>
          </w:p>
        </w:tc>
        <w:tc>
          <w:tcPr>
            <w:tcW w:w="1240" w:type="dxa"/>
            <w:vAlign w:val="bottom"/>
            <w:shd w:val="clear" w:color="auto" w:fill="C6E0B4"/>
          </w:tcPr>
          <w:p>
            <w:pPr>
              <w:jc w:val="center"/>
              <w:ind w:left="276"/>
              <w:spacing w:after="0"/>
              <w:rPr>
                <w:sz w:val="20"/>
                <w:szCs w:val="20"/>
                <w:color w:val="auto"/>
              </w:rPr>
            </w:pPr>
            <w:r>
              <w:rPr>
                <w:rFonts w:ascii="Arial" w:cs="Arial" w:eastAsia="Arial" w:hAnsi="Arial"/>
                <w:sz w:val="13"/>
                <w:szCs w:val="13"/>
                <w:b w:val="1"/>
                <w:bCs w:val="1"/>
                <w:color w:val="auto"/>
                <w:w w:val="92"/>
              </w:rPr>
              <w:t>December 31,</w:t>
            </w:r>
          </w:p>
        </w:tc>
        <w:tc>
          <w:tcPr>
            <w:tcW w:w="360" w:type="dxa"/>
            <w:vAlign w:val="bottom"/>
            <w:shd w:val="clear" w:color="auto" w:fill="C6E0B4"/>
          </w:tcPr>
          <w:p>
            <w:pPr>
              <w:spacing w:after="0"/>
              <w:rPr>
                <w:sz w:val="13"/>
                <w:szCs w:val="13"/>
                <w:color w:val="auto"/>
              </w:rPr>
            </w:pPr>
          </w:p>
        </w:tc>
        <w:tc>
          <w:tcPr>
            <w:tcW w:w="120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December 31,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3620" w:type="dxa"/>
            <w:vAlign w:val="bottom"/>
            <w:vMerge w:val="continue"/>
          </w:tcPr>
          <w:p>
            <w:pPr>
              <w:spacing w:after="0"/>
              <w:rPr>
                <w:sz w:val="6"/>
                <w:szCs w:val="6"/>
                <w:color w:val="auto"/>
              </w:rPr>
            </w:pPr>
          </w:p>
        </w:tc>
        <w:tc>
          <w:tcPr>
            <w:tcW w:w="2560" w:type="dxa"/>
            <w:vAlign w:val="bottom"/>
            <w:vMerge w:val="continue"/>
          </w:tcPr>
          <w:p>
            <w:pPr>
              <w:spacing w:after="0"/>
              <w:rPr>
                <w:sz w:val="6"/>
                <w:szCs w:val="6"/>
                <w:color w:val="auto"/>
              </w:rPr>
            </w:pPr>
          </w:p>
        </w:tc>
        <w:tc>
          <w:tcPr>
            <w:tcW w:w="1900" w:type="dxa"/>
            <w:vAlign w:val="bottom"/>
            <w:tcBorders>
              <w:right w:val="single" w:sz="8" w:color="70AD47"/>
            </w:tcBorders>
            <w:vMerge w:val="continue"/>
          </w:tcPr>
          <w:p>
            <w:pPr>
              <w:spacing w:after="0"/>
              <w:rPr>
                <w:sz w:val="6"/>
                <w:szCs w:val="6"/>
                <w:color w:val="auto"/>
              </w:rPr>
            </w:pPr>
          </w:p>
        </w:tc>
        <w:tc>
          <w:tcPr>
            <w:tcW w:w="1240" w:type="dxa"/>
            <w:vAlign w:val="bottom"/>
            <w:vMerge w:val="restart"/>
            <w:shd w:val="clear" w:color="auto" w:fill="C6E0B4"/>
          </w:tcPr>
          <w:p>
            <w:pPr>
              <w:jc w:val="right"/>
              <w:ind w:right="256"/>
              <w:spacing w:after="0"/>
              <w:rPr>
                <w:sz w:val="20"/>
                <w:szCs w:val="20"/>
                <w:color w:val="auto"/>
              </w:rPr>
            </w:pPr>
            <w:r>
              <w:rPr>
                <w:rFonts w:ascii="Arial" w:cs="Arial" w:eastAsia="Arial" w:hAnsi="Arial"/>
                <w:sz w:val="13"/>
                <w:szCs w:val="13"/>
                <w:b w:val="1"/>
                <w:bCs w:val="1"/>
                <w:color w:val="auto"/>
              </w:rPr>
              <w:t>2019</w:t>
            </w:r>
          </w:p>
        </w:tc>
        <w:tc>
          <w:tcPr>
            <w:tcW w:w="360" w:type="dxa"/>
            <w:vAlign w:val="bottom"/>
            <w:shd w:val="clear" w:color="auto" w:fill="C6E0B4"/>
          </w:tcPr>
          <w:p>
            <w:pPr>
              <w:spacing w:after="0"/>
              <w:rPr>
                <w:sz w:val="6"/>
                <w:szCs w:val="6"/>
                <w:color w:val="auto"/>
              </w:rPr>
            </w:pPr>
          </w:p>
        </w:tc>
        <w:tc>
          <w:tcPr>
            <w:tcW w:w="120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2018</w:t>
            </w: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620" w:type="dxa"/>
            <w:vAlign w:val="bottom"/>
            <w:tcBorders>
              <w:bottom w:val="single" w:sz="8" w:color="70AD47"/>
            </w:tcBorders>
          </w:tcPr>
          <w:p>
            <w:pPr>
              <w:spacing w:after="0"/>
              <w:rPr>
                <w:sz w:val="8"/>
                <w:szCs w:val="8"/>
                <w:color w:val="auto"/>
              </w:rPr>
            </w:pPr>
          </w:p>
        </w:tc>
        <w:tc>
          <w:tcPr>
            <w:tcW w:w="2560" w:type="dxa"/>
            <w:vAlign w:val="bottom"/>
            <w:tcBorders>
              <w:bottom w:val="single" w:sz="8" w:color="70AD47"/>
            </w:tcBorders>
          </w:tcPr>
          <w:p>
            <w:pPr>
              <w:spacing w:after="0"/>
              <w:rPr>
                <w:sz w:val="8"/>
                <w:szCs w:val="8"/>
                <w:color w:val="auto"/>
              </w:rPr>
            </w:pPr>
          </w:p>
        </w:tc>
        <w:tc>
          <w:tcPr>
            <w:tcW w:w="1900" w:type="dxa"/>
            <w:vAlign w:val="bottom"/>
            <w:tcBorders>
              <w:bottom w:val="single" w:sz="8" w:color="70AD47"/>
              <w:right w:val="single" w:sz="8" w:color="70AD47"/>
            </w:tcBorders>
          </w:tcPr>
          <w:p>
            <w:pPr>
              <w:spacing w:after="0"/>
              <w:rPr>
                <w:sz w:val="8"/>
                <w:szCs w:val="8"/>
                <w:color w:val="auto"/>
              </w:rPr>
            </w:pPr>
          </w:p>
        </w:tc>
        <w:tc>
          <w:tcPr>
            <w:tcW w:w="1240" w:type="dxa"/>
            <w:vAlign w:val="bottom"/>
            <w:tcBorders>
              <w:bottom w:val="single" w:sz="8" w:color="70AD47"/>
            </w:tcBorders>
            <w:vMerge w:val="continue"/>
            <w:shd w:val="clear" w:color="auto" w:fill="C6E0B4"/>
          </w:tcPr>
          <w:p>
            <w:pPr>
              <w:spacing w:after="0"/>
              <w:rPr>
                <w:sz w:val="8"/>
                <w:szCs w:val="8"/>
                <w:color w:val="auto"/>
              </w:rPr>
            </w:pPr>
          </w:p>
        </w:tc>
        <w:tc>
          <w:tcPr>
            <w:tcW w:w="360" w:type="dxa"/>
            <w:vAlign w:val="bottom"/>
            <w:tcBorders>
              <w:bottom w:val="single" w:sz="8" w:color="70AD47"/>
            </w:tcBorders>
            <w:shd w:val="clear" w:color="auto" w:fill="C6E0B4"/>
          </w:tcPr>
          <w:p>
            <w:pPr>
              <w:spacing w:after="0"/>
              <w:rPr>
                <w:sz w:val="8"/>
                <w:szCs w:val="8"/>
                <w:color w:val="auto"/>
              </w:rPr>
            </w:pPr>
          </w:p>
        </w:tc>
        <w:tc>
          <w:tcPr>
            <w:tcW w:w="1200" w:type="dxa"/>
            <w:vAlign w:val="bottom"/>
            <w:tcBorders>
              <w:bottom w:val="single" w:sz="8" w:color="70AD47"/>
            </w:tcBorders>
            <w:vMerge w:val="continue"/>
          </w:tcPr>
          <w:p>
            <w:pPr>
              <w:spacing w:after="0"/>
              <w:rPr>
                <w:sz w:val="8"/>
                <w:szCs w:val="8"/>
                <w:color w:val="auto"/>
              </w:rPr>
            </w:pPr>
          </w:p>
        </w:tc>
        <w:tc>
          <w:tcPr>
            <w:tcW w:w="400" w:type="dxa"/>
            <w:vAlign w:val="bottom"/>
            <w:tcBorders>
              <w:bottom w:val="single" w:sz="8" w:color="70AD47"/>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20"/>
                <w:szCs w:val="20"/>
                <w:color w:val="auto"/>
              </w:rPr>
            </w:pPr>
            <w:r>
              <w:rPr>
                <w:rFonts w:ascii="Arial" w:cs="Arial" w:eastAsia="Arial" w:hAnsi="Arial"/>
                <w:sz w:val="12"/>
                <w:szCs w:val="12"/>
                <w:color w:val="auto"/>
              </w:rPr>
              <w:t>BioNTech RNA Pharmaceuticals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Mainz</w:t>
            </w:r>
          </w:p>
        </w:tc>
        <w:tc>
          <w:tcPr>
            <w:tcW w:w="1240" w:type="dxa"/>
            <w:vAlign w:val="bottom"/>
            <w:shd w:val="clear" w:color="auto" w:fill="C6E0B4"/>
          </w:tcPr>
          <w:p>
            <w:pPr>
              <w:spacing w:after="0"/>
              <w:rPr>
                <w:sz w:val="12"/>
                <w:szCs w:val="12"/>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2"/>
                <w:szCs w:val="12"/>
                <w:color w:val="auto"/>
              </w:rPr>
              <w:t>BioNTech Delivery Technologies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Halle (previously Mainz)</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2"/>
                <w:szCs w:val="12"/>
                <w:color w:val="auto"/>
              </w:rPr>
              <w:t>(previously BioNTech Protein Therapeutics GmbH)</w:t>
            </w:r>
          </w:p>
        </w:tc>
        <w:tc>
          <w:tcPr>
            <w:tcW w:w="2560" w:type="dxa"/>
            <w:vAlign w:val="bottom"/>
          </w:tcPr>
          <w:p>
            <w:pPr>
              <w:spacing w:after="0"/>
              <w:rPr>
                <w:sz w:val="13"/>
                <w:szCs w:val="13"/>
                <w:color w:val="auto"/>
              </w:rPr>
            </w:pPr>
          </w:p>
        </w:tc>
        <w:tc>
          <w:tcPr>
            <w:tcW w:w="1900" w:type="dxa"/>
            <w:vAlign w:val="bottom"/>
            <w:tcBorders>
              <w:right w:val="single" w:sz="8" w:color="70AD47"/>
            </w:tcBorders>
          </w:tcPr>
          <w:p>
            <w:pPr>
              <w:spacing w:after="0"/>
              <w:rPr>
                <w:sz w:val="13"/>
                <w:szCs w:val="13"/>
                <w:color w:val="auto"/>
              </w:rPr>
            </w:pP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BioNTech Diagnostics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Mainz</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BioNTech Small Molecules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Mainz</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2"/>
                <w:szCs w:val="12"/>
                <w:color w:val="auto"/>
              </w:rPr>
              <w:t>BioNTech IVAC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Mainz</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2"/>
                <w:szCs w:val="12"/>
                <w:color w:val="auto"/>
              </w:rPr>
              <w:t>(previously BioNTech Business Services GmbH)</w:t>
            </w:r>
          </w:p>
        </w:tc>
        <w:tc>
          <w:tcPr>
            <w:tcW w:w="2560" w:type="dxa"/>
            <w:vAlign w:val="bottom"/>
          </w:tcPr>
          <w:p>
            <w:pPr>
              <w:spacing w:after="0"/>
              <w:rPr>
                <w:sz w:val="13"/>
                <w:szCs w:val="13"/>
                <w:color w:val="auto"/>
              </w:rPr>
            </w:pPr>
          </w:p>
        </w:tc>
        <w:tc>
          <w:tcPr>
            <w:tcW w:w="1900" w:type="dxa"/>
            <w:vAlign w:val="bottom"/>
            <w:tcBorders>
              <w:right w:val="single" w:sz="8" w:color="70AD47"/>
            </w:tcBorders>
          </w:tcPr>
          <w:p>
            <w:pPr>
              <w:spacing w:after="0"/>
              <w:rPr>
                <w:sz w:val="13"/>
                <w:szCs w:val="13"/>
                <w:color w:val="auto"/>
              </w:rPr>
            </w:pP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BioNTech Austria Beteiligungen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Austria</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Vienna</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BioNTech Innovative Manufacturing Services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Idar- Oberstein</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reBOOST Management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Mainz</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JPT Peptide Technologies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Berlin</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JPT Inc. (previously TheraCode JPT Inc.)</w:t>
            </w:r>
          </w:p>
        </w:tc>
        <w:tc>
          <w:tcPr>
            <w:tcW w:w="2560" w:type="dxa"/>
            <w:vAlign w:val="bottom"/>
          </w:tcPr>
          <w:p>
            <w:pPr>
              <w:ind w:left="1060"/>
              <w:spacing w:after="0"/>
              <w:rPr>
                <w:sz w:val="20"/>
                <w:szCs w:val="20"/>
                <w:color w:val="auto"/>
              </w:rPr>
            </w:pPr>
            <w:r>
              <w:rPr>
                <w:rFonts w:ascii="Arial" w:cs="Arial" w:eastAsia="Arial" w:hAnsi="Arial"/>
                <w:sz w:val="12"/>
                <w:szCs w:val="12"/>
                <w:color w:val="auto"/>
              </w:rPr>
              <w:t>United States</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Acton</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BioNTech USA Holding LLC</w:t>
            </w:r>
          </w:p>
        </w:tc>
        <w:tc>
          <w:tcPr>
            <w:tcW w:w="2560" w:type="dxa"/>
            <w:vAlign w:val="bottom"/>
          </w:tcPr>
          <w:p>
            <w:pPr>
              <w:ind w:left="1060"/>
              <w:spacing w:after="0"/>
              <w:rPr>
                <w:sz w:val="20"/>
                <w:szCs w:val="20"/>
                <w:color w:val="auto"/>
              </w:rPr>
            </w:pPr>
            <w:r>
              <w:rPr>
                <w:rFonts w:ascii="Arial" w:cs="Arial" w:eastAsia="Arial" w:hAnsi="Arial"/>
                <w:sz w:val="12"/>
                <w:szCs w:val="12"/>
                <w:color w:val="auto"/>
              </w:rPr>
              <w:t>United States</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New York</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BioNTech Research and Development Inc.</w:t>
            </w:r>
          </w:p>
        </w:tc>
        <w:tc>
          <w:tcPr>
            <w:tcW w:w="2560" w:type="dxa"/>
            <w:vAlign w:val="bottom"/>
          </w:tcPr>
          <w:p>
            <w:pPr>
              <w:ind w:left="1060"/>
              <w:spacing w:after="0"/>
              <w:rPr>
                <w:sz w:val="20"/>
                <w:szCs w:val="20"/>
                <w:color w:val="auto"/>
              </w:rPr>
            </w:pPr>
            <w:r>
              <w:rPr>
                <w:rFonts w:ascii="Arial" w:cs="Arial" w:eastAsia="Arial" w:hAnsi="Arial"/>
                <w:sz w:val="12"/>
                <w:szCs w:val="12"/>
                <w:color w:val="auto"/>
              </w:rPr>
              <w:t>United States</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New York</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BioNTech Cell &amp; Gene Therapies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Mainz</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3"/>
              </w:rPr>
              <w:t>94.50%</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2"/>
                <w:szCs w:val="12"/>
                <w:color w:val="auto"/>
              </w:rPr>
              <w:t>BioNTech Real Estate Holding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Holzkirchen</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620" w:type="dxa"/>
            <w:vAlign w:val="bottom"/>
          </w:tcPr>
          <w:p>
            <w:pPr>
              <w:spacing w:after="0"/>
              <w:rPr>
                <w:sz w:val="20"/>
                <w:szCs w:val="20"/>
                <w:color w:val="auto"/>
              </w:rPr>
            </w:pPr>
            <w:r>
              <w:rPr>
                <w:rFonts w:ascii="Arial" w:cs="Arial" w:eastAsia="Arial" w:hAnsi="Arial"/>
                <w:sz w:val="12"/>
                <w:szCs w:val="12"/>
                <w:color w:val="auto"/>
              </w:rPr>
              <w:t>(previously Apta IT GmbH)</w:t>
            </w:r>
          </w:p>
        </w:tc>
        <w:tc>
          <w:tcPr>
            <w:tcW w:w="2560" w:type="dxa"/>
            <w:vAlign w:val="bottom"/>
          </w:tcPr>
          <w:p>
            <w:pPr>
              <w:spacing w:after="0"/>
              <w:rPr>
                <w:sz w:val="13"/>
                <w:szCs w:val="13"/>
                <w:color w:val="auto"/>
              </w:rPr>
            </w:pPr>
          </w:p>
        </w:tc>
        <w:tc>
          <w:tcPr>
            <w:tcW w:w="1900" w:type="dxa"/>
            <w:vAlign w:val="bottom"/>
            <w:tcBorders>
              <w:right w:val="single" w:sz="8" w:color="70AD47"/>
            </w:tcBorders>
          </w:tcPr>
          <w:p>
            <w:pPr>
              <w:spacing w:after="0"/>
              <w:rPr>
                <w:sz w:val="13"/>
                <w:szCs w:val="13"/>
                <w:color w:val="auto"/>
              </w:rPr>
            </w:pP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2"/>
                <w:szCs w:val="12"/>
                <w:color w:val="auto"/>
              </w:rPr>
              <w:t>BioNTech Real Estate Verwaltungs GmbH</w:t>
            </w:r>
          </w:p>
        </w:tc>
        <w:tc>
          <w:tcPr>
            <w:tcW w:w="2560" w:type="dxa"/>
            <w:vAlign w:val="bottom"/>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right w:val="single" w:sz="8" w:color="70AD47"/>
            </w:tcBorders>
          </w:tcPr>
          <w:p>
            <w:pPr>
              <w:ind w:left="200"/>
              <w:spacing w:after="0"/>
              <w:rPr>
                <w:sz w:val="20"/>
                <w:szCs w:val="20"/>
                <w:color w:val="auto"/>
              </w:rPr>
            </w:pPr>
            <w:r>
              <w:rPr>
                <w:rFonts w:ascii="Arial" w:cs="Arial" w:eastAsia="Arial" w:hAnsi="Arial"/>
                <w:sz w:val="12"/>
                <w:szCs w:val="12"/>
                <w:color w:val="auto"/>
              </w:rPr>
              <w:t>Holzkirchen</w:t>
            </w:r>
          </w:p>
        </w:tc>
        <w:tc>
          <w:tcPr>
            <w:tcW w:w="1240" w:type="dxa"/>
            <w:vAlign w:val="bottom"/>
            <w:shd w:val="clear" w:color="auto" w:fill="C6E0B4"/>
          </w:tcPr>
          <w:p>
            <w:pPr>
              <w:spacing w:after="0"/>
              <w:rPr>
                <w:sz w:val="13"/>
                <w:szCs w:val="13"/>
                <w:color w:val="auto"/>
              </w:rPr>
            </w:pPr>
          </w:p>
        </w:tc>
        <w:tc>
          <w:tcPr>
            <w:tcW w:w="360" w:type="dxa"/>
            <w:vAlign w:val="bottom"/>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2"/>
        </w:trPr>
        <w:tc>
          <w:tcPr>
            <w:tcW w:w="3620" w:type="dxa"/>
            <w:vAlign w:val="bottom"/>
            <w:tcBorders>
              <w:bottom w:val="single" w:sz="8" w:color="70AD47"/>
            </w:tcBorders>
          </w:tcPr>
          <w:p>
            <w:pPr>
              <w:spacing w:after="0"/>
              <w:rPr>
                <w:sz w:val="20"/>
                <w:szCs w:val="20"/>
                <w:color w:val="auto"/>
              </w:rPr>
            </w:pPr>
            <w:r>
              <w:rPr>
                <w:rFonts w:ascii="Arial" w:cs="Arial" w:eastAsia="Arial" w:hAnsi="Arial"/>
                <w:sz w:val="12"/>
                <w:szCs w:val="12"/>
                <w:color w:val="auto"/>
              </w:rPr>
              <w:t>BioNTech Real Estate GmbH &amp; Co. KG</w:t>
            </w:r>
          </w:p>
        </w:tc>
        <w:tc>
          <w:tcPr>
            <w:tcW w:w="2560" w:type="dxa"/>
            <w:vAlign w:val="bottom"/>
            <w:tcBorders>
              <w:bottom w:val="single" w:sz="8" w:color="70AD47"/>
            </w:tcBorders>
          </w:tcPr>
          <w:p>
            <w:pPr>
              <w:ind w:left="1060"/>
              <w:spacing w:after="0"/>
              <w:rPr>
                <w:sz w:val="20"/>
                <w:szCs w:val="20"/>
                <w:color w:val="auto"/>
              </w:rPr>
            </w:pPr>
            <w:r>
              <w:rPr>
                <w:rFonts w:ascii="Arial" w:cs="Arial" w:eastAsia="Arial" w:hAnsi="Arial"/>
                <w:sz w:val="12"/>
                <w:szCs w:val="12"/>
                <w:color w:val="auto"/>
              </w:rPr>
              <w:t>Germany</w:t>
            </w:r>
          </w:p>
        </w:tc>
        <w:tc>
          <w:tcPr>
            <w:tcW w:w="1900" w:type="dxa"/>
            <w:vAlign w:val="bottom"/>
            <w:tcBorders>
              <w:bottom w:val="single" w:sz="8" w:color="70AD47"/>
              <w:right w:val="single" w:sz="8" w:color="70AD47"/>
            </w:tcBorders>
          </w:tcPr>
          <w:p>
            <w:pPr>
              <w:ind w:left="200"/>
              <w:spacing w:after="0"/>
              <w:rPr>
                <w:sz w:val="20"/>
                <w:szCs w:val="20"/>
                <w:color w:val="auto"/>
              </w:rPr>
            </w:pPr>
            <w:r>
              <w:rPr>
                <w:rFonts w:ascii="Arial" w:cs="Arial" w:eastAsia="Arial" w:hAnsi="Arial"/>
                <w:sz w:val="12"/>
                <w:szCs w:val="12"/>
                <w:color w:val="auto"/>
              </w:rPr>
              <w:t>Holzkirchen</w:t>
            </w:r>
          </w:p>
        </w:tc>
        <w:tc>
          <w:tcPr>
            <w:tcW w:w="1240" w:type="dxa"/>
            <w:vAlign w:val="bottom"/>
            <w:tcBorders>
              <w:bottom w:val="single" w:sz="8" w:color="70AD47"/>
            </w:tcBorders>
            <w:shd w:val="clear" w:color="auto" w:fill="C6E0B4"/>
          </w:tcPr>
          <w:p>
            <w:pPr>
              <w:spacing w:after="0"/>
              <w:rPr>
                <w:sz w:val="14"/>
                <w:szCs w:val="14"/>
                <w:color w:val="auto"/>
              </w:rPr>
            </w:pPr>
          </w:p>
        </w:tc>
        <w:tc>
          <w:tcPr>
            <w:tcW w:w="3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100%</w:t>
            </w:r>
          </w:p>
        </w:tc>
        <w:tc>
          <w:tcPr>
            <w:tcW w:w="1200" w:type="dxa"/>
            <w:vAlign w:val="bottom"/>
            <w:tcBorders>
              <w:bottom w:val="single" w:sz="8" w:color="70AD47"/>
            </w:tcBorders>
          </w:tcPr>
          <w:p>
            <w:pPr>
              <w:spacing w:after="0"/>
              <w:rPr>
                <w:sz w:val="14"/>
                <w:szCs w:val="14"/>
                <w:color w:val="auto"/>
              </w:rPr>
            </w:pPr>
          </w:p>
        </w:tc>
        <w:tc>
          <w:tcPr>
            <w:tcW w:w="400" w:type="dxa"/>
            <w:vAlign w:val="bottom"/>
            <w:tcBorders>
              <w:bottom w:val="single" w:sz="8" w:color="70AD47"/>
            </w:tcBorders>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47" w:right="319" w:bottom="1440" w:gutter="0" w:footer="0" w:header="0"/>
        </w:sectPr>
      </w:pPr>
    </w:p>
    <w:bookmarkStart w:id="288" w:name="page289"/>
    <w:bookmarkEnd w:id="288"/>
    <w:p>
      <w:pPr>
        <w:ind w:right="440" w:firstLine="554"/>
        <w:spacing w:after="0" w:line="287" w:lineRule="auto"/>
        <w:rPr>
          <w:sz w:val="20"/>
          <w:szCs w:val="20"/>
          <w:color w:val="auto"/>
        </w:rPr>
      </w:pPr>
      <w:r>
        <w:rPr>
          <w:rFonts w:ascii="Arial" w:cs="Arial" w:eastAsia="Arial" w:hAnsi="Arial"/>
          <w:sz w:val="13"/>
          <w:szCs w:val="13"/>
          <w:color w:val="auto"/>
        </w:rPr>
        <w:t>During the year ended December 31, 2019, two entities were founded in the United States: BioNTech USA Holding, LLC and BioNTech Research &amp; Development, Inc. Both are wholly-owned subsidiaries of BioNTech SE. Additionally, reBOOST Management GmbH, was acquired through a share purchase which represents a related party transaction.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During the year ended December 31, 2018, BioNTech Real Estate Verwaltungs GmbH and BioNTech Real Estate GmbH &amp; Co. KG were established.</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Parent Company</w:t>
      </w:r>
    </w:p>
    <w:p>
      <w:pPr>
        <w:spacing w:after="0" w:line="94"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auto"/>
        </w:rPr>
        <w:t>ATHOS KG, Holzkirchen, Germany owns 100% of shares in AT Impf GmbH, Munich, Germany and is the beneficiary owner of BioNTech. AT Impf GmbH, Munich, Germany is the parent company of the Group and owned the following percentage of ordinary shares in BioNTech at the following dates as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0" w:type="dxa"/>
            <w:vAlign w:val="bottom"/>
            <w:tcBorders>
              <w:bottom w:val="single" w:sz="8" w:color="70AD47"/>
            </w:tcBorders>
            <w:gridSpan w:val="2"/>
          </w:tcPr>
          <w:p>
            <w:pPr>
              <w:jc w:val="right"/>
              <w:ind w:right="256"/>
              <w:spacing w:after="0"/>
              <w:rPr>
                <w:sz w:val="20"/>
                <w:szCs w:val="20"/>
                <w:color w:val="auto"/>
              </w:rPr>
            </w:pPr>
            <w:r>
              <w:rPr>
                <w:rFonts w:ascii="Arial" w:cs="Arial" w:eastAsia="Arial" w:hAnsi="Arial"/>
                <w:sz w:val="12"/>
                <w:szCs w:val="12"/>
                <w:b w:val="1"/>
                <w:bCs w:val="1"/>
                <w:color w:val="auto"/>
              </w:rPr>
              <w:t>Ownership of ordinary shares in BioNTech (in %)</w:t>
            </w:r>
          </w:p>
        </w:tc>
        <w:tc>
          <w:tcPr>
            <w:tcW w:w="0" w:type="dxa"/>
            <w:vAlign w:val="bottom"/>
          </w:tcPr>
          <w:p>
            <w:pPr>
              <w:spacing w:after="0"/>
              <w:rPr>
                <w:sz w:val="1"/>
                <w:szCs w:val="1"/>
                <w:color w:val="auto"/>
              </w:rPr>
            </w:pPr>
          </w:p>
        </w:tc>
      </w:tr>
      <w:tr>
        <w:trPr>
          <w:trHeight w:val="154"/>
        </w:trPr>
        <w:tc>
          <w:tcPr>
            <w:tcW w:w="27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3460" w:type="dxa"/>
            <w:vAlign w:val="bottom"/>
            <w:vMerge w:val="restart"/>
          </w:tcPr>
          <w:p>
            <w:pPr>
              <w:ind w:left="1960"/>
              <w:spacing w:after="0"/>
              <w:rPr>
                <w:sz w:val="20"/>
                <w:szCs w:val="20"/>
                <w:color w:val="auto"/>
              </w:rPr>
            </w:pPr>
            <w:r>
              <w:rPr>
                <w:rFonts w:ascii="Arial" w:cs="Arial" w:eastAsia="Arial" w:hAnsi="Arial"/>
                <w:sz w:val="12"/>
                <w:szCs w:val="12"/>
                <w:b w:val="1"/>
                <w:bCs w:val="1"/>
                <w:color w:val="auto"/>
              </w:rPr>
              <w:t>Country of incorporation</w:t>
            </w:r>
          </w:p>
        </w:tc>
        <w:tc>
          <w:tcPr>
            <w:tcW w:w="1900" w:type="dxa"/>
            <w:vAlign w:val="bottom"/>
            <w:tcBorders>
              <w:right w:val="single" w:sz="8" w:color="70AD47"/>
            </w:tcBorders>
            <w:vMerge w:val="restart"/>
          </w:tcPr>
          <w:p>
            <w:pPr>
              <w:ind w:left="200"/>
              <w:spacing w:after="0"/>
              <w:rPr>
                <w:sz w:val="20"/>
                <w:szCs w:val="20"/>
                <w:color w:val="auto"/>
              </w:rPr>
            </w:pPr>
            <w:r>
              <w:rPr>
                <w:rFonts w:ascii="Arial" w:cs="Arial" w:eastAsia="Arial" w:hAnsi="Arial"/>
                <w:sz w:val="12"/>
                <w:szCs w:val="12"/>
                <w:b w:val="1"/>
                <w:bCs w:val="1"/>
                <w:color w:val="auto"/>
              </w:rPr>
              <w:t>Registered office</w:t>
            </w:r>
          </w:p>
        </w:tc>
        <w:tc>
          <w:tcPr>
            <w:tcW w:w="160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79"/>
        </w:trPr>
        <w:tc>
          <w:tcPr>
            <w:tcW w:w="2720" w:type="dxa"/>
            <w:vAlign w:val="bottom"/>
            <w:vMerge w:val="continue"/>
          </w:tcPr>
          <w:p>
            <w:pPr>
              <w:spacing w:after="0"/>
              <w:rPr>
                <w:sz w:val="6"/>
                <w:szCs w:val="6"/>
                <w:color w:val="auto"/>
              </w:rPr>
            </w:pPr>
          </w:p>
        </w:tc>
        <w:tc>
          <w:tcPr>
            <w:tcW w:w="3460" w:type="dxa"/>
            <w:vAlign w:val="bottom"/>
            <w:vMerge w:val="continue"/>
          </w:tcPr>
          <w:p>
            <w:pPr>
              <w:spacing w:after="0"/>
              <w:rPr>
                <w:sz w:val="6"/>
                <w:szCs w:val="6"/>
                <w:color w:val="auto"/>
              </w:rPr>
            </w:pPr>
          </w:p>
        </w:tc>
        <w:tc>
          <w:tcPr>
            <w:tcW w:w="1900" w:type="dxa"/>
            <w:vAlign w:val="bottom"/>
            <w:tcBorders>
              <w:right w:val="single" w:sz="8" w:color="70AD47"/>
            </w:tcBorders>
            <w:vMerge w:val="continue"/>
          </w:tcPr>
          <w:p>
            <w:pPr>
              <w:spacing w:after="0"/>
              <w:rPr>
                <w:sz w:val="6"/>
                <w:szCs w:val="6"/>
                <w:color w:val="auto"/>
              </w:rPr>
            </w:pPr>
          </w:p>
        </w:tc>
        <w:tc>
          <w:tcPr>
            <w:tcW w:w="1600" w:type="dxa"/>
            <w:vAlign w:val="bottom"/>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94"/>
        </w:trPr>
        <w:tc>
          <w:tcPr>
            <w:tcW w:w="2720" w:type="dxa"/>
            <w:vAlign w:val="bottom"/>
            <w:tcBorders>
              <w:bottom w:val="single" w:sz="8" w:color="70AD47"/>
            </w:tcBorders>
          </w:tcPr>
          <w:p>
            <w:pPr>
              <w:spacing w:after="0"/>
              <w:rPr>
                <w:sz w:val="8"/>
                <w:szCs w:val="8"/>
                <w:color w:val="auto"/>
              </w:rPr>
            </w:pPr>
          </w:p>
        </w:tc>
        <w:tc>
          <w:tcPr>
            <w:tcW w:w="3460" w:type="dxa"/>
            <w:vAlign w:val="bottom"/>
            <w:tcBorders>
              <w:bottom w:val="single" w:sz="8" w:color="70AD47"/>
            </w:tcBorders>
          </w:tcPr>
          <w:p>
            <w:pPr>
              <w:spacing w:after="0"/>
              <w:rPr>
                <w:sz w:val="8"/>
                <w:szCs w:val="8"/>
                <w:color w:val="auto"/>
              </w:rPr>
            </w:pPr>
          </w:p>
        </w:tc>
        <w:tc>
          <w:tcPr>
            <w:tcW w:w="1900" w:type="dxa"/>
            <w:vAlign w:val="bottom"/>
            <w:tcBorders>
              <w:bottom w:val="single" w:sz="8" w:color="70AD47"/>
              <w:right w:val="single" w:sz="8" w:color="70AD47"/>
            </w:tcBorders>
          </w:tcPr>
          <w:p>
            <w:pPr>
              <w:spacing w:after="0"/>
              <w:rPr>
                <w:sz w:val="8"/>
                <w:szCs w:val="8"/>
                <w:color w:val="auto"/>
              </w:rPr>
            </w:pPr>
          </w:p>
        </w:tc>
        <w:tc>
          <w:tcPr>
            <w:tcW w:w="1600" w:type="dxa"/>
            <w:vAlign w:val="bottom"/>
            <w:tcBorders>
              <w:bottom w:val="single" w:sz="8" w:color="70AD47"/>
            </w:tcBorders>
            <w:vMerge w:val="continue"/>
            <w:shd w:val="clear" w:color="auto" w:fill="C6E0B4"/>
          </w:tcPr>
          <w:p>
            <w:pPr>
              <w:spacing w:after="0"/>
              <w:rPr>
                <w:sz w:val="8"/>
                <w:szCs w:val="8"/>
                <w:color w:val="auto"/>
              </w:rPr>
            </w:pPr>
          </w:p>
        </w:tc>
        <w:tc>
          <w:tcPr>
            <w:tcW w:w="1600" w:type="dxa"/>
            <w:vAlign w:val="bottom"/>
            <w:tcBorders>
              <w:bottom w:val="single" w:sz="8" w:color="70AD4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720" w:type="dxa"/>
            <w:vAlign w:val="bottom"/>
            <w:tcBorders>
              <w:bottom w:val="single" w:sz="8" w:color="70AD47"/>
            </w:tcBorders>
          </w:tcPr>
          <w:p>
            <w:pPr>
              <w:spacing w:after="0"/>
              <w:rPr>
                <w:sz w:val="20"/>
                <w:szCs w:val="20"/>
                <w:color w:val="auto"/>
              </w:rPr>
            </w:pPr>
            <w:r>
              <w:rPr>
                <w:rFonts w:ascii="Arial" w:cs="Arial" w:eastAsia="Arial" w:hAnsi="Arial"/>
                <w:sz w:val="12"/>
                <w:szCs w:val="12"/>
                <w:color w:val="auto"/>
              </w:rPr>
              <w:t>AT Impf GmbH</w:t>
            </w:r>
          </w:p>
        </w:tc>
        <w:tc>
          <w:tcPr>
            <w:tcW w:w="3460" w:type="dxa"/>
            <w:vAlign w:val="bottom"/>
            <w:tcBorders>
              <w:bottom w:val="single" w:sz="8" w:color="70AD47"/>
            </w:tcBorders>
          </w:tcPr>
          <w:p>
            <w:pPr>
              <w:ind w:left="1960"/>
              <w:spacing w:after="0"/>
              <w:rPr>
                <w:sz w:val="20"/>
                <w:szCs w:val="20"/>
                <w:color w:val="auto"/>
              </w:rPr>
            </w:pPr>
            <w:r>
              <w:rPr>
                <w:rFonts w:ascii="Arial" w:cs="Arial" w:eastAsia="Arial" w:hAnsi="Arial"/>
                <w:sz w:val="12"/>
                <w:szCs w:val="12"/>
                <w:color w:val="auto"/>
              </w:rPr>
              <w:t>Germany</w:t>
            </w:r>
          </w:p>
        </w:tc>
        <w:tc>
          <w:tcPr>
            <w:tcW w:w="1900" w:type="dxa"/>
            <w:vAlign w:val="bottom"/>
            <w:tcBorders>
              <w:bottom w:val="single" w:sz="8" w:color="70AD47"/>
              <w:right w:val="single" w:sz="8" w:color="70AD47"/>
            </w:tcBorders>
          </w:tcPr>
          <w:p>
            <w:pPr>
              <w:ind w:left="200"/>
              <w:spacing w:after="0"/>
              <w:rPr>
                <w:sz w:val="20"/>
                <w:szCs w:val="20"/>
                <w:color w:val="auto"/>
              </w:rPr>
            </w:pPr>
            <w:r>
              <w:rPr>
                <w:rFonts w:ascii="Arial" w:cs="Arial" w:eastAsia="Arial" w:hAnsi="Arial"/>
                <w:sz w:val="12"/>
                <w:szCs w:val="12"/>
                <w:color w:val="auto"/>
              </w:rPr>
              <w:t>Munich</w:t>
            </w:r>
          </w:p>
        </w:tc>
        <w:tc>
          <w:tcPr>
            <w:tcW w:w="160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50.33%</w:t>
            </w:r>
          </w:p>
        </w:tc>
        <w:tc>
          <w:tcPr>
            <w:tcW w:w="1600" w:type="dxa"/>
            <w:vAlign w:val="bottom"/>
            <w:tcBorders>
              <w:bottom w:val="single" w:sz="8" w:color="70AD47"/>
            </w:tcBorders>
          </w:tcPr>
          <w:p>
            <w:pPr>
              <w:jc w:val="right"/>
              <w:spacing w:after="0"/>
              <w:rPr>
                <w:sz w:val="20"/>
                <w:szCs w:val="20"/>
                <w:color w:val="auto"/>
              </w:rPr>
            </w:pPr>
            <w:r>
              <w:rPr>
                <w:rFonts w:ascii="Arial" w:cs="Arial" w:eastAsia="Arial" w:hAnsi="Arial"/>
                <w:sz w:val="12"/>
                <w:szCs w:val="12"/>
                <w:color w:val="auto"/>
              </w:rPr>
              <w:t>54.16%</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Entity with significant Influence over the Group</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Medine GmbH, Mainz owned the following percentage of ordinary shares in BioNTech at the following dates as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0" w:type="dxa"/>
            <w:vAlign w:val="bottom"/>
            <w:tcBorders>
              <w:bottom w:val="single" w:sz="8" w:color="70AD47"/>
            </w:tcBorders>
            <w:gridSpan w:val="2"/>
          </w:tcPr>
          <w:p>
            <w:pPr>
              <w:jc w:val="right"/>
              <w:ind w:right="256"/>
              <w:spacing w:after="0"/>
              <w:rPr>
                <w:sz w:val="20"/>
                <w:szCs w:val="20"/>
                <w:color w:val="auto"/>
              </w:rPr>
            </w:pPr>
            <w:r>
              <w:rPr>
                <w:rFonts w:ascii="Arial" w:cs="Arial" w:eastAsia="Arial" w:hAnsi="Arial"/>
                <w:sz w:val="12"/>
                <w:szCs w:val="12"/>
                <w:b w:val="1"/>
                <w:bCs w:val="1"/>
                <w:color w:val="auto"/>
              </w:rPr>
              <w:t>Ownership of ordinary shares in BioNTech (in %)</w:t>
            </w:r>
          </w:p>
        </w:tc>
        <w:tc>
          <w:tcPr>
            <w:tcW w:w="0" w:type="dxa"/>
            <w:vAlign w:val="bottom"/>
          </w:tcPr>
          <w:p>
            <w:pPr>
              <w:spacing w:after="0"/>
              <w:rPr>
                <w:sz w:val="1"/>
                <w:szCs w:val="1"/>
                <w:color w:val="auto"/>
              </w:rPr>
            </w:pPr>
          </w:p>
        </w:tc>
      </w:tr>
      <w:tr>
        <w:trPr>
          <w:trHeight w:val="154"/>
        </w:trPr>
        <w:tc>
          <w:tcPr>
            <w:tcW w:w="270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3480" w:type="dxa"/>
            <w:vAlign w:val="bottom"/>
            <w:vMerge w:val="restart"/>
          </w:tcPr>
          <w:p>
            <w:pPr>
              <w:ind w:left="1980"/>
              <w:spacing w:after="0"/>
              <w:rPr>
                <w:sz w:val="20"/>
                <w:szCs w:val="20"/>
                <w:color w:val="auto"/>
              </w:rPr>
            </w:pPr>
            <w:r>
              <w:rPr>
                <w:rFonts w:ascii="Arial" w:cs="Arial" w:eastAsia="Arial" w:hAnsi="Arial"/>
                <w:sz w:val="12"/>
                <w:szCs w:val="12"/>
                <w:b w:val="1"/>
                <w:bCs w:val="1"/>
                <w:color w:val="auto"/>
              </w:rPr>
              <w:t>Country of incorporation</w:t>
            </w:r>
          </w:p>
        </w:tc>
        <w:tc>
          <w:tcPr>
            <w:tcW w:w="1900" w:type="dxa"/>
            <w:vAlign w:val="bottom"/>
            <w:tcBorders>
              <w:right w:val="single" w:sz="8" w:color="70AD47"/>
            </w:tcBorders>
            <w:vMerge w:val="restart"/>
          </w:tcPr>
          <w:p>
            <w:pPr>
              <w:ind w:left="200"/>
              <w:spacing w:after="0"/>
              <w:rPr>
                <w:sz w:val="20"/>
                <w:szCs w:val="20"/>
                <w:color w:val="auto"/>
              </w:rPr>
            </w:pPr>
            <w:r>
              <w:rPr>
                <w:rFonts w:ascii="Arial" w:cs="Arial" w:eastAsia="Arial" w:hAnsi="Arial"/>
                <w:sz w:val="12"/>
                <w:szCs w:val="12"/>
                <w:b w:val="1"/>
                <w:bCs w:val="1"/>
                <w:color w:val="auto"/>
              </w:rPr>
              <w:t>Registered office</w:t>
            </w:r>
          </w:p>
        </w:tc>
        <w:tc>
          <w:tcPr>
            <w:tcW w:w="160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79"/>
        </w:trPr>
        <w:tc>
          <w:tcPr>
            <w:tcW w:w="2700" w:type="dxa"/>
            <w:vAlign w:val="bottom"/>
            <w:vMerge w:val="continue"/>
          </w:tcPr>
          <w:p>
            <w:pPr>
              <w:spacing w:after="0"/>
              <w:rPr>
                <w:sz w:val="6"/>
                <w:szCs w:val="6"/>
                <w:color w:val="auto"/>
              </w:rPr>
            </w:pPr>
          </w:p>
        </w:tc>
        <w:tc>
          <w:tcPr>
            <w:tcW w:w="3480" w:type="dxa"/>
            <w:vAlign w:val="bottom"/>
            <w:vMerge w:val="continue"/>
          </w:tcPr>
          <w:p>
            <w:pPr>
              <w:spacing w:after="0"/>
              <w:rPr>
                <w:sz w:val="6"/>
                <w:szCs w:val="6"/>
                <w:color w:val="auto"/>
              </w:rPr>
            </w:pPr>
          </w:p>
        </w:tc>
        <w:tc>
          <w:tcPr>
            <w:tcW w:w="1900" w:type="dxa"/>
            <w:vAlign w:val="bottom"/>
            <w:tcBorders>
              <w:right w:val="single" w:sz="8" w:color="70AD47"/>
            </w:tcBorders>
            <w:vMerge w:val="continue"/>
          </w:tcPr>
          <w:p>
            <w:pPr>
              <w:spacing w:after="0"/>
              <w:rPr>
                <w:sz w:val="6"/>
                <w:szCs w:val="6"/>
                <w:color w:val="auto"/>
              </w:rPr>
            </w:pPr>
          </w:p>
        </w:tc>
        <w:tc>
          <w:tcPr>
            <w:tcW w:w="1600" w:type="dxa"/>
            <w:vAlign w:val="bottom"/>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94"/>
        </w:trPr>
        <w:tc>
          <w:tcPr>
            <w:tcW w:w="2700" w:type="dxa"/>
            <w:vAlign w:val="bottom"/>
            <w:tcBorders>
              <w:bottom w:val="single" w:sz="8" w:color="70AD47"/>
            </w:tcBorders>
          </w:tcPr>
          <w:p>
            <w:pPr>
              <w:spacing w:after="0"/>
              <w:rPr>
                <w:sz w:val="8"/>
                <w:szCs w:val="8"/>
                <w:color w:val="auto"/>
              </w:rPr>
            </w:pPr>
          </w:p>
        </w:tc>
        <w:tc>
          <w:tcPr>
            <w:tcW w:w="3480" w:type="dxa"/>
            <w:vAlign w:val="bottom"/>
            <w:tcBorders>
              <w:bottom w:val="single" w:sz="8" w:color="70AD47"/>
            </w:tcBorders>
          </w:tcPr>
          <w:p>
            <w:pPr>
              <w:spacing w:after="0"/>
              <w:rPr>
                <w:sz w:val="8"/>
                <w:szCs w:val="8"/>
                <w:color w:val="auto"/>
              </w:rPr>
            </w:pPr>
          </w:p>
        </w:tc>
        <w:tc>
          <w:tcPr>
            <w:tcW w:w="1900" w:type="dxa"/>
            <w:vAlign w:val="bottom"/>
            <w:tcBorders>
              <w:bottom w:val="single" w:sz="8" w:color="70AD47"/>
              <w:right w:val="single" w:sz="8" w:color="70AD47"/>
            </w:tcBorders>
          </w:tcPr>
          <w:p>
            <w:pPr>
              <w:spacing w:after="0"/>
              <w:rPr>
                <w:sz w:val="8"/>
                <w:szCs w:val="8"/>
                <w:color w:val="auto"/>
              </w:rPr>
            </w:pPr>
          </w:p>
        </w:tc>
        <w:tc>
          <w:tcPr>
            <w:tcW w:w="1600" w:type="dxa"/>
            <w:vAlign w:val="bottom"/>
            <w:tcBorders>
              <w:bottom w:val="single" w:sz="8" w:color="70AD47"/>
            </w:tcBorders>
            <w:vMerge w:val="continue"/>
            <w:shd w:val="clear" w:color="auto" w:fill="C6E0B4"/>
          </w:tcPr>
          <w:p>
            <w:pPr>
              <w:spacing w:after="0"/>
              <w:rPr>
                <w:sz w:val="8"/>
                <w:szCs w:val="8"/>
                <w:color w:val="auto"/>
              </w:rPr>
            </w:pPr>
          </w:p>
        </w:tc>
        <w:tc>
          <w:tcPr>
            <w:tcW w:w="1600" w:type="dxa"/>
            <w:vAlign w:val="bottom"/>
            <w:tcBorders>
              <w:bottom w:val="single" w:sz="8" w:color="70AD4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700" w:type="dxa"/>
            <w:vAlign w:val="bottom"/>
            <w:tcBorders>
              <w:bottom w:val="single" w:sz="8" w:color="70AD47"/>
            </w:tcBorders>
          </w:tcPr>
          <w:p>
            <w:pPr>
              <w:spacing w:after="0"/>
              <w:rPr>
                <w:sz w:val="20"/>
                <w:szCs w:val="20"/>
                <w:color w:val="auto"/>
              </w:rPr>
            </w:pPr>
            <w:r>
              <w:rPr>
                <w:rFonts w:ascii="Arial" w:cs="Arial" w:eastAsia="Arial" w:hAnsi="Arial"/>
                <w:sz w:val="12"/>
                <w:szCs w:val="12"/>
                <w:color w:val="auto"/>
              </w:rPr>
              <w:t>Medine GmbH</w:t>
            </w:r>
          </w:p>
        </w:tc>
        <w:tc>
          <w:tcPr>
            <w:tcW w:w="3480" w:type="dxa"/>
            <w:vAlign w:val="bottom"/>
            <w:tcBorders>
              <w:bottom w:val="single" w:sz="8" w:color="70AD47"/>
            </w:tcBorders>
          </w:tcPr>
          <w:p>
            <w:pPr>
              <w:ind w:left="1980"/>
              <w:spacing w:after="0"/>
              <w:rPr>
                <w:sz w:val="20"/>
                <w:szCs w:val="20"/>
                <w:color w:val="auto"/>
              </w:rPr>
            </w:pPr>
            <w:r>
              <w:rPr>
                <w:rFonts w:ascii="Arial" w:cs="Arial" w:eastAsia="Arial" w:hAnsi="Arial"/>
                <w:sz w:val="12"/>
                <w:szCs w:val="12"/>
                <w:color w:val="auto"/>
              </w:rPr>
              <w:t>Germany</w:t>
            </w:r>
          </w:p>
        </w:tc>
        <w:tc>
          <w:tcPr>
            <w:tcW w:w="1900" w:type="dxa"/>
            <w:vAlign w:val="bottom"/>
            <w:tcBorders>
              <w:bottom w:val="single" w:sz="8" w:color="70AD47"/>
              <w:right w:val="single" w:sz="8" w:color="70AD47"/>
            </w:tcBorders>
          </w:tcPr>
          <w:p>
            <w:pPr>
              <w:ind w:left="200"/>
              <w:spacing w:after="0"/>
              <w:rPr>
                <w:sz w:val="20"/>
                <w:szCs w:val="20"/>
                <w:color w:val="auto"/>
              </w:rPr>
            </w:pPr>
            <w:r>
              <w:rPr>
                <w:rFonts w:ascii="Arial" w:cs="Arial" w:eastAsia="Arial" w:hAnsi="Arial"/>
                <w:sz w:val="12"/>
                <w:szCs w:val="12"/>
                <w:color w:val="auto"/>
              </w:rPr>
              <w:t>Mainz</w:t>
            </w:r>
          </w:p>
        </w:tc>
        <w:tc>
          <w:tcPr>
            <w:tcW w:w="160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18.38%</w:t>
            </w:r>
          </w:p>
        </w:tc>
        <w:tc>
          <w:tcPr>
            <w:tcW w:w="1600" w:type="dxa"/>
            <w:vAlign w:val="bottom"/>
            <w:tcBorders>
              <w:bottom w:val="single" w:sz="8" w:color="70AD47"/>
            </w:tcBorders>
          </w:tcPr>
          <w:p>
            <w:pPr>
              <w:jc w:val="right"/>
              <w:spacing w:after="0"/>
              <w:rPr>
                <w:sz w:val="20"/>
                <w:szCs w:val="20"/>
                <w:color w:val="auto"/>
              </w:rPr>
            </w:pPr>
            <w:r>
              <w:rPr>
                <w:rFonts w:ascii="Arial" w:cs="Arial" w:eastAsia="Arial" w:hAnsi="Arial"/>
                <w:sz w:val="12"/>
                <w:szCs w:val="12"/>
                <w:color w:val="auto"/>
              </w:rPr>
              <w:t>21.57%</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60" w:right="9140" w:hanging="560"/>
        <w:spacing w:after="0" w:line="459" w:lineRule="auto"/>
        <w:tabs>
          <w:tab w:leader="none" w:pos="813" w:val="left"/>
        </w:tabs>
        <w:numPr>
          <w:ilvl w:val="0"/>
          <w:numId w:val="323"/>
        </w:numPr>
        <w:rPr>
          <w:rFonts w:ascii="Arial" w:cs="Arial" w:eastAsia="Arial" w:hAnsi="Arial"/>
          <w:sz w:val="11"/>
          <w:szCs w:val="11"/>
          <w:b w:val="1"/>
          <w:bCs w:val="1"/>
          <w:color w:val="auto"/>
        </w:rPr>
      </w:pPr>
      <w:r>
        <w:rPr>
          <w:rFonts w:ascii="Arial" w:cs="Arial" w:eastAsia="Arial" w:hAnsi="Arial"/>
          <w:sz w:val="11"/>
          <w:szCs w:val="11"/>
          <w:b w:val="1"/>
          <w:bCs w:val="1"/>
          <w:color w:val="auto"/>
        </w:rPr>
        <w:t>Business Combinations MAB Discovery GmbH</w:t>
      </w:r>
    </w:p>
    <w:p>
      <w:pPr>
        <w:ind w:right="260" w:firstLine="556"/>
        <w:spacing w:after="0" w:line="331" w:lineRule="auto"/>
        <w:rPr>
          <w:sz w:val="20"/>
          <w:szCs w:val="20"/>
          <w:color w:val="auto"/>
        </w:rPr>
      </w:pPr>
      <w:r>
        <w:rPr>
          <w:rFonts w:ascii="Arial" w:cs="Arial" w:eastAsia="Arial" w:hAnsi="Arial"/>
          <w:sz w:val="12"/>
          <w:szCs w:val="12"/>
          <w:color w:val="auto"/>
        </w:rPr>
        <w:t>In January 2019, BioNTech entered into an agreement to acquire MAB Discovery GmbH’s operational antibody generation unit based near Munich, Germany (hereinafter also referred to as “MAB Discovery”), for a total consideration of k€6,050. The employees of MAB Discovery were transferred automatically to BioNTech with effect as of the closing date. The acquisition closed on April 1, 2019.</w:t>
      </w:r>
    </w:p>
    <w:p>
      <w:pPr>
        <w:sectPr>
          <w:pgSz w:w="11900" w:h="16838" w:orient="portrait"/>
          <w:cols w:equalWidth="0" w:num="1">
            <w:col w:w="11280"/>
          </w:cols>
          <w:pgMar w:left="300" w:top="371" w:right="319" w:bottom="1440" w:gutter="0" w:footer="0" w:header="0"/>
        </w:sectPr>
      </w:pPr>
    </w:p>
    <w:p>
      <w:pPr>
        <w:spacing w:after="0" w:line="99"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Group has acquired MAB Discovery because it intends to adopt and pursue the unit’s current business into its own.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fair values of the identifiable net assets of MAB Discovery as at the date of acquisition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67880" cy="8763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7167880" cy="87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Goodwill</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 intangible assets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Property, plant and equipment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Inventories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identifiable net assets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Fair value</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recognized on</w:t>
      </w:r>
    </w:p>
    <w:p>
      <w:pPr>
        <w:spacing w:after="0" w:line="22"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acquisition</w:t>
      </w:r>
    </w:p>
    <w:p>
      <w:pPr>
        <w:spacing w:after="0" w:line="12"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MAB Discovery</w:t>
      </w:r>
    </w:p>
    <w:p>
      <w:pPr>
        <w:spacing w:after="0" w:line="31"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GmbH</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€2,205</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2,711</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999</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135</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€6,050</w:t>
      </w:r>
    </w:p>
    <w:p>
      <w:pPr>
        <w:spacing w:after="0" w:line="200" w:lineRule="exact"/>
        <w:rPr>
          <w:sz w:val="20"/>
          <w:szCs w:val="20"/>
          <w:color w:val="auto"/>
        </w:rPr>
      </w:pPr>
    </w:p>
    <w:p>
      <w:pPr>
        <w:sectPr>
          <w:pgSz w:w="11900" w:h="16838" w:orient="portrait"/>
          <w:cols w:equalWidth="0" w:num="2">
            <w:col w:w="9280" w:space="720"/>
            <w:col w:w="1280"/>
          </w:cols>
          <w:pgMar w:left="300" w:top="371" w:right="319" w:bottom="1440" w:gutter="0" w:footer="0" w:header="0"/>
          <w:type w:val="continuous"/>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80580" cy="127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type w:val="continuous"/>
        </w:sectPr>
      </w:pPr>
    </w:p>
    <w:bookmarkStart w:id="289" w:name="page290"/>
    <w:bookmarkEnd w:id="2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400050</wp:posOffset>
            </wp:positionV>
            <wp:extent cx="7167880" cy="660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7167880" cy="66040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Net cash acquired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Cash paid</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Net cash flow on acquisition</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Arial" w:cs="Arial" w:eastAsia="Arial" w:hAnsi="Arial"/>
          <w:sz w:val="13"/>
          <w:szCs w:val="13"/>
          <w:b w:val="1"/>
          <w:bCs w:val="1"/>
          <w:color w:val="auto"/>
        </w:rPr>
        <w:t>Cash flow</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on acquisition</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MAB Discovery</w:t>
      </w:r>
    </w:p>
    <w:p>
      <w:pPr>
        <w:spacing w:after="0" w:line="31"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GmbH</w:t>
      </w:r>
    </w:p>
    <w:p>
      <w:pPr>
        <w:spacing w:after="0" w:line="192"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€6,050</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€(6,050)</w:t>
      </w:r>
    </w:p>
    <w:p>
      <w:pPr>
        <w:spacing w:after="0" w:line="200" w:lineRule="exact"/>
        <w:rPr>
          <w:sz w:val="20"/>
          <w:szCs w:val="20"/>
          <w:color w:val="auto"/>
        </w:rPr>
      </w:pPr>
    </w:p>
    <w:p>
      <w:pPr>
        <w:sectPr>
          <w:pgSz w:w="11900" w:h="16838" w:orient="portrait"/>
          <w:cols w:equalWidth="0" w:num="2">
            <w:col w:w="9280" w:space="720"/>
            <w:col w:w="1300"/>
          </w:cols>
          <w:pgMar w:left="300" w:top="297" w:right="299" w:bottom="1440" w:gutter="0" w:footer="0" w:header="0"/>
        </w:sectPr>
      </w:pPr>
    </w:p>
    <w:p>
      <w:pPr>
        <w:spacing w:after="0" w:line="64" w:lineRule="exact"/>
        <w:rPr>
          <w:sz w:val="20"/>
          <w:szCs w:val="20"/>
          <w:color w:val="auto"/>
        </w:rPr>
      </w:pPr>
    </w:p>
    <w:p>
      <w:pPr>
        <w:ind w:right="40" w:firstLine="554"/>
        <w:spacing w:after="0" w:line="264" w:lineRule="auto"/>
        <w:rPr>
          <w:sz w:val="20"/>
          <w:szCs w:val="20"/>
          <w:color w:val="auto"/>
        </w:rPr>
      </w:pPr>
      <w:r>
        <w:rPr>
          <w:rFonts w:ascii="Arial" w:cs="Arial" w:eastAsia="Arial" w:hAnsi="Arial"/>
          <w:sz w:val="13"/>
          <w:szCs w:val="13"/>
          <w:color w:val="auto"/>
        </w:rPr>
        <w:t>The consolidated financial statements include the results of MAB Discovery since the acquisition date. From the date of acquisition, MAB Discovery contributed k€4,299 to loss before tax in the Technology Platform business segment from continuing operations of the Group. If the transaction would have occurred at the beginning of the reporting period, an estimated amount of k€5,232 would have contributed to loss before tax in the Technology Platform business segment. From the date of acquisition, MAB Discovery did not generate any revenue and no revenue would have been generated if the transaction would have occurred at the beginning of the reporting period. Goodwill recognized is primarily attributed to the expected synergies and other benefits from combining the assets and activities of MAB Discovery with those of the Group.</w:t>
      </w:r>
    </w:p>
    <w:p>
      <w:pPr>
        <w:spacing w:after="0" w:line="138"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Transaction costs of k€91 relating to the acquisition have been expensed and are included in the general and administrative expenses within the condensed consolidated statement of operations and are part of operating cash flows in the statement of cash flows.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reBOOST Management GmbH</w:t>
      </w:r>
    </w:p>
    <w:p>
      <w:pPr>
        <w:spacing w:after="0" w:line="94"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On August 29, 2019, BioNTech entered into an agreement to purchase all of the outstanding shares of reBOOST Management GmbH (hereinafter also referred to as “reBOOST”) from Medine GmbH, which is wholly owned by BioNTech’s Chief Executive Officer, Ugur Sahin. The k€279 purchase price consists of k€31 cash consideration and assumption of liabilities of up to k€248. The related party acquisition closed on September 2, 2019.</w:t>
      </w:r>
    </w:p>
    <w:p>
      <w:pPr>
        <w:spacing w:after="0" w:line="132" w:lineRule="exact"/>
        <w:rPr>
          <w:sz w:val="20"/>
          <w:szCs w:val="20"/>
          <w:color w:val="auto"/>
        </w:rPr>
      </w:pPr>
    </w:p>
    <w:p>
      <w:pPr>
        <w:ind w:right="20" w:firstLine="556"/>
        <w:spacing w:after="0" w:line="296" w:lineRule="auto"/>
        <w:rPr>
          <w:sz w:val="20"/>
          <w:szCs w:val="20"/>
          <w:color w:val="auto"/>
        </w:rPr>
      </w:pPr>
      <w:r>
        <w:rPr>
          <w:rFonts w:ascii="Arial" w:cs="Arial" w:eastAsia="Arial" w:hAnsi="Arial"/>
          <w:sz w:val="12"/>
          <w:szCs w:val="12"/>
          <w:color w:val="auto"/>
        </w:rPr>
        <w:t>The consolidated financial statements include the results of reBOOST since the acquisition date. From the date of acquisition, reBOOST contributed k€213 to loss before tax in the Technology Platform business segment from continuing operations of the Group. If the transaction would have occurred at the beginning of the reporting period, an estimated amount of k€237 would have contributed to loss before tax in the Technology Platform business segment. From the date of acquisition, reBOOST did not generate any revenue and no revenue would have been generated if the transaction would have occurred at the beginning of the reporting period. The Group acquired reBOOST because it expects to lift synergies and other benefits arising from the ongoing collaborations of reBOOST with different co-operations.</w:t>
      </w:r>
    </w:p>
    <w:p>
      <w:pPr>
        <w:spacing w:after="0" w:line="195" w:lineRule="exact"/>
        <w:rPr>
          <w:sz w:val="20"/>
          <w:szCs w:val="20"/>
          <w:color w:val="auto"/>
        </w:rPr>
      </w:pPr>
    </w:p>
    <w:p>
      <w:pPr>
        <w:ind w:left="800" w:hanging="800"/>
        <w:spacing w:after="0"/>
        <w:tabs>
          <w:tab w:leader="none" w:pos="800" w:val="left"/>
        </w:tabs>
        <w:numPr>
          <w:ilvl w:val="0"/>
          <w:numId w:val="324"/>
        </w:numPr>
        <w:rPr>
          <w:rFonts w:ascii="Arial" w:cs="Arial" w:eastAsia="Arial" w:hAnsi="Arial"/>
          <w:sz w:val="13"/>
          <w:szCs w:val="13"/>
          <w:b w:val="1"/>
          <w:bCs w:val="1"/>
          <w:color w:val="auto"/>
        </w:rPr>
      </w:pPr>
      <w:r>
        <w:rPr>
          <w:rFonts w:ascii="Arial" w:cs="Arial" w:eastAsia="Arial" w:hAnsi="Arial"/>
          <w:sz w:val="13"/>
          <w:szCs w:val="13"/>
          <w:b w:val="1"/>
          <w:bCs w:val="1"/>
          <w:color w:val="auto"/>
        </w:rPr>
        <w:t>Income and Expenses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7.1</w:t>
            </w:r>
          </w:p>
        </w:tc>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Costs of Sales</w:t>
            </w:r>
          </w:p>
        </w:tc>
        <w:tc>
          <w:tcPr>
            <w:tcW w:w="2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7"/>
        </w:trPr>
        <w:tc>
          <w:tcPr>
            <w:tcW w:w="7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2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3"/>
        </w:trPr>
        <w:tc>
          <w:tcPr>
            <w:tcW w:w="7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3140" w:type="dxa"/>
            <w:vAlign w:val="bottom"/>
            <w:tcBorders>
              <w:bottom w:val="single" w:sz="8" w:color="70AD47"/>
            </w:tcBorders>
          </w:tcPr>
          <w:p>
            <w:pPr>
              <w:spacing w:after="0"/>
              <w:rPr>
                <w:sz w:val="14"/>
                <w:szCs w:val="14"/>
                <w:color w:val="auto"/>
              </w:rPr>
            </w:pPr>
          </w:p>
        </w:tc>
        <w:tc>
          <w:tcPr>
            <w:tcW w:w="256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r>
      <w:tr>
        <w:trPr>
          <w:trHeight w:val="160"/>
        </w:trPr>
        <w:tc>
          <w:tcPr>
            <w:tcW w:w="3920" w:type="dxa"/>
            <w:vAlign w:val="bottom"/>
            <w:gridSpan w:val="2"/>
          </w:tcPr>
          <w:p>
            <w:pPr>
              <w:spacing w:after="0"/>
              <w:rPr>
                <w:sz w:val="20"/>
                <w:szCs w:val="20"/>
                <w:color w:val="auto"/>
              </w:rPr>
            </w:pPr>
            <w:r>
              <w:rPr>
                <w:rFonts w:ascii="Arial" w:cs="Arial" w:eastAsia="Arial" w:hAnsi="Arial"/>
                <w:sz w:val="13"/>
                <w:szCs w:val="13"/>
                <w:color w:val="auto"/>
              </w:rPr>
              <w:t>Wages, benefits and social security expense</w:t>
            </w:r>
          </w:p>
        </w:tc>
        <w:tc>
          <w:tcPr>
            <w:tcW w:w="256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€7,206</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€6,726</w:t>
            </w:r>
          </w:p>
        </w:tc>
        <w:tc>
          <w:tcPr>
            <w:tcW w:w="1580" w:type="dxa"/>
            <w:vAlign w:val="bottom"/>
          </w:tcPr>
          <w:p>
            <w:pPr>
              <w:jc w:val="right"/>
              <w:spacing w:after="0"/>
              <w:rPr>
                <w:sz w:val="20"/>
                <w:szCs w:val="20"/>
                <w:color w:val="auto"/>
              </w:rPr>
            </w:pPr>
            <w:r>
              <w:rPr>
                <w:rFonts w:ascii="Arial" w:cs="Arial" w:eastAsia="Arial" w:hAnsi="Arial"/>
                <w:sz w:val="13"/>
                <w:szCs w:val="13"/>
                <w:color w:val="auto"/>
              </w:rPr>
              <w:t>€6,105</w:t>
            </w:r>
          </w:p>
        </w:tc>
        <w:tc>
          <w:tcPr>
            <w:tcW w:w="20" w:type="dxa"/>
            <w:vAlign w:val="bottom"/>
          </w:tcPr>
          <w:p>
            <w:pPr>
              <w:spacing w:after="0"/>
              <w:rPr>
                <w:sz w:val="13"/>
                <w:szCs w:val="13"/>
                <w:color w:val="auto"/>
              </w:rPr>
            </w:pPr>
          </w:p>
        </w:tc>
      </w:tr>
      <w:tr>
        <w:trPr>
          <w:trHeight w:val="170"/>
        </w:trPr>
        <w:tc>
          <w:tcPr>
            <w:tcW w:w="3920" w:type="dxa"/>
            <w:vAlign w:val="bottom"/>
            <w:gridSpan w:val="2"/>
          </w:tcPr>
          <w:p>
            <w:pPr>
              <w:spacing w:after="0"/>
              <w:rPr>
                <w:sz w:val="20"/>
                <w:szCs w:val="20"/>
                <w:color w:val="auto"/>
              </w:rPr>
            </w:pPr>
            <w:r>
              <w:rPr>
                <w:rFonts w:ascii="Arial" w:cs="Arial" w:eastAsia="Arial" w:hAnsi="Arial"/>
                <w:sz w:val="13"/>
                <w:szCs w:val="13"/>
                <w:color w:val="auto"/>
              </w:rPr>
              <w:t>Laboratory supplies</w:t>
            </w:r>
          </w:p>
        </w:tc>
        <w:tc>
          <w:tcPr>
            <w:tcW w:w="256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3,845</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1,368</w:t>
            </w:r>
          </w:p>
        </w:tc>
        <w:tc>
          <w:tcPr>
            <w:tcW w:w="1580" w:type="dxa"/>
            <w:vAlign w:val="bottom"/>
          </w:tcPr>
          <w:p>
            <w:pPr>
              <w:jc w:val="right"/>
              <w:spacing w:after="0"/>
              <w:rPr>
                <w:sz w:val="20"/>
                <w:szCs w:val="20"/>
                <w:color w:val="auto"/>
              </w:rPr>
            </w:pPr>
            <w:r>
              <w:rPr>
                <w:rFonts w:ascii="Arial" w:cs="Arial" w:eastAsia="Arial" w:hAnsi="Arial"/>
                <w:sz w:val="13"/>
                <w:szCs w:val="13"/>
                <w:color w:val="auto"/>
              </w:rPr>
              <w:t>2,849</w:t>
            </w:r>
          </w:p>
        </w:tc>
        <w:tc>
          <w:tcPr>
            <w:tcW w:w="20" w:type="dxa"/>
            <w:vAlign w:val="bottom"/>
          </w:tcPr>
          <w:p>
            <w:pPr>
              <w:spacing w:after="0"/>
              <w:rPr>
                <w:sz w:val="14"/>
                <w:szCs w:val="14"/>
                <w:color w:val="auto"/>
              </w:rPr>
            </w:pPr>
          </w:p>
        </w:tc>
      </w:tr>
      <w:tr>
        <w:trPr>
          <w:trHeight w:val="170"/>
        </w:trPr>
        <w:tc>
          <w:tcPr>
            <w:tcW w:w="3920" w:type="dxa"/>
            <w:vAlign w:val="bottom"/>
            <w:gridSpan w:val="2"/>
          </w:tcPr>
          <w:p>
            <w:pPr>
              <w:spacing w:after="0"/>
              <w:rPr>
                <w:sz w:val="20"/>
                <w:szCs w:val="20"/>
                <w:color w:val="auto"/>
              </w:rPr>
            </w:pPr>
            <w:r>
              <w:rPr>
                <w:rFonts w:ascii="Arial" w:cs="Arial" w:eastAsia="Arial" w:hAnsi="Arial"/>
                <w:sz w:val="13"/>
                <w:szCs w:val="13"/>
                <w:color w:val="auto"/>
              </w:rPr>
              <w:t>Purchased services</w:t>
            </w:r>
          </w:p>
        </w:tc>
        <w:tc>
          <w:tcPr>
            <w:tcW w:w="256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1,986</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2,514</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3920" w:type="dxa"/>
            <w:vAlign w:val="bottom"/>
            <w:gridSpan w:val="2"/>
          </w:tcPr>
          <w:p>
            <w:pPr>
              <w:spacing w:after="0"/>
              <w:rPr>
                <w:sz w:val="20"/>
                <w:szCs w:val="20"/>
                <w:color w:val="auto"/>
              </w:rPr>
            </w:pPr>
            <w:r>
              <w:rPr>
                <w:rFonts w:ascii="Arial" w:cs="Arial" w:eastAsia="Arial" w:hAnsi="Arial"/>
                <w:sz w:val="13"/>
                <w:szCs w:val="13"/>
                <w:color w:val="auto"/>
              </w:rPr>
              <w:t>Depreciation and amortization</w:t>
            </w:r>
          </w:p>
        </w:tc>
        <w:tc>
          <w:tcPr>
            <w:tcW w:w="256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1,467</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1,367</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w:t>
            </w:r>
          </w:p>
        </w:tc>
        <w:tc>
          <w:tcPr>
            <w:tcW w:w="3140" w:type="dxa"/>
            <w:vAlign w:val="bottom"/>
            <w:tcBorders>
              <w:bottom w:val="single" w:sz="8" w:color="70AD47"/>
            </w:tcBorders>
          </w:tcPr>
          <w:p>
            <w:pPr>
              <w:spacing w:after="0"/>
              <w:rPr>
                <w:sz w:val="14"/>
                <w:szCs w:val="14"/>
                <w:color w:val="auto"/>
              </w:rPr>
            </w:pPr>
          </w:p>
        </w:tc>
        <w:tc>
          <w:tcPr>
            <w:tcW w:w="256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2,857</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1,715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364</w:t>
            </w:r>
          </w:p>
        </w:tc>
        <w:tc>
          <w:tcPr>
            <w:tcW w:w="20" w:type="dxa"/>
            <w:vAlign w:val="bottom"/>
          </w:tcPr>
          <w:p>
            <w:pPr>
              <w:spacing w:after="0"/>
              <w:rPr>
                <w:sz w:val="14"/>
                <w:szCs w:val="14"/>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3140" w:type="dxa"/>
            <w:vAlign w:val="bottom"/>
            <w:tcBorders>
              <w:bottom w:val="single" w:sz="8" w:color="70AD47"/>
            </w:tcBorders>
          </w:tcPr>
          <w:p>
            <w:pPr>
              <w:spacing w:after="0"/>
              <w:rPr>
                <w:sz w:val="13"/>
                <w:szCs w:val="13"/>
                <w:color w:val="auto"/>
              </w:rPr>
            </w:pPr>
          </w:p>
        </w:tc>
        <w:tc>
          <w:tcPr>
            <w:tcW w:w="256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€17,361</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€13,690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€9,318</w:t>
            </w:r>
          </w:p>
        </w:tc>
        <w:tc>
          <w:tcPr>
            <w:tcW w:w="20" w:type="dxa"/>
            <w:vAlign w:val="bottom"/>
          </w:tcPr>
          <w:p>
            <w:pPr>
              <w:spacing w:after="0"/>
              <w:rPr>
                <w:sz w:val="13"/>
                <w:szCs w:val="13"/>
                <w:color w:val="auto"/>
              </w:rPr>
            </w:pPr>
          </w:p>
        </w:tc>
      </w:tr>
      <w:tr>
        <w:trPr>
          <w:trHeight w:val="470"/>
        </w:trPr>
        <w:tc>
          <w:tcPr>
            <w:tcW w:w="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160" w:type="dxa"/>
            <w:vAlign w:val="bottom"/>
            <w:gridSpan w:val="2"/>
          </w:tcPr>
          <w:p>
            <w:pPr>
              <w:jc w:val="right"/>
              <w:ind w:right="2253"/>
              <w:spacing w:after="0"/>
              <w:rPr>
                <w:sz w:val="20"/>
                <w:szCs w:val="20"/>
                <w:color w:val="auto"/>
              </w:rPr>
            </w:pPr>
            <w:r>
              <w:rPr>
                <w:rFonts w:ascii="Arial" w:cs="Arial" w:eastAsia="Arial" w:hAnsi="Arial"/>
                <w:sz w:val="13"/>
                <w:szCs w:val="13"/>
                <w:color w:val="auto"/>
              </w:rPr>
              <w:t>F-26</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780" w:type="dxa"/>
            <w:vAlign w:val="bottom"/>
            <w:tcBorders>
              <w:bottom w:val="single" w:sz="8" w:color="9A9A9A"/>
            </w:tcBorders>
          </w:tcPr>
          <w:p>
            <w:pPr>
              <w:spacing w:after="0"/>
              <w:rPr>
                <w:sz w:val="6"/>
                <w:szCs w:val="6"/>
                <w:color w:val="auto"/>
              </w:rPr>
            </w:pPr>
          </w:p>
        </w:tc>
        <w:tc>
          <w:tcPr>
            <w:tcW w:w="3140" w:type="dxa"/>
            <w:vAlign w:val="bottom"/>
            <w:tcBorders>
              <w:bottom w:val="single" w:sz="8" w:color="9A9A9A"/>
            </w:tcBorders>
          </w:tcPr>
          <w:p>
            <w:pPr>
              <w:spacing w:after="0"/>
              <w:rPr>
                <w:sz w:val="6"/>
                <w:szCs w:val="6"/>
                <w:color w:val="auto"/>
              </w:rPr>
            </w:pPr>
          </w:p>
        </w:tc>
        <w:tc>
          <w:tcPr>
            <w:tcW w:w="256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297" w:right="299" w:bottom="1440" w:gutter="0" w:footer="0" w:header="0"/>
          <w:type w:val="continuous"/>
        </w:sectPr>
      </w:pPr>
    </w:p>
    <w:bookmarkStart w:id="290" w:name="page291"/>
    <w:bookmarkEnd w:id="290"/>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7.2</w:t>
            </w:r>
          </w:p>
        </w:tc>
        <w:tc>
          <w:tcPr>
            <w:tcW w:w="3460" w:type="dxa"/>
            <w:vAlign w:val="bottom"/>
          </w:tcPr>
          <w:p>
            <w:pPr>
              <w:ind w:left="20"/>
              <w:spacing w:after="0"/>
              <w:rPr>
                <w:sz w:val="20"/>
                <w:szCs w:val="20"/>
                <w:color w:val="auto"/>
              </w:rPr>
            </w:pPr>
            <w:r>
              <w:rPr>
                <w:rFonts w:ascii="Arial" w:cs="Arial" w:eastAsia="Arial" w:hAnsi="Arial"/>
                <w:sz w:val="13"/>
                <w:szCs w:val="13"/>
                <w:b w:val="1"/>
                <w:bCs w:val="1"/>
                <w:color w:val="auto"/>
              </w:rPr>
              <w:t>Research and Development Expenses</w:t>
            </w:r>
          </w:p>
        </w:tc>
        <w:tc>
          <w:tcPr>
            <w:tcW w:w="2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7"/>
        </w:trPr>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0"/>
              </w:rPr>
              <w:t>Years ended</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7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3460" w:type="dxa"/>
            <w:vAlign w:val="bottom"/>
            <w:tcBorders>
              <w:bottom w:val="single" w:sz="8" w:color="70AD47"/>
            </w:tcBorders>
          </w:tcPr>
          <w:p>
            <w:pPr>
              <w:spacing w:after="0"/>
              <w:rPr>
                <w:sz w:val="14"/>
                <w:szCs w:val="14"/>
                <w:color w:val="auto"/>
              </w:rPr>
            </w:pPr>
          </w:p>
        </w:tc>
        <w:tc>
          <w:tcPr>
            <w:tcW w:w="22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r>
      <w:tr>
        <w:trPr>
          <w:trHeight w:val="160"/>
        </w:trPr>
        <w:tc>
          <w:tcPr>
            <w:tcW w:w="4240" w:type="dxa"/>
            <w:vAlign w:val="bottom"/>
            <w:gridSpan w:val="2"/>
          </w:tcPr>
          <w:p>
            <w:pPr>
              <w:spacing w:after="0"/>
              <w:rPr>
                <w:sz w:val="20"/>
                <w:szCs w:val="20"/>
                <w:color w:val="auto"/>
              </w:rPr>
            </w:pPr>
            <w:r>
              <w:rPr>
                <w:rFonts w:ascii="Arial" w:cs="Arial" w:eastAsia="Arial" w:hAnsi="Arial"/>
                <w:sz w:val="13"/>
                <w:szCs w:val="13"/>
                <w:color w:val="auto"/>
              </w:rPr>
              <w:t>Wages, benefits and social security expense</w:t>
            </w:r>
          </w:p>
        </w:tc>
        <w:tc>
          <w:tcPr>
            <w:tcW w:w="22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€83,213</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€45,668</w:t>
            </w:r>
          </w:p>
        </w:tc>
        <w:tc>
          <w:tcPr>
            <w:tcW w:w="1580" w:type="dxa"/>
            <w:vAlign w:val="bottom"/>
          </w:tcPr>
          <w:p>
            <w:pPr>
              <w:jc w:val="right"/>
              <w:spacing w:after="0"/>
              <w:rPr>
                <w:sz w:val="20"/>
                <w:szCs w:val="20"/>
                <w:color w:val="auto"/>
              </w:rPr>
            </w:pPr>
            <w:r>
              <w:rPr>
                <w:rFonts w:ascii="Arial" w:cs="Arial" w:eastAsia="Arial" w:hAnsi="Arial"/>
                <w:sz w:val="13"/>
                <w:szCs w:val="13"/>
                <w:color w:val="auto"/>
              </w:rPr>
              <w:t>€31,970</w:t>
            </w:r>
          </w:p>
        </w:tc>
        <w:tc>
          <w:tcPr>
            <w:tcW w:w="20" w:type="dxa"/>
            <w:vAlign w:val="bottom"/>
          </w:tcPr>
          <w:p>
            <w:pPr>
              <w:spacing w:after="0"/>
              <w:rPr>
                <w:sz w:val="13"/>
                <w:szCs w:val="13"/>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Purchased services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65,552</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42,079</w:t>
            </w:r>
          </w:p>
        </w:tc>
        <w:tc>
          <w:tcPr>
            <w:tcW w:w="1580" w:type="dxa"/>
            <w:vAlign w:val="bottom"/>
          </w:tcPr>
          <w:p>
            <w:pPr>
              <w:jc w:val="right"/>
              <w:spacing w:after="0"/>
              <w:rPr>
                <w:sz w:val="20"/>
                <w:szCs w:val="20"/>
                <w:color w:val="auto"/>
              </w:rPr>
            </w:pPr>
            <w:r>
              <w:rPr>
                <w:rFonts w:ascii="Arial" w:cs="Arial" w:eastAsia="Arial" w:hAnsi="Arial"/>
                <w:sz w:val="13"/>
                <w:szCs w:val="13"/>
                <w:color w:val="auto"/>
              </w:rPr>
              <w:t>22,686</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Laboratory supplies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37,218</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22,921</w:t>
            </w:r>
          </w:p>
        </w:tc>
        <w:tc>
          <w:tcPr>
            <w:tcW w:w="1580" w:type="dxa"/>
            <w:vAlign w:val="bottom"/>
          </w:tcPr>
          <w:p>
            <w:pPr>
              <w:jc w:val="right"/>
              <w:spacing w:after="0"/>
              <w:rPr>
                <w:sz w:val="20"/>
                <w:szCs w:val="20"/>
                <w:color w:val="auto"/>
              </w:rPr>
            </w:pPr>
            <w:r>
              <w:rPr>
                <w:rFonts w:ascii="Arial" w:cs="Arial" w:eastAsia="Arial" w:hAnsi="Arial"/>
                <w:sz w:val="13"/>
                <w:szCs w:val="13"/>
                <w:color w:val="auto"/>
              </w:rPr>
              <w:t>15,762</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Depreciation and amortization</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27,533</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18,312</w:t>
            </w:r>
          </w:p>
        </w:tc>
        <w:tc>
          <w:tcPr>
            <w:tcW w:w="1580" w:type="dxa"/>
            <w:vAlign w:val="bottom"/>
          </w:tcPr>
          <w:p>
            <w:pPr>
              <w:jc w:val="right"/>
              <w:spacing w:after="0"/>
              <w:rPr>
                <w:sz w:val="20"/>
                <w:szCs w:val="20"/>
                <w:color w:val="auto"/>
              </w:rPr>
            </w:pPr>
            <w:r>
              <w:rPr>
                <w:rFonts w:ascii="Arial" w:cs="Arial" w:eastAsia="Arial" w:hAnsi="Arial"/>
                <w:sz w:val="13"/>
                <w:szCs w:val="13"/>
                <w:color w:val="auto"/>
              </w:rPr>
              <w:t>9,859</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Lease and lease related cost</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2,527</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2,404</w:t>
            </w:r>
          </w:p>
        </w:tc>
        <w:tc>
          <w:tcPr>
            <w:tcW w:w="1580" w:type="dxa"/>
            <w:vAlign w:val="bottom"/>
          </w:tcPr>
          <w:p>
            <w:pPr>
              <w:jc w:val="right"/>
              <w:spacing w:after="0"/>
              <w:rPr>
                <w:sz w:val="20"/>
                <w:szCs w:val="20"/>
                <w:color w:val="auto"/>
              </w:rPr>
            </w:pPr>
            <w:r>
              <w:rPr>
                <w:rFonts w:ascii="Arial" w:cs="Arial" w:eastAsia="Arial" w:hAnsi="Arial"/>
                <w:sz w:val="13"/>
                <w:szCs w:val="13"/>
                <w:color w:val="auto"/>
              </w:rPr>
              <w:t>3,475</w:t>
            </w:r>
          </w:p>
        </w:tc>
        <w:tc>
          <w:tcPr>
            <w:tcW w:w="2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IT costs</w:t>
            </w:r>
          </w:p>
        </w:tc>
        <w:tc>
          <w:tcPr>
            <w:tcW w:w="3460" w:type="dxa"/>
            <w:vAlign w:val="bottom"/>
          </w:tcPr>
          <w:p>
            <w:pPr>
              <w:spacing w:after="0"/>
              <w:rPr>
                <w:sz w:val="14"/>
                <w:szCs w:val="14"/>
                <w:color w:val="auto"/>
              </w:rPr>
            </w:pP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3,800</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1,572</w:t>
            </w:r>
          </w:p>
        </w:tc>
        <w:tc>
          <w:tcPr>
            <w:tcW w:w="1580" w:type="dxa"/>
            <w:vAlign w:val="bottom"/>
          </w:tcPr>
          <w:p>
            <w:pPr>
              <w:jc w:val="right"/>
              <w:spacing w:after="0"/>
              <w:rPr>
                <w:sz w:val="20"/>
                <w:szCs w:val="20"/>
                <w:color w:val="auto"/>
              </w:rPr>
            </w:pPr>
            <w:r>
              <w:rPr>
                <w:rFonts w:ascii="Arial" w:cs="Arial" w:eastAsia="Arial" w:hAnsi="Arial"/>
                <w:sz w:val="13"/>
                <w:szCs w:val="13"/>
                <w:color w:val="auto"/>
              </w:rPr>
              <w:t>366</w:t>
            </w:r>
          </w:p>
        </w:tc>
        <w:tc>
          <w:tcPr>
            <w:tcW w:w="2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Travel costs</w:t>
            </w:r>
          </w:p>
        </w:tc>
        <w:tc>
          <w:tcPr>
            <w:tcW w:w="3460" w:type="dxa"/>
            <w:vAlign w:val="bottom"/>
          </w:tcPr>
          <w:p>
            <w:pPr>
              <w:spacing w:after="0"/>
              <w:rPr>
                <w:sz w:val="14"/>
                <w:szCs w:val="14"/>
                <w:color w:val="auto"/>
              </w:rPr>
            </w:pP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1,546</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1,281</w:t>
            </w:r>
          </w:p>
        </w:tc>
        <w:tc>
          <w:tcPr>
            <w:tcW w:w="1580" w:type="dxa"/>
            <w:vAlign w:val="bottom"/>
          </w:tcPr>
          <w:p>
            <w:pPr>
              <w:jc w:val="right"/>
              <w:spacing w:after="0"/>
              <w:rPr>
                <w:sz w:val="20"/>
                <w:szCs w:val="20"/>
                <w:color w:val="auto"/>
              </w:rPr>
            </w:pPr>
            <w:r>
              <w:rPr>
                <w:rFonts w:ascii="Arial" w:cs="Arial" w:eastAsia="Arial" w:hAnsi="Arial"/>
                <w:sz w:val="13"/>
                <w:szCs w:val="13"/>
                <w:color w:val="auto"/>
              </w:rPr>
              <w:t>776</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Transport costs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1,081</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668</w:t>
            </w:r>
          </w:p>
        </w:tc>
        <w:tc>
          <w:tcPr>
            <w:tcW w:w="1580" w:type="dxa"/>
            <w:vAlign w:val="bottom"/>
          </w:tcPr>
          <w:p>
            <w:pPr>
              <w:jc w:val="right"/>
              <w:spacing w:after="0"/>
              <w:rPr>
                <w:sz w:val="20"/>
                <w:szCs w:val="20"/>
                <w:color w:val="auto"/>
              </w:rPr>
            </w:pPr>
            <w:r>
              <w:rPr>
                <w:rFonts w:ascii="Arial" w:cs="Arial" w:eastAsia="Arial" w:hAnsi="Arial"/>
                <w:sz w:val="13"/>
                <w:szCs w:val="13"/>
                <w:color w:val="auto"/>
              </w:rPr>
              <w:t>396</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Job advertisement expenses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1,040</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352</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w:t>
            </w:r>
          </w:p>
        </w:tc>
        <w:tc>
          <w:tcPr>
            <w:tcW w:w="3460" w:type="dxa"/>
            <w:vAlign w:val="bottom"/>
            <w:tcBorders>
              <w:bottom w:val="single" w:sz="8" w:color="70AD47"/>
            </w:tcBorders>
          </w:tcPr>
          <w:p>
            <w:pPr>
              <w:spacing w:after="0"/>
              <w:rPr>
                <w:sz w:val="14"/>
                <w:szCs w:val="14"/>
                <w:color w:val="auto"/>
              </w:rPr>
            </w:pPr>
          </w:p>
        </w:tc>
        <w:tc>
          <w:tcPr>
            <w:tcW w:w="22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2,956</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7,783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206</w:t>
            </w:r>
          </w:p>
        </w:tc>
        <w:tc>
          <w:tcPr>
            <w:tcW w:w="20" w:type="dxa"/>
            <w:vAlign w:val="bottom"/>
          </w:tcPr>
          <w:p>
            <w:pPr>
              <w:spacing w:after="0"/>
              <w:rPr>
                <w:sz w:val="14"/>
                <w:szCs w:val="14"/>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3460" w:type="dxa"/>
            <w:vAlign w:val="bottom"/>
            <w:tcBorders>
              <w:bottom w:val="single" w:sz="8" w:color="70AD47"/>
            </w:tcBorders>
          </w:tcPr>
          <w:p>
            <w:pPr>
              <w:spacing w:after="0"/>
              <w:rPr>
                <w:sz w:val="13"/>
                <w:szCs w:val="13"/>
                <w:color w:val="auto"/>
              </w:rPr>
            </w:pPr>
          </w:p>
        </w:tc>
        <w:tc>
          <w:tcPr>
            <w:tcW w:w="224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€226,466</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€143,040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€85,496</w:t>
            </w:r>
          </w:p>
        </w:tc>
        <w:tc>
          <w:tcPr>
            <w:tcW w:w="20" w:type="dxa"/>
            <w:vAlign w:val="bottom"/>
          </w:tcPr>
          <w:p>
            <w:pPr>
              <w:spacing w:after="0"/>
              <w:rPr>
                <w:sz w:val="13"/>
                <w:szCs w:val="13"/>
                <w:color w:val="auto"/>
              </w:rPr>
            </w:pPr>
          </w:p>
        </w:tc>
      </w:tr>
      <w:tr>
        <w:trPr>
          <w:trHeight w:val="470"/>
        </w:trPr>
        <w:tc>
          <w:tcPr>
            <w:tcW w:w="780" w:type="dxa"/>
            <w:vAlign w:val="bottom"/>
          </w:tcPr>
          <w:p>
            <w:pPr>
              <w:spacing w:after="0"/>
              <w:rPr>
                <w:sz w:val="20"/>
                <w:szCs w:val="20"/>
                <w:color w:val="auto"/>
              </w:rPr>
            </w:pPr>
            <w:r>
              <w:rPr>
                <w:rFonts w:ascii="Arial" w:cs="Arial" w:eastAsia="Arial" w:hAnsi="Arial"/>
                <w:sz w:val="13"/>
                <w:szCs w:val="13"/>
                <w:b w:val="1"/>
                <w:bCs w:val="1"/>
                <w:color w:val="auto"/>
              </w:rPr>
              <w:t>7.3</w:t>
            </w:r>
          </w:p>
        </w:tc>
        <w:tc>
          <w:tcPr>
            <w:tcW w:w="3460" w:type="dxa"/>
            <w:vAlign w:val="bottom"/>
          </w:tcPr>
          <w:p>
            <w:pPr>
              <w:ind w:left="20"/>
              <w:spacing w:after="0"/>
              <w:rPr>
                <w:sz w:val="20"/>
                <w:szCs w:val="20"/>
                <w:color w:val="auto"/>
              </w:rPr>
            </w:pPr>
            <w:r>
              <w:rPr>
                <w:rFonts w:ascii="Arial" w:cs="Arial" w:eastAsia="Arial" w:hAnsi="Arial"/>
                <w:sz w:val="13"/>
                <w:szCs w:val="13"/>
                <w:b w:val="1"/>
                <w:bCs w:val="1"/>
                <w:color w:val="auto"/>
              </w:rPr>
              <w:t>Sales and Marketing Expenses</w:t>
            </w: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7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0"/>
              </w:rPr>
              <w:t>Years ended</w:t>
            </w: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3"/>
        </w:trPr>
        <w:tc>
          <w:tcPr>
            <w:tcW w:w="7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3460" w:type="dxa"/>
            <w:vAlign w:val="bottom"/>
            <w:tcBorders>
              <w:bottom w:val="single" w:sz="8" w:color="70AD47"/>
            </w:tcBorders>
          </w:tcPr>
          <w:p>
            <w:pPr>
              <w:spacing w:after="0"/>
              <w:rPr>
                <w:sz w:val="14"/>
                <w:szCs w:val="14"/>
                <w:color w:val="auto"/>
              </w:rPr>
            </w:pPr>
          </w:p>
        </w:tc>
        <w:tc>
          <w:tcPr>
            <w:tcW w:w="22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r>
      <w:tr>
        <w:trPr>
          <w:trHeight w:val="160"/>
        </w:trPr>
        <w:tc>
          <w:tcPr>
            <w:tcW w:w="4240" w:type="dxa"/>
            <w:vAlign w:val="bottom"/>
            <w:gridSpan w:val="2"/>
          </w:tcPr>
          <w:p>
            <w:pPr>
              <w:spacing w:after="0"/>
              <w:rPr>
                <w:sz w:val="20"/>
                <w:szCs w:val="20"/>
                <w:color w:val="auto"/>
              </w:rPr>
            </w:pPr>
            <w:r>
              <w:rPr>
                <w:rFonts w:ascii="Arial" w:cs="Arial" w:eastAsia="Arial" w:hAnsi="Arial"/>
                <w:sz w:val="13"/>
                <w:szCs w:val="13"/>
                <w:color w:val="auto"/>
              </w:rPr>
              <w:t>Wages, benefits and social security expense</w:t>
            </w:r>
          </w:p>
        </w:tc>
        <w:tc>
          <w:tcPr>
            <w:tcW w:w="22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€1,938</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€1,728</w:t>
            </w:r>
          </w:p>
        </w:tc>
        <w:tc>
          <w:tcPr>
            <w:tcW w:w="1580" w:type="dxa"/>
            <w:vAlign w:val="bottom"/>
          </w:tcPr>
          <w:p>
            <w:pPr>
              <w:jc w:val="right"/>
              <w:spacing w:after="0"/>
              <w:rPr>
                <w:sz w:val="20"/>
                <w:szCs w:val="20"/>
                <w:color w:val="auto"/>
              </w:rPr>
            </w:pPr>
            <w:r>
              <w:rPr>
                <w:rFonts w:ascii="Arial" w:cs="Arial" w:eastAsia="Arial" w:hAnsi="Arial"/>
                <w:sz w:val="13"/>
                <w:szCs w:val="13"/>
                <w:color w:val="auto"/>
              </w:rPr>
              <w:t>€1,631</w:t>
            </w:r>
          </w:p>
        </w:tc>
        <w:tc>
          <w:tcPr>
            <w:tcW w:w="20" w:type="dxa"/>
            <w:vAlign w:val="bottom"/>
          </w:tcPr>
          <w:p>
            <w:pPr>
              <w:spacing w:after="0"/>
              <w:rPr>
                <w:sz w:val="13"/>
                <w:szCs w:val="13"/>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Purchased services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247</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794</w:t>
            </w:r>
          </w:p>
        </w:tc>
        <w:tc>
          <w:tcPr>
            <w:tcW w:w="1580" w:type="dxa"/>
            <w:vAlign w:val="bottom"/>
          </w:tcPr>
          <w:p>
            <w:pPr>
              <w:jc w:val="right"/>
              <w:spacing w:after="0"/>
              <w:rPr>
                <w:sz w:val="20"/>
                <w:szCs w:val="20"/>
                <w:color w:val="auto"/>
              </w:rPr>
            </w:pPr>
            <w:r>
              <w:rPr>
                <w:rFonts w:ascii="Arial" w:cs="Arial" w:eastAsia="Arial" w:hAnsi="Arial"/>
                <w:sz w:val="13"/>
                <w:szCs w:val="13"/>
                <w:color w:val="auto"/>
              </w:rPr>
              <w:t>2,771</w:t>
            </w:r>
          </w:p>
        </w:tc>
        <w:tc>
          <w:tcPr>
            <w:tcW w:w="2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Travel costs</w:t>
            </w:r>
          </w:p>
        </w:tc>
        <w:tc>
          <w:tcPr>
            <w:tcW w:w="3460" w:type="dxa"/>
            <w:vAlign w:val="bottom"/>
          </w:tcPr>
          <w:p>
            <w:pPr>
              <w:spacing w:after="0"/>
              <w:rPr>
                <w:sz w:val="14"/>
                <w:szCs w:val="14"/>
                <w:color w:val="auto"/>
              </w:rPr>
            </w:pP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88</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267</w:t>
            </w:r>
          </w:p>
        </w:tc>
        <w:tc>
          <w:tcPr>
            <w:tcW w:w="1580" w:type="dxa"/>
            <w:vAlign w:val="bottom"/>
          </w:tcPr>
          <w:p>
            <w:pPr>
              <w:jc w:val="right"/>
              <w:spacing w:after="0"/>
              <w:rPr>
                <w:sz w:val="20"/>
                <w:szCs w:val="20"/>
                <w:color w:val="auto"/>
              </w:rPr>
            </w:pPr>
            <w:r>
              <w:rPr>
                <w:rFonts w:ascii="Arial" w:cs="Arial" w:eastAsia="Arial" w:hAnsi="Arial"/>
                <w:sz w:val="13"/>
                <w:szCs w:val="13"/>
                <w:color w:val="auto"/>
              </w:rPr>
              <w:t>260</w:t>
            </w:r>
          </w:p>
        </w:tc>
        <w:tc>
          <w:tcPr>
            <w:tcW w:w="20" w:type="dxa"/>
            <w:vAlign w:val="bottom"/>
          </w:tcPr>
          <w:p>
            <w:pPr>
              <w:spacing w:after="0"/>
              <w:rPr>
                <w:sz w:val="14"/>
                <w:szCs w:val="14"/>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w:t>
            </w:r>
          </w:p>
        </w:tc>
        <w:tc>
          <w:tcPr>
            <w:tcW w:w="3460" w:type="dxa"/>
            <w:vAlign w:val="bottom"/>
            <w:tcBorders>
              <w:bottom w:val="single" w:sz="8" w:color="70AD47"/>
            </w:tcBorders>
          </w:tcPr>
          <w:p>
            <w:pPr>
              <w:spacing w:after="0"/>
              <w:rPr>
                <w:sz w:val="14"/>
                <w:szCs w:val="14"/>
                <w:color w:val="auto"/>
              </w:rPr>
            </w:pPr>
          </w:p>
        </w:tc>
        <w:tc>
          <w:tcPr>
            <w:tcW w:w="22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445</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252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1,940</w:t>
            </w:r>
          </w:p>
        </w:tc>
        <w:tc>
          <w:tcPr>
            <w:tcW w:w="20" w:type="dxa"/>
            <w:vAlign w:val="bottom"/>
          </w:tcPr>
          <w:p>
            <w:pPr>
              <w:spacing w:after="0"/>
              <w:rPr>
                <w:sz w:val="14"/>
                <w:szCs w:val="14"/>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3460" w:type="dxa"/>
            <w:vAlign w:val="bottom"/>
            <w:tcBorders>
              <w:bottom w:val="single" w:sz="8" w:color="70AD47"/>
            </w:tcBorders>
          </w:tcPr>
          <w:p>
            <w:pPr>
              <w:spacing w:after="0"/>
              <w:rPr>
                <w:sz w:val="13"/>
                <w:szCs w:val="13"/>
                <w:color w:val="auto"/>
              </w:rPr>
            </w:pPr>
          </w:p>
        </w:tc>
        <w:tc>
          <w:tcPr>
            <w:tcW w:w="224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€2,718</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€3,041</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€6,603</w:t>
            </w:r>
          </w:p>
        </w:tc>
        <w:tc>
          <w:tcPr>
            <w:tcW w:w="20" w:type="dxa"/>
            <w:vAlign w:val="bottom"/>
          </w:tcPr>
          <w:p>
            <w:pPr>
              <w:spacing w:after="0"/>
              <w:rPr>
                <w:sz w:val="13"/>
                <w:szCs w:val="13"/>
                <w:color w:val="auto"/>
              </w:rPr>
            </w:pPr>
          </w:p>
        </w:tc>
      </w:tr>
      <w:tr>
        <w:trPr>
          <w:trHeight w:val="470"/>
        </w:trPr>
        <w:tc>
          <w:tcPr>
            <w:tcW w:w="780" w:type="dxa"/>
            <w:vAlign w:val="bottom"/>
          </w:tcPr>
          <w:p>
            <w:pPr>
              <w:spacing w:after="0"/>
              <w:rPr>
                <w:sz w:val="20"/>
                <w:szCs w:val="20"/>
                <w:color w:val="auto"/>
              </w:rPr>
            </w:pPr>
            <w:r>
              <w:rPr>
                <w:rFonts w:ascii="Arial" w:cs="Arial" w:eastAsia="Arial" w:hAnsi="Arial"/>
                <w:sz w:val="13"/>
                <w:szCs w:val="13"/>
                <w:b w:val="1"/>
                <w:bCs w:val="1"/>
                <w:color w:val="auto"/>
              </w:rPr>
              <w:t>7.4</w:t>
            </w:r>
          </w:p>
        </w:tc>
        <w:tc>
          <w:tcPr>
            <w:tcW w:w="3460" w:type="dxa"/>
            <w:vAlign w:val="bottom"/>
          </w:tcPr>
          <w:p>
            <w:pPr>
              <w:ind w:left="20"/>
              <w:spacing w:after="0"/>
              <w:rPr>
                <w:sz w:val="20"/>
                <w:szCs w:val="20"/>
                <w:color w:val="auto"/>
              </w:rPr>
            </w:pPr>
            <w:r>
              <w:rPr>
                <w:rFonts w:ascii="Arial" w:cs="Arial" w:eastAsia="Arial" w:hAnsi="Arial"/>
                <w:sz w:val="13"/>
                <w:szCs w:val="13"/>
                <w:b w:val="1"/>
                <w:bCs w:val="1"/>
                <w:color w:val="auto"/>
              </w:rPr>
              <w:t>General and Administrative Expenses</w:t>
            </w: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7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0"/>
              </w:rPr>
              <w:t>Years ended</w:t>
            </w: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3"/>
        </w:trPr>
        <w:tc>
          <w:tcPr>
            <w:tcW w:w="7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3460" w:type="dxa"/>
            <w:vAlign w:val="bottom"/>
            <w:tcBorders>
              <w:bottom w:val="single" w:sz="8" w:color="70AD47"/>
            </w:tcBorders>
          </w:tcPr>
          <w:p>
            <w:pPr>
              <w:spacing w:after="0"/>
              <w:rPr>
                <w:sz w:val="14"/>
                <w:szCs w:val="14"/>
                <w:color w:val="auto"/>
              </w:rPr>
            </w:pPr>
          </w:p>
        </w:tc>
        <w:tc>
          <w:tcPr>
            <w:tcW w:w="22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r>
      <w:tr>
        <w:trPr>
          <w:trHeight w:val="160"/>
        </w:trPr>
        <w:tc>
          <w:tcPr>
            <w:tcW w:w="4240" w:type="dxa"/>
            <w:vAlign w:val="bottom"/>
            <w:gridSpan w:val="2"/>
          </w:tcPr>
          <w:p>
            <w:pPr>
              <w:spacing w:after="0"/>
              <w:rPr>
                <w:sz w:val="20"/>
                <w:szCs w:val="20"/>
                <w:color w:val="auto"/>
              </w:rPr>
            </w:pPr>
            <w:r>
              <w:rPr>
                <w:rFonts w:ascii="Arial" w:cs="Arial" w:eastAsia="Arial" w:hAnsi="Arial"/>
                <w:sz w:val="13"/>
                <w:szCs w:val="13"/>
                <w:color w:val="auto"/>
              </w:rPr>
              <w:t>Wages, benefits and social security expense</w:t>
            </w:r>
          </w:p>
        </w:tc>
        <w:tc>
          <w:tcPr>
            <w:tcW w:w="22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€19,122</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€8,582</w:t>
            </w:r>
          </w:p>
        </w:tc>
        <w:tc>
          <w:tcPr>
            <w:tcW w:w="1580" w:type="dxa"/>
            <w:vAlign w:val="bottom"/>
          </w:tcPr>
          <w:p>
            <w:pPr>
              <w:jc w:val="right"/>
              <w:spacing w:after="0"/>
              <w:rPr>
                <w:sz w:val="20"/>
                <w:szCs w:val="20"/>
                <w:color w:val="auto"/>
              </w:rPr>
            </w:pPr>
            <w:r>
              <w:rPr>
                <w:rFonts w:ascii="Arial" w:cs="Arial" w:eastAsia="Arial" w:hAnsi="Arial"/>
                <w:sz w:val="13"/>
                <w:szCs w:val="13"/>
                <w:color w:val="auto"/>
              </w:rPr>
              <w:t>€9,861</w:t>
            </w:r>
          </w:p>
        </w:tc>
        <w:tc>
          <w:tcPr>
            <w:tcW w:w="20" w:type="dxa"/>
            <w:vAlign w:val="bottom"/>
          </w:tcPr>
          <w:p>
            <w:pPr>
              <w:spacing w:after="0"/>
              <w:rPr>
                <w:sz w:val="13"/>
                <w:szCs w:val="13"/>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Purchased services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6,419</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5,177</w:t>
            </w:r>
          </w:p>
        </w:tc>
        <w:tc>
          <w:tcPr>
            <w:tcW w:w="1580" w:type="dxa"/>
            <w:vAlign w:val="bottom"/>
          </w:tcPr>
          <w:p>
            <w:pPr>
              <w:jc w:val="right"/>
              <w:spacing w:after="0"/>
              <w:rPr>
                <w:sz w:val="20"/>
                <w:szCs w:val="20"/>
                <w:color w:val="auto"/>
              </w:rPr>
            </w:pPr>
            <w:r>
              <w:rPr>
                <w:rFonts w:ascii="Arial" w:cs="Arial" w:eastAsia="Arial" w:hAnsi="Arial"/>
                <w:sz w:val="13"/>
                <w:szCs w:val="13"/>
                <w:color w:val="auto"/>
              </w:rPr>
              <w:t>3,544</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IT and office equipment</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4,573</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3,774</w:t>
            </w:r>
          </w:p>
        </w:tc>
        <w:tc>
          <w:tcPr>
            <w:tcW w:w="1580" w:type="dxa"/>
            <w:vAlign w:val="bottom"/>
          </w:tcPr>
          <w:p>
            <w:pPr>
              <w:jc w:val="right"/>
              <w:spacing w:after="0"/>
              <w:rPr>
                <w:sz w:val="20"/>
                <w:szCs w:val="20"/>
                <w:color w:val="auto"/>
              </w:rPr>
            </w:pPr>
            <w:r>
              <w:rPr>
                <w:rFonts w:ascii="Arial" w:cs="Arial" w:eastAsia="Arial" w:hAnsi="Arial"/>
                <w:sz w:val="13"/>
                <w:szCs w:val="13"/>
                <w:color w:val="auto"/>
              </w:rPr>
              <w:t>2,706</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Depreciation and amortization</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4,855</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2,284</w:t>
            </w:r>
          </w:p>
        </w:tc>
        <w:tc>
          <w:tcPr>
            <w:tcW w:w="1580" w:type="dxa"/>
            <w:vAlign w:val="bottom"/>
          </w:tcPr>
          <w:p>
            <w:pPr>
              <w:jc w:val="right"/>
              <w:spacing w:after="0"/>
              <w:rPr>
                <w:sz w:val="20"/>
                <w:szCs w:val="20"/>
                <w:color w:val="auto"/>
              </w:rPr>
            </w:pPr>
            <w:r>
              <w:rPr>
                <w:rFonts w:ascii="Arial" w:cs="Arial" w:eastAsia="Arial" w:hAnsi="Arial"/>
                <w:sz w:val="13"/>
                <w:szCs w:val="13"/>
                <w:color w:val="auto"/>
              </w:rPr>
              <w:t>630</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Lease and lease related cost</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1,715</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1,012</w:t>
            </w:r>
          </w:p>
        </w:tc>
        <w:tc>
          <w:tcPr>
            <w:tcW w:w="1580" w:type="dxa"/>
            <w:vAlign w:val="bottom"/>
          </w:tcPr>
          <w:p>
            <w:pPr>
              <w:jc w:val="right"/>
              <w:spacing w:after="0"/>
              <w:rPr>
                <w:sz w:val="20"/>
                <w:szCs w:val="20"/>
                <w:color w:val="auto"/>
              </w:rPr>
            </w:pPr>
            <w:r>
              <w:rPr>
                <w:rFonts w:ascii="Arial" w:cs="Arial" w:eastAsia="Arial" w:hAnsi="Arial"/>
                <w:sz w:val="13"/>
                <w:szCs w:val="13"/>
                <w:color w:val="auto"/>
              </w:rPr>
              <w:t>1,611</w:t>
            </w:r>
          </w:p>
        </w:tc>
        <w:tc>
          <w:tcPr>
            <w:tcW w:w="2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3"/>
                <w:szCs w:val="13"/>
                <w:color w:val="auto"/>
              </w:rPr>
              <w:t>Travel costs</w:t>
            </w:r>
          </w:p>
        </w:tc>
        <w:tc>
          <w:tcPr>
            <w:tcW w:w="3460" w:type="dxa"/>
            <w:vAlign w:val="bottom"/>
          </w:tcPr>
          <w:p>
            <w:pPr>
              <w:spacing w:after="0"/>
              <w:rPr>
                <w:sz w:val="14"/>
                <w:szCs w:val="14"/>
                <w:color w:val="auto"/>
              </w:rPr>
            </w:pP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1,391</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1,043</w:t>
            </w:r>
          </w:p>
        </w:tc>
        <w:tc>
          <w:tcPr>
            <w:tcW w:w="1580" w:type="dxa"/>
            <w:vAlign w:val="bottom"/>
          </w:tcPr>
          <w:p>
            <w:pPr>
              <w:jc w:val="right"/>
              <w:spacing w:after="0"/>
              <w:rPr>
                <w:sz w:val="20"/>
                <w:szCs w:val="20"/>
                <w:color w:val="auto"/>
              </w:rPr>
            </w:pPr>
            <w:r>
              <w:rPr>
                <w:rFonts w:ascii="Arial" w:cs="Arial" w:eastAsia="Arial" w:hAnsi="Arial"/>
                <w:sz w:val="13"/>
                <w:szCs w:val="13"/>
                <w:color w:val="auto"/>
              </w:rPr>
              <w:t>247</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Insurance premiums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1,061</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145</w:t>
            </w:r>
          </w:p>
        </w:tc>
        <w:tc>
          <w:tcPr>
            <w:tcW w:w="1580" w:type="dxa"/>
            <w:vAlign w:val="bottom"/>
          </w:tcPr>
          <w:p>
            <w:pPr>
              <w:jc w:val="right"/>
              <w:spacing w:after="0"/>
              <w:rPr>
                <w:sz w:val="20"/>
                <w:szCs w:val="20"/>
                <w:color w:val="auto"/>
              </w:rPr>
            </w:pPr>
            <w:r>
              <w:rPr>
                <w:rFonts w:ascii="Arial" w:cs="Arial" w:eastAsia="Arial" w:hAnsi="Arial"/>
                <w:sz w:val="13"/>
                <w:szCs w:val="13"/>
                <w:color w:val="auto"/>
              </w:rPr>
              <w:t>99</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Laboratory supplies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785</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456</w:t>
            </w:r>
          </w:p>
        </w:tc>
        <w:tc>
          <w:tcPr>
            <w:tcW w:w="1580" w:type="dxa"/>
            <w:vAlign w:val="bottom"/>
          </w:tcPr>
          <w:p>
            <w:pPr>
              <w:jc w:val="right"/>
              <w:spacing w:after="0"/>
              <w:rPr>
                <w:sz w:val="20"/>
                <w:szCs w:val="20"/>
                <w:color w:val="auto"/>
              </w:rPr>
            </w:pPr>
            <w:r>
              <w:rPr>
                <w:rFonts w:ascii="Arial" w:cs="Arial" w:eastAsia="Arial" w:hAnsi="Arial"/>
                <w:sz w:val="13"/>
                <w:szCs w:val="13"/>
                <w:color w:val="auto"/>
              </w:rPr>
              <w:t>63</w:t>
            </w:r>
          </w:p>
        </w:tc>
        <w:tc>
          <w:tcPr>
            <w:tcW w:w="20" w:type="dxa"/>
            <w:vAlign w:val="bottom"/>
          </w:tcPr>
          <w:p>
            <w:pPr>
              <w:spacing w:after="0"/>
              <w:rPr>
                <w:sz w:val="14"/>
                <w:szCs w:val="14"/>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3"/>
                <w:szCs w:val="13"/>
                <w:color w:val="auto"/>
              </w:rPr>
              <w:t>Job advertisement expenses</w:t>
            </w:r>
          </w:p>
        </w:tc>
        <w:tc>
          <w:tcPr>
            <w:tcW w:w="22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548</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861</w:t>
            </w:r>
          </w:p>
        </w:tc>
        <w:tc>
          <w:tcPr>
            <w:tcW w:w="1580" w:type="dxa"/>
            <w:vAlign w:val="bottom"/>
          </w:tcPr>
          <w:p>
            <w:pPr>
              <w:jc w:val="right"/>
              <w:spacing w:after="0"/>
              <w:rPr>
                <w:sz w:val="20"/>
                <w:szCs w:val="20"/>
                <w:color w:val="auto"/>
              </w:rPr>
            </w:pPr>
            <w:r>
              <w:rPr>
                <w:rFonts w:ascii="Arial" w:cs="Arial" w:eastAsia="Arial" w:hAnsi="Arial"/>
                <w:sz w:val="13"/>
                <w:szCs w:val="13"/>
                <w:color w:val="auto"/>
              </w:rPr>
              <w:t>719</w:t>
            </w:r>
          </w:p>
        </w:tc>
        <w:tc>
          <w:tcPr>
            <w:tcW w:w="20" w:type="dxa"/>
            <w:vAlign w:val="bottom"/>
          </w:tcPr>
          <w:p>
            <w:pPr>
              <w:spacing w:after="0"/>
              <w:rPr>
                <w:sz w:val="14"/>
                <w:szCs w:val="14"/>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w:t>
            </w:r>
          </w:p>
        </w:tc>
        <w:tc>
          <w:tcPr>
            <w:tcW w:w="3460" w:type="dxa"/>
            <w:vAlign w:val="bottom"/>
            <w:tcBorders>
              <w:bottom w:val="single" w:sz="8" w:color="70AD47"/>
            </w:tcBorders>
          </w:tcPr>
          <w:p>
            <w:pPr>
              <w:spacing w:after="0"/>
              <w:rPr>
                <w:sz w:val="14"/>
                <w:szCs w:val="14"/>
                <w:color w:val="auto"/>
              </w:rPr>
            </w:pPr>
          </w:p>
        </w:tc>
        <w:tc>
          <w:tcPr>
            <w:tcW w:w="22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5,078</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3,000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4,039</w:t>
            </w:r>
          </w:p>
        </w:tc>
        <w:tc>
          <w:tcPr>
            <w:tcW w:w="20" w:type="dxa"/>
            <w:vAlign w:val="bottom"/>
          </w:tcPr>
          <w:p>
            <w:pPr>
              <w:spacing w:after="0"/>
              <w:rPr>
                <w:sz w:val="14"/>
                <w:szCs w:val="14"/>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3460" w:type="dxa"/>
            <w:vAlign w:val="bottom"/>
            <w:tcBorders>
              <w:bottom w:val="single" w:sz="8" w:color="70AD47"/>
            </w:tcBorders>
          </w:tcPr>
          <w:p>
            <w:pPr>
              <w:spacing w:after="0"/>
              <w:rPr>
                <w:sz w:val="13"/>
                <w:szCs w:val="13"/>
                <w:color w:val="auto"/>
              </w:rPr>
            </w:pPr>
          </w:p>
        </w:tc>
        <w:tc>
          <w:tcPr>
            <w:tcW w:w="224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€45,547</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€26,334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€23,520</w:t>
            </w:r>
          </w:p>
        </w:tc>
        <w:tc>
          <w:tcPr>
            <w:tcW w:w="20" w:type="dxa"/>
            <w:vAlign w:val="bottom"/>
          </w:tcPr>
          <w:p>
            <w:pPr>
              <w:spacing w:after="0"/>
              <w:rPr>
                <w:sz w:val="13"/>
                <w:szCs w:val="13"/>
                <w:color w:val="auto"/>
              </w:rPr>
            </w:pPr>
          </w:p>
        </w:tc>
      </w:tr>
      <w:tr>
        <w:trPr>
          <w:trHeight w:val="470"/>
        </w:trPr>
        <w:tc>
          <w:tcPr>
            <w:tcW w:w="780" w:type="dxa"/>
            <w:vAlign w:val="bottom"/>
          </w:tcPr>
          <w:p>
            <w:pPr>
              <w:spacing w:after="0"/>
              <w:rPr>
                <w:sz w:val="20"/>
                <w:szCs w:val="20"/>
                <w:color w:val="auto"/>
              </w:rPr>
            </w:pPr>
            <w:r>
              <w:rPr>
                <w:rFonts w:ascii="Arial" w:cs="Arial" w:eastAsia="Arial" w:hAnsi="Arial"/>
                <w:sz w:val="13"/>
                <w:szCs w:val="13"/>
                <w:b w:val="1"/>
                <w:bCs w:val="1"/>
                <w:color w:val="auto"/>
              </w:rPr>
              <w:t>7.5</w:t>
            </w:r>
          </w:p>
        </w:tc>
        <w:tc>
          <w:tcPr>
            <w:tcW w:w="3460" w:type="dxa"/>
            <w:vAlign w:val="bottom"/>
          </w:tcPr>
          <w:p>
            <w:pPr>
              <w:ind w:left="20"/>
              <w:spacing w:after="0"/>
              <w:rPr>
                <w:sz w:val="20"/>
                <w:szCs w:val="20"/>
                <w:color w:val="auto"/>
              </w:rPr>
            </w:pPr>
            <w:r>
              <w:rPr>
                <w:rFonts w:ascii="Arial" w:cs="Arial" w:eastAsia="Arial" w:hAnsi="Arial"/>
                <w:sz w:val="13"/>
                <w:szCs w:val="13"/>
                <w:b w:val="1"/>
                <w:bCs w:val="1"/>
                <w:color w:val="auto"/>
              </w:rPr>
              <w:t>Other Operating Income</w:t>
            </w: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7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0"/>
              </w:rPr>
              <w:t>Years ended</w:t>
            </w: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3"/>
        </w:trPr>
        <w:tc>
          <w:tcPr>
            <w:tcW w:w="7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3460" w:type="dxa"/>
            <w:vAlign w:val="bottom"/>
            <w:tcBorders>
              <w:bottom w:val="single" w:sz="8" w:color="70AD47"/>
            </w:tcBorders>
          </w:tcPr>
          <w:p>
            <w:pPr>
              <w:spacing w:after="0"/>
              <w:rPr>
                <w:sz w:val="14"/>
                <w:szCs w:val="14"/>
                <w:color w:val="auto"/>
              </w:rPr>
            </w:pPr>
          </w:p>
        </w:tc>
        <w:tc>
          <w:tcPr>
            <w:tcW w:w="22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r>
      <w:tr>
        <w:trPr>
          <w:trHeight w:val="160"/>
        </w:trPr>
        <w:tc>
          <w:tcPr>
            <w:tcW w:w="4240" w:type="dxa"/>
            <w:vAlign w:val="bottom"/>
            <w:gridSpan w:val="2"/>
          </w:tcPr>
          <w:p>
            <w:pPr>
              <w:spacing w:after="0"/>
              <w:rPr>
                <w:sz w:val="20"/>
                <w:szCs w:val="20"/>
                <w:color w:val="auto"/>
              </w:rPr>
            </w:pPr>
            <w:r>
              <w:rPr>
                <w:rFonts w:ascii="Arial" w:cs="Arial" w:eastAsia="Arial" w:hAnsi="Arial"/>
                <w:sz w:val="13"/>
                <w:szCs w:val="13"/>
                <w:color w:val="auto"/>
              </w:rPr>
              <w:t>Government grants</w:t>
            </w:r>
          </w:p>
        </w:tc>
        <w:tc>
          <w:tcPr>
            <w:tcW w:w="22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€1,547</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€4,228</w:t>
            </w:r>
          </w:p>
        </w:tc>
        <w:tc>
          <w:tcPr>
            <w:tcW w:w="1580" w:type="dxa"/>
            <w:vAlign w:val="bottom"/>
          </w:tcPr>
          <w:p>
            <w:pPr>
              <w:jc w:val="right"/>
              <w:spacing w:after="0"/>
              <w:rPr>
                <w:sz w:val="20"/>
                <w:szCs w:val="20"/>
                <w:color w:val="auto"/>
              </w:rPr>
            </w:pPr>
            <w:r>
              <w:rPr>
                <w:rFonts w:ascii="Arial" w:cs="Arial" w:eastAsia="Arial" w:hAnsi="Arial"/>
                <w:sz w:val="13"/>
                <w:szCs w:val="13"/>
                <w:color w:val="auto"/>
              </w:rPr>
              <w:t>€2,266</w:t>
            </w:r>
          </w:p>
        </w:tc>
        <w:tc>
          <w:tcPr>
            <w:tcW w:w="20" w:type="dxa"/>
            <w:vAlign w:val="bottom"/>
          </w:tcPr>
          <w:p>
            <w:pPr>
              <w:spacing w:after="0"/>
              <w:rPr>
                <w:sz w:val="13"/>
                <w:szCs w:val="13"/>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w:t>
            </w:r>
          </w:p>
        </w:tc>
        <w:tc>
          <w:tcPr>
            <w:tcW w:w="3460" w:type="dxa"/>
            <w:vAlign w:val="bottom"/>
            <w:tcBorders>
              <w:bottom w:val="single" w:sz="8" w:color="70AD47"/>
            </w:tcBorders>
          </w:tcPr>
          <w:p>
            <w:pPr>
              <w:spacing w:after="0"/>
              <w:rPr>
                <w:sz w:val="14"/>
                <w:szCs w:val="14"/>
                <w:color w:val="auto"/>
              </w:rPr>
            </w:pPr>
          </w:p>
        </w:tc>
        <w:tc>
          <w:tcPr>
            <w:tcW w:w="22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1,177</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1,168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83</w:t>
            </w:r>
          </w:p>
        </w:tc>
        <w:tc>
          <w:tcPr>
            <w:tcW w:w="20" w:type="dxa"/>
            <w:vAlign w:val="bottom"/>
          </w:tcPr>
          <w:p>
            <w:pPr>
              <w:spacing w:after="0"/>
              <w:rPr>
                <w:sz w:val="14"/>
                <w:szCs w:val="14"/>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3460" w:type="dxa"/>
            <w:vAlign w:val="bottom"/>
            <w:tcBorders>
              <w:bottom w:val="single" w:sz="8" w:color="70AD47"/>
            </w:tcBorders>
          </w:tcPr>
          <w:p>
            <w:pPr>
              <w:spacing w:after="0"/>
              <w:rPr>
                <w:sz w:val="13"/>
                <w:szCs w:val="13"/>
                <w:color w:val="auto"/>
              </w:rPr>
            </w:pPr>
          </w:p>
        </w:tc>
        <w:tc>
          <w:tcPr>
            <w:tcW w:w="224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€2,724</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€5,396</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€2,349</w:t>
            </w:r>
          </w:p>
        </w:tc>
        <w:tc>
          <w:tcPr>
            <w:tcW w:w="20" w:type="dxa"/>
            <w:vAlign w:val="bottom"/>
          </w:tcPr>
          <w:p>
            <w:pPr>
              <w:spacing w:after="0"/>
              <w:rPr>
                <w:sz w:val="13"/>
                <w:szCs w:val="13"/>
                <w:color w:val="auto"/>
              </w:rPr>
            </w:pPr>
          </w:p>
        </w:tc>
      </w:tr>
      <w:tr>
        <w:trPr>
          <w:trHeight w:val="470"/>
        </w:trPr>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40" w:type="dxa"/>
            <w:vAlign w:val="bottom"/>
            <w:gridSpan w:val="2"/>
          </w:tcPr>
          <w:p>
            <w:pPr>
              <w:jc w:val="right"/>
              <w:ind w:right="2253"/>
              <w:spacing w:after="0"/>
              <w:rPr>
                <w:sz w:val="20"/>
                <w:szCs w:val="20"/>
                <w:color w:val="auto"/>
              </w:rPr>
            </w:pPr>
            <w:r>
              <w:rPr>
                <w:rFonts w:ascii="Arial" w:cs="Arial" w:eastAsia="Arial" w:hAnsi="Arial"/>
                <w:sz w:val="13"/>
                <w:szCs w:val="13"/>
                <w:color w:val="auto"/>
              </w:rPr>
              <w:t>F-27</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780" w:type="dxa"/>
            <w:vAlign w:val="bottom"/>
            <w:tcBorders>
              <w:bottom w:val="single" w:sz="8" w:color="9A9A9A"/>
            </w:tcBorders>
          </w:tcPr>
          <w:p>
            <w:pPr>
              <w:spacing w:after="0"/>
              <w:rPr>
                <w:sz w:val="6"/>
                <w:szCs w:val="6"/>
                <w:color w:val="auto"/>
              </w:rPr>
            </w:pPr>
          </w:p>
        </w:tc>
        <w:tc>
          <w:tcPr>
            <w:tcW w:w="3460" w:type="dxa"/>
            <w:vAlign w:val="bottom"/>
            <w:tcBorders>
              <w:bottom w:val="single" w:sz="8" w:color="9A9A9A"/>
            </w:tcBorders>
          </w:tcPr>
          <w:p>
            <w:pPr>
              <w:spacing w:after="0"/>
              <w:rPr>
                <w:sz w:val="6"/>
                <w:szCs w:val="6"/>
                <w:color w:val="auto"/>
              </w:rPr>
            </w:pPr>
          </w:p>
        </w:tc>
        <w:tc>
          <w:tcPr>
            <w:tcW w:w="224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446" w:right="29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7.6</w:t>
            </w:r>
          </w:p>
        </w:tc>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Finance Income</w:t>
            </w: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7"/>
        </w:trPr>
        <w:tc>
          <w:tcPr>
            <w:tcW w:w="78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2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1"/>
                <w:szCs w:val="21"/>
                <w:color w:val="auto"/>
              </w:rPr>
            </w:pPr>
          </w:p>
        </w:tc>
      </w:tr>
      <w:tr>
        <w:trPr>
          <w:trHeight w:val="173"/>
        </w:trPr>
        <w:tc>
          <w:tcPr>
            <w:tcW w:w="78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570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r>
      <w:tr>
        <w:trPr>
          <w:trHeight w:val="160"/>
        </w:trPr>
        <w:tc>
          <w:tcPr>
            <w:tcW w:w="648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Interest income</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€1,781</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€1,996</w:t>
            </w:r>
          </w:p>
        </w:tc>
        <w:tc>
          <w:tcPr>
            <w:tcW w:w="1580" w:type="dxa"/>
            <w:vAlign w:val="bottom"/>
          </w:tcPr>
          <w:p>
            <w:pPr>
              <w:jc w:val="right"/>
              <w:spacing w:after="0"/>
              <w:rPr>
                <w:sz w:val="20"/>
                <w:szCs w:val="20"/>
                <w:color w:val="auto"/>
              </w:rPr>
            </w:pPr>
            <w:r>
              <w:rPr>
                <w:rFonts w:ascii="Arial" w:cs="Arial" w:eastAsia="Arial" w:hAnsi="Arial"/>
                <w:sz w:val="13"/>
                <w:szCs w:val="13"/>
                <w:color w:val="auto"/>
              </w:rPr>
              <w:t>€2,133</w:t>
            </w:r>
          </w:p>
        </w:tc>
      </w:tr>
      <w:tr>
        <w:trPr>
          <w:trHeight w:val="170"/>
        </w:trPr>
        <w:tc>
          <w:tcPr>
            <w:tcW w:w="648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Foreign exchange gains (net)</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2,341</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6,050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570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€4,122</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€8,046</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€2,133</w:t>
            </w:r>
          </w:p>
        </w:tc>
      </w:tr>
    </w:tbl>
    <w:p>
      <w:pPr>
        <w:spacing w:after="0" w:line="231" w:lineRule="exact"/>
        <w:rPr>
          <w:sz w:val="20"/>
          <w:szCs w:val="20"/>
          <w:color w:val="auto"/>
        </w:rPr>
      </w:pPr>
    </w:p>
    <w:p>
      <w:pPr>
        <w:ind w:right="180" w:firstLine="554"/>
        <w:spacing w:after="0" w:line="287" w:lineRule="auto"/>
        <w:rPr>
          <w:sz w:val="20"/>
          <w:szCs w:val="20"/>
          <w:color w:val="auto"/>
        </w:rPr>
      </w:pPr>
      <w:r>
        <w:rPr>
          <w:rFonts w:ascii="Arial" w:cs="Arial" w:eastAsia="Arial" w:hAnsi="Arial"/>
          <w:sz w:val="13"/>
          <w:szCs w:val="13"/>
          <w:color w:val="auto"/>
        </w:rPr>
        <w:t>Finance income results from BioNTech’s interests on short-term deposits. In the years ended December 31, 2019 and December 31, 2018 results from BioNTech’s unhedged USD cash accounts were recorded as foreign exchange gains.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7.7</w:t>
            </w:r>
          </w:p>
        </w:tc>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Finance Expense</w:t>
            </w: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7"/>
        </w:trPr>
        <w:tc>
          <w:tcPr>
            <w:tcW w:w="78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2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1"/>
                <w:szCs w:val="21"/>
                <w:color w:val="auto"/>
              </w:rPr>
            </w:pPr>
          </w:p>
        </w:tc>
      </w:tr>
      <w:tr>
        <w:trPr>
          <w:trHeight w:val="173"/>
        </w:trPr>
        <w:tc>
          <w:tcPr>
            <w:tcW w:w="78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570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r>
      <w:tr>
        <w:trPr>
          <w:trHeight w:val="160"/>
        </w:trPr>
        <w:tc>
          <w:tcPr>
            <w:tcW w:w="648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Financial instruments measured at amortized cost</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€326</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€48</w:t>
            </w:r>
          </w:p>
        </w:tc>
        <w:tc>
          <w:tcPr>
            <w:tcW w:w="15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70"/>
        </w:trPr>
        <w:tc>
          <w:tcPr>
            <w:tcW w:w="648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Foreign exchange loss (net)</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25,955</w:t>
            </w: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570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€326</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€26,007</w:t>
            </w:r>
          </w:p>
        </w:tc>
      </w:tr>
    </w:tbl>
    <w:p>
      <w:pPr>
        <w:spacing w:after="0" w:line="2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the year ended December 31, 2017, foreign exchange losses as a result from BioNTech’s unhedged USD cash accounts were recorded as finance expenses.</w:t>
      </w:r>
    </w:p>
    <w:p>
      <w:pPr>
        <w:spacing w:after="0" w:line="246" w:lineRule="exact"/>
        <w:rPr>
          <w:sz w:val="20"/>
          <w:szCs w:val="20"/>
          <w:color w:val="auto"/>
        </w:rPr>
      </w:pPr>
    </w:p>
    <w:p>
      <w:pPr>
        <w:ind w:left="800" w:hanging="800"/>
        <w:spacing w:after="0"/>
        <w:tabs>
          <w:tab w:leader="none" w:pos="800" w:val="left"/>
        </w:tabs>
        <w:numPr>
          <w:ilvl w:val="0"/>
          <w:numId w:val="325"/>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Tax expense for the years ended December 31, 2019, December 31, 2018 and December 31, 2017 are comprised of current income taxes and other taxes.</w:t>
      </w:r>
    </w:p>
    <w:p>
      <w:pPr>
        <w:spacing w:after="0" w:line="170"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The following table illustrates the reconciliation of tax expense to the estimated tax rate for the periods indicated. The reconciliation for the year ended December 31, 2019 excludes an amount of k€28 for property tax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5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552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98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r>
      <w:tr>
        <w:trPr>
          <w:trHeight w:val="160"/>
        </w:trPr>
        <w:tc>
          <w:tcPr>
            <w:tcW w:w="552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Loss before tax</w:t>
            </w:r>
          </w:p>
        </w:tc>
        <w:tc>
          <w:tcPr>
            <w:tcW w:w="98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€(179,440)</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€(47,662)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€(85,905)</w:t>
            </w:r>
          </w:p>
        </w:tc>
        <w:tc>
          <w:tcPr>
            <w:tcW w:w="20" w:type="dxa"/>
            <w:vAlign w:val="bottom"/>
          </w:tcPr>
          <w:p>
            <w:pPr>
              <w:spacing w:after="0"/>
              <w:rPr>
                <w:sz w:val="13"/>
                <w:szCs w:val="13"/>
                <w:color w:val="auto"/>
              </w:rPr>
            </w:pPr>
          </w:p>
        </w:tc>
      </w:tr>
      <w:tr>
        <w:trPr>
          <w:trHeight w:val="330"/>
        </w:trPr>
        <w:tc>
          <w:tcPr>
            <w:tcW w:w="5520" w:type="dxa"/>
            <w:vAlign w:val="bottom"/>
          </w:tcPr>
          <w:p>
            <w:pPr>
              <w:spacing w:after="0"/>
              <w:rPr>
                <w:sz w:val="20"/>
                <w:szCs w:val="20"/>
                <w:color w:val="auto"/>
              </w:rPr>
            </w:pPr>
            <w:r>
              <w:rPr>
                <w:rFonts w:ascii="Arial" w:cs="Arial" w:eastAsia="Arial" w:hAnsi="Arial"/>
                <w:sz w:val="13"/>
                <w:szCs w:val="13"/>
                <w:color w:val="auto"/>
                <w:w w:val="92"/>
              </w:rPr>
              <w:t>Expected tax benefit (based on BioNTech`s statutory tax rate of 30.78%, 2018: 30.99%, 2017: 30.86%)</w:t>
            </w:r>
          </w:p>
        </w:tc>
        <w:tc>
          <w:tcPr>
            <w:tcW w:w="98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55,240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14,776</w:t>
            </w:r>
          </w:p>
        </w:tc>
        <w:tc>
          <w:tcPr>
            <w:tcW w:w="1580" w:type="dxa"/>
            <w:vAlign w:val="bottom"/>
          </w:tcPr>
          <w:p>
            <w:pPr>
              <w:jc w:val="right"/>
              <w:spacing w:after="0"/>
              <w:rPr>
                <w:sz w:val="20"/>
                <w:szCs w:val="20"/>
                <w:color w:val="auto"/>
              </w:rPr>
            </w:pPr>
            <w:r>
              <w:rPr>
                <w:rFonts w:ascii="Arial" w:cs="Arial" w:eastAsia="Arial" w:hAnsi="Arial"/>
                <w:sz w:val="13"/>
                <w:szCs w:val="13"/>
                <w:color w:val="auto"/>
              </w:rPr>
              <w:t>26,517</w:t>
            </w:r>
          </w:p>
        </w:tc>
        <w:tc>
          <w:tcPr>
            <w:tcW w:w="20" w:type="dxa"/>
            <w:vAlign w:val="bottom"/>
          </w:tcPr>
          <w:p>
            <w:pPr>
              <w:spacing w:after="0"/>
              <w:rPr>
                <w:sz w:val="24"/>
                <w:szCs w:val="24"/>
                <w:color w:val="auto"/>
              </w:rPr>
            </w:pPr>
          </w:p>
        </w:tc>
      </w:tr>
      <w:tr>
        <w:trPr>
          <w:trHeight w:val="340"/>
        </w:trPr>
        <w:tc>
          <w:tcPr>
            <w:tcW w:w="5520" w:type="dxa"/>
            <w:vAlign w:val="bottom"/>
          </w:tcPr>
          <w:p>
            <w:pPr>
              <w:spacing w:after="0"/>
              <w:rPr>
                <w:sz w:val="20"/>
                <w:szCs w:val="20"/>
                <w:color w:val="auto"/>
              </w:rPr>
            </w:pPr>
            <w:r>
              <w:rPr>
                <w:rFonts w:ascii="Arial" w:cs="Arial" w:eastAsia="Arial" w:hAnsi="Arial"/>
                <w:sz w:val="13"/>
                <w:szCs w:val="13"/>
                <w:i w:val="1"/>
                <w:iCs w:val="1"/>
                <w:color w:val="auto"/>
              </w:rPr>
              <w:t>Effects</w:t>
            </w:r>
          </w:p>
        </w:tc>
        <w:tc>
          <w:tcPr>
            <w:tcW w:w="980" w:type="dxa"/>
            <w:vAlign w:val="bottom"/>
            <w:tcBorders>
              <w:right w:val="single" w:sz="8" w:color="70AD47"/>
            </w:tcBorders>
          </w:tcPr>
          <w:p>
            <w:pPr>
              <w:spacing w:after="0"/>
              <w:rPr>
                <w:sz w:val="24"/>
                <w:szCs w:val="24"/>
                <w:color w:val="auto"/>
              </w:rPr>
            </w:pPr>
          </w:p>
        </w:tc>
        <w:tc>
          <w:tcPr>
            <w:tcW w:w="160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Government grants exempted from taxes</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28</w:t>
            </w:r>
          </w:p>
        </w:tc>
        <w:tc>
          <w:tcPr>
            <w:tcW w:w="1580" w:type="dxa"/>
            <w:vAlign w:val="bottom"/>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Non-deductible expenses</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(18)</w:t>
            </w:r>
          </w:p>
        </w:tc>
        <w:tc>
          <w:tcPr>
            <w:tcW w:w="158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Add-back for trade tax purposes</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(110)</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(96)</w:t>
            </w:r>
          </w:p>
        </w:tc>
        <w:tc>
          <w:tcPr>
            <w:tcW w:w="1580" w:type="dxa"/>
            <w:vAlign w:val="bottom"/>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Non-recognition of tax-effect on share-based payment expenses</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(9,308)</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Tax-effective equity transaction costs</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5,121</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Utilization of tax losses</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1,165</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Non-recognition of deferred taxes on tax losses and temporary differences</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(51,197)</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(13,634)</w:t>
            </w:r>
          </w:p>
        </w:tc>
        <w:tc>
          <w:tcPr>
            <w:tcW w:w="1580" w:type="dxa"/>
            <w:vAlign w:val="bottom"/>
          </w:tcPr>
          <w:p>
            <w:pPr>
              <w:jc w:val="right"/>
              <w:spacing w:after="0"/>
              <w:rPr>
                <w:sz w:val="20"/>
                <w:szCs w:val="20"/>
                <w:color w:val="auto"/>
              </w:rPr>
            </w:pPr>
            <w:r>
              <w:rPr>
                <w:rFonts w:ascii="Arial" w:cs="Arial" w:eastAsia="Arial" w:hAnsi="Arial"/>
                <w:sz w:val="13"/>
                <w:szCs w:val="13"/>
                <w:color w:val="auto"/>
              </w:rPr>
              <w:t>(26,015)</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Deviation valuation allowance prior year due to change tax rate</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Effect from lower foreign income tax rate</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(102)</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5520" w:type="dxa"/>
            <w:vAlign w:val="bottom"/>
          </w:tcPr>
          <w:p>
            <w:pPr>
              <w:ind w:left="100"/>
              <w:spacing w:after="0"/>
              <w:rPr>
                <w:sz w:val="20"/>
                <w:szCs w:val="20"/>
                <w:color w:val="auto"/>
              </w:rPr>
            </w:pPr>
            <w:r>
              <w:rPr>
                <w:rFonts w:ascii="Arial" w:cs="Arial" w:eastAsia="Arial" w:hAnsi="Arial"/>
                <w:sz w:val="13"/>
                <w:szCs w:val="13"/>
                <w:color w:val="auto"/>
              </w:rPr>
              <w:t>Adjustment prior year tax</w:t>
            </w:r>
          </w:p>
        </w:tc>
        <w:tc>
          <w:tcPr>
            <w:tcW w:w="98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316</w:t>
            </w: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0"/>
        </w:trPr>
        <w:tc>
          <w:tcPr>
            <w:tcW w:w="5520" w:type="dxa"/>
            <w:vAlign w:val="bottom"/>
            <w:tcBorders>
              <w:bottom w:val="single" w:sz="8" w:color="70AD47"/>
            </w:tcBorders>
          </w:tcPr>
          <w:p>
            <w:pPr>
              <w:ind w:left="100"/>
              <w:spacing w:after="0"/>
              <w:rPr>
                <w:sz w:val="20"/>
                <w:szCs w:val="20"/>
                <w:color w:val="auto"/>
              </w:rPr>
            </w:pPr>
            <w:r>
              <w:rPr>
                <w:rFonts w:ascii="Arial" w:cs="Arial" w:eastAsia="Arial" w:hAnsi="Arial"/>
                <w:sz w:val="13"/>
                <w:szCs w:val="13"/>
                <w:color w:val="auto"/>
              </w:rPr>
              <w:t>Other effects</w:t>
            </w:r>
          </w:p>
        </w:tc>
        <w:tc>
          <w:tcPr>
            <w:tcW w:w="98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154</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(2,821)</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(472)</w:t>
            </w:r>
          </w:p>
        </w:tc>
        <w:tc>
          <w:tcPr>
            <w:tcW w:w="20" w:type="dxa"/>
            <w:vAlign w:val="bottom"/>
          </w:tcPr>
          <w:p>
            <w:pPr>
              <w:spacing w:after="0"/>
              <w:rPr>
                <w:sz w:val="14"/>
                <w:szCs w:val="14"/>
                <w:color w:val="auto"/>
              </w:rPr>
            </w:pPr>
          </w:p>
        </w:tc>
      </w:tr>
      <w:tr>
        <w:trPr>
          <w:trHeight w:val="160"/>
        </w:trPr>
        <w:tc>
          <w:tcPr>
            <w:tcW w:w="55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Income tax expense</w:t>
            </w:r>
          </w:p>
        </w:tc>
        <w:tc>
          <w:tcPr>
            <w:tcW w:w="98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€296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€(600)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€(45)</w:t>
            </w:r>
          </w:p>
        </w:tc>
        <w:tc>
          <w:tcPr>
            <w:tcW w:w="20" w:type="dxa"/>
            <w:vAlign w:val="bottom"/>
          </w:tcPr>
          <w:p>
            <w:pPr>
              <w:spacing w:after="0"/>
              <w:rPr>
                <w:sz w:val="13"/>
                <w:szCs w:val="13"/>
                <w:color w:val="auto"/>
              </w:rPr>
            </w:pPr>
          </w:p>
        </w:tc>
      </w:tr>
      <w:tr>
        <w:trPr>
          <w:trHeight w:val="470"/>
        </w:trPr>
        <w:tc>
          <w:tcPr>
            <w:tcW w:w="5520" w:type="dxa"/>
            <w:vAlign w:val="bottom"/>
          </w:tcPr>
          <w:p>
            <w:pPr>
              <w:spacing w:after="0"/>
              <w:rPr>
                <w:sz w:val="24"/>
                <w:szCs w:val="24"/>
                <w:color w:val="auto"/>
              </w:rPr>
            </w:pPr>
          </w:p>
        </w:tc>
        <w:tc>
          <w:tcPr>
            <w:tcW w:w="2580" w:type="dxa"/>
            <w:vAlign w:val="bottom"/>
            <w:gridSpan w:val="2"/>
          </w:tcPr>
          <w:p>
            <w:pPr>
              <w:jc w:val="right"/>
              <w:ind w:right="2273"/>
              <w:spacing w:after="0"/>
              <w:rPr>
                <w:sz w:val="20"/>
                <w:szCs w:val="20"/>
                <w:color w:val="auto"/>
              </w:rPr>
            </w:pPr>
            <w:r>
              <w:rPr>
                <w:rFonts w:ascii="Arial" w:cs="Arial" w:eastAsia="Arial" w:hAnsi="Arial"/>
                <w:sz w:val="13"/>
                <w:szCs w:val="13"/>
                <w:color w:val="auto"/>
                <w:w w:val="82"/>
              </w:rPr>
              <w:t>F-28</w:t>
            </w: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55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447" w:right="299" w:bottom="1440" w:gutter="0" w:footer="0" w:header="0"/>
        </w:sectPr>
      </w:pPr>
    </w:p>
    <w:bookmarkStart w:id="292" w:name="page293"/>
    <w:bookmarkEnd w:id="292"/>
    <w:p>
      <w:pPr>
        <w:ind w:left="560"/>
        <w:spacing w:after="0"/>
        <w:rPr>
          <w:sz w:val="20"/>
          <w:szCs w:val="20"/>
          <w:color w:val="auto"/>
        </w:rPr>
      </w:pPr>
      <w:r>
        <w:rPr>
          <w:rFonts w:ascii="Arial" w:cs="Arial" w:eastAsia="Arial" w:hAnsi="Arial"/>
          <w:sz w:val="13"/>
          <w:szCs w:val="13"/>
          <w:b w:val="1"/>
          <w:bCs w:val="1"/>
          <w:color w:val="auto"/>
        </w:rPr>
        <w:t>Deferred Taxes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Deferred taxes for the periods indicated relate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20"/>
                <w:szCs w:val="20"/>
                <w:color w:val="auto"/>
              </w:rPr>
            </w:pPr>
            <w:r>
              <w:rPr>
                <w:rFonts w:ascii="Arial" w:cs="Arial" w:eastAsia="Arial" w:hAnsi="Arial"/>
                <w:sz w:val="13"/>
                <w:szCs w:val="13"/>
                <w:b w:val="1"/>
                <w:bCs w:val="1"/>
                <w:color w:val="auto"/>
              </w:rPr>
              <w:t>Year ended December 31, 2019</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500" w:type="dxa"/>
            <w:vAlign w:val="bottom"/>
            <w:tcBorders>
              <w:right w:val="single" w:sz="8" w:color="70AD47"/>
            </w:tcBorders>
          </w:tcPr>
          <w:p>
            <w:pPr>
              <w:spacing w:after="0"/>
              <w:rPr>
                <w:sz w:val="13"/>
                <w:szCs w:val="13"/>
                <w:color w:val="auto"/>
              </w:rPr>
            </w:pPr>
          </w:p>
        </w:tc>
        <w:tc>
          <w:tcPr>
            <w:tcW w:w="160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b w:val="1"/>
                <w:bCs w:val="1"/>
                <w:color w:val="auto"/>
              </w:rPr>
              <w:t>January 1,</w:t>
            </w:r>
          </w:p>
        </w:tc>
        <w:tc>
          <w:tcPr>
            <w:tcW w:w="160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Recognized in P&amp;L</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tcBorders>
            <w:gridSpan w:val="2"/>
            <w:shd w:val="clear" w:color="auto" w:fill="C6E0B4"/>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bottom w:val="single" w:sz="8" w:color="70AD47"/>
              <w:right w:val="single" w:sz="8" w:color="C6E0B4"/>
            </w:tcBorders>
            <w:shd w:val="clear" w:color="auto" w:fill="C6E0B4"/>
          </w:tcPr>
          <w:p>
            <w:pPr>
              <w:spacing w:after="0"/>
              <w:rPr>
                <w:sz w:val="15"/>
                <w:szCs w:val="15"/>
                <w:color w:val="auto"/>
              </w:rPr>
            </w:pPr>
          </w:p>
        </w:tc>
        <w:tc>
          <w:tcPr>
            <w:tcW w:w="15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Fixed assets</w:t>
            </w:r>
          </w:p>
        </w:tc>
        <w:tc>
          <w:tcPr>
            <w:tcW w:w="160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€(90)</w:t>
            </w:r>
          </w:p>
        </w:tc>
        <w:tc>
          <w:tcPr>
            <w:tcW w:w="160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€(565)</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Inventories</w:t>
            </w:r>
          </w:p>
        </w:tc>
        <w:tc>
          <w:tcPr>
            <w:tcW w:w="160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w:t>
            </w:r>
          </w:p>
        </w:tc>
        <w:tc>
          <w:tcPr>
            <w:tcW w:w="160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596</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Leases</w:t>
            </w:r>
          </w:p>
        </w:tc>
        <w:tc>
          <w:tcPr>
            <w:tcW w:w="160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306</w:t>
            </w:r>
          </w:p>
        </w:tc>
        <w:tc>
          <w:tcPr>
            <w:tcW w:w="160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206</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Contract liabilities (prior year revenues)</w:t>
            </w:r>
          </w:p>
        </w:tc>
        <w:tc>
          <w:tcPr>
            <w:tcW w:w="160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28,441</w:t>
            </w:r>
          </w:p>
        </w:tc>
        <w:tc>
          <w:tcPr>
            <w:tcW w:w="160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(4,898)</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23,543</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Provisions</w:t>
            </w:r>
          </w:p>
        </w:tc>
        <w:tc>
          <w:tcPr>
            <w:tcW w:w="160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134</w:t>
            </w:r>
          </w:p>
        </w:tc>
        <w:tc>
          <w:tcPr>
            <w:tcW w:w="160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53</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Other (incl. deferred expenses)</w:t>
            </w:r>
          </w:p>
        </w:tc>
        <w:tc>
          <w:tcPr>
            <w:tcW w:w="1600" w:type="dxa"/>
            <w:vAlign w:val="bottom"/>
            <w:tcBorders>
              <w:bottom w:val="single" w:sz="8" w:color="70AD47"/>
            </w:tcBorders>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161</w:t>
            </w:r>
          </w:p>
        </w:tc>
        <w:tc>
          <w:tcPr>
            <w:tcW w:w="160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1,926</w:t>
            </w:r>
          </w:p>
        </w:tc>
        <w:tc>
          <w:tcPr>
            <w:tcW w:w="15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2,087</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Deferred Tax Assets Net (before valuation)</w:t>
            </w:r>
          </w:p>
        </w:tc>
        <w:tc>
          <w:tcPr>
            <w:tcW w:w="1600" w:type="dxa"/>
            <w:vAlign w:val="bottom"/>
            <w:tcBorders>
              <w:bottom w:val="single" w:sz="8" w:color="70AD47"/>
            </w:tcBorders>
            <w:gridSpan w:val="2"/>
            <w:shd w:val="clear" w:color="auto" w:fill="C6E0B4"/>
          </w:tcPr>
          <w:p>
            <w:pPr>
              <w:jc w:val="right"/>
              <w:ind w:right="20"/>
              <w:spacing w:after="0"/>
              <w:rPr>
                <w:sz w:val="20"/>
                <w:szCs w:val="20"/>
                <w:color w:val="auto"/>
              </w:rPr>
            </w:pPr>
            <w:r>
              <w:rPr>
                <w:rFonts w:ascii="Arial" w:cs="Arial" w:eastAsia="Arial" w:hAnsi="Arial"/>
                <w:sz w:val="13"/>
                <w:szCs w:val="13"/>
                <w:b w:val="1"/>
                <w:bCs w:val="1"/>
                <w:color w:val="auto"/>
              </w:rPr>
              <w:t>€28,951</w:t>
            </w:r>
          </w:p>
        </w:tc>
        <w:tc>
          <w:tcPr>
            <w:tcW w:w="160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€(2,681)</w:t>
            </w:r>
          </w:p>
        </w:tc>
        <w:tc>
          <w:tcPr>
            <w:tcW w:w="15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€26,270</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Valuation Adjustment</w:t>
            </w:r>
          </w:p>
        </w:tc>
        <w:tc>
          <w:tcPr>
            <w:tcW w:w="1600" w:type="dxa"/>
            <w:vAlign w:val="bottom"/>
            <w:tcBorders>
              <w:bottom w:val="single" w:sz="8" w:color="70AD47"/>
            </w:tcBorders>
            <w:gridSpan w:val="2"/>
            <w:shd w:val="clear" w:color="auto" w:fill="C6E0B4"/>
          </w:tcPr>
          <w:p>
            <w:pPr>
              <w:jc w:val="right"/>
              <w:ind w:right="20"/>
              <w:spacing w:after="0"/>
              <w:rPr>
                <w:sz w:val="20"/>
                <w:szCs w:val="20"/>
                <w:color w:val="auto"/>
              </w:rPr>
            </w:pPr>
            <w:r>
              <w:rPr>
                <w:rFonts w:ascii="Arial" w:cs="Arial" w:eastAsia="Arial" w:hAnsi="Arial"/>
                <w:sz w:val="13"/>
                <w:szCs w:val="13"/>
                <w:b w:val="1"/>
                <w:bCs w:val="1"/>
                <w:color w:val="auto"/>
              </w:rPr>
              <w:t>(28,951)</w:t>
            </w:r>
          </w:p>
        </w:tc>
        <w:tc>
          <w:tcPr>
            <w:tcW w:w="160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2,681</w:t>
            </w:r>
          </w:p>
        </w:tc>
        <w:tc>
          <w:tcPr>
            <w:tcW w:w="15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(26,270)</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Deferred Tax Assets Net (after valuation)</w:t>
            </w:r>
          </w:p>
        </w:tc>
        <w:tc>
          <w:tcPr>
            <w:tcW w:w="1600" w:type="dxa"/>
            <w:vAlign w:val="bottom"/>
            <w:tcBorders>
              <w:bottom w:val="single" w:sz="8" w:color="70AD47"/>
            </w:tcBorders>
            <w:gridSpan w:val="2"/>
            <w:shd w:val="clear" w:color="auto" w:fill="C6E0B4"/>
          </w:tcPr>
          <w:p>
            <w:pPr>
              <w:jc w:val="right"/>
              <w:ind w:right="20"/>
              <w:spacing w:after="0"/>
              <w:rPr>
                <w:sz w:val="20"/>
                <w:szCs w:val="20"/>
                <w:color w:val="auto"/>
              </w:rPr>
            </w:pPr>
            <w:r>
              <w:rPr>
                <w:rFonts w:ascii="Arial" w:cs="Arial" w:eastAsia="Arial" w:hAnsi="Arial"/>
                <w:sz w:val="13"/>
                <w:szCs w:val="13"/>
                <w:b w:val="1"/>
                <w:bCs w:val="1"/>
                <w:color w:val="auto"/>
              </w:rPr>
              <w:t>-</w:t>
            </w:r>
          </w:p>
        </w:tc>
        <w:tc>
          <w:tcPr>
            <w:tcW w:w="160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20"/>
        </w:trPr>
        <w:tc>
          <w:tcPr>
            <w:tcW w:w="6500" w:type="dxa"/>
            <w:vAlign w:val="bottom"/>
          </w:tcPr>
          <w:p>
            <w:pPr>
              <w:spacing w:after="0"/>
              <w:rPr>
                <w:sz w:val="20"/>
                <w:szCs w:val="20"/>
                <w:color w:val="auto"/>
              </w:rPr>
            </w:pPr>
            <w:r>
              <w:rPr>
                <w:rFonts w:ascii="Arial" w:cs="Arial" w:eastAsia="Arial" w:hAnsi="Arial"/>
                <w:sz w:val="13"/>
                <w:szCs w:val="13"/>
                <w:b w:val="1"/>
                <w:bCs w:val="1"/>
                <w:color w:val="auto"/>
              </w:rPr>
              <w:t>Year ended December 31, 2018</w:t>
            </w:r>
          </w:p>
        </w:tc>
        <w:tc>
          <w:tcPr>
            <w:tcW w:w="16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January 1,</w:t>
            </w:r>
          </w:p>
        </w:tc>
        <w:tc>
          <w:tcPr>
            <w:tcW w:w="1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Recognized in P&amp;L</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6500" w:type="dxa"/>
            <w:vAlign w:val="bottom"/>
            <w:tcBorders>
              <w:right w:val="single" w:sz="8" w:color="70AD47"/>
            </w:tcBorders>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b w:val="1"/>
                <w:bCs w:val="1"/>
                <w:color w:val="auto"/>
              </w:rPr>
              <w:t>2018</w:t>
            </w:r>
          </w:p>
        </w:tc>
        <w:tc>
          <w:tcPr>
            <w:tcW w:w="1600" w:type="dxa"/>
            <w:vAlign w:val="bottom"/>
            <w:tcBorders>
              <w:bottom w:val="single" w:sz="8" w:color="70AD47"/>
            </w:tcBorders>
          </w:tcPr>
          <w:p>
            <w:pPr>
              <w:spacing w:after="0"/>
              <w:rPr>
                <w:sz w:val="15"/>
                <w:szCs w:val="15"/>
                <w:color w:val="auto"/>
              </w:rPr>
            </w:pP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Fixed assets</w:t>
            </w:r>
          </w:p>
        </w:tc>
        <w:tc>
          <w:tcPr>
            <w:tcW w:w="1600" w:type="dxa"/>
            <w:vAlign w:val="bottom"/>
            <w:gridSpan w:val="2"/>
          </w:tcPr>
          <w:p>
            <w:pPr>
              <w:jc w:val="right"/>
              <w:ind w:right="20"/>
              <w:spacing w:after="0"/>
              <w:rPr>
                <w:sz w:val="20"/>
                <w:szCs w:val="20"/>
                <w:color w:val="auto"/>
              </w:rPr>
            </w:pPr>
            <w:r>
              <w:rPr>
                <w:rFonts w:ascii="Arial" w:cs="Arial" w:eastAsia="Arial" w:hAnsi="Arial"/>
                <w:sz w:val="13"/>
                <w:szCs w:val="13"/>
                <w:color w:val="auto"/>
              </w:rPr>
              <w:t>€(877)</w:t>
            </w:r>
          </w:p>
        </w:tc>
        <w:tc>
          <w:tcPr>
            <w:tcW w:w="1600" w:type="dxa"/>
            <w:vAlign w:val="bottom"/>
          </w:tcPr>
          <w:p>
            <w:pPr>
              <w:jc w:val="right"/>
              <w:spacing w:after="0"/>
              <w:rPr>
                <w:sz w:val="20"/>
                <w:szCs w:val="20"/>
                <w:color w:val="auto"/>
              </w:rPr>
            </w:pPr>
            <w:r>
              <w:rPr>
                <w:rFonts w:ascii="Arial" w:cs="Arial" w:eastAsia="Arial" w:hAnsi="Arial"/>
                <w:sz w:val="13"/>
                <w:szCs w:val="13"/>
                <w:color w:val="auto"/>
              </w:rPr>
              <w:t>€787</w:t>
            </w:r>
          </w:p>
        </w:tc>
        <w:tc>
          <w:tcPr>
            <w:tcW w:w="158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Inventories</w:t>
            </w:r>
          </w:p>
        </w:tc>
        <w:tc>
          <w:tcPr>
            <w:tcW w:w="1600" w:type="dxa"/>
            <w:vAlign w:val="bottom"/>
            <w:gridSpan w:val="2"/>
          </w:tcPr>
          <w:p>
            <w:pPr>
              <w:jc w:val="right"/>
              <w:ind w:right="20"/>
              <w:spacing w:after="0"/>
              <w:rPr>
                <w:sz w:val="20"/>
                <w:szCs w:val="20"/>
                <w:color w:val="auto"/>
              </w:rPr>
            </w:pPr>
            <w:r>
              <w:rPr>
                <w:rFonts w:ascii="Arial" w:cs="Arial" w:eastAsia="Arial" w:hAnsi="Arial"/>
                <w:sz w:val="13"/>
                <w:szCs w:val="13"/>
                <w:color w:val="auto"/>
              </w:rPr>
              <w:t>83</w:t>
            </w:r>
          </w:p>
        </w:tc>
        <w:tc>
          <w:tcPr>
            <w:tcW w:w="1600" w:type="dxa"/>
            <w:vAlign w:val="bottom"/>
          </w:tcPr>
          <w:p>
            <w:pPr>
              <w:jc w:val="right"/>
              <w:spacing w:after="0"/>
              <w:rPr>
                <w:sz w:val="20"/>
                <w:szCs w:val="20"/>
                <w:color w:val="auto"/>
              </w:rPr>
            </w:pPr>
            <w:r>
              <w:rPr>
                <w:rFonts w:ascii="Arial" w:cs="Arial" w:eastAsia="Arial" w:hAnsi="Arial"/>
                <w:sz w:val="13"/>
                <w:szCs w:val="13"/>
                <w:color w:val="auto"/>
              </w:rPr>
              <w:t>(83)</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Leases</w:t>
            </w:r>
          </w:p>
        </w:tc>
        <w:tc>
          <w:tcPr>
            <w:tcW w:w="1600" w:type="dxa"/>
            <w:vAlign w:val="bottom"/>
            <w:gridSpan w:val="2"/>
          </w:tcPr>
          <w:p>
            <w:pPr>
              <w:jc w:val="right"/>
              <w:ind w:right="20"/>
              <w:spacing w:after="0"/>
              <w:rPr>
                <w:sz w:val="20"/>
                <w:szCs w:val="20"/>
                <w:color w:val="auto"/>
              </w:rPr>
            </w:pPr>
            <w:r>
              <w:rPr>
                <w:rFonts w:ascii="Arial" w:cs="Arial" w:eastAsia="Arial" w:hAnsi="Arial"/>
                <w:sz w:val="13"/>
                <w:szCs w:val="13"/>
                <w:color w:val="auto"/>
              </w:rPr>
              <w:t>83</w:t>
            </w:r>
          </w:p>
        </w:tc>
        <w:tc>
          <w:tcPr>
            <w:tcW w:w="1600" w:type="dxa"/>
            <w:vAlign w:val="bottom"/>
          </w:tcPr>
          <w:p>
            <w:pPr>
              <w:jc w:val="right"/>
              <w:spacing w:after="0"/>
              <w:rPr>
                <w:sz w:val="20"/>
                <w:szCs w:val="20"/>
                <w:color w:val="auto"/>
              </w:rPr>
            </w:pPr>
            <w:r>
              <w:rPr>
                <w:rFonts w:ascii="Arial" w:cs="Arial" w:eastAsia="Arial" w:hAnsi="Arial"/>
                <w:sz w:val="13"/>
                <w:szCs w:val="13"/>
                <w:color w:val="auto"/>
              </w:rPr>
              <w:t>223</w:t>
            </w:r>
          </w:p>
        </w:tc>
        <w:tc>
          <w:tcPr>
            <w:tcW w:w="1580" w:type="dxa"/>
            <w:vAlign w:val="bottom"/>
          </w:tcPr>
          <w:p>
            <w:pPr>
              <w:jc w:val="right"/>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Contract liabilities (prior year revenues)</w:t>
            </w:r>
          </w:p>
        </w:tc>
        <w:tc>
          <w:tcPr>
            <w:tcW w:w="1600" w:type="dxa"/>
            <w:vAlign w:val="bottom"/>
            <w:gridSpan w:val="2"/>
          </w:tcPr>
          <w:p>
            <w:pPr>
              <w:jc w:val="right"/>
              <w:ind w:right="20"/>
              <w:spacing w:after="0"/>
              <w:rPr>
                <w:sz w:val="20"/>
                <w:szCs w:val="20"/>
                <w:color w:val="auto"/>
              </w:rPr>
            </w:pPr>
            <w:r>
              <w:rPr>
                <w:rFonts w:ascii="Arial" w:cs="Arial" w:eastAsia="Arial" w:hAnsi="Arial"/>
                <w:sz w:val="13"/>
                <w:szCs w:val="13"/>
                <w:color w:val="auto"/>
              </w:rPr>
              <w:t>16,631</w:t>
            </w:r>
          </w:p>
        </w:tc>
        <w:tc>
          <w:tcPr>
            <w:tcW w:w="1600" w:type="dxa"/>
            <w:vAlign w:val="bottom"/>
          </w:tcPr>
          <w:p>
            <w:pPr>
              <w:jc w:val="right"/>
              <w:spacing w:after="0"/>
              <w:rPr>
                <w:sz w:val="20"/>
                <w:szCs w:val="20"/>
                <w:color w:val="auto"/>
              </w:rPr>
            </w:pPr>
            <w:r>
              <w:rPr>
                <w:rFonts w:ascii="Arial" w:cs="Arial" w:eastAsia="Arial" w:hAnsi="Arial"/>
                <w:sz w:val="13"/>
                <w:szCs w:val="13"/>
                <w:color w:val="auto"/>
              </w:rPr>
              <w:t>11,810</w:t>
            </w:r>
          </w:p>
        </w:tc>
        <w:tc>
          <w:tcPr>
            <w:tcW w:w="1580" w:type="dxa"/>
            <w:vAlign w:val="bottom"/>
          </w:tcPr>
          <w:p>
            <w:pPr>
              <w:jc w:val="right"/>
              <w:spacing w:after="0"/>
              <w:rPr>
                <w:sz w:val="20"/>
                <w:szCs w:val="20"/>
                <w:color w:val="auto"/>
              </w:rPr>
            </w:pPr>
            <w:r>
              <w:rPr>
                <w:rFonts w:ascii="Arial" w:cs="Arial" w:eastAsia="Arial" w:hAnsi="Arial"/>
                <w:sz w:val="13"/>
                <w:szCs w:val="13"/>
                <w:color w:val="auto"/>
              </w:rPr>
              <w:t>28,441</w:t>
            </w:r>
          </w:p>
        </w:tc>
        <w:tc>
          <w:tcPr>
            <w:tcW w:w="0" w:type="dxa"/>
            <w:vAlign w:val="bottom"/>
          </w:tcPr>
          <w:p>
            <w:pPr>
              <w:spacing w:after="0"/>
              <w:rPr>
                <w:sz w:val="1"/>
                <w:szCs w:val="1"/>
                <w:color w:val="auto"/>
              </w:rPr>
            </w:pPr>
          </w:p>
        </w:tc>
      </w:tr>
      <w:tr>
        <w:trPr>
          <w:trHeight w:val="170"/>
        </w:trPr>
        <w:tc>
          <w:tcPr>
            <w:tcW w:w="65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Provisions</w:t>
            </w:r>
          </w:p>
        </w:tc>
        <w:tc>
          <w:tcPr>
            <w:tcW w:w="1600" w:type="dxa"/>
            <w:vAlign w:val="bottom"/>
            <w:gridSpan w:val="2"/>
          </w:tcPr>
          <w:p>
            <w:pPr>
              <w:jc w:val="right"/>
              <w:ind w:right="20"/>
              <w:spacing w:after="0"/>
              <w:rPr>
                <w:sz w:val="20"/>
                <w:szCs w:val="20"/>
                <w:color w:val="auto"/>
              </w:rPr>
            </w:pPr>
            <w:r>
              <w:rPr>
                <w:rFonts w:ascii="Arial" w:cs="Arial" w:eastAsia="Arial" w:hAnsi="Arial"/>
                <w:sz w:val="13"/>
                <w:szCs w:val="13"/>
                <w:color w:val="auto"/>
              </w:rPr>
              <w:t>73</w:t>
            </w:r>
          </w:p>
        </w:tc>
        <w:tc>
          <w:tcPr>
            <w:tcW w:w="1600" w:type="dxa"/>
            <w:vAlign w:val="bottom"/>
          </w:tcPr>
          <w:p>
            <w:pPr>
              <w:jc w:val="right"/>
              <w:spacing w:after="0"/>
              <w:rPr>
                <w:sz w:val="20"/>
                <w:szCs w:val="20"/>
                <w:color w:val="auto"/>
              </w:rPr>
            </w:pPr>
            <w:r>
              <w:rPr>
                <w:rFonts w:ascii="Arial" w:cs="Arial" w:eastAsia="Arial" w:hAnsi="Arial"/>
                <w:sz w:val="13"/>
                <w:szCs w:val="13"/>
                <w:color w:val="auto"/>
              </w:rPr>
              <w:t>61</w:t>
            </w:r>
          </w:p>
        </w:tc>
        <w:tc>
          <w:tcPr>
            <w:tcW w:w="1580" w:type="dxa"/>
            <w:vAlign w:val="bottom"/>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Other</w:t>
            </w:r>
          </w:p>
        </w:tc>
        <w:tc>
          <w:tcPr>
            <w:tcW w:w="160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color w:val="auto"/>
              </w:rPr>
              <w:t>684</w:t>
            </w:r>
          </w:p>
        </w:tc>
        <w:tc>
          <w:tcPr>
            <w:tcW w:w="160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(523)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Deferred Tax Assets Net (before valuation)</w:t>
            </w:r>
          </w:p>
        </w:tc>
        <w:tc>
          <w:tcPr>
            <w:tcW w:w="160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b w:val="1"/>
                <w:bCs w:val="1"/>
                <w:color w:val="auto"/>
              </w:rPr>
              <w:t>€16,676</w:t>
            </w:r>
          </w:p>
        </w:tc>
        <w:tc>
          <w:tcPr>
            <w:tcW w:w="160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€12,275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€28,951</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Valuation Adjustment</w:t>
            </w:r>
          </w:p>
        </w:tc>
        <w:tc>
          <w:tcPr>
            <w:tcW w:w="160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b w:val="1"/>
                <w:bCs w:val="1"/>
                <w:color w:val="auto"/>
              </w:rPr>
              <w:t>(16,676)</w:t>
            </w:r>
          </w:p>
        </w:tc>
        <w:tc>
          <w:tcPr>
            <w:tcW w:w="160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(12,275)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(28,951)</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Deferred Tax Assets Net (after valuation)</w:t>
            </w:r>
          </w:p>
        </w:tc>
        <w:tc>
          <w:tcPr>
            <w:tcW w:w="160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60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90"/>
        </w:trPr>
        <w:tc>
          <w:tcPr>
            <w:tcW w:w="6500" w:type="dxa"/>
            <w:vAlign w:val="bottom"/>
          </w:tcPr>
          <w:p>
            <w:pPr>
              <w:ind w:left="560"/>
              <w:spacing w:after="0"/>
              <w:rPr>
                <w:sz w:val="20"/>
                <w:szCs w:val="20"/>
                <w:color w:val="auto"/>
              </w:rPr>
            </w:pPr>
            <w:r>
              <w:rPr>
                <w:rFonts w:ascii="Arial" w:cs="Arial" w:eastAsia="Arial" w:hAnsi="Arial"/>
                <w:sz w:val="13"/>
                <w:szCs w:val="13"/>
                <w:color w:val="auto"/>
              </w:rPr>
              <w:t>Accumulated tax losses of the Group for the periods indicated amount to the following:</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60"/>
        </w:trPr>
        <w:tc>
          <w:tcPr>
            <w:tcW w:w="6500" w:type="dxa"/>
            <w:vAlign w:val="bottom"/>
            <w:tcBorders>
              <w:right w:val="single" w:sz="8" w:color="70AD47"/>
            </w:tcBorders>
          </w:tcPr>
          <w:p>
            <w:pPr>
              <w:ind w:left="100"/>
              <w:spacing w:after="0"/>
              <w:rPr>
                <w:sz w:val="20"/>
                <w:szCs w:val="20"/>
                <w:color w:val="auto"/>
              </w:rPr>
            </w:pPr>
            <w:r>
              <w:rPr>
                <w:rFonts w:ascii="Arial" w:cs="Arial" w:eastAsia="Arial" w:hAnsi="Arial"/>
                <w:sz w:val="13"/>
                <w:szCs w:val="13"/>
                <w:color w:val="auto"/>
              </w:rPr>
              <w:t>Corporate Tax</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€356,044</w:t>
            </w:r>
          </w:p>
        </w:tc>
        <w:tc>
          <w:tcPr>
            <w:tcW w:w="20" w:type="dxa"/>
            <w:vAlign w:val="bottom"/>
          </w:tcPr>
          <w:p>
            <w:pPr>
              <w:spacing w:after="0"/>
              <w:rPr>
                <w:sz w:val="13"/>
                <w:szCs w:val="13"/>
                <w:color w:val="auto"/>
              </w:rPr>
            </w:pPr>
          </w:p>
        </w:tc>
        <w:tc>
          <w:tcPr>
            <w:tcW w:w="160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€179,264</w:t>
            </w:r>
          </w:p>
        </w:tc>
        <w:tc>
          <w:tcPr>
            <w:tcW w:w="1580" w:type="dxa"/>
            <w:vAlign w:val="bottom"/>
          </w:tcPr>
          <w:p>
            <w:pPr>
              <w:jc w:val="right"/>
              <w:spacing w:after="0"/>
              <w:rPr>
                <w:sz w:val="20"/>
                <w:szCs w:val="20"/>
                <w:color w:val="auto"/>
              </w:rPr>
            </w:pPr>
            <w:r>
              <w:rPr>
                <w:rFonts w:ascii="Arial" w:cs="Arial" w:eastAsia="Arial" w:hAnsi="Arial"/>
                <w:sz w:val="13"/>
                <w:szCs w:val="13"/>
                <w:color w:val="auto"/>
              </w:rPr>
              <w:t>€178,491</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Trade Tax</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352,341</w:t>
            </w:r>
          </w:p>
        </w:tc>
        <w:tc>
          <w:tcPr>
            <w:tcW w:w="20" w:type="dxa"/>
            <w:vAlign w:val="bottom"/>
            <w:tcBorders>
              <w:bottom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176,425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176,024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140" w:firstLine="554"/>
        <w:spacing w:after="0" w:line="272" w:lineRule="auto"/>
        <w:rPr>
          <w:sz w:val="20"/>
          <w:szCs w:val="20"/>
          <w:color w:val="auto"/>
        </w:rPr>
      </w:pPr>
      <w:r>
        <w:rPr>
          <w:rFonts w:ascii="Arial" w:cs="Arial" w:eastAsia="Arial" w:hAnsi="Arial"/>
          <w:sz w:val="13"/>
          <w:szCs w:val="13"/>
          <w:color w:val="auto"/>
        </w:rPr>
        <w:t>Deferred tax assets on tax losses have not been capitalized as there is not sufficient probability in terms of IAS 12 that there will be future taxable profits available against which the unused tax losses can be utilized. The accumulated tax losses as at December 31, 2019 relate to Germany and the United States (as at December 31, 2018: Germany). There is no expiration date for any of the accumulated tax losses under German or US tax law.</w:t>
      </w:r>
    </w:p>
    <w:p>
      <w:pPr>
        <w:spacing w:after="0" w:line="208" w:lineRule="exact"/>
        <w:rPr>
          <w:sz w:val="20"/>
          <w:szCs w:val="20"/>
          <w:color w:val="auto"/>
        </w:rPr>
      </w:pPr>
    </w:p>
    <w:p>
      <w:pPr>
        <w:ind w:left="800" w:hanging="800"/>
        <w:spacing w:after="0"/>
        <w:tabs>
          <w:tab w:leader="none" w:pos="800" w:val="left"/>
        </w:tabs>
        <w:numPr>
          <w:ilvl w:val="0"/>
          <w:numId w:val="326"/>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Basic earnings per share (EPS) is calculated by dividing the loss for the year attributable to ordinary equity holders of the parent by the weighted average number of ordinary shares outstanding during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year.</w:t>
      </w:r>
    </w:p>
    <w:p>
      <w:pPr>
        <w:spacing w:after="0" w:line="162" w:lineRule="exact"/>
        <w:rPr>
          <w:sz w:val="20"/>
          <w:szCs w:val="20"/>
          <w:color w:val="auto"/>
        </w:rPr>
      </w:pPr>
    </w:p>
    <w:p>
      <w:pPr>
        <w:ind w:right="200" w:firstLine="556"/>
        <w:spacing w:after="0" w:line="287" w:lineRule="auto"/>
        <w:rPr>
          <w:sz w:val="20"/>
          <w:szCs w:val="20"/>
          <w:color w:val="auto"/>
        </w:rPr>
      </w:pPr>
      <w:r>
        <w:rPr>
          <w:rFonts w:ascii="Arial" w:cs="Arial" w:eastAsia="Arial" w:hAnsi="Arial"/>
          <w:sz w:val="13"/>
          <w:szCs w:val="13"/>
          <w:color w:val="auto"/>
        </w:rPr>
        <w:t>Diluted EPS is calculated by dividing the profit attributable to ordinary equity holders of the parent by the weighted average number of ordinary shares outstanding during the year plus the weighted average number of ordinary shares that would be issued on conversion of all the dilutive potential ordinary shares into ordinary shares.</w:t>
      </w:r>
    </w:p>
    <w:p>
      <w:pPr>
        <w:spacing w:after="0" w:line="122" w:lineRule="exact"/>
        <w:rPr>
          <w:sz w:val="20"/>
          <w:szCs w:val="20"/>
          <w:color w:val="auto"/>
        </w:rPr>
      </w:pPr>
    </w:p>
    <w:p>
      <w:pPr>
        <w:ind w:right="360" w:firstLine="556"/>
        <w:spacing w:after="0" w:line="287" w:lineRule="auto"/>
        <w:rPr>
          <w:sz w:val="20"/>
          <w:szCs w:val="20"/>
          <w:color w:val="auto"/>
        </w:rPr>
      </w:pPr>
      <w:r>
        <w:rPr>
          <w:rFonts w:ascii="Arial" w:cs="Arial" w:eastAsia="Arial" w:hAnsi="Arial"/>
          <w:sz w:val="13"/>
          <w:szCs w:val="13"/>
          <w:color w:val="auto"/>
        </w:rPr>
        <w:t>On September 18, 2019, BioNTech effected a 1:18 share split by issuing 206,595,492 shares by way of a capital increase from its own funds; thus, no outside proceeds were received. This capital increase came into effect upon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47" w:right="319" w:bottom="1440" w:gutter="0" w:footer="0" w:header="0"/>
        </w:sectPr>
      </w:pPr>
    </w:p>
    <w:bookmarkStart w:id="293" w:name="page294"/>
    <w:bookmarkEnd w:id="293"/>
    <w:p>
      <w:pPr>
        <w:ind w:right="140"/>
        <w:spacing w:after="0" w:line="287" w:lineRule="auto"/>
        <w:rPr>
          <w:sz w:val="20"/>
          <w:szCs w:val="20"/>
          <w:color w:val="auto"/>
        </w:rPr>
      </w:pPr>
      <w:r>
        <w:rPr>
          <w:rFonts w:ascii="Arial" w:cs="Arial" w:eastAsia="Arial" w:hAnsi="Arial"/>
          <w:sz w:val="13"/>
          <w:szCs w:val="13"/>
          <w:color w:val="auto"/>
        </w:rPr>
        <w:t>registration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The accompanying financial statements and notes to the financial statements including the EPS information below give retroactive effect to the share split for all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Pr>
          <w:p>
            <w:pPr>
              <w:ind w:left="560"/>
              <w:spacing w:after="0"/>
              <w:rPr>
                <w:sz w:val="20"/>
                <w:szCs w:val="20"/>
                <w:color w:val="auto"/>
              </w:rPr>
            </w:pPr>
            <w:r>
              <w:rPr>
                <w:rFonts w:ascii="Arial" w:cs="Arial" w:eastAsia="Arial" w:hAnsi="Arial"/>
                <w:sz w:val="13"/>
                <w:szCs w:val="13"/>
                <w:color w:val="auto"/>
              </w:rPr>
              <w:t>The following table reflects the income and share data used in the basic and diluted EPS calculations:</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17"/>
        </w:trPr>
        <w:tc>
          <w:tcPr>
            <w:tcW w:w="6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Arial" w:cs="Arial" w:eastAsia="Arial" w:hAnsi="Arial"/>
                <w:sz w:val="13"/>
                <w:szCs w:val="13"/>
                <w:b w:val="1"/>
                <w:bCs w:val="1"/>
                <w:color w:val="auto"/>
              </w:rPr>
              <w:t>Years ended</w:t>
            </w:r>
          </w:p>
        </w:tc>
        <w:tc>
          <w:tcPr>
            <w:tcW w:w="1580" w:type="dxa"/>
            <w:vAlign w:val="bottom"/>
          </w:tcPr>
          <w:p>
            <w:pPr>
              <w:spacing w:after="0"/>
              <w:rPr>
                <w:sz w:val="24"/>
                <w:szCs w:val="24"/>
                <w:color w:val="auto"/>
              </w:rPr>
            </w:pPr>
          </w:p>
        </w:tc>
      </w:tr>
      <w:tr>
        <w:trPr>
          <w:trHeight w:val="173"/>
        </w:trPr>
        <w:tc>
          <w:tcPr>
            <w:tcW w:w="6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jc w:val="right"/>
              <w:ind w:right="353"/>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spacing w:after="0"/>
              <w:rPr>
                <w:sz w:val="15"/>
                <w:szCs w:val="15"/>
                <w:color w:val="auto"/>
              </w:rPr>
            </w:pPr>
          </w:p>
        </w:tc>
      </w:tr>
      <w:tr>
        <w:trPr>
          <w:trHeight w:val="17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Loss attributable to ordinary equity holders of the parent for basic earnings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€(179,056)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€(48,019)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€(85,653)</w:t>
            </w:r>
          </w:p>
        </w:tc>
      </w:tr>
      <w:tr>
        <w:trPr>
          <w:trHeight w:val="160"/>
        </w:trPr>
        <w:tc>
          <w:tcPr>
            <w:tcW w:w="650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spacing w:after="0"/>
              <w:rPr>
                <w:sz w:val="13"/>
                <w:szCs w:val="13"/>
                <w:color w:val="auto"/>
              </w:rPr>
            </w:pPr>
          </w:p>
        </w:tc>
        <w:tc>
          <w:tcPr>
            <w:tcW w:w="1600" w:type="dxa"/>
            <w:vAlign w:val="bottom"/>
            <w:tcBorders>
              <w:bottom w:val="single" w:sz="8" w:color="70AD47"/>
              <w:right w:val="single" w:sz="8" w:color="70AD47"/>
            </w:tcBorders>
          </w:tcPr>
          <w:p>
            <w:pPr>
              <w:spacing w:after="0"/>
              <w:rPr>
                <w:sz w:val="13"/>
                <w:szCs w:val="13"/>
                <w:color w:val="auto"/>
              </w:rPr>
            </w:pPr>
          </w:p>
        </w:tc>
        <w:tc>
          <w:tcPr>
            <w:tcW w:w="1580" w:type="dxa"/>
            <w:vAlign w:val="bottom"/>
            <w:tcBorders>
              <w:bottom w:val="single" w:sz="8" w:color="70AD47"/>
            </w:tcBorders>
          </w:tcPr>
          <w:p>
            <w:pPr>
              <w:spacing w:after="0"/>
              <w:rPr>
                <w:sz w:val="13"/>
                <w:szCs w:val="13"/>
                <w:color w:val="auto"/>
              </w:rPr>
            </w:pP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Weighted average number of ordinary shares for basic EPS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211,499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190,710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166,764</w:t>
            </w:r>
          </w:p>
        </w:tc>
      </w:tr>
      <w:tr>
        <w:trPr>
          <w:trHeight w:val="160"/>
        </w:trPr>
        <w:tc>
          <w:tcPr>
            <w:tcW w:w="6500" w:type="dxa"/>
            <w:vAlign w:val="bottom"/>
            <w:tcBorders>
              <w:bottom w:val="single" w:sz="8" w:color="70AD47"/>
              <w:right w:val="single" w:sz="8" w:color="70AD47"/>
            </w:tcBorders>
          </w:tcPr>
          <w:p>
            <w:pPr>
              <w:ind w:left="100"/>
              <w:spacing w:after="0"/>
              <w:rPr>
                <w:sz w:val="20"/>
                <w:szCs w:val="20"/>
                <w:color w:val="auto"/>
              </w:rPr>
            </w:pPr>
            <w:r>
              <w:rPr>
                <w:rFonts w:ascii="Arial" w:cs="Arial" w:eastAsia="Arial" w:hAnsi="Arial"/>
                <w:sz w:val="13"/>
                <w:szCs w:val="13"/>
                <w:color w:val="auto"/>
              </w:rPr>
              <w:t>Effects of dilution from share options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5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Weighted average number of ordinary shares adjusted for the effect of dilution</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211,499</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190,710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166,764</w:t>
            </w:r>
          </w:p>
        </w:tc>
      </w:tr>
    </w:tbl>
    <w:p>
      <w:pPr>
        <w:spacing w:after="0" w:line="231" w:lineRule="exact"/>
        <w:rPr>
          <w:sz w:val="20"/>
          <w:szCs w:val="20"/>
          <w:color w:val="auto"/>
        </w:rPr>
      </w:pPr>
    </w:p>
    <w:p>
      <w:pPr>
        <w:ind w:right="180" w:firstLine="554"/>
        <w:spacing w:after="0" w:line="287" w:lineRule="auto"/>
        <w:rPr>
          <w:sz w:val="20"/>
          <w:szCs w:val="20"/>
          <w:color w:val="auto"/>
        </w:rPr>
      </w:pPr>
      <w:r>
        <w:rPr>
          <w:rFonts w:ascii="Arial" w:cs="Arial" w:eastAsia="Arial" w:hAnsi="Arial"/>
          <w:sz w:val="13"/>
          <w:szCs w:val="13"/>
          <w:color w:val="auto"/>
        </w:rPr>
        <w:t>There have been no other transactions involving ordinary shares or potential ordinary shares between the reporting date and the date of authorization of these financial statements. Stock options were not included in the calculation of diluted EPS because they are antidilutive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Pr>
          <w:p>
            <w:pPr>
              <w:spacing w:after="0"/>
              <w:rPr>
                <w:sz w:val="20"/>
                <w:szCs w:val="20"/>
                <w:color w:val="auto"/>
              </w:rPr>
            </w:pPr>
            <w:r>
              <w:rPr>
                <w:rFonts w:ascii="Arial" w:cs="Arial" w:eastAsia="Arial" w:hAnsi="Arial"/>
                <w:sz w:val="13"/>
                <w:szCs w:val="13"/>
                <w:b w:val="1"/>
                <w:bCs w:val="1"/>
                <w:color w:val="auto"/>
                <w:w w:val="96"/>
              </w:rPr>
              <w:t>10</w:t>
            </w:r>
          </w:p>
        </w:tc>
        <w:tc>
          <w:tcPr>
            <w:tcW w:w="4360" w:type="dxa"/>
            <w:vAlign w:val="bottom"/>
          </w:tcPr>
          <w:p>
            <w:pPr>
              <w:ind w:left="640"/>
              <w:spacing w:after="0"/>
              <w:rPr>
                <w:sz w:val="20"/>
                <w:szCs w:val="20"/>
                <w:color w:val="auto"/>
              </w:rPr>
            </w:pPr>
            <w:r>
              <w:rPr>
                <w:rFonts w:ascii="Arial" w:cs="Arial" w:eastAsia="Arial" w:hAnsi="Arial"/>
                <w:sz w:val="13"/>
                <w:szCs w:val="13"/>
                <w:b w:val="1"/>
                <w:bCs w:val="1"/>
                <w:color w:val="auto"/>
              </w:rPr>
              <w:t>Property, Plant and Equipment</w:t>
            </w: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52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Pr>
          <w:p>
            <w:pPr>
              <w:spacing w:after="0"/>
              <w:rPr>
                <w:sz w:val="7"/>
                <w:szCs w:val="7"/>
                <w:color w:val="auto"/>
              </w:rPr>
            </w:pPr>
          </w:p>
        </w:tc>
        <w:tc>
          <w:tcPr>
            <w:tcW w:w="1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Land and buildings</w:t>
            </w:r>
          </w:p>
        </w:tc>
        <w:tc>
          <w:tcPr>
            <w:tcW w:w="20" w:type="dxa"/>
            <w:vAlign w:val="bottom"/>
          </w:tcPr>
          <w:p>
            <w:pPr>
              <w:spacing w:after="0"/>
              <w:rPr>
                <w:sz w:val="7"/>
                <w:szCs w:val="7"/>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Equipment, tools and</w:t>
            </w:r>
          </w:p>
        </w:tc>
        <w:tc>
          <w:tcPr>
            <w:tcW w:w="20" w:type="dxa"/>
            <w:vAlign w:val="bottom"/>
          </w:tcPr>
          <w:p>
            <w:pPr>
              <w:spacing w:after="0"/>
              <w:rPr>
                <w:sz w:val="7"/>
                <w:szCs w:val="7"/>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Construction in progress and</w:t>
            </w:r>
          </w:p>
        </w:tc>
        <w:tc>
          <w:tcPr>
            <w:tcW w:w="20" w:type="dxa"/>
            <w:vAlign w:val="bottom"/>
          </w:tcPr>
          <w:p>
            <w:pPr>
              <w:spacing w:after="0"/>
              <w:rPr>
                <w:sz w:val="7"/>
                <w:szCs w:val="7"/>
                <w:color w:val="auto"/>
              </w:rPr>
            </w:pPr>
          </w:p>
        </w:tc>
        <w:tc>
          <w:tcPr>
            <w:tcW w:w="1660" w:type="dxa"/>
            <w:vAlign w:val="bottom"/>
            <w:vMerge w:val="restart"/>
          </w:tcPr>
          <w:p>
            <w:pPr>
              <w:jc w:val="right"/>
              <w:ind w:right="633"/>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520" w:type="dxa"/>
            <w:vAlign w:val="bottom"/>
            <w:gridSpan w:val="2"/>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Acquisition and production costs</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installations</w:t>
            </w:r>
          </w:p>
        </w:tc>
        <w:tc>
          <w:tcPr>
            <w:tcW w:w="20" w:type="dxa"/>
            <w:vAlign w:val="bottom"/>
            <w:shd w:val="clear" w:color="auto" w:fill="70AD47"/>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advance payments</w:t>
            </w:r>
          </w:p>
        </w:tc>
        <w:tc>
          <w:tcPr>
            <w:tcW w:w="20" w:type="dxa"/>
            <w:vAlign w:val="bottom"/>
            <w:shd w:val="clear" w:color="auto" w:fill="70AD47"/>
          </w:tcPr>
          <w:p>
            <w:pPr>
              <w:spacing w:after="0"/>
              <w:rPr>
                <w:sz w:val="8"/>
                <w:szCs w:val="8"/>
                <w:color w:val="auto"/>
              </w:rPr>
            </w:pPr>
          </w:p>
        </w:tc>
        <w:tc>
          <w:tcPr>
            <w:tcW w:w="1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70AD47"/>
            </w:tcBorders>
            <w:gridSpan w:val="2"/>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Borders>
              <w:bottom w:val="single" w:sz="8" w:color="70AD47"/>
            </w:tcBorders>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Borders>
              <w:bottom w:val="single" w:sz="8" w:color="70AD47"/>
            </w:tcBorders>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Borders>
              <w:bottom w:val="single" w:sz="8" w:color="70AD47"/>
            </w:tcBorders>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Borders>
              <w:bottom w:val="single" w:sz="8" w:color="70AD47"/>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As of January 1, 2018</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€13,077</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€58,080</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€6,153</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€77,310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Additions</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8,925</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11,322</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6,154</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26,401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Disposals</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(858)</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Borders>
              <w:bottom w:val="single" w:sz="8" w:color="70AD47"/>
            </w:tcBorders>
          </w:tcPr>
          <w:p>
            <w:pPr>
              <w:spacing w:after="0"/>
              <w:rPr>
                <w:sz w:val="14"/>
                <w:szCs w:val="14"/>
                <w:color w:val="auto"/>
              </w:rPr>
            </w:pPr>
          </w:p>
        </w:tc>
        <w:tc>
          <w:tcPr>
            <w:tcW w:w="4360" w:type="dxa"/>
            <w:vAlign w:val="bottom"/>
            <w:tcBorders>
              <w:bottom w:val="single" w:sz="8" w:color="70AD47"/>
            </w:tcBorders>
          </w:tcPr>
          <w:p>
            <w:pPr>
              <w:ind w:left="20"/>
              <w:spacing w:after="0"/>
              <w:rPr>
                <w:sz w:val="20"/>
                <w:szCs w:val="20"/>
                <w:color w:val="auto"/>
              </w:rPr>
            </w:pPr>
            <w:r>
              <w:rPr>
                <w:rFonts w:ascii="Arial" w:cs="Arial" w:eastAsia="Arial" w:hAnsi="Arial"/>
                <w:sz w:val="13"/>
                <w:szCs w:val="13"/>
                <w:color w:val="auto"/>
              </w:rPr>
              <w:t>Reclassifications</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145</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5,069</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(5,216)</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b w:val="1"/>
                <w:bCs w:val="1"/>
                <w:color w:val="auto"/>
              </w:rPr>
              <w:t>As of December 31, 2018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€22,147</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€73,613</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€7,091</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€102,853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As of January 1, 2019</w:t>
            </w:r>
          </w:p>
        </w:tc>
        <w:tc>
          <w:tcPr>
            <w:tcW w:w="20" w:type="dxa"/>
            <w:vAlign w:val="bottom"/>
            <w:shd w:val="clear" w:color="auto" w:fill="70AD47"/>
          </w:tcPr>
          <w:p>
            <w:pPr>
              <w:spacing w:after="0"/>
              <w:rPr>
                <w:sz w:val="13"/>
                <w:szCs w:val="13"/>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€22,147</w:t>
            </w:r>
          </w:p>
        </w:tc>
        <w:tc>
          <w:tcPr>
            <w:tcW w:w="20" w:type="dxa"/>
            <w:vAlign w:val="bottom"/>
            <w:shd w:val="clear" w:color="auto" w:fill="70AD47"/>
          </w:tcPr>
          <w:p>
            <w:pPr>
              <w:spacing w:after="0"/>
              <w:rPr>
                <w:sz w:val="13"/>
                <w:szCs w:val="13"/>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€73,613</w:t>
            </w:r>
          </w:p>
        </w:tc>
        <w:tc>
          <w:tcPr>
            <w:tcW w:w="20" w:type="dxa"/>
            <w:vAlign w:val="bottom"/>
            <w:shd w:val="clear" w:color="auto" w:fill="70AD47"/>
          </w:tcPr>
          <w:p>
            <w:pPr>
              <w:spacing w:after="0"/>
              <w:rPr>
                <w:sz w:val="13"/>
                <w:szCs w:val="13"/>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€7,091</w:t>
            </w:r>
          </w:p>
        </w:tc>
        <w:tc>
          <w:tcPr>
            <w:tcW w:w="20" w:type="dxa"/>
            <w:vAlign w:val="bottom"/>
            <w:shd w:val="clear" w:color="auto" w:fill="70AD47"/>
          </w:tcPr>
          <w:p>
            <w:pPr>
              <w:spacing w:after="0"/>
              <w:rPr>
                <w:sz w:val="13"/>
                <w:szCs w:val="13"/>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€102,853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Additions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7,269</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8,700</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22,623</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38,592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Disposals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(105)</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Reclassifications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53</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(53)</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Currency differences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Borders>
              <w:bottom w:val="single" w:sz="8" w:color="70AD47"/>
            </w:tcBorders>
          </w:tcPr>
          <w:p>
            <w:pPr>
              <w:spacing w:after="0"/>
              <w:rPr>
                <w:sz w:val="14"/>
                <w:szCs w:val="14"/>
                <w:color w:val="auto"/>
              </w:rPr>
            </w:pPr>
          </w:p>
        </w:tc>
        <w:tc>
          <w:tcPr>
            <w:tcW w:w="4360" w:type="dxa"/>
            <w:vAlign w:val="bottom"/>
            <w:tcBorders>
              <w:bottom w:val="single" w:sz="8" w:color="70AD47"/>
            </w:tcBorders>
          </w:tcPr>
          <w:p>
            <w:pPr>
              <w:ind w:left="20"/>
              <w:spacing w:after="0"/>
              <w:rPr>
                <w:sz w:val="20"/>
                <w:szCs w:val="20"/>
                <w:color w:val="auto"/>
              </w:rPr>
            </w:pPr>
            <w:r>
              <w:rPr>
                <w:rFonts w:ascii="Arial" w:cs="Arial" w:eastAsia="Arial" w:hAnsi="Arial"/>
                <w:sz w:val="13"/>
                <w:szCs w:val="13"/>
                <w:color w:val="auto"/>
              </w:rPr>
              <w:t>Acquisition of subsidiaries and businesses, net of cash acquired</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999</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b w:val="1"/>
                <w:bCs w:val="1"/>
                <w:color w:val="auto"/>
              </w:rPr>
              <w:t>As of December 31, 2019</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€29,469</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€83,206</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€29,652</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€142,329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52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Pr>
          <w:p>
            <w:pPr>
              <w:spacing w:after="0"/>
              <w:rPr>
                <w:sz w:val="13"/>
                <w:szCs w:val="13"/>
                <w:color w:val="auto"/>
              </w:rPr>
            </w:pPr>
          </w:p>
        </w:tc>
        <w:tc>
          <w:tcPr>
            <w:tcW w:w="1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Land and buildings</w:t>
            </w:r>
          </w:p>
        </w:tc>
        <w:tc>
          <w:tcPr>
            <w:tcW w:w="20" w:type="dxa"/>
            <w:vAlign w:val="bottom"/>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Equipment, tools and</w:t>
            </w:r>
          </w:p>
        </w:tc>
        <w:tc>
          <w:tcPr>
            <w:tcW w:w="2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Construction in progress and</w:t>
            </w:r>
          </w:p>
        </w:tc>
        <w:tc>
          <w:tcPr>
            <w:tcW w:w="20" w:type="dxa"/>
            <w:vAlign w:val="bottom"/>
          </w:tcPr>
          <w:p>
            <w:pPr>
              <w:spacing w:after="0"/>
              <w:rPr>
                <w:sz w:val="13"/>
                <w:szCs w:val="13"/>
                <w:color w:val="auto"/>
              </w:rPr>
            </w:pPr>
          </w:p>
        </w:tc>
        <w:tc>
          <w:tcPr>
            <w:tcW w:w="1660" w:type="dxa"/>
            <w:vAlign w:val="bottom"/>
            <w:vMerge w:val="restart"/>
          </w:tcPr>
          <w:p>
            <w:pPr>
              <w:jc w:val="right"/>
              <w:ind w:right="633"/>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20" w:type="dxa"/>
            <w:vAlign w:val="bottom"/>
            <w:gridSpan w:val="2"/>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Cumulative depreciation and impairment charges</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installations</w:t>
            </w:r>
          </w:p>
        </w:tc>
        <w:tc>
          <w:tcPr>
            <w:tcW w:w="20" w:type="dxa"/>
            <w:vAlign w:val="bottom"/>
            <w:shd w:val="clear" w:color="auto" w:fill="70AD47"/>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advance payments</w:t>
            </w:r>
          </w:p>
        </w:tc>
        <w:tc>
          <w:tcPr>
            <w:tcW w:w="20" w:type="dxa"/>
            <w:vAlign w:val="bottom"/>
            <w:shd w:val="clear" w:color="auto" w:fill="70AD47"/>
          </w:tcPr>
          <w:p>
            <w:pPr>
              <w:spacing w:after="0"/>
              <w:rPr>
                <w:sz w:val="8"/>
                <w:szCs w:val="8"/>
                <w:color w:val="auto"/>
              </w:rPr>
            </w:pPr>
          </w:p>
        </w:tc>
        <w:tc>
          <w:tcPr>
            <w:tcW w:w="1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70AD47"/>
            </w:tcBorders>
            <w:gridSpan w:val="2"/>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Borders>
              <w:bottom w:val="single" w:sz="8" w:color="70AD47"/>
            </w:tcBorders>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Borders>
              <w:bottom w:val="single" w:sz="8" w:color="70AD47"/>
            </w:tcBorders>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Borders>
              <w:bottom w:val="single" w:sz="8" w:color="70AD47"/>
            </w:tcBorders>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Borders>
              <w:bottom w:val="single" w:sz="8" w:color="70AD47"/>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As of January 1, 2018</w:t>
            </w:r>
          </w:p>
        </w:tc>
        <w:tc>
          <w:tcPr>
            <w:tcW w:w="20" w:type="dxa"/>
            <w:vAlign w:val="bottom"/>
            <w:shd w:val="clear" w:color="auto" w:fill="70AD47"/>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€5,690</w:t>
            </w:r>
          </w:p>
        </w:tc>
        <w:tc>
          <w:tcPr>
            <w:tcW w:w="20" w:type="dxa"/>
            <w:vAlign w:val="bottom"/>
            <w:shd w:val="clear" w:color="auto" w:fill="70AD47"/>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€22,013</w:t>
            </w:r>
          </w:p>
        </w:tc>
        <w:tc>
          <w:tcPr>
            <w:tcW w:w="20" w:type="dxa"/>
            <w:vAlign w:val="bottom"/>
            <w:shd w:val="clear" w:color="auto" w:fill="70AD47"/>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70AD47"/>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€27,703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782</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8,349</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9,131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 w:type="dxa"/>
            <w:vAlign w:val="bottom"/>
            <w:tcBorders>
              <w:bottom w:val="single" w:sz="8" w:color="70AD47"/>
            </w:tcBorders>
          </w:tcPr>
          <w:p>
            <w:pPr>
              <w:spacing w:after="0"/>
              <w:rPr>
                <w:sz w:val="15"/>
                <w:szCs w:val="15"/>
                <w:color w:val="auto"/>
              </w:rPr>
            </w:pPr>
          </w:p>
        </w:tc>
        <w:tc>
          <w:tcPr>
            <w:tcW w:w="4360" w:type="dxa"/>
            <w:vAlign w:val="bottom"/>
            <w:tcBorders>
              <w:bottom w:val="single" w:sz="8" w:color="70AD47"/>
            </w:tcBorders>
          </w:tcPr>
          <w:p>
            <w:pPr>
              <w:ind w:left="20"/>
              <w:spacing w:after="0"/>
              <w:rPr>
                <w:sz w:val="20"/>
                <w:szCs w:val="20"/>
                <w:color w:val="auto"/>
              </w:rPr>
            </w:pPr>
            <w:r>
              <w:rPr>
                <w:rFonts w:ascii="Arial" w:cs="Arial" w:eastAsia="Arial" w:hAnsi="Arial"/>
                <w:sz w:val="13"/>
                <w:szCs w:val="13"/>
                <w:color w:val="auto"/>
              </w:rPr>
              <w:t>Disposals</w:t>
            </w:r>
          </w:p>
        </w:tc>
        <w:tc>
          <w:tcPr>
            <w:tcW w:w="20" w:type="dxa"/>
            <w:vAlign w:val="bottom"/>
            <w:tcBorders>
              <w:bottom w:val="single" w:sz="8" w:color="70AD47"/>
            </w:tcBorders>
            <w:shd w:val="clear" w:color="auto" w:fill="70AD47"/>
          </w:tcPr>
          <w:p>
            <w:pPr>
              <w:spacing w:after="0"/>
              <w:rPr>
                <w:sz w:val="15"/>
                <w:szCs w:val="15"/>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5"/>
                <w:szCs w:val="15"/>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(182)</w:t>
            </w:r>
          </w:p>
        </w:tc>
        <w:tc>
          <w:tcPr>
            <w:tcW w:w="20" w:type="dxa"/>
            <w:vAlign w:val="bottom"/>
            <w:tcBorders>
              <w:bottom w:val="single" w:sz="8" w:color="70AD47"/>
            </w:tcBorders>
            <w:shd w:val="clear" w:color="auto" w:fill="70AD47"/>
          </w:tcPr>
          <w:p>
            <w:pPr>
              <w:spacing w:after="0"/>
              <w:rPr>
                <w:sz w:val="15"/>
                <w:szCs w:val="15"/>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5"/>
                <w:szCs w:val="15"/>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b w:val="1"/>
                <w:bCs w:val="1"/>
                <w:color w:val="auto"/>
              </w:rPr>
              <w:t>As of December 31, 2018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€6,472</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€30,180</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€36,652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As of January 1, 2019</w:t>
            </w:r>
          </w:p>
        </w:tc>
        <w:tc>
          <w:tcPr>
            <w:tcW w:w="20" w:type="dxa"/>
            <w:vAlign w:val="bottom"/>
            <w:shd w:val="clear" w:color="auto" w:fill="70AD47"/>
          </w:tcPr>
          <w:p>
            <w:pPr>
              <w:spacing w:after="0"/>
              <w:rPr>
                <w:sz w:val="13"/>
                <w:szCs w:val="13"/>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€6,472</w:t>
            </w:r>
          </w:p>
        </w:tc>
        <w:tc>
          <w:tcPr>
            <w:tcW w:w="20" w:type="dxa"/>
            <w:vAlign w:val="bottom"/>
            <w:shd w:val="clear" w:color="auto" w:fill="70AD47"/>
          </w:tcPr>
          <w:p>
            <w:pPr>
              <w:spacing w:after="0"/>
              <w:rPr>
                <w:sz w:val="13"/>
                <w:szCs w:val="13"/>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€30,180</w:t>
            </w:r>
          </w:p>
        </w:tc>
        <w:tc>
          <w:tcPr>
            <w:tcW w:w="20" w:type="dxa"/>
            <w:vAlign w:val="bottom"/>
            <w:shd w:val="clear" w:color="auto" w:fill="70AD47"/>
          </w:tcPr>
          <w:p>
            <w:pPr>
              <w:spacing w:after="0"/>
              <w:rPr>
                <w:sz w:val="13"/>
                <w:szCs w:val="13"/>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70AD47"/>
          </w:tcPr>
          <w:p>
            <w:pPr>
              <w:spacing w:after="0"/>
              <w:rPr>
                <w:sz w:val="13"/>
                <w:szCs w:val="13"/>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€36,652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1,854</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10,861</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12,715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Disposals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(79)</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Borders>
              <w:bottom w:val="single" w:sz="8" w:color="70AD47"/>
            </w:tcBorders>
          </w:tcPr>
          <w:p>
            <w:pPr>
              <w:spacing w:after="0"/>
              <w:rPr>
                <w:sz w:val="14"/>
                <w:szCs w:val="14"/>
                <w:color w:val="auto"/>
              </w:rPr>
            </w:pPr>
          </w:p>
        </w:tc>
        <w:tc>
          <w:tcPr>
            <w:tcW w:w="4360" w:type="dxa"/>
            <w:vAlign w:val="bottom"/>
            <w:tcBorders>
              <w:bottom w:val="single" w:sz="8" w:color="70AD47"/>
            </w:tcBorders>
          </w:tcPr>
          <w:p>
            <w:pPr>
              <w:ind w:left="20"/>
              <w:spacing w:after="0"/>
              <w:rPr>
                <w:sz w:val="20"/>
                <w:szCs w:val="20"/>
                <w:color w:val="auto"/>
              </w:rPr>
            </w:pPr>
            <w:r>
              <w:rPr>
                <w:rFonts w:ascii="Arial" w:cs="Arial" w:eastAsia="Arial" w:hAnsi="Arial"/>
                <w:sz w:val="13"/>
                <w:szCs w:val="13"/>
                <w:color w:val="auto"/>
              </w:rPr>
              <w:t>Currency differences</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b w:val="1"/>
                <w:bCs w:val="1"/>
                <w:color w:val="auto"/>
              </w:rPr>
              <w:t>As of December 31, 2019</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€8,326</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€40,959</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€49,285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jc w:val="right"/>
              <w:ind w:right="393"/>
              <w:spacing w:after="0"/>
              <w:rPr>
                <w:sz w:val="20"/>
                <w:szCs w:val="20"/>
                <w:color w:val="auto"/>
              </w:rPr>
            </w:pPr>
            <w:r>
              <w:rPr>
                <w:rFonts w:ascii="Arial" w:cs="Arial" w:eastAsia="Arial" w:hAnsi="Arial"/>
                <w:sz w:val="13"/>
                <w:szCs w:val="13"/>
                <w:color w:val="auto"/>
              </w:rPr>
              <w:t>F-30</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60" w:type="dxa"/>
            <w:vAlign w:val="bottom"/>
            <w:tcBorders>
              <w:bottom w:val="single" w:sz="8" w:color="9A9A9A"/>
            </w:tcBorders>
          </w:tcPr>
          <w:p>
            <w:pPr>
              <w:spacing w:after="0"/>
              <w:rPr>
                <w:sz w:val="6"/>
                <w:szCs w:val="6"/>
                <w:color w:val="auto"/>
              </w:rPr>
            </w:pPr>
          </w:p>
        </w:tc>
        <w:tc>
          <w:tcPr>
            <w:tcW w:w="43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451" w:right="29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57"/>
        </w:trPr>
        <w:tc>
          <w:tcPr>
            <w:tcW w:w="452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shd w:val="clear" w:color="auto" w:fill="70AD47"/>
          </w:tcPr>
          <w:p>
            <w:pPr>
              <w:spacing w:after="0"/>
              <w:rPr>
                <w:sz w:val="13"/>
                <w:szCs w:val="13"/>
                <w:color w:val="auto"/>
              </w:rPr>
            </w:pPr>
          </w:p>
        </w:tc>
        <w:tc>
          <w:tcPr>
            <w:tcW w:w="1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Land and buildings</w:t>
            </w:r>
          </w:p>
        </w:tc>
        <w:tc>
          <w:tcPr>
            <w:tcW w:w="20" w:type="dxa"/>
            <w:vAlign w:val="bottom"/>
            <w:shd w:val="clear" w:color="auto" w:fill="70AD47"/>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2"/>
              </w:rPr>
              <w:t>Equipment, tools and</w:t>
            </w:r>
          </w:p>
        </w:tc>
        <w:tc>
          <w:tcPr>
            <w:tcW w:w="20" w:type="dxa"/>
            <w:vAlign w:val="bottom"/>
            <w:shd w:val="clear" w:color="auto" w:fill="70AD47"/>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1"/>
              </w:rPr>
              <w:t>Construction in progress and</w:t>
            </w:r>
          </w:p>
        </w:tc>
        <w:tc>
          <w:tcPr>
            <w:tcW w:w="20" w:type="dxa"/>
            <w:vAlign w:val="bottom"/>
            <w:shd w:val="clear" w:color="auto" w:fill="70AD47"/>
          </w:tcPr>
          <w:p>
            <w:pPr>
              <w:spacing w:after="0"/>
              <w:rPr>
                <w:sz w:val="13"/>
                <w:szCs w:val="13"/>
                <w:color w:val="auto"/>
              </w:rPr>
            </w:pPr>
          </w:p>
        </w:tc>
        <w:tc>
          <w:tcPr>
            <w:tcW w:w="1660" w:type="dxa"/>
            <w:vAlign w:val="bottom"/>
            <w:vMerge w:val="restart"/>
          </w:tcPr>
          <w:p>
            <w:pPr>
              <w:jc w:val="right"/>
              <w:ind w:right="6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3"/>
        </w:trPr>
        <w:tc>
          <w:tcPr>
            <w:tcW w:w="4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Carrying amount</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installations</w:t>
            </w:r>
          </w:p>
        </w:tc>
        <w:tc>
          <w:tcPr>
            <w:tcW w:w="20" w:type="dxa"/>
            <w:vAlign w:val="bottom"/>
            <w:shd w:val="clear" w:color="auto" w:fill="70AD47"/>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advance payments</w:t>
            </w:r>
          </w:p>
        </w:tc>
        <w:tc>
          <w:tcPr>
            <w:tcW w:w="20" w:type="dxa"/>
            <w:vAlign w:val="bottom"/>
            <w:shd w:val="clear" w:color="auto" w:fill="70AD47"/>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70AD47"/>
            </w:tcBorders>
            <w:gridSpan w:val="2"/>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color w:val="auto"/>
              </w:rPr>
              <w:t>As of January 1, 2018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€7,387</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€36,067</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€6,153</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€49,606</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color w:val="auto"/>
              </w:rPr>
              <w:t>As of December 31, 2018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€15,675</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€43,433</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€7,091</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€66,200</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b w:val="1"/>
                <w:bCs w:val="1"/>
                <w:color w:val="auto"/>
              </w:rPr>
              <w:t>As of December 31, 2019</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€21,143</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€42,247</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€29,652</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€93,044</w:t>
            </w:r>
          </w:p>
        </w:tc>
        <w:tc>
          <w:tcPr>
            <w:tcW w:w="0" w:type="dxa"/>
            <w:vAlign w:val="bottom"/>
          </w:tcPr>
          <w:p>
            <w:pPr>
              <w:spacing w:after="0"/>
              <w:rPr>
                <w:sz w:val="1"/>
                <w:szCs w:val="1"/>
                <w:color w:val="auto"/>
              </w:rPr>
            </w:pPr>
          </w:p>
        </w:tc>
      </w:tr>
      <w:tr>
        <w:trPr>
          <w:trHeight w:val="420"/>
        </w:trPr>
        <w:tc>
          <w:tcPr>
            <w:tcW w:w="160" w:type="dxa"/>
            <w:vAlign w:val="bottom"/>
          </w:tcPr>
          <w:p>
            <w:pPr>
              <w:spacing w:after="0"/>
              <w:rPr>
                <w:sz w:val="20"/>
                <w:szCs w:val="20"/>
                <w:color w:val="auto"/>
              </w:rPr>
            </w:pPr>
            <w:r>
              <w:rPr>
                <w:rFonts w:ascii="Arial" w:cs="Arial" w:eastAsia="Arial" w:hAnsi="Arial"/>
                <w:sz w:val="13"/>
                <w:szCs w:val="13"/>
                <w:b w:val="1"/>
                <w:bCs w:val="1"/>
                <w:color w:val="auto"/>
                <w:w w:val="96"/>
              </w:rPr>
              <w:t>11</w:t>
            </w:r>
          </w:p>
        </w:tc>
        <w:tc>
          <w:tcPr>
            <w:tcW w:w="4360" w:type="dxa"/>
            <w:vAlign w:val="bottom"/>
          </w:tcPr>
          <w:p>
            <w:pPr>
              <w:ind w:left="640"/>
              <w:spacing w:after="0"/>
              <w:rPr>
                <w:sz w:val="20"/>
                <w:szCs w:val="20"/>
                <w:color w:val="auto"/>
              </w:rPr>
            </w:pPr>
            <w:r>
              <w:rPr>
                <w:rFonts w:ascii="Arial" w:cs="Arial" w:eastAsia="Arial" w:hAnsi="Arial"/>
                <w:sz w:val="13"/>
                <w:szCs w:val="13"/>
                <w:b w:val="1"/>
                <w:bCs w:val="1"/>
                <w:color w:val="auto"/>
              </w:rPr>
              <w:t>Intangible Assets</w:t>
            </w: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52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Pr>
          <w:p>
            <w:pPr>
              <w:spacing w:after="0"/>
              <w:rPr>
                <w:sz w:val="7"/>
                <w:szCs w:val="7"/>
                <w:color w:val="auto"/>
              </w:rPr>
            </w:pPr>
          </w:p>
        </w:tc>
        <w:tc>
          <w:tcPr>
            <w:tcW w:w="1680" w:type="dxa"/>
            <w:vAlign w:val="bottom"/>
            <w:vMerge w:val="restart"/>
          </w:tcPr>
          <w:p>
            <w:pPr>
              <w:jc w:val="right"/>
              <w:ind w:right="533"/>
              <w:spacing w:after="0"/>
              <w:rPr>
                <w:sz w:val="20"/>
                <w:szCs w:val="20"/>
                <w:color w:val="auto"/>
              </w:rPr>
            </w:pPr>
            <w:r>
              <w:rPr>
                <w:rFonts w:ascii="Arial" w:cs="Arial" w:eastAsia="Arial" w:hAnsi="Arial"/>
                <w:sz w:val="13"/>
                <w:szCs w:val="13"/>
                <w:b w:val="1"/>
                <w:bCs w:val="1"/>
                <w:color w:val="auto"/>
              </w:rPr>
              <w:t>Goodwill</w:t>
            </w:r>
          </w:p>
        </w:tc>
        <w:tc>
          <w:tcPr>
            <w:tcW w:w="20" w:type="dxa"/>
            <w:vAlign w:val="bottom"/>
          </w:tcPr>
          <w:p>
            <w:pPr>
              <w:spacing w:after="0"/>
              <w:rPr>
                <w:sz w:val="7"/>
                <w:szCs w:val="7"/>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Concessions, licenses and</w:t>
            </w:r>
          </w:p>
        </w:tc>
        <w:tc>
          <w:tcPr>
            <w:tcW w:w="20" w:type="dxa"/>
            <w:vAlign w:val="bottom"/>
          </w:tcPr>
          <w:p>
            <w:pPr>
              <w:spacing w:after="0"/>
              <w:rPr>
                <w:sz w:val="7"/>
                <w:szCs w:val="7"/>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Advance payments</w:t>
            </w:r>
          </w:p>
        </w:tc>
        <w:tc>
          <w:tcPr>
            <w:tcW w:w="20" w:type="dxa"/>
            <w:vAlign w:val="bottom"/>
          </w:tcPr>
          <w:p>
            <w:pPr>
              <w:spacing w:after="0"/>
              <w:rPr>
                <w:sz w:val="7"/>
                <w:szCs w:val="7"/>
                <w:color w:val="auto"/>
              </w:rPr>
            </w:pPr>
          </w:p>
        </w:tc>
        <w:tc>
          <w:tcPr>
            <w:tcW w:w="1660" w:type="dxa"/>
            <w:vAlign w:val="bottom"/>
            <w:vMerge w:val="restart"/>
          </w:tcPr>
          <w:p>
            <w:pPr>
              <w:jc w:val="right"/>
              <w:ind w:right="6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520" w:type="dxa"/>
            <w:vAlign w:val="bottom"/>
            <w:gridSpan w:val="2"/>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Acquisition costs</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similar rights</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70AD47"/>
            </w:tcBorders>
            <w:gridSpan w:val="2"/>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Borders>
              <w:bottom w:val="single" w:sz="8" w:color="70AD47"/>
            </w:tcBorders>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Borders>
              <w:bottom w:val="single" w:sz="8" w:color="70AD47"/>
            </w:tcBorders>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Borders>
              <w:bottom w:val="single" w:sz="8" w:color="70AD47"/>
            </w:tcBorders>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Borders>
              <w:bottom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As of January 1, 2018</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€534</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€85,271</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€3,565</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€89,370</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Additions</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12,150</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3,128</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15,278</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Disposals</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(765)</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170"/>
        </w:trPr>
        <w:tc>
          <w:tcPr>
            <w:tcW w:w="160" w:type="dxa"/>
            <w:vAlign w:val="bottom"/>
            <w:tcBorders>
              <w:bottom w:val="single" w:sz="8" w:color="70AD47"/>
            </w:tcBorders>
          </w:tcPr>
          <w:p>
            <w:pPr>
              <w:spacing w:after="0"/>
              <w:rPr>
                <w:sz w:val="14"/>
                <w:szCs w:val="14"/>
                <w:color w:val="auto"/>
              </w:rPr>
            </w:pPr>
          </w:p>
        </w:tc>
        <w:tc>
          <w:tcPr>
            <w:tcW w:w="4360" w:type="dxa"/>
            <w:vAlign w:val="bottom"/>
            <w:tcBorders>
              <w:bottom w:val="single" w:sz="8" w:color="70AD47"/>
            </w:tcBorders>
          </w:tcPr>
          <w:p>
            <w:pPr>
              <w:ind w:left="20"/>
              <w:spacing w:after="0"/>
              <w:rPr>
                <w:sz w:val="20"/>
                <w:szCs w:val="20"/>
                <w:color w:val="auto"/>
              </w:rPr>
            </w:pPr>
            <w:r>
              <w:rPr>
                <w:rFonts w:ascii="Arial" w:cs="Arial" w:eastAsia="Arial" w:hAnsi="Arial"/>
                <w:sz w:val="13"/>
                <w:szCs w:val="13"/>
                <w:color w:val="auto"/>
              </w:rPr>
              <w:t>Reclassifications</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4,431</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(4,431)</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b w:val="1"/>
                <w:bCs w:val="1"/>
                <w:color w:val="auto"/>
              </w:rPr>
              <w:t>As of December 31, 2018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€534</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€101,853</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€1,497</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€103,883</w:t>
            </w:r>
          </w:p>
        </w:tc>
        <w:tc>
          <w:tcPr>
            <w:tcW w:w="0" w:type="dxa"/>
            <w:vAlign w:val="bottom"/>
          </w:tcPr>
          <w:p>
            <w:pPr>
              <w:spacing w:after="0"/>
              <w:rPr>
                <w:sz w:val="1"/>
                <w:szCs w:val="1"/>
                <w:color w:val="auto"/>
              </w:rPr>
            </w:pPr>
          </w:p>
        </w:tc>
      </w:tr>
      <w:tr>
        <w:trPr>
          <w:trHeight w:val="160"/>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As of January 1, 2019</w:t>
            </w:r>
          </w:p>
        </w:tc>
        <w:tc>
          <w:tcPr>
            <w:tcW w:w="20" w:type="dxa"/>
            <w:vAlign w:val="bottom"/>
            <w:shd w:val="clear" w:color="auto" w:fill="70AD47"/>
          </w:tcPr>
          <w:p>
            <w:pPr>
              <w:spacing w:after="0"/>
              <w:rPr>
                <w:sz w:val="13"/>
                <w:szCs w:val="13"/>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€534</w:t>
            </w:r>
          </w:p>
        </w:tc>
        <w:tc>
          <w:tcPr>
            <w:tcW w:w="20" w:type="dxa"/>
            <w:vAlign w:val="bottom"/>
            <w:shd w:val="clear" w:color="auto" w:fill="70AD47"/>
          </w:tcPr>
          <w:p>
            <w:pPr>
              <w:spacing w:after="0"/>
              <w:rPr>
                <w:sz w:val="13"/>
                <w:szCs w:val="13"/>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€101,853</w:t>
            </w:r>
          </w:p>
        </w:tc>
        <w:tc>
          <w:tcPr>
            <w:tcW w:w="20" w:type="dxa"/>
            <w:vAlign w:val="bottom"/>
            <w:shd w:val="clear" w:color="auto" w:fill="70AD47"/>
          </w:tcPr>
          <w:p>
            <w:pPr>
              <w:spacing w:after="0"/>
              <w:rPr>
                <w:sz w:val="13"/>
                <w:szCs w:val="13"/>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€1,497</w:t>
            </w:r>
          </w:p>
        </w:tc>
        <w:tc>
          <w:tcPr>
            <w:tcW w:w="20" w:type="dxa"/>
            <w:vAlign w:val="bottom"/>
            <w:shd w:val="clear" w:color="auto" w:fill="70AD47"/>
          </w:tcPr>
          <w:p>
            <w:pPr>
              <w:spacing w:after="0"/>
              <w:rPr>
                <w:sz w:val="13"/>
                <w:szCs w:val="13"/>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€103,883</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Additions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11,744</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1,529</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13,273</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Disposals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(133)</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(477)</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Reclassifications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146</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(146)</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Currency differences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160" w:type="dxa"/>
            <w:vAlign w:val="bottom"/>
            <w:tcBorders>
              <w:bottom w:val="single" w:sz="8" w:color="70AD47"/>
            </w:tcBorders>
          </w:tcPr>
          <w:p>
            <w:pPr>
              <w:spacing w:after="0"/>
              <w:rPr>
                <w:sz w:val="14"/>
                <w:szCs w:val="14"/>
                <w:color w:val="auto"/>
              </w:rPr>
            </w:pPr>
          </w:p>
        </w:tc>
        <w:tc>
          <w:tcPr>
            <w:tcW w:w="4360" w:type="dxa"/>
            <w:vAlign w:val="bottom"/>
            <w:tcBorders>
              <w:bottom w:val="single" w:sz="8" w:color="70AD47"/>
            </w:tcBorders>
          </w:tcPr>
          <w:p>
            <w:pPr>
              <w:ind w:left="20"/>
              <w:spacing w:after="0"/>
              <w:rPr>
                <w:sz w:val="20"/>
                <w:szCs w:val="20"/>
                <w:color w:val="auto"/>
              </w:rPr>
            </w:pPr>
            <w:r>
              <w:rPr>
                <w:rFonts w:ascii="Arial" w:cs="Arial" w:eastAsia="Arial" w:hAnsi="Arial"/>
                <w:sz w:val="13"/>
                <w:szCs w:val="13"/>
                <w:color w:val="auto"/>
              </w:rPr>
              <w:t>Acquisition of subsidiaries and businesses, net of cash acquired</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2,444</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2,726</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5,170</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b w:val="1"/>
                <w:bCs w:val="1"/>
                <w:color w:val="auto"/>
              </w:rPr>
              <w:t>As of December 31, 2019</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€2,978</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€116,313</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€2,403</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€121,693</w:t>
            </w:r>
          </w:p>
        </w:tc>
        <w:tc>
          <w:tcPr>
            <w:tcW w:w="0" w:type="dxa"/>
            <w:vAlign w:val="bottom"/>
          </w:tcPr>
          <w:p>
            <w:pPr>
              <w:spacing w:after="0"/>
              <w:rPr>
                <w:sz w:val="1"/>
                <w:szCs w:val="1"/>
                <w:color w:val="auto"/>
              </w:rPr>
            </w:pPr>
          </w:p>
        </w:tc>
      </w:tr>
      <w:tr>
        <w:trPr>
          <w:trHeight w:val="150"/>
        </w:trPr>
        <w:tc>
          <w:tcPr>
            <w:tcW w:w="452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Pr>
          <w:p>
            <w:pPr>
              <w:spacing w:after="0"/>
              <w:rPr>
                <w:sz w:val="13"/>
                <w:szCs w:val="13"/>
                <w:color w:val="auto"/>
              </w:rPr>
            </w:pPr>
          </w:p>
        </w:tc>
        <w:tc>
          <w:tcPr>
            <w:tcW w:w="1680" w:type="dxa"/>
            <w:vAlign w:val="bottom"/>
            <w:vMerge w:val="restart"/>
          </w:tcPr>
          <w:p>
            <w:pPr>
              <w:jc w:val="right"/>
              <w:ind w:right="533"/>
              <w:spacing w:after="0"/>
              <w:rPr>
                <w:sz w:val="20"/>
                <w:szCs w:val="20"/>
                <w:color w:val="auto"/>
              </w:rPr>
            </w:pPr>
            <w:r>
              <w:rPr>
                <w:rFonts w:ascii="Arial" w:cs="Arial" w:eastAsia="Arial" w:hAnsi="Arial"/>
                <w:sz w:val="13"/>
                <w:szCs w:val="13"/>
                <w:b w:val="1"/>
                <w:bCs w:val="1"/>
                <w:color w:val="auto"/>
              </w:rPr>
              <w:t>Goodwill</w:t>
            </w:r>
          </w:p>
        </w:tc>
        <w:tc>
          <w:tcPr>
            <w:tcW w:w="20" w:type="dxa"/>
            <w:vAlign w:val="bottom"/>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Concessions, licenses and</w:t>
            </w:r>
          </w:p>
        </w:tc>
        <w:tc>
          <w:tcPr>
            <w:tcW w:w="2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Advance payments</w:t>
            </w:r>
          </w:p>
        </w:tc>
        <w:tc>
          <w:tcPr>
            <w:tcW w:w="20" w:type="dxa"/>
            <w:vAlign w:val="bottom"/>
          </w:tcPr>
          <w:p>
            <w:pPr>
              <w:spacing w:after="0"/>
              <w:rPr>
                <w:sz w:val="13"/>
                <w:szCs w:val="13"/>
                <w:color w:val="auto"/>
              </w:rPr>
            </w:pPr>
          </w:p>
        </w:tc>
        <w:tc>
          <w:tcPr>
            <w:tcW w:w="1660" w:type="dxa"/>
            <w:vAlign w:val="bottom"/>
            <w:vMerge w:val="restart"/>
          </w:tcPr>
          <w:p>
            <w:pPr>
              <w:jc w:val="right"/>
              <w:ind w:right="6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520" w:type="dxa"/>
            <w:vAlign w:val="bottom"/>
            <w:gridSpan w:val="2"/>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Cumulative depreciation and impairment charges</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similar rights</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70AD47"/>
            </w:tcBorders>
            <w:gridSpan w:val="2"/>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Borders>
              <w:bottom w:val="single" w:sz="8" w:color="70AD47"/>
            </w:tcBorders>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Borders>
              <w:bottom w:val="single" w:sz="8" w:color="70AD47"/>
            </w:tcBorders>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Borders>
              <w:bottom w:val="single" w:sz="8" w:color="70AD47"/>
            </w:tcBorders>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Borders>
              <w:bottom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As of January 1, 2018</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€5,833</w:t>
            </w:r>
          </w:p>
        </w:tc>
        <w:tc>
          <w:tcPr>
            <w:tcW w:w="20" w:type="dxa"/>
            <w:vAlign w:val="bottom"/>
            <w:shd w:val="clear" w:color="auto" w:fill="70AD47"/>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70AD47"/>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€5,833</w:t>
            </w:r>
          </w:p>
        </w:tc>
        <w:tc>
          <w:tcPr>
            <w:tcW w:w="0" w:type="dxa"/>
            <w:vAlign w:val="bottom"/>
          </w:tcPr>
          <w:p>
            <w:pPr>
              <w:spacing w:after="0"/>
              <w:rPr>
                <w:sz w:val="1"/>
                <w:szCs w:val="1"/>
                <w:color w:val="auto"/>
              </w:rPr>
            </w:pPr>
          </w:p>
        </w:tc>
      </w:tr>
      <w:tr>
        <w:trPr>
          <w:trHeight w:val="169"/>
        </w:trPr>
        <w:tc>
          <w:tcPr>
            <w:tcW w:w="160" w:type="dxa"/>
            <w:vAlign w:val="bottom"/>
            <w:tcBorders>
              <w:bottom w:val="single" w:sz="8" w:color="70AD47"/>
            </w:tcBorders>
          </w:tcPr>
          <w:p>
            <w:pPr>
              <w:spacing w:after="0"/>
              <w:rPr>
                <w:sz w:val="14"/>
                <w:szCs w:val="14"/>
                <w:color w:val="auto"/>
              </w:rPr>
            </w:pPr>
          </w:p>
        </w:tc>
        <w:tc>
          <w:tcPr>
            <w:tcW w:w="4360" w:type="dxa"/>
            <w:vAlign w:val="bottom"/>
            <w:tcBorders>
              <w:bottom w:val="single" w:sz="8" w:color="70AD47"/>
            </w:tcBorders>
          </w:tcPr>
          <w:p>
            <w:pPr>
              <w:ind w:left="20"/>
              <w:spacing w:after="0"/>
              <w:rPr>
                <w:sz w:val="20"/>
                <w:szCs w:val="20"/>
                <w:color w:val="auto"/>
              </w:rPr>
            </w:pPr>
            <w:r>
              <w:rPr>
                <w:rFonts w:ascii="Arial" w:cs="Arial" w:eastAsia="Arial" w:hAnsi="Arial"/>
                <w:sz w:val="13"/>
                <w:szCs w:val="13"/>
                <w:color w:val="auto"/>
              </w:rPr>
              <w:t>Depreciation</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10,009</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10,009</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b w:val="1"/>
                <w:bCs w:val="1"/>
                <w:color w:val="auto"/>
              </w:rPr>
              <w:t>As of December 31, 2018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€15,842</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€15,842</w:t>
            </w:r>
          </w:p>
        </w:tc>
        <w:tc>
          <w:tcPr>
            <w:tcW w:w="0" w:type="dxa"/>
            <w:vAlign w:val="bottom"/>
          </w:tcPr>
          <w:p>
            <w:pPr>
              <w:spacing w:after="0"/>
              <w:rPr>
                <w:sz w:val="1"/>
                <w:szCs w:val="1"/>
                <w:color w:val="auto"/>
              </w:rPr>
            </w:pPr>
          </w:p>
        </w:tc>
      </w:tr>
      <w:tr>
        <w:trPr>
          <w:trHeight w:val="160"/>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As of January 1, 2019</w:t>
            </w:r>
          </w:p>
        </w:tc>
        <w:tc>
          <w:tcPr>
            <w:tcW w:w="20" w:type="dxa"/>
            <w:vAlign w:val="bottom"/>
            <w:shd w:val="clear" w:color="auto" w:fill="70AD47"/>
          </w:tcPr>
          <w:p>
            <w:pPr>
              <w:spacing w:after="0"/>
              <w:rPr>
                <w:sz w:val="13"/>
                <w:szCs w:val="13"/>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70AD47"/>
          </w:tcPr>
          <w:p>
            <w:pPr>
              <w:spacing w:after="0"/>
              <w:rPr>
                <w:sz w:val="13"/>
                <w:szCs w:val="13"/>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€15,842</w:t>
            </w:r>
          </w:p>
        </w:tc>
        <w:tc>
          <w:tcPr>
            <w:tcW w:w="20" w:type="dxa"/>
            <w:vAlign w:val="bottom"/>
            <w:shd w:val="clear" w:color="auto" w:fill="70AD47"/>
          </w:tcPr>
          <w:p>
            <w:pPr>
              <w:spacing w:after="0"/>
              <w:rPr>
                <w:sz w:val="13"/>
                <w:szCs w:val="13"/>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70AD47"/>
          </w:tcPr>
          <w:p>
            <w:pPr>
              <w:spacing w:after="0"/>
              <w:rPr>
                <w:sz w:val="13"/>
                <w:szCs w:val="13"/>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€15,842</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16,502</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16,502</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360" w:type="dxa"/>
            <w:vAlign w:val="bottom"/>
          </w:tcPr>
          <w:p>
            <w:pPr>
              <w:ind w:left="20"/>
              <w:spacing w:after="0"/>
              <w:rPr>
                <w:sz w:val="20"/>
                <w:szCs w:val="20"/>
                <w:color w:val="auto"/>
              </w:rPr>
            </w:pPr>
            <w:r>
              <w:rPr>
                <w:rFonts w:ascii="Arial" w:cs="Arial" w:eastAsia="Arial" w:hAnsi="Arial"/>
                <w:sz w:val="13"/>
                <w:szCs w:val="13"/>
                <w:color w:val="auto"/>
              </w:rPr>
              <w:t>Disposals</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(81)</w:t>
            </w:r>
          </w:p>
        </w:tc>
        <w:tc>
          <w:tcPr>
            <w:tcW w:w="20" w:type="dxa"/>
            <w:vAlign w:val="bottom"/>
            <w:shd w:val="clear" w:color="auto" w:fill="70AD47"/>
          </w:tcPr>
          <w:p>
            <w:pPr>
              <w:spacing w:after="0"/>
              <w:rPr>
                <w:sz w:val="14"/>
                <w:szCs w:val="14"/>
                <w:color w:val="auto"/>
              </w:rPr>
            </w:pP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70"/>
        </w:trPr>
        <w:tc>
          <w:tcPr>
            <w:tcW w:w="160" w:type="dxa"/>
            <w:vAlign w:val="bottom"/>
            <w:tcBorders>
              <w:bottom w:val="single" w:sz="8" w:color="70AD47"/>
            </w:tcBorders>
          </w:tcPr>
          <w:p>
            <w:pPr>
              <w:spacing w:after="0"/>
              <w:rPr>
                <w:sz w:val="14"/>
                <w:szCs w:val="14"/>
                <w:color w:val="auto"/>
              </w:rPr>
            </w:pPr>
          </w:p>
        </w:tc>
        <w:tc>
          <w:tcPr>
            <w:tcW w:w="4360" w:type="dxa"/>
            <w:vAlign w:val="bottom"/>
            <w:tcBorders>
              <w:bottom w:val="single" w:sz="8" w:color="70AD47"/>
            </w:tcBorders>
          </w:tcPr>
          <w:p>
            <w:pPr>
              <w:ind w:left="20"/>
              <w:spacing w:after="0"/>
              <w:rPr>
                <w:sz w:val="20"/>
                <w:szCs w:val="20"/>
                <w:color w:val="auto"/>
              </w:rPr>
            </w:pPr>
            <w:r>
              <w:rPr>
                <w:rFonts w:ascii="Arial" w:cs="Arial" w:eastAsia="Arial" w:hAnsi="Arial"/>
                <w:sz w:val="13"/>
                <w:szCs w:val="13"/>
                <w:color w:val="auto"/>
              </w:rPr>
              <w:t>Currency differences</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70AD47"/>
            </w:tcBorders>
            <w:shd w:val="clear" w:color="auto" w:fill="70AD47"/>
          </w:tcPr>
          <w:p>
            <w:pPr>
              <w:spacing w:after="0"/>
              <w:rPr>
                <w:sz w:val="14"/>
                <w:szCs w:val="14"/>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4"/>
                <w:szCs w:val="14"/>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b w:val="1"/>
                <w:bCs w:val="1"/>
                <w:color w:val="auto"/>
              </w:rPr>
              <w:t>As of December 31, 2019</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€32,260</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€32,260</w:t>
            </w:r>
          </w:p>
        </w:tc>
        <w:tc>
          <w:tcPr>
            <w:tcW w:w="0" w:type="dxa"/>
            <w:vAlign w:val="bottom"/>
          </w:tcPr>
          <w:p>
            <w:pPr>
              <w:spacing w:after="0"/>
              <w:rPr>
                <w:sz w:val="1"/>
                <w:szCs w:val="1"/>
                <w:color w:val="auto"/>
              </w:rPr>
            </w:pPr>
          </w:p>
        </w:tc>
      </w:tr>
      <w:tr>
        <w:trPr>
          <w:trHeight w:val="150"/>
        </w:trPr>
        <w:tc>
          <w:tcPr>
            <w:tcW w:w="452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Pr>
          <w:p>
            <w:pPr>
              <w:spacing w:after="0"/>
              <w:rPr>
                <w:sz w:val="13"/>
                <w:szCs w:val="13"/>
                <w:color w:val="auto"/>
              </w:rPr>
            </w:pPr>
          </w:p>
        </w:tc>
        <w:tc>
          <w:tcPr>
            <w:tcW w:w="1680" w:type="dxa"/>
            <w:vAlign w:val="bottom"/>
            <w:vMerge w:val="restart"/>
          </w:tcPr>
          <w:p>
            <w:pPr>
              <w:jc w:val="right"/>
              <w:ind w:right="533"/>
              <w:spacing w:after="0"/>
              <w:rPr>
                <w:sz w:val="20"/>
                <w:szCs w:val="20"/>
                <w:color w:val="auto"/>
              </w:rPr>
            </w:pPr>
            <w:r>
              <w:rPr>
                <w:rFonts w:ascii="Arial" w:cs="Arial" w:eastAsia="Arial" w:hAnsi="Arial"/>
                <w:sz w:val="13"/>
                <w:szCs w:val="13"/>
                <w:b w:val="1"/>
                <w:bCs w:val="1"/>
                <w:color w:val="auto"/>
              </w:rPr>
              <w:t>Goodwill</w:t>
            </w:r>
          </w:p>
        </w:tc>
        <w:tc>
          <w:tcPr>
            <w:tcW w:w="20" w:type="dxa"/>
            <w:vAlign w:val="bottom"/>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Concessions, licenses and</w:t>
            </w:r>
          </w:p>
        </w:tc>
        <w:tc>
          <w:tcPr>
            <w:tcW w:w="2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Advance payments</w:t>
            </w:r>
          </w:p>
        </w:tc>
        <w:tc>
          <w:tcPr>
            <w:tcW w:w="20" w:type="dxa"/>
            <w:vAlign w:val="bottom"/>
          </w:tcPr>
          <w:p>
            <w:pPr>
              <w:spacing w:after="0"/>
              <w:rPr>
                <w:sz w:val="13"/>
                <w:szCs w:val="13"/>
                <w:color w:val="auto"/>
              </w:rPr>
            </w:pPr>
          </w:p>
        </w:tc>
        <w:tc>
          <w:tcPr>
            <w:tcW w:w="1660" w:type="dxa"/>
            <w:vAlign w:val="bottom"/>
            <w:vMerge w:val="restart"/>
          </w:tcPr>
          <w:p>
            <w:pPr>
              <w:jc w:val="right"/>
              <w:ind w:right="6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520" w:type="dxa"/>
            <w:vAlign w:val="bottom"/>
            <w:gridSpan w:val="2"/>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Carrying amount</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similar rights</w:t>
            </w:r>
          </w:p>
        </w:tc>
        <w:tc>
          <w:tcPr>
            <w:tcW w:w="20" w:type="dxa"/>
            <w:vAlign w:val="bottom"/>
            <w:shd w:val="clear" w:color="auto" w:fill="70AD47"/>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70AD47"/>
            </w:tcBorders>
            <w:gridSpan w:val="2"/>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vMerge w:val="continue"/>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color w:val="auto"/>
              </w:rPr>
              <w:t>As of January 1, 2018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€534</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€79,438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€3,565</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€83,537</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color w:val="auto"/>
              </w:rPr>
              <w:t>As of December 31, 2018</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€534</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€86,011</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€1,497</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€88,042</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70AD47"/>
            </w:tcBorders>
            <w:gridSpan w:val="2"/>
          </w:tcPr>
          <w:p>
            <w:pPr>
              <w:ind w:left="100"/>
              <w:spacing w:after="0"/>
              <w:rPr>
                <w:sz w:val="20"/>
                <w:szCs w:val="20"/>
                <w:color w:val="auto"/>
              </w:rPr>
            </w:pPr>
            <w:r>
              <w:rPr>
                <w:rFonts w:ascii="Arial" w:cs="Arial" w:eastAsia="Arial" w:hAnsi="Arial"/>
                <w:sz w:val="13"/>
                <w:szCs w:val="13"/>
                <w:b w:val="1"/>
                <w:bCs w:val="1"/>
                <w:color w:val="auto"/>
              </w:rPr>
              <w:t>As of December 31, 2019</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€2,978</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€84,053</w:t>
            </w:r>
          </w:p>
        </w:tc>
        <w:tc>
          <w:tcPr>
            <w:tcW w:w="20" w:type="dxa"/>
            <w:vAlign w:val="bottom"/>
            <w:tcBorders>
              <w:bottom w:val="single" w:sz="8" w:color="70AD47"/>
            </w:tcBorders>
            <w:shd w:val="clear" w:color="auto" w:fill="70AD47"/>
          </w:tcPr>
          <w:p>
            <w:pPr>
              <w:spacing w:after="0"/>
              <w:rPr>
                <w:sz w:val="13"/>
                <w:szCs w:val="13"/>
                <w:color w:val="auto"/>
              </w:rPr>
            </w:pPr>
          </w:p>
        </w:tc>
        <w:tc>
          <w:tcPr>
            <w:tcW w:w="16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€2,403</w:t>
            </w:r>
          </w:p>
        </w:tc>
        <w:tc>
          <w:tcPr>
            <w:tcW w:w="20" w:type="dxa"/>
            <w:vAlign w:val="bottom"/>
            <w:tcBorders>
              <w:bottom w:val="single" w:sz="8" w:color="70AD47"/>
            </w:tcBorders>
            <w:shd w:val="clear" w:color="auto" w:fill="70AD47"/>
          </w:tcPr>
          <w:p>
            <w:pPr>
              <w:spacing w:after="0"/>
              <w:rPr>
                <w:sz w:val="13"/>
                <w:szCs w:val="13"/>
                <w:color w:val="auto"/>
              </w:rPr>
            </w:pP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€89,434</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Contractual Commitments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Contractual commitments for the acquisition of intangible assets amounts to Nil as of December 31, 2019 (as of December 31, 2018: k€19,482).</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Goodwill</w:t>
      </w:r>
    </w:p>
    <w:p>
      <w:pPr>
        <w:spacing w:after="0" w:line="94" w:lineRule="exact"/>
        <w:rPr>
          <w:sz w:val="20"/>
          <w:szCs w:val="20"/>
          <w:color w:val="auto"/>
        </w:rPr>
      </w:pPr>
    </w:p>
    <w:p>
      <w:pPr>
        <w:ind w:left="5520" w:right="1300" w:hanging="4961"/>
        <w:spacing w:after="0" w:line="544" w:lineRule="auto"/>
        <w:rPr>
          <w:sz w:val="20"/>
          <w:szCs w:val="20"/>
          <w:color w:val="auto"/>
        </w:rPr>
      </w:pPr>
      <w:r>
        <w:rPr>
          <w:rFonts w:ascii="Arial" w:cs="Arial" w:eastAsia="Arial" w:hAnsi="Arial"/>
          <w:sz w:val="13"/>
          <w:szCs w:val="13"/>
          <w:color w:val="auto"/>
        </w:rPr>
        <w:t>For impairment testing, goodwill acquired through business combinations and intangible assets not yet in use have been allocated to the respective cash-generating units (CGU).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80580" cy="127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95" w:name="page296"/>
    <w:bookmarkEnd w:id="295"/>
    <w:p>
      <w:pPr>
        <w:ind w:left="560"/>
        <w:spacing w:after="0"/>
        <w:rPr>
          <w:sz w:val="20"/>
          <w:szCs w:val="20"/>
          <w:color w:val="auto"/>
        </w:rPr>
      </w:pPr>
      <w:r>
        <w:rPr>
          <w:rFonts w:ascii="Arial" w:cs="Arial" w:eastAsia="Arial" w:hAnsi="Arial"/>
          <w:sz w:val="13"/>
          <w:szCs w:val="13"/>
          <w:color w:val="auto"/>
        </w:rPr>
        <w:t>The goodwill acquired in the respective business combinations for the dates indicated is presented in the following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80" w:type="dxa"/>
            <w:vAlign w:val="bottom"/>
          </w:tcPr>
          <w:p>
            <w:pPr>
              <w:spacing w:after="0"/>
              <w:rPr>
                <w:sz w:val="13"/>
                <w:szCs w:val="13"/>
                <w:color w:val="auto"/>
              </w:rPr>
            </w:pPr>
          </w:p>
        </w:tc>
        <w:tc>
          <w:tcPr>
            <w:tcW w:w="2360" w:type="dxa"/>
            <w:vAlign w:val="bottom"/>
            <w:tcBorders>
              <w:bottom w:val="single" w:sz="8" w:color="70AD47"/>
            </w:tcBorders>
            <w:gridSpan w:val="2"/>
          </w:tcPr>
          <w:p>
            <w:pPr>
              <w:jc w:val="right"/>
              <w:ind w:right="720"/>
              <w:spacing w:after="0"/>
              <w:rPr>
                <w:sz w:val="20"/>
                <w:szCs w:val="20"/>
                <w:color w:val="auto"/>
              </w:rPr>
            </w:pPr>
            <w:r>
              <w:rPr>
                <w:rFonts w:ascii="Arial" w:cs="Arial" w:eastAsia="Arial" w:hAnsi="Arial"/>
                <w:sz w:val="12"/>
                <w:szCs w:val="12"/>
                <w:b w:val="1"/>
                <w:bCs w:val="1"/>
                <w:color w:val="auto"/>
              </w:rPr>
              <w:t>MAB Discovery</w:t>
            </w:r>
          </w:p>
        </w:tc>
        <w:tc>
          <w:tcPr>
            <w:tcW w:w="2440" w:type="dxa"/>
            <w:vAlign w:val="bottom"/>
            <w:tcBorders>
              <w:bottom w:val="single" w:sz="8" w:color="70AD47"/>
            </w:tcBorders>
            <w:gridSpan w:val="2"/>
          </w:tcPr>
          <w:p>
            <w:pPr>
              <w:jc w:val="right"/>
              <w:ind w:right="520"/>
              <w:spacing w:after="0"/>
              <w:rPr>
                <w:sz w:val="20"/>
                <w:szCs w:val="20"/>
                <w:color w:val="auto"/>
              </w:rPr>
            </w:pPr>
            <w:r>
              <w:rPr>
                <w:rFonts w:ascii="Arial" w:cs="Arial" w:eastAsia="Arial" w:hAnsi="Arial"/>
                <w:sz w:val="12"/>
                <w:szCs w:val="12"/>
                <w:b w:val="1"/>
                <w:bCs w:val="1"/>
                <w:color w:val="auto"/>
              </w:rPr>
              <w:t>JPT Peptide Technologies</w:t>
            </w:r>
          </w:p>
        </w:tc>
        <w:tc>
          <w:tcPr>
            <w:tcW w:w="2440" w:type="dxa"/>
            <w:vAlign w:val="bottom"/>
            <w:tcBorders>
              <w:bottom w:val="single" w:sz="8" w:color="70AD47"/>
            </w:tcBorders>
            <w:gridSpan w:val="2"/>
          </w:tcPr>
          <w:p>
            <w:pPr>
              <w:jc w:val="right"/>
              <w:ind w:right="920"/>
              <w:spacing w:after="0"/>
              <w:rPr>
                <w:sz w:val="20"/>
                <w:szCs w:val="20"/>
                <w:color w:val="auto"/>
              </w:rPr>
            </w:pPr>
            <w:r>
              <w:rPr>
                <w:rFonts w:ascii="Arial" w:cs="Arial" w:eastAsia="Arial" w:hAnsi="Arial"/>
                <w:sz w:val="12"/>
                <w:szCs w:val="12"/>
                <w:b w:val="1"/>
                <w:bCs w:val="1"/>
                <w:color w:val="auto"/>
              </w:rPr>
              <w:t>reBOOST</w:t>
            </w:r>
          </w:p>
        </w:tc>
        <w:tc>
          <w:tcPr>
            <w:tcW w:w="2580" w:type="dxa"/>
            <w:vAlign w:val="bottom"/>
            <w:tcBorders>
              <w:bottom w:val="single" w:sz="8" w:color="70AD47"/>
            </w:tcBorders>
            <w:gridSpan w:val="2"/>
          </w:tcPr>
          <w:p>
            <w:pPr>
              <w:jc w:val="right"/>
              <w:ind w:right="11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2"/>
        </w:trPr>
        <w:tc>
          <w:tcPr>
            <w:tcW w:w="1480" w:type="dxa"/>
            <w:vAlign w:val="bottom"/>
            <w:tcBorders>
              <w:right w:val="single" w:sz="8" w:color="70AD47"/>
            </w:tcBorders>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As of December 31,</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2"/>
                <w:szCs w:val="12"/>
                <w:color w:val="auto"/>
              </w:rPr>
              <w:t>As of December 31,</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As of December 31,</w:t>
            </w:r>
          </w:p>
        </w:tc>
        <w:tc>
          <w:tcPr>
            <w:tcW w:w="1280" w:type="dxa"/>
            <w:vAlign w:val="bottom"/>
            <w:tcBorders>
              <w:right w:val="single" w:sz="8" w:color="70AD47"/>
            </w:tcBorders>
          </w:tcPr>
          <w:p>
            <w:pPr>
              <w:jc w:val="right"/>
              <w:spacing w:after="0"/>
              <w:rPr>
                <w:sz w:val="20"/>
                <w:szCs w:val="20"/>
                <w:color w:val="auto"/>
              </w:rPr>
            </w:pPr>
            <w:r>
              <w:rPr>
                <w:rFonts w:ascii="Arial" w:cs="Arial" w:eastAsia="Arial" w:hAnsi="Arial"/>
                <w:sz w:val="12"/>
                <w:szCs w:val="12"/>
                <w:color w:val="auto"/>
                <w:w w:val="89"/>
              </w:rPr>
              <w:t>As of December 31, 2018</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As of December 31,</w:t>
            </w:r>
          </w:p>
        </w:tc>
        <w:tc>
          <w:tcPr>
            <w:tcW w:w="1240" w:type="dxa"/>
            <w:vAlign w:val="bottom"/>
            <w:tcBorders>
              <w:right w:val="single" w:sz="8" w:color="70AD47"/>
            </w:tcBorders>
          </w:tcPr>
          <w:p>
            <w:pPr>
              <w:jc w:val="right"/>
              <w:spacing w:after="0"/>
              <w:rPr>
                <w:sz w:val="20"/>
                <w:szCs w:val="20"/>
                <w:color w:val="auto"/>
              </w:rPr>
            </w:pPr>
            <w:r>
              <w:rPr>
                <w:rFonts w:ascii="Arial" w:cs="Arial" w:eastAsia="Arial" w:hAnsi="Arial"/>
                <w:sz w:val="12"/>
                <w:szCs w:val="12"/>
                <w:color w:val="auto"/>
              </w:rPr>
              <w:t>As of December 31,</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2"/>
                <w:szCs w:val="12"/>
                <w:b w:val="1"/>
                <w:bCs w:val="1"/>
                <w:color w:val="auto"/>
                <w:w w:val="89"/>
              </w:rPr>
              <w:t>As of December 31, 2019</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w w:val="89"/>
              </w:rPr>
              <w:t>As of December 31, 2018</w:t>
            </w:r>
          </w:p>
        </w:tc>
        <w:tc>
          <w:tcPr>
            <w:tcW w:w="0" w:type="dxa"/>
            <w:vAlign w:val="bottom"/>
          </w:tcPr>
          <w:p>
            <w:pPr>
              <w:spacing w:after="0"/>
              <w:rPr>
                <w:sz w:val="1"/>
                <w:szCs w:val="1"/>
                <w:color w:val="auto"/>
              </w:rPr>
            </w:pPr>
          </w:p>
        </w:tc>
      </w:tr>
      <w:tr>
        <w:trPr>
          <w:trHeight w:val="120"/>
        </w:trPr>
        <w:tc>
          <w:tcPr>
            <w:tcW w:w="1480" w:type="dxa"/>
            <w:vAlign w:val="bottom"/>
            <w:tcBorders>
              <w:bottom w:val="single" w:sz="8" w:color="70AD47"/>
              <w:right w:val="single" w:sz="8" w:color="70AD47"/>
            </w:tcBorders>
            <w:vMerge w:val="continue"/>
          </w:tcPr>
          <w:p>
            <w:pPr>
              <w:spacing w:after="0"/>
              <w:rPr>
                <w:sz w:val="10"/>
                <w:szCs w:val="10"/>
                <w:color w:val="auto"/>
              </w:rPr>
            </w:pPr>
          </w:p>
        </w:tc>
        <w:tc>
          <w:tcPr>
            <w:tcW w:w="1200" w:type="dxa"/>
            <w:vAlign w:val="bottom"/>
            <w:tcBorders>
              <w:bottom w:val="single" w:sz="8" w:color="70AD47"/>
              <w:right w:val="single" w:sz="8" w:color="70AD47"/>
            </w:tcBorders>
            <w:shd w:val="clear" w:color="auto" w:fill="C6E0B4"/>
          </w:tcPr>
          <w:p>
            <w:pPr>
              <w:jc w:val="right"/>
              <w:spacing w:after="0" w:line="120" w:lineRule="exact"/>
              <w:rPr>
                <w:sz w:val="20"/>
                <w:szCs w:val="20"/>
                <w:color w:val="auto"/>
              </w:rPr>
            </w:pPr>
            <w:r>
              <w:rPr>
                <w:rFonts w:ascii="Arial" w:cs="Arial" w:eastAsia="Arial" w:hAnsi="Arial"/>
                <w:sz w:val="12"/>
                <w:szCs w:val="12"/>
                <w:color w:val="auto"/>
              </w:rPr>
              <w:t>2019</w:t>
            </w:r>
          </w:p>
        </w:tc>
        <w:tc>
          <w:tcPr>
            <w:tcW w:w="1160" w:type="dxa"/>
            <w:vAlign w:val="bottom"/>
            <w:tcBorders>
              <w:bottom w:val="single" w:sz="8" w:color="70AD47"/>
              <w:right w:val="single" w:sz="8" w:color="70AD47"/>
            </w:tcBorders>
          </w:tcPr>
          <w:p>
            <w:pPr>
              <w:jc w:val="right"/>
              <w:spacing w:after="0" w:line="120" w:lineRule="exact"/>
              <w:rPr>
                <w:sz w:val="20"/>
                <w:szCs w:val="20"/>
                <w:color w:val="auto"/>
              </w:rPr>
            </w:pPr>
            <w:r>
              <w:rPr>
                <w:rFonts w:ascii="Arial" w:cs="Arial" w:eastAsia="Arial" w:hAnsi="Arial"/>
                <w:sz w:val="12"/>
                <w:szCs w:val="12"/>
                <w:color w:val="auto"/>
              </w:rPr>
              <w:t>2018</w:t>
            </w:r>
          </w:p>
        </w:tc>
        <w:tc>
          <w:tcPr>
            <w:tcW w:w="1160" w:type="dxa"/>
            <w:vAlign w:val="bottom"/>
            <w:tcBorders>
              <w:bottom w:val="single" w:sz="8" w:color="70AD47"/>
              <w:right w:val="single" w:sz="8" w:color="70AD47"/>
            </w:tcBorders>
            <w:shd w:val="clear" w:color="auto" w:fill="C6E0B4"/>
          </w:tcPr>
          <w:p>
            <w:pPr>
              <w:jc w:val="right"/>
              <w:spacing w:after="0" w:line="120" w:lineRule="exact"/>
              <w:rPr>
                <w:sz w:val="20"/>
                <w:szCs w:val="20"/>
                <w:color w:val="auto"/>
              </w:rPr>
            </w:pPr>
            <w:r>
              <w:rPr>
                <w:rFonts w:ascii="Arial" w:cs="Arial" w:eastAsia="Arial" w:hAnsi="Arial"/>
                <w:sz w:val="12"/>
                <w:szCs w:val="12"/>
                <w:color w:val="auto"/>
              </w:rPr>
              <w:t>2019</w:t>
            </w:r>
          </w:p>
        </w:tc>
        <w:tc>
          <w:tcPr>
            <w:tcW w:w="1280" w:type="dxa"/>
            <w:vAlign w:val="bottom"/>
            <w:tcBorders>
              <w:bottom w:val="single" w:sz="8" w:color="70AD47"/>
              <w:right w:val="single" w:sz="8" w:color="70AD47"/>
            </w:tcBorders>
          </w:tcPr>
          <w:p>
            <w:pPr>
              <w:spacing w:after="0"/>
              <w:rPr>
                <w:sz w:val="10"/>
                <w:szCs w:val="10"/>
                <w:color w:val="auto"/>
              </w:rPr>
            </w:pPr>
          </w:p>
        </w:tc>
        <w:tc>
          <w:tcPr>
            <w:tcW w:w="1200" w:type="dxa"/>
            <w:vAlign w:val="bottom"/>
            <w:tcBorders>
              <w:bottom w:val="single" w:sz="8" w:color="70AD47"/>
              <w:right w:val="single" w:sz="8" w:color="70AD47"/>
            </w:tcBorders>
            <w:shd w:val="clear" w:color="auto" w:fill="C6E0B4"/>
          </w:tcPr>
          <w:p>
            <w:pPr>
              <w:jc w:val="right"/>
              <w:spacing w:after="0" w:line="120" w:lineRule="exact"/>
              <w:rPr>
                <w:sz w:val="20"/>
                <w:szCs w:val="20"/>
                <w:color w:val="auto"/>
              </w:rPr>
            </w:pPr>
            <w:r>
              <w:rPr>
                <w:rFonts w:ascii="Arial" w:cs="Arial" w:eastAsia="Arial" w:hAnsi="Arial"/>
                <w:sz w:val="12"/>
                <w:szCs w:val="12"/>
                <w:color w:val="auto"/>
              </w:rPr>
              <w:t>2019</w:t>
            </w:r>
          </w:p>
        </w:tc>
        <w:tc>
          <w:tcPr>
            <w:tcW w:w="1240" w:type="dxa"/>
            <w:vAlign w:val="bottom"/>
            <w:tcBorders>
              <w:bottom w:val="single" w:sz="8" w:color="70AD47"/>
              <w:right w:val="single" w:sz="8" w:color="70AD47"/>
            </w:tcBorders>
          </w:tcPr>
          <w:p>
            <w:pPr>
              <w:jc w:val="right"/>
              <w:spacing w:after="0" w:line="120" w:lineRule="exact"/>
              <w:rPr>
                <w:sz w:val="20"/>
                <w:szCs w:val="20"/>
                <w:color w:val="auto"/>
              </w:rPr>
            </w:pPr>
            <w:r>
              <w:rPr>
                <w:rFonts w:ascii="Arial" w:cs="Arial" w:eastAsia="Arial" w:hAnsi="Arial"/>
                <w:sz w:val="12"/>
                <w:szCs w:val="12"/>
                <w:color w:val="auto"/>
              </w:rPr>
              <w:t>2018</w:t>
            </w:r>
          </w:p>
        </w:tc>
        <w:tc>
          <w:tcPr>
            <w:tcW w:w="1300" w:type="dxa"/>
            <w:vAlign w:val="bottom"/>
            <w:tcBorders>
              <w:bottom w:val="single" w:sz="8" w:color="70AD47"/>
              <w:right w:val="single" w:sz="8" w:color="70AD47"/>
            </w:tcBorders>
            <w:shd w:val="clear" w:color="auto" w:fill="C6E0B4"/>
          </w:tcPr>
          <w:p>
            <w:pPr>
              <w:spacing w:after="0"/>
              <w:rPr>
                <w:sz w:val="10"/>
                <w:szCs w:val="10"/>
                <w:color w:val="auto"/>
              </w:rPr>
            </w:pPr>
          </w:p>
        </w:tc>
        <w:tc>
          <w:tcPr>
            <w:tcW w:w="1280" w:type="dxa"/>
            <w:vAlign w:val="bottom"/>
            <w:tcBorders>
              <w:bottom w:val="single" w:sz="8" w:color="70AD47"/>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480" w:type="dxa"/>
            <w:vAlign w:val="bottom"/>
            <w:tcBorders>
              <w:right w:val="single" w:sz="8" w:color="70AD47"/>
            </w:tcBorders>
          </w:tcPr>
          <w:p>
            <w:pPr>
              <w:spacing w:after="0"/>
              <w:rPr>
                <w:sz w:val="20"/>
                <w:szCs w:val="20"/>
                <w:color w:val="auto"/>
              </w:rPr>
            </w:pPr>
            <w:r>
              <w:rPr>
                <w:rFonts w:ascii="Arial" w:cs="Arial" w:eastAsia="Arial" w:hAnsi="Arial"/>
                <w:sz w:val="12"/>
                <w:szCs w:val="12"/>
                <w:b w:val="1"/>
                <w:bCs w:val="1"/>
                <w:color w:val="auto"/>
              </w:rPr>
              <w:t>Goodwill</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€2,205</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€534</w:t>
            </w:r>
          </w:p>
        </w:tc>
        <w:tc>
          <w:tcPr>
            <w:tcW w:w="1280" w:type="dxa"/>
            <w:vAlign w:val="bottom"/>
            <w:tcBorders>
              <w:right w:val="single" w:sz="8" w:color="70AD47"/>
            </w:tcBorders>
          </w:tcPr>
          <w:p>
            <w:pPr>
              <w:jc w:val="right"/>
              <w:spacing w:after="0"/>
              <w:rPr>
                <w:sz w:val="20"/>
                <w:szCs w:val="20"/>
                <w:color w:val="auto"/>
              </w:rPr>
            </w:pPr>
            <w:r>
              <w:rPr>
                <w:rFonts w:ascii="Arial" w:cs="Arial" w:eastAsia="Arial" w:hAnsi="Arial"/>
                <w:sz w:val="12"/>
                <w:szCs w:val="12"/>
                <w:color w:val="auto"/>
              </w:rPr>
              <w:t>€534</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2"/>
                <w:szCs w:val="12"/>
                <w:color w:val="auto"/>
              </w:rPr>
              <w:t>€239</w:t>
            </w:r>
          </w:p>
        </w:tc>
        <w:tc>
          <w:tcPr>
            <w:tcW w:w="1240" w:type="dxa"/>
            <w:vAlign w:val="bottom"/>
            <w:tcBorders>
              <w:right w:val="single" w:sz="8" w:color="70AD47"/>
            </w:tcBorders>
          </w:tcPr>
          <w:p>
            <w:pPr>
              <w:jc w:val="right"/>
              <w:spacing w:after="0"/>
              <w:rPr>
                <w:sz w:val="20"/>
                <w:szCs w:val="20"/>
                <w:color w:val="auto"/>
              </w:rPr>
            </w:pPr>
            <w:r>
              <w:rPr>
                <w:rFonts w:ascii="Arial" w:cs="Arial" w:eastAsia="Arial" w:hAnsi="Arial"/>
                <w:sz w:val="12"/>
                <w:szCs w:val="12"/>
                <w:color w:val="auto"/>
              </w:rPr>
              <w:t>-</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2"/>
                <w:szCs w:val="12"/>
                <w:b w:val="1"/>
                <w:bCs w:val="1"/>
                <w:color w:val="auto"/>
              </w:rPr>
              <w:t>€2,978</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€534</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 performs its annual goodwill impairment test for the respective year as per October 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recoverable amount was determined on a value in use calculation using cash flow projections from budgets approved by senior management covering at least a five-year period.</w:t>
      </w:r>
    </w:p>
    <w:p>
      <w:pPr>
        <w:spacing w:after="0" w:line="170" w:lineRule="exact"/>
        <w:rPr>
          <w:sz w:val="20"/>
          <w:szCs w:val="20"/>
          <w:color w:val="auto"/>
        </w:rPr>
      </w:pPr>
    </w:p>
    <w:p>
      <w:pPr>
        <w:ind w:right="140" w:firstLine="556"/>
        <w:spacing w:after="0" w:line="287" w:lineRule="auto"/>
        <w:rPr>
          <w:sz w:val="20"/>
          <w:szCs w:val="20"/>
          <w:color w:val="auto"/>
        </w:rPr>
      </w:pPr>
      <w:r>
        <w:rPr>
          <w:rFonts w:ascii="Arial" w:cs="Arial" w:eastAsia="Arial" w:hAnsi="Arial"/>
          <w:sz w:val="13"/>
          <w:szCs w:val="13"/>
          <w:color w:val="auto"/>
        </w:rPr>
        <w:t>Management concluded that no reasonable possible change of key assumptions on which the calculation of the recoverable amount is based would cause the carrying amount of the CGU to exceed its recoverable amount.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pre-tax discount rate applied to cash flow projections for the year ended December 31, 2019 is 9.0% (for the year ended December 31, 2018: 12.2%) and cash flows beyond the five-year period are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extrapolated using a 1.8% growth rate (for the year ended December 31, 2018: 1.0%).</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the recoverable amount exceeded the carrying amount of the CGU for every balance sheet date, no impairment charge was required.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6460" w:type="dxa"/>
            <w:vAlign w:val="bottom"/>
          </w:tcPr>
          <w:p>
            <w:pPr>
              <w:ind w:left="160"/>
              <w:spacing w:after="0"/>
              <w:rPr>
                <w:sz w:val="20"/>
                <w:szCs w:val="20"/>
                <w:color w:val="auto"/>
              </w:rPr>
            </w:pPr>
            <w:r>
              <w:rPr>
                <w:rFonts w:ascii="Arial" w:cs="Arial" w:eastAsia="Arial" w:hAnsi="Arial"/>
                <w:sz w:val="13"/>
                <w:szCs w:val="13"/>
                <w:b w:val="1"/>
                <w:bCs w:val="1"/>
                <w:color w:val="auto"/>
              </w:rPr>
              <w:t>Intangible Assets not yet Available for Use</w:t>
            </w:r>
          </w:p>
        </w:tc>
      </w:tr>
      <w:tr>
        <w:trPr>
          <w:trHeight w:val="240"/>
        </w:trPr>
        <w:tc>
          <w:tcPr>
            <w:tcW w:w="40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3"/>
                <w:szCs w:val="13"/>
                <w:color w:val="auto"/>
                <w:w w:val="91"/>
              </w:rPr>
              <w:t>Intangible assets not yet available for use did not exist in the years ended December 31, 2019 and December 31, 2018.</w:t>
            </w:r>
          </w:p>
        </w:tc>
      </w:tr>
      <w:tr>
        <w:trPr>
          <w:trHeight w:val="400"/>
        </w:trPr>
        <w:tc>
          <w:tcPr>
            <w:tcW w:w="400" w:type="dxa"/>
            <w:vAlign w:val="bottom"/>
          </w:tcPr>
          <w:p>
            <w:pPr>
              <w:spacing w:after="0"/>
              <w:rPr>
                <w:sz w:val="20"/>
                <w:szCs w:val="20"/>
                <w:color w:val="auto"/>
              </w:rPr>
            </w:pPr>
            <w:r>
              <w:rPr>
                <w:rFonts w:ascii="Arial" w:cs="Arial" w:eastAsia="Arial" w:hAnsi="Arial"/>
                <w:sz w:val="13"/>
                <w:szCs w:val="13"/>
                <w:b w:val="1"/>
                <w:bCs w:val="1"/>
                <w:color w:val="auto"/>
              </w:rPr>
              <w:t>12</w:t>
            </w:r>
          </w:p>
        </w:tc>
        <w:tc>
          <w:tcPr>
            <w:tcW w:w="6460" w:type="dxa"/>
            <w:vAlign w:val="bottom"/>
          </w:tcPr>
          <w:p>
            <w:pPr>
              <w:ind w:left="400"/>
              <w:spacing w:after="0"/>
              <w:rPr>
                <w:sz w:val="20"/>
                <w:szCs w:val="20"/>
                <w:color w:val="auto"/>
              </w:rPr>
            </w:pPr>
            <w:r>
              <w:rPr>
                <w:rFonts w:ascii="Arial" w:cs="Arial" w:eastAsia="Arial" w:hAnsi="Arial"/>
                <w:sz w:val="13"/>
                <w:szCs w:val="13"/>
                <w:b w:val="1"/>
                <w:bCs w:val="1"/>
                <w:color w:val="auto"/>
              </w:rPr>
              <w:t>Financial Assets and Financial Liabilities</w:t>
            </w:r>
          </w:p>
        </w:tc>
      </w:tr>
      <w:tr>
        <w:trPr>
          <w:trHeight w:val="240"/>
        </w:trPr>
        <w:tc>
          <w:tcPr>
            <w:tcW w:w="400" w:type="dxa"/>
            <w:vAlign w:val="bottom"/>
          </w:tcPr>
          <w:p>
            <w:pPr>
              <w:spacing w:after="0"/>
              <w:rPr>
                <w:sz w:val="20"/>
                <w:szCs w:val="20"/>
                <w:color w:val="auto"/>
              </w:rPr>
            </w:pPr>
            <w:r>
              <w:rPr>
                <w:rFonts w:ascii="Arial" w:cs="Arial" w:eastAsia="Arial" w:hAnsi="Arial"/>
                <w:sz w:val="13"/>
                <w:szCs w:val="13"/>
                <w:b w:val="1"/>
                <w:bCs w:val="1"/>
                <w:color w:val="auto"/>
              </w:rPr>
              <w:t>12.1</w:t>
            </w:r>
          </w:p>
        </w:tc>
        <w:tc>
          <w:tcPr>
            <w:tcW w:w="6460" w:type="dxa"/>
            <w:vAlign w:val="bottom"/>
          </w:tcPr>
          <w:p>
            <w:pPr>
              <w:ind w:left="400"/>
              <w:spacing w:after="0"/>
              <w:rPr>
                <w:sz w:val="20"/>
                <w:szCs w:val="20"/>
                <w:color w:val="auto"/>
              </w:rPr>
            </w:pPr>
            <w:r>
              <w:rPr>
                <w:rFonts w:ascii="Arial" w:cs="Arial" w:eastAsia="Arial" w:hAnsi="Arial"/>
                <w:sz w:val="13"/>
                <w:szCs w:val="13"/>
                <w:b w:val="1"/>
                <w:bCs w:val="1"/>
                <w:color w:val="auto"/>
              </w:rPr>
              <w:t>Capital Risk Management</w:t>
            </w:r>
          </w:p>
        </w:tc>
      </w:tr>
      <w:tr>
        <w:trPr>
          <w:trHeight w:val="240"/>
        </w:trPr>
        <w:tc>
          <w:tcPr>
            <w:tcW w:w="40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3"/>
                <w:szCs w:val="13"/>
                <w:color w:val="auto"/>
                <w:w w:val="95"/>
              </w:rPr>
              <w:t>The objective of the capital management of BioNTech is primarily designed to finance the Group’s growth strategy.</w:t>
            </w:r>
          </w:p>
        </w:tc>
      </w:tr>
    </w:tbl>
    <w:p>
      <w:pPr>
        <w:spacing w:after="0" w:line="151" w:lineRule="exact"/>
        <w:rPr>
          <w:sz w:val="20"/>
          <w:szCs w:val="20"/>
          <w:color w:val="auto"/>
        </w:rPr>
      </w:pPr>
    </w:p>
    <w:p>
      <w:pPr>
        <w:ind w:right="220" w:firstLine="556"/>
        <w:spacing w:after="0" w:line="272" w:lineRule="auto"/>
        <w:rPr>
          <w:sz w:val="20"/>
          <w:szCs w:val="20"/>
          <w:color w:val="auto"/>
        </w:rPr>
      </w:pPr>
      <w:r>
        <w:rPr>
          <w:rFonts w:ascii="Arial" w:cs="Arial" w:eastAsia="Arial" w:hAnsi="Arial"/>
          <w:sz w:val="13"/>
          <w:szCs w:val="13"/>
          <w:color w:val="auto"/>
        </w:rPr>
        <w:t>The Group’s controlling committee reviews the total amount of cash of the Group on a weekly basis. As part of this review, the committee considers the total cash and cash equivalents, the cash outflow, currency translation differences and refinancing activities. The Group monitors cash using a burn rate. The cash burn rate is defined as the average monthly net cash flow from operating and investing activities during a financial year.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00" w:type="dxa"/>
            <w:vAlign w:val="bottom"/>
            <w:tcBorders>
              <w:right w:val="single" w:sz="8" w:color="70AD47"/>
            </w:tcBorders>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93"/>
        </w:trPr>
        <w:tc>
          <w:tcPr>
            <w:tcW w:w="8100" w:type="dxa"/>
            <w:vAlign w:val="bottom"/>
            <w:tcBorders>
              <w:right w:val="single" w:sz="8" w:color="70AD47"/>
            </w:tcBorders>
            <w:vMerge w:val="continue"/>
          </w:tcPr>
          <w:p>
            <w:pPr>
              <w:spacing w:after="0"/>
              <w:rPr>
                <w:sz w:val="8"/>
                <w:szCs w:val="8"/>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810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Cash and cash equivalents at banks and on hand</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€519,149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€411,495</w:t>
            </w:r>
          </w:p>
        </w:tc>
        <w:tc>
          <w:tcPr>
            <w:tcW w:w="0" w:type="dxa"/>
            <w:vAlign w:val="bottom"/>
          </w:tcPr>
          <w:p>
            <w:pPr>
              <w:spacing w:after="0"/>
              <w:rPr>
                <w:sz w:val="1"/>
                <w:szCs w:val="1"/>
                <w:color w:val="auto"/>
              </w:rPr>
            </w:pPr>
          </w:p>
        </w:tc>
      </w:tr>
      <w:tr>
        <w:trPr>
          <w:trHeight w:val="16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€519,149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€411,495</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20" w:firstLine="554"/>
        <w:spacing w:after="0" w:line="287" w:lineRule="auto"/>
        <w:rPr>
          <w:sz w:val="20"/>
          <w:szCs w:val="20"/>
          <w:color w:val="auto"/>
        </w:rPr>
      </w:pPr>
      <w:r>
        <w:rPr>
          <w:rFonts w:ascii="Arial" w:cs="Arial" w:eastAsia="Arial" w:hAnsi="Arial"/>
          <w:sz w:val="13"/>
          <w:szCs w:val="13"/>
          <w:color w:val="auto"/>
        </w:rPr>
        <w:t>In meeting its financing objectives, the Group negotiates and enters into research cooperation agreements. In general, the aim is to maximize the financial resources available for further research and development projects.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BioNTech is not subject to externally imposed capital requirements. The objectives of BioNTech’s capital management were achieved in the reporting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 changes were made in the objectives, policies or processes for managing cash during the years ended December 31, 2019 and December 31, 2018.</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300"/>
          </w:cols>
          <w:pgMar w:left="300" w:top="450" w:right="29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20"/>
                <w:szCs w:val="20"/>
                <w:color w:val="auto"/>
              </w:rPr>
            </w:pPr>
            <w:r>
              <w:rPr>
                <w:rFonts w:ascii="Arial" w:cs="Arial" w:eastAsia="Arial" w:hAnsi="Arial"/>
                <w:sz w:val="13"/>
                <w:szCs w:val="13"/>
                <w:b w:val="1"/>
                <w:bCs w:val="1"/>
                <w:color w:val="auto"/>
              </w:rPr>
              <w:t>12.2</w:t>
            </w:r>
          </w:p>
        </w:tc>
        <w:tc>
          <w:tcPr>
            <w:tcW w:w="6260" w:type="dxa"/>
            <w:vAlign w:val="bottom"/>
          </w:tcPr>
          <w:p>
            <w:pPr>
              <w:spacing w:after="0"/>
              <w:rPr>
                <w:sz w:val="20"/>
                <w:szCs w:val="20"/>
                <w:color w:val="auto"/>
              </w:rPr>
            </w:pPr>
            <w:r>
              <w:rPr>
                <w:rFonts w:ascii="Arial" w:cs="Arial" w:eastAsia="Arial" w:hAnsi="Arial"/>
                <w:sz w:val="13"/>
                <w:szCs w:val="13"/>
                <w:b w:val="1"/>
                <w:bCs w:val="1"/>
                <w:color w:val="auto"/>
              </w:rPr>
              <w:t>Categories of Financial Instruments</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60" w:type="dxa"/>
            <w:vAlign w:val="bottom"/>
            <w:gridSpan w:val="2"/>
          </w:tcPr>
          <w:p>
            <w:pPr>
              <w:ind w:left="560"/>
              <w:spacing w:after="0"/>
              <w:rPr>
                <w:sz w:val="20"/>
                <w:szCs w:val="20"/>
                <w:color w:val="auto"/>
              </w:rPr>
            </w:pPr>
            <w:r>
              <w:rPr>
                <w:rFonts w:ascii="Arial" w:cs="Arial" w:eastAsia="Arial" w:hAnsi="Arial"/>
                <w:sz w:val="13"/>
                <w:szCs w:val="13"/>
                <w:b w:val="1"/>
                <w:bCs w:val="1"/>
                <w:color w:val="auto"/>
              </w:rPr>
              <w:t>Financial assets at amortized cost</w:t>
            </w:r>
          </w:p>
        </w:tc>
        <w:tc>
          <w:tcPr>
            <w:tcW w:w="10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800" w:type="dxa"/>
            <w:vAlign w:val="bottom"/>
          </w:tcPr>
          <w:p>
            <w:pPr>
              <w:spacing w:after="0"/>
              <w:rPr>
                <w:sz w:val="7"/>
                <w:szCs w:val="7"/>
                <w:color w:val="auto"/>
              </w:rPr>
            </w:pPr>
          </w:p>
        </w:tc>
        <w:tc>
          <w:tcPr>
            <w:tcW w:w="6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800" w:type="dxa"/>
            <w:vAlign w:val="bottom"/>
            <w:vMerge w:val="restart"/>
          </w:tcPr>
          <w:p>
            <w:pPr>
              <w:spacing w:after="0"/>
              <w:rPr>
                <w:sz w:val="20"/>
                <w:szCs w:val="20"/>
                <w:color w:val="auto"/>
              </w:rPr>
            </w:pPr>
            <w:r>
              <w:rPr>
                <w:rFonts w:ascii="Arial" w:cs="Arial" w:eastAsia="Arial" w:hAnsi="Arial"/>
                <w:sz w:val="13"/>
                <w:szCs w:val="13"/>
                <w:i w:val="1"/>
                <w:iCs w:val="1"/>
                <w:color w:val="auto"/>
                <w:w w:val="94"/>
              </w:rPr>
              <w:t>(in thousands)</w:t>
            </w:r>
          </w:p>
        </w:tc>
        <w:tc>
          <w:tcPr>
            <w:tcW w:w="6260" w:type="dxa"/>
            <w:vAlign w:val="bottom"/>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800" w:type="dxa"/>
            <w:vAlign w:val="bottom"/>
            <w:vMerge w:val="continue"/>
          </w:tcPr>
          <w:p>
            <w:pPr>
              <w:spacing w:after="0"/>
              <w:rPr>
                <w:sz w:val="8"/>
                <w:szCs w:val="8"/>
                <w:color w:val="auto"/>
              </w:rPr>
            </w:pPr>
          </w:p>
        </w:tc>
        <w:tc>
          <w:tcPr>
            <w:tcW w:w="6260" w:type="dxa"/>
            <w:vAlign w:val="bottom"/>
          </w:tcPr>
          <w:p>
            <w:pPr>
              <w:spacing w:after="0"/>
              <w:rPr>
                <w:sz w:val="8"/>
                <w:szCs w:val="8"/>
                <w:color w:val="auto"/>
              </w:rPr>
            </w:pPr>
          </w:p>
        </w:tc>
        <w:tc>
          <w:tcPr>
            <w:tcW w:w="1040" w:type="dxa"/>
            <w:vAlign w:val="bottom"/>
            <w:tcBorders>
              <w:right w:val="single" w:sz="8" w:color="70AD47"/>
            </w:tcBorders>
          </w:tcPr>
          <w:p>
            <w:pPr>
              <w:spacing w:after="0"/>
              <w:rPr>
                <w:sz w:val="8"/>
                <w:szCs w:val="8"/>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800" w:type="dxa"/>
            <w:vAlign w:val="bottom"/>
            <w:tcBorders>
              <w:bottom w:val="single" w:sz="8" w:color="70AD47"/>
            </w:tcBorders>
          </w:tcPr>
          <w:p>
            <w:pPr>
              <w:spacing w:after="0"/>
              <w:rPr>
                <w:sz w:val="6"/>
                <w:szCs w:val="6"/>
                <w:color w:val="auto"/>
              </w:rPr>
            </w:pPr>
          </w:p>
        </w:tc>
        <w:tc>
          <w:tcPr>
            <w:tcW w:w="6260" w:type="dxa"/>
            <w:vAlign w:val="bottom"/>
            <w:tcBorders>
              <w:bottom w:val="single" w:sz="8" w:color="70AD47"/>
            </w:tcBorders>
          </w:tcPr>
          <w:p>
            <w:pPr>
              <w:spacing w:after="0"/>
              <w:rPr>
                <w:sz w:val="6"/>
                <w:szCs w:val="6"/>
                <w:color w:val="auto"/>
              </w:rPr>
            </w:pPr>
          </w:p>
        </w:tc>
        <w:tc>
          <w:tcPr>
            <w:tcW w:w="104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7060" w:type="dxa"/>
            <w:vAlign w:val="bottom"/>
            <w:gridSpan w:val="2"/>
          </w:tcPr>
          <w:p>
            <w:pPr>
              <w:spacing w:after="0"/>
              <w:rPr>
                <w:sz w:val="20"/>
                <w:szCs w:val="20"/>
                <w:color w:val="auto"/>
              </w:rPr>
            </w:pPr>
            <w:r>
              <w:rPr>
                <w:rFonts w:ascii="Arial" w:cs="Arial" w:eastAsia="Arial" w:hAnsi="Arial"/>
                <w:sz w:val="13"/>
                <w:szCs w:val="13"/>
                <w:color w:val="auto"/>
              </w:rPr>
              <w:t>Trade receivables</w:t>
            </w:r>
          </w:p>
        </w:tc>
        <w:tc>
          <w:tcPr>
            <w:tcW w:w="10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€11,913</w:t>
            </w:r>
          </w:p>
        </w:tc>
        <w:tc>
          <w:tcPr>
            <w:tcW w:w="1580" w:type="dxa"/>
            <w:vAlign w:val="bottom"/>
          </w:tcPr>
          <w:p>
            <w:pPr>
              <w:jc w:val="right"/>
              <w:spacing w:after="0"/>
              <w:rPr>
                <w:sz w:val="20"/>
                <w:szCs w:val="20"/>
                <w:color w:val="auto"/>
              </w:rPr>
            </w:pPr>
            <w:r>
              <w:rPr>
                <w:rFonts w:ascii="Arial" w:cs="Arial" w:eastAsia="Arial" w:hAnsi="Arial"/>
                <w:sz w:val="13"/>
                <w:szCs w:val="13"/>
                <w:color w:val="auto"/>
              </w:rPr>
              <w:t>€18,938</w:t>
            </w:r>
          </w:p>
        </w:tc>
        <w:tc>
          <w:tcPr>
            <w:tcW w:w="0" w:type="dxa"/>
            <w:vAlign w:val="bottom"/>
          </w:tcPr>
          <w:p>
            <w:pPr>
              <w:spacing w:after="0"/>
              <w:rPr>
                <w:sz w:val="1"/>
                <w:szCs w:val="1"/>
                <w:color w:val="auto"/>
              </w:rPr>
            </w:pPr>
          </w:p>
        </w:tc>
      </w:tr>
      <w:tr>
        <w:trPr>
          <w:trHeight w:val="170"/>
        </w:trPr>
        <w:tc>
          <w:tcPr>
            <w:tcW w:w="706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color w:val="auto"/>
              </w:rPr>
              <w:t>Other financial assets and receivables</w:t>
            </w:r>
          </w:p>
        </w:tc>
        <w:tc>
          <w:tcPr>
            <w:tcW w:w="10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1,680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60"/>
        </w:trPr>
        <w:tc>
          <w:tcPr>
            <w:tcW w:w="80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6260" w:type="dxa"/>
            <w:vAlign w:val="bottom"/>
            <w:tcBorders>
              <w:bottom w:val="single" w:sz="8" w:color="70AD47"/>
            </w:tcBorders>
          </w:tcPr>
          <w:p>
            <w:pPr>
              <w:spacing w:after="0"/>
              <w:rPr>
                <w:sz w:val="13"/>
                <w:szCs w:val="13"/>
                <w:color w:val="auto"/>
              </w:rPr>
            </w:pPr>
          </w:p>
        </w:tc>
        <w:tc>
          <w:tcPr>
            <w:tcW w:w="104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€13,593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€19,292</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20"/>
                <w:szCs w:val="20"/>
                <w:color w:val="auto"/>
              </w:rPr>
            </w:pPr>
            <w:r>
              <w:rPr>
                <w:rFonts w:ascii="Arial" w:cs="Arial" w:eastAsia="Arial" w:hAnsi="Arial"/>
                <w:sz w:val="13"/>
                <w:szCs w:val="13"/>
                <w:color w:val="auto"/>
              </w:rPr>
              <w:t>Total current</w:t>
            </w:r>
          </w:p>
        </w:tc>
        <w:tc>
          <w:tcPr>
            <w:tcW w:w="6260" w:type="dxa"/>
            <w:vAlign w:val="bottom"/>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13,593</w:t>
            </w:r>
          </w:p>
        </w:tc>
        <w:tc>
          <w:tcPr>
            <w:tcW w:w="1580" w:type="dxa"/>
            <w:vAlign w:val="bottom"/>
          </w:tcPr>
          <w:p>
            <w:pPr>
              <w:jc w:val="right"/>
              <w:spacing w:after="0"/>
              <w:rPr>
                <w:sz w:val="20"/>
                <w:szCs w:val="20"/>
                <w:color w:val="auto"/>
              </w:rPr>
            </w:pPr>
            <w:r>
              <w:rPr>
                <w:rFonts w:ascii="Arial" w:cs="Arial" w:eastAsia="Arial" w:hAnsi="Arial"/>
                <w:sz w:val="13"/>
                <w:szCs w:val="13"/>
                <w:color w:val="auto"/>
              </w:rPr>
              <w:t>19,273</w:t>
            </w:r>
          </w:p>
        </w:tc>
        <w:tc>
          <w:tcPr>
            <w:tcW w:w="0" w:type="dxa"/>
            <w:vAlign w:val="bottom"/>
          </w:tcPr>
          <w:p>
            <w:pPr>
              <w:spacing w:after="0"/>
              <w:rPr>
                <w:sz w:val="1"/>
                <w:szCs w:val="1"/>
                <w:color w:val="auto"/>
              </w:rPr>
            </w:pPr>
          </w:p>
        </w:tc>
      </w:tr>
      <w:tr>
        <w:trPr>
          <w:trHeight w:val="170"/>
        </w:trPr>
        <w:tc>
          <w:tcPr>
            <w:tcW w:w="706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color w:val="auto"/>
              </w:rPr>
              <w:t>Total non-current</w:t>
            </w:r>
          </w:p>
        </w:tc>
        <w:tc>
          <w:tcPr>
            <w:tcW w:w="10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420"/>
        </w:trPr>
        <w:tc>
          <w:tcPr>
            <w:tcW w:w="7060" w:type="dxa"/>
            <w:vAlign w:val="bottom"/>
            <w:gridSpan w:val="2"/>
          </w:tcPr>
          <w:p>
            <w:pPr>
              <w:ind w:left="560"/>
              <w:spacing w:after="0"/>
              <w:rPr>
                <w:sz w:val="20"/>
                <w:szCs w:val="20"/>
                <w:color w:val="auto"/>
              </w:rPr>
            </w:pPr>
            <w:r>
              <w:rPr>
                <w:rFonts w:ascii="Arial" w:cs="Arial" w:eastAsia="Arial" w:hAnsi="Arial"/>
                <w:sz w:val="13"/>
                <w:szCs w:val="13"/>
                <w:b w:val="1"/>
                <w:bCs w:val="1"/>
                <w:color w:val="auto"/>
                <w:w w:val="98"/>
              </w:rPr>
              <w:t>Financial liabilities: Financial liabilities at amortized cost (including interest-bearing loans and borrowings)</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800" w:type="dxa"/>
            <w:vAlign w:val="bottom"/>
          </w:tcPr>
          <w:p>
            <w:pPr>
              <w:spacing w:after="0"/>
              <w:rPr>
                <w:sz w:val="7"/>
                <w:szCs w:val="7"/>
                <w:color w:val="auto"/>
              </w:rPr>
            </w:pPr>
          </w:p>
        </w:tc>
        <w:tc>
          <w:tcPr>
            <w:tcW w:w="6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800" w:type="dxa"/>
            <w:vAlign w:val="bottom"/>
            <w:vMerge w:val="restart"/>
          </w:tcPr>
          <w:p>
            <w:pPr>
              <w:spacing w:after="0"/>
              <w:rPr>
                <w:sz w:val="20"/>
                <w:szCs w:val="20"/>
                <w:color w:val="auto"/>
              </w:rPr>
            </w:pPr>
            <w:r>
              <w:rPr>
                <w:rFonts w:ascii="Arial" w:cs="Arial" w:eastAsia="Arial" w:hAnsi="Arial"/>
                <w:sz w:val="13"/>
                <w:szCs w:val="13"/>
                <w:i w:val="1"/>
                <w:iCs w:val="1"/>
                <w:color w:val="auto"/>
                <w:w w:val="94"/>
              </w:rPr>
              <w:t>(in thousands)</w:t>
            </w:r>
          </w:p>
        </w:tc>
        <w:tc>
          <w:tcPr>
            <w:tcW w:w="6260" w:type="dxa"/>
            <w:vAlign w:val="bottom"/>
          </w:tcPr>
          <w:p>
            <w:pPr>
              <w:spacing w:after="0"/>
              <w:rPr>
                <w:sz w:val="13"/>
                <w:szCs w:val="13"/>
                <w:color w:val="auto"/>
              </w:rPr>
            </w:pPr>
          </w:p>
        </w:tc>
        <w:tc>
          <w:tcPr>
            <w:tcW w:w="104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3"/>
                <w:szCs w:val="13"/>
                <w:b w:val="1"/>
                <w:bCs w:val="1"/>
                <w:color w:val="auto"/>
              </w:rPr>
              <w:t>Maturity</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800" w:type="dxa"/>
            <w:vAlign w:val="bottom"/>
            <w:vMerge w:val="continue"/>
          </w:tcPr>
          <w:p>
            <w:pPr>
              <w:spacing w:after="0"/>
              <w:rPr>
                <w:sz w:val="8"/>
                <w:szCs w:val="8"/>
                <w:color w:val="auto"/>
              </w:rPr>
            </w:pPr>
          </w:p>
        </w:tc>
        <w:tc>
          <w:tcPr>
            <w:tcW w:w="6260" w:type="dxa"/>
            <w:vAlign w:val="bottom"/>
          </w:tcPr>
          <w:p>
            <w:pPr>
              <w:spacing w:after="0"/>
              <w:rPr>
                <w:sz w:val="8"/>
                <w:szCs w:val="8"/>
                <w:color w:val="auto"/>
              </w:rPr>
            </w:pPr>
          </w:p>
        </w:tc>
        <w:tc>
          <w:tcPr>
            <w:tcW w:w="1040" w:type="dxa"/>
            <w:vAlign w:val="bottom"/>
            <w:tcBorders>
              <w:right w:val="single" w:sz="8" w:color="70AD47"/>
            </w:tcBorders>
            <w:vMerge w:val="continue"/>
          </w:tcPr>
          <w:p>
            <w:pPr>
              <w:spacing w:after="0"/>
              <w:rPr>
                <w:sz w:val="8"/>
                <w:szCs w:val="8"/>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800" w:type="dxa"/>
            <w:vAlign w:val="bottom"/>
            <w:tcBorders>
              <w:bottom w:val="single" w:sz="8" w:color="70AD47"/>
            </w:tcBorders>
          </w:tcPr>
          <w:p>
            <w:pPr>
              <w:spacing w:after="0"/>
              <w:rPr>
                <w:sz w:val="6"/>
                <w:szCs w:val="6"/>
                <w:color w:val="auto"/>
              </w:rPr>
            </w:pPr>
          </w:p>
        </w:tc>
        <w:tc>
          <w:tcPr>
            <w:tcW w:w="6260" w:type="dxa"/>
            <w:vAlign w:val="bottom"/>
            <w:tcBorders>
              <w:bottom w:val="single" w:sz="8" w:color="70AD47"/>
            </w:tcBorders>
          </w:tcPr>
          <w:p>
            <w:pPr>
              <w:spacing w:after="0"/>
              <w:rPr>
                <w:sz w:val="6"/>
                <w:szCs w:val="6"/>
                <w:color w:val="auto"/>
              </w:rPr>
            </w:pPr>
          </w:p>
        </w:tc>
        <w:tc>
          <w:tcPr>
            <w:tcW w:w="104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20"/>
                <w:szCs w:val="20"/>
                <w:color w:val="auto"/>
              </w:rPr>
            </w:pPr>
            <w:r>
              <w:rPr>
                <w:rFonts w:ascii="Arial" w:cs="Arial" w:eastAsia="Arial" w:hAnsi="Arial"/>
                <w:sz w:val="13"/>
                <w:szCs w:val="13"/>
                <w:color w:val="auto"/>
                <w:w w:val="87"/>
              </w:rPr>
              <w:t>Trade payables</w:t>
            </w:r>
          </w:p>
        </w:tc>
        <w:tc>
          <w:tcPr>
            <w:tcW w:w="6260" w:type="dxa"/>
            <w:vAlign w:val="bottom"/>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€19,909</w:t>
            </w:r>
          </w:p>
        </w:tc>
        <w:tc>
          <w:tcPr>
            <w:tcW w:w="1580" w:type="dxa"/>
            <w:vAlign w:val="bottom"/>
          </w:tcPr>
          <w:p>
            <w:pPr>
              <w:jc w:val="right"/>
              <w:spacing w:after="0"/>
              <w:rPr>
                <w:sz w:val="20"/>
                <w:szCs w:val="20"/>
                <w:color w:val="auto"/>
              </w:rPr>
            </w:pPr>
            <w:r>
              <w:rPr>
                <w:rFonts w:ascii="Arial" w:cs="Arial" w:eastAsia="Arial" w:hAnsi="Arial"/>
                <w:sz w:val="13"/>
                <w:szCs w:val="13"/>
                <w:color w:val="auto"/>
              </w:rPr>
              <w:t>€41,721</w:t>
            </w:r>
          </w:p>
        </w:tc>
        <w:tc>
          <w:tcPr>
            <w:tcW w:w="0" w:type="dxa"/>
            <w:vAlign w:val="bottom"/>
          </w:tcPr>
          <w:p>
            <w:pPr>
              <w:spacing w:after="0"/>
              <w:rPr>
                <w:sz w:val="1"/>
                <w:szCs w:val="1"/>
                <w:color w:val="auto"/>
              </w:rPr>
            </w:pPr>
          </w:p>
        </w:tc>
      </w:tr>
      <w:tr>
        <w:trPr>
          <w:trHeight w:val="170"/>
        </w:trPr>
        <w:tc>
          <w:tcPr>
            <w:tcW w:w="7060" w:type="dxa"/>
            <w:vAlign w:val="bottom"/>
            <w:gridSpan w:val="2"/>
          </w:tcPr>
          <w:p>
            <w:pPr>
              <w:spacing w:after="0"/>
              <w:rPr>
                <w:sz w:val="20"/>
                <w:szCs w:val="20"/>
                <w:color w:val="auto"/>
              </w:rPr>
            </w:pPr>
            <w:r>
              <w:rPr>
                <w:rFonts w:ascii="Arial" w:cs="Arial" w:eastAsia="Arial" w:hAnsi="Arial"/>
                <w:sz w:val="13"/>
                <w:szCs w:val="13"/>
                <w:color w:val="auto"/>
              </w:rPr>
              <w:t>Lease liabilities</w:t>
            </w:r>
          </w:p>
        </w:tc>
        <w:tc>
          <w:tcPr>
            <w:tcW w:w="1040" w:type="dxa"/>
            <w:vAlign w:val="bottom"/>
            <w:tcBorders>
              <w:right w:val="single" w:sz="8" w:color="70AD47"/>
            </w:tcBorders>
          </w:tcPr>
          <w:p>
            <w:pPr>
              <w:spacing w:after="0"/>
              <w:rPr>
                <w:sz w:val="14"/>
                <w:szCs w:val="14"/>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56,683</w:t>
            </w:r>
          </w:p>
        </w:tc>
        <w:tc>
          <w:tcPr>
            <w:tcW w:w="1580" w:type="dxa"/>
            <w:vAlign w:val="bottom"/>
          </w:tcPr>
          <w:p>
            <w:pPr>
              <w:jc w:val="right"/>
              <w:spacing w:after="0"/>
              <w:rPr>
                <w:sz w:val="20"/>
                <w:szCs w:val="20"/>
                <w:color w:val="auto"/>
              </w:rPr>
            </w:pPr>
            <w:r>
              <w:rPr>
                <w:rFonts w:ascii="Arial" w:cs="Arial" w:eastAsia="Arial" w:hAnsi="Arial"/>
                <w:sz w:val="13"/>
                <w:szCs w:val="13"/>
                <w:color w:val="auto"/>
              </w:rPr>
              <w:t>50,752</w:t>
            </w:r>
          </w:p>
        </w:tc>
        <w:tc>
          <w:tcPr>
            <w:tcW w:w="0" w:type="dxa"/>
            <w:vAlign w:val="bottom"/>
          </w:tcPr>
          <w:p>
            <w:pPr>
              <w:spacing w:after="0"/>
              <w:rPr>
                <w:sz w:val="1"/>
                <w:szCs w:val="1"/>
                <w:color w:val="auto"/>
              </w:rPr>
            </w:pPr>
          </w:p>
        </w:tc>
      </w:tr>
      <w:tr>
        <w:trPr>
          <w:trHeight w:val="170"/>
        </w:trPr>
        <w:tc>
          <w:tcPr>
            <w:tcW w:w="7060" w:type="dxa"/>
            <w:vAlign w:val="bottom"/>
            <w:gridSpan w:val="2"/>
          </w:tcPr>
          <w:p>
            <w:pPr>
              <w:spacing w:after="0"/>
              <w:rPr>
                <w:sz w:val="20"/>
                <w:szCs w:val="20"/>
                <w:color w:val="auto"/>
              </w:rPr>
            </w:pPr>
            <w:r>
              <w:rPr>
                <w:rFonts w:ascii="Arial" w:cs="Arial" w:eastAsia="Arial" w:hAnsi="Arial"/>
                <w:sz w:val="13"/>
                <w:szCs w:val="13"/>
                <w:color w:val="auto"/>
              </w:rPr>
              <w:t>2.15% € 10,000,000 secured bank loan</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12/30/2027</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9,000</w:t>
            </w:r>
          </w:p>
        </w:tc>
        <w:tc>
          <w:tcPr>
            <w:tcW w:w="1580" w:type="dxa"/>
            <w:vAlign w:val="bottom"/>
          </w:tcPr>
          <w:p>
            <w:pPr>
              <w:jc w:val="right"/>
              <w:spacing w:after="0"/>
              <w:rPr>
                <w:sz w:val="20"/>
                <w:szCs w:val="20"/>
                <w:color w:val="auto"/>
              </w:rPr>
            </w:pPr>
            <w:r>
              <w:rPr>
                <w:rFonts w:ascii="Arial" w:cs="Arial" w:eastAsia="Arial" w:hAnsi="Arial"/>
                <w:sz w:val="13"/>
                <w:szCs w:val="13"/>
                <w:color w:val="auto"/>
              </w:rPr>
              <w:t>4,000</w:t>
            </w:r>
          </w:p>
        </w:tc>
        <w:tc>
          <w:tcPr>
            <w:tcW w:w="0" w:type="dxa"/>
            <w:vAlign w:val="bottom"/>
          </w:tcPr>
          <w:p>
            <w:pPr>
              <w:spacing w:after="0"/>
              <w:rPr>
                <w:sz w:val="1"/>
                <w:szCs w:val="1"/>
                <w:color w:val="auto"/>
              </w:rPr>
            </w:pPr>
          </w:p>
        </w:tc>
      </w:tr>
      <w:tr>
        <w:trPr>
          <w:trHeight w:val="170"/>
        </w:trPr>
        <w:tc>
          <w:tcPr>
            <w:tcW w:w="7060" w:type="dxa"/>
            <w:vAlign w:val="bottom"/>
            <w:gridSpan w:val="2"/>
          </w:tcPr>
          <w:p>
            <w:pPr>
              <w:spacing w:after="0"/>
              <w:rPr>
                <w:sz w:val="20"/>
                <w:szCs w:val="20"/>
                <w:color w:val="auto"/>
              </w:rPr>
            </w:pPr>
            <w:r>
              <w:rPr>
                <w:rFonts w:ascii="Arial" w:cs="Arial" w:eastAsia="Arial" w:hAnsi="Arial"/>
                <w:sz w:val="13"/>
                <w:szCs w:val="13"/>
                <w:color w:val="auto"/>
              </w:rPr>
              <w:t>2.08% € 9,450,000 secured bank loan</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09/30/2028</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7,600</w:t>
            </w:r>
          </w:p>
        </w:tc>
        <w:tc>
          <w:tcPr>
            <w:tcW w:w="1580" w:type="dxa"/>
            <w:vAlign w:val="bottom"/>
          </w:tcPr>
          <w:p>
            <w:pPr>
              <w:jc w:val="right"/>
              <w:spacing w:after="0"/>
              <w:rPr>
                <w:sz w:val="20"/>
                <w:szCs w:val="20"/>
                <w:color w:val="auto"/>
              </w:rPr>
            </w:pPr>
            <w:r>
              <w:rPr>
                <w:rFonts w:ascii="Arial" w:cs="Arial" w:eastAsia="Arial" w:hAnsi="Arial"/>
                <w:sz w:val="13"/>
                <w:szCs w:val="13"/>
                <w:color w:val="auto"/>
              </w:rPr>
              <w:t>1,600</w:t>
            </w:r>
          </w:p>
        </w:tc>
        <w:tc>
          <w:tcPr>
            <w:tcW w:w="0" w:type="dxa"/>
            <w:vAlign w:val="bottom"/>
          </w:tcPr>
          <w:p>
            <w:pPr>
              <w:spacing w:after="0"/>
              <w:rPr>
                <w:sz w:val="1"/>
                <w:szCs w:val="1"/>
                <w:color w:val="auto"/>
              </w:rPr>
            </w:pPr>
          </w:p>
        </w:tc>
      </w:tr>
      <w:tr>
        <w:trPr>
          <w:trHeight w:val="170"/>
        </w:trPr>
        <w:tc>
          <w:tcPr>
            <w:tcW w:w="706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color w:val="auto"/>
              </w:rPr>
              <w:t>Other financial liabilities</w:t>
            </w:r>
          </w:p>
        </w:tc>
        <w:tc>
          <w:tcPr>
            <w:tcW w:w="10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11,551</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6,132</w:t>
            </w:r>
          </w:p>
        </w:tc>
        <w:tc>
          <w:tcPr>
            <w:tcW w:w="0" w:type="dxa"/>
            <w:vAlign w:val="bottom"/>
          </w:tcPr>
          <w:p>
            <w:pPr>
              <w:spacing w:after="0"/>
              <w:rPr>
                <w:sz w:val="1"/>
                <w:szCs w:val="1"/>
                <w:color w:val="auto"/>
              </w:rPr>
            </w:pPr>
          </w:p>
        </w:tc>
      </w:tr>
      <w:tr>
        <w:trPr>
          <w:trHeight w:val="160"/>
        </w:trPr>
        <w:tc>
          <w:tcPr>
            <w:tcW w:w="80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6260" w:type="dxa"/>
            <w:vAlign w:val="bottom"/>
            <w:tcBorders>
              <w:bottom w:val="single" w:sz="8" w:color="70AD47"/>
            </w:tcBorders>
          </w:tcPr>
          <w:p>
            <w:pPr>
              <w:spacing w:after="0"/>
              <w:rPr>
                <w:sz w:val="13"/>
                <w:szCs w:val="13"/>
                <w:color w:val="auto"/>
              </w:rPr>
            </w:pPr>
          </w:p>
        </w:tc>
        <w:tc>
          <w:tcPr>
            <w:tcW w:w="104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€104,743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€104,205</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20"/>
                <w:szCs w:val="20"/>
                <w:color w:val="auto"/>
              </w:rPr>
            </w:pPr>
            <w:r>
              <w:rPr>
                <w:rFonts w:ascii="Arial" w:cs="Arial" w:eastAsia="Arial" w:hAnsi="Arial"/>
                <w:sz w:val="13"/>
                <w:szCs w:val="13"/>
                <w:color w:val="auto"/>
              </w:rPr>
              <w:t>Total current</w:t>
            </w:r>
          </w:p>
        </w:tc>
        <w:tc>
          <w:tcPr>
            <w:tcW w:w="6260" w:type="dxa"/>
            <w:vAlign w:val="bottom"/>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35,699</w:t>
            </w:r>
          </w:p>
        </w:tc>
        <w:tc>
          <w:tcPr>
            <w:tcW w:w="1580" w:type="dxa"/>
            <w:vAlign w:val="bottom"/>
          </w:tcPr>
          <w:p>
            <w:pPr>
              <w:jc w:val="right"/>
              <w:spacing w:after="0"/>
              <w:rPr>
                <w:sz w:val="20"/>
                <w:szCs w:val="20"/>
                <w:color w:val="auto"/>
              </w:rPr>
            </w:pPr>
            <w:r>
              <w:rPr>
                <w:rFonts w:ascii="Arial" w:cs="Arial" w:eastAsia="Arial" w:hAnsi="Arial"/>
                <w:sz w:val="13"/>
                <w:szCs w:val="13"/>
                <w:color w:val="auto"/>
              </w:rPr>
              <w:t>49,987</w:t>
            </w:r>
          </w:p>
        </w:tc>
        <w:tc>
          <w:tcPr>
            <w:tcW w:w="0" w:type="dxa"/>
            <w:vAlign w:val="bottom"/>
          </w:tcPr>
          <w:p>
            <w:pPr>
              <w:spacing w:after="0"/>
              <w:rPr>
                <w:sz w:val="1"/>
                <w:szCs w:val="1"/>
                <w:color w:val="auto"/>
              </w:rPr>
            </w:pPr>
          </w:p>
        </w:tc>
      </w:tr>
      <w:tr>
        <w:trPr>
          <w:trHeight w:val="170"/>
        </w:trPr>
        <w:tc>
          <w:tcPr>
            <w:tcW w:w="706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color w:val="auto"/>
              </w:rPr>
              <w:t>Total non-current</w:t>
            </w:r>
          </w:p>
        </w:tc>
        <w:tc>
          <w:tcPr>
            <w:tcW w:w="104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69,044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54,218</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2.15% Secured Loan</w:t>
      </w:r>
    </w:p>
    <w:p>
      <w:pPr>
        <w:spacing w:after="0" w:line="94"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The loan is secured by a lien over land and buildings with a carrying value of k€10,000 as at December 31, 2019 (December 31, 2018: k€10,000). Additionally, the loan is secured by a permanent guarantee (</w:t>
      </w:r>
      <w:r>
        <w:rPr>
          <w:rFonts w:ascii="Arial" w:cs="Arial" w:eastAsia="Arial" w:hAnsi="Arial"/>
          <w:sz w:val="13"/>
          <w:szCs w:val="13"/>
          <w:i w:val="1"/>
          <w:iCs w:val="1"/>
          <w:color w:val="auto"/>
        </w:rPr>
        <w:t>Höchstbetragsbürgschaft</w:t>
      </w:r>
      <w:r>
        <w:rPr>
          <w:rFonts w:ascii="Arial" w:cs="Arial" w:eastAsia="Arial" w:hAnsi="Arial"/>
          <w:sz w:val="13"/>
          <w:szCs w:val="13"/>
          <w:color w:val="auto"/>
        </w:rPr>
        <w:t>) of the Company to the bank to the amount of k€10,000. The loan is repayable in equal quarterly instalments of k€312.5 commencing on March 31, 2020. As at December 31, 2019, the undrawn available amount is k€1,000.</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2.08% Bank Loan</w:t>
      </w:r>
    </w:p>
    <w:p>
      <w:pPr>
        <w:spacing w:after="0" w:line="94" w:lineRule="exact"/>
        <w:rPr>
          <w:sz w:val="20"/>
          <w:szCs w:val="20"/>
          <w:color w:val="auto"/>
        </w:rPr>
      </w:pPr>
    </w:p>
    <w:p>
      <w:pPr>
        <w:ind w:right="80" w:firstLine="556"/>
        <w:spacing w:after="0" w:line="272" w:lineRule="auto"/>
        <w:rPr>
          <w:sz w:val="20"/>
          <w:szCs w:val="20"/>
          <w:color w:val="auto"/>
        </w:rPr>
      </w:pPr>
      <w:r>
        <w:rPr>
          <w:rFonts w:ascii="Arial" w:cs="Arial" w:eastAsia="Arial" w:hAnsi="Arial"/>
          <w:sz w:val="13"/>
          <w:szCs w:val="13"/>
          <w:color w:val="auto"/>
        </w:rPr>
        <w:t>The loan is secured by a lien over land and buildings to the amount of k€9,450. Additionally, the loan is secured by a permanent guarantee (</w:t>
      </w:r>
      <w:r>
        <w:rPr>
          <w:rFonts w:ascii="Arial" w:cs="Arial" w:eastAsia="Arial" w:hAnsi="Arial"/>
          <w:sz w:val="13"/>
          <w:szCs w:val="13"/>
          <w:i w:val="1"/>
          <w:iCs w:val="1"/>
          <w:color w:val="auto"/>
        </w:rPr>
        <w:t>Höchstbetragbürgschaft</w:t>
      </w:r>
      <w:r>
        <w:rPr>
          <w:rFonts w:ascii="Arial" w:cs="Arial" w:eastAsia="Arial" w:hAnsi="Arial"/>
          <w:sz w:val="13"/>
          <w:szCs w:val="13"/>
          <w:color w:val="auto"/>
        </w:rPr>
        <w:t>) of the Company to the bank to the amount of k€9,450 as at December 31, 2019 (December 31, 2018: k€9,450). The loan is repayable by quarterly instalments of k€286.4 commencing on September 30, 2020. As at December 31, 2019, the available undrawn amount of k€1,850 will be drawn on a predetermined date.</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12.3</w:t>
      </w:r>
      <w:r>
        <w:rPr>
          <w:sz w:val="20"/>
          <w:szCs w:val="20"/>
          <w:color w:val="auto"/>
        </w:rPr>
        <w:tab/>
      </w:r>
      <w:r>
        <w:rPr>
          <w:rFonts w:ascii="Arial" w:cs="Arial" w:eastAsia="Arial" w:hAnsi="Arial"/>
          <w:sz w:val="12"/>
          <w:szCs w:val="12"/>
          <w:b w:val="1"/>
          <w:bCs w:val="1"/>
          <w:color w:val="auto"/>
        </w:rPr>
        <w:t>Fair Values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Fair values of cash and cash equivalents, trade receivables, trade payables and other current liabilities approximate their carrying amounts largely due to the short-term maturities of these instruments.</w:t>
      </w:r>
    </w:p>
    <w:p>
      <w:pPr>
        <w:spacing w:after="0" w:line="182" w:lineRule="exact"/>
        <w:rPr>
          <w:sz w:val="20"/>
          <w:szCs w:val="20"/>
          <w:color w:val="auto"/>
        </w:rPr>
      </w:pPr>
    </w:p>
    <w:p>
      <w:pPr>
        <w:ind w:right="400" w:firstLine="556"/>
        <w:spacing w:after="0" w:line="331" w:lineRule="auto"/>
        <w:rPr>
          <w:sz w:val="20"/>
          <w:szCs w:val="20"/>
          <w:color w:val="auto"/>
        </w:rPr>
      </w:pPr>
      <w:r>
        <w:rPr>
          <w:rFonts w:ascii="Arial" w:cs="Arial" w:eastAsia="Arial" w:hAnsi="Arial"/>
          <w:sz w:val="12"/>
          <w:szCs w:val="12"/>
          <w:color w:val="auto"/>
        </w:rPr>
        <w:t>The liabilities include two fixed-interest rate loans. The fair value of the two fixed-interest rate loans is calculated based on significant observable inputs (Level 2). As of December 31, 2019 and December 31, 2018, the carrying value approximates their fair values as there have been no significant changes in relevant interest rates since inception of the respective loans.</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12.4</w:t>
      </w:r>
      <w:r>
        <w:rPr>
          <w:sz w:val="20"/>
          <w:szCs w:val="20"/>
          <w:color w:val="auto"/>
        </w:rPr>
        <w:tab/>
      </w:r>
      <w:r>
        <w:rPr>
          <w:rFonts w:ascii="Arial" w:cs="Arial" w:eastAsia="Arial" w:hAnsi="Arial"/>
          <w:sz w:val="12"/>
          <w:szCs w:val="12"/>
          <w:b w:val="1"/>
          <w:bCs w:val="1"/>
          <w:color w:val="auto"/>
        </w:rPr>
        <w:t>Financial Instruments Risk Management Objectives and Policies</w:t>
      </w:r>
    </w:p>
    <w:p>
      <w:pPr>
        <w:spacing w:after="0" w:line="94" w:lineRule="exact"/>
        <w:rPr>
          <w:sz w:val="20"/>
          <w:szCs w:val="20"/>
          <w:color w:val="auto"/>
        </w:rPr>
      </w:pPr>
    </w:p>
    <w:p>
      <w:pPr>
        <w:ind w:right="400" w:firstLine="556"/>
        <w:spacing w:after="0" w:line="287" w:lineRule="auto"/>
        <w:rPr>
          <w:sz w:val="20"/>
          <w:szCs w:val="20"/>
          <w:color w:val="auto"/>
        </w:rPr>
      </w:pPr>
      <w:r>
        <w:rPr>
          <w:rFonts w:ascii="Arial" w:cs="Arial" w:eastAsia="Arial" w:hAnsi="Arial"/>
          <w:sz w:val="13"/>
          <w:szCs w:val="13"/>
          <w:color w:val="auto"/>
        </w:rPr>
        <w:t>The Group’s financial liabilities comprise of bank loans, lease liabilities, trade and other payables. The main purpose of these financial liabilities is to enable the Group’s operations. The Group’s principal financial assets include mainly cash and trade receivables that derive directly from its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527" w:right="319" w:bottom="1440" w:gutter="0" w:footer="0" w:header="0"/>
        </w:sectPr>
      </w:pPr>
    </w:p>
    <w:bookmarkStart w:id="297" w:name="page298"/>
    <w:bookmarkEnd w:id="297"/>
    <w:p>
      <w:pPr>
        <w:ind w:left="560"/>
        <w:spacing w:after="0"/>
        <w:rPr>
          <w:sz w:val="20"/>
          <w:szCs w:val="20"/>
          <w:color w:val="auto"/>
        </w:rPr>
      </w:pPr>
      <w:r>
        <w:rPr>
          <w:rFonts w:ascii="Arial" w:cs="Arial" w:eastAsia="Arial" w:hAnsi="Arial"/>
          <w:sz w:val="13"/>
          <w:szCs w:val="13"/>
          <w:color w:val="auto"/>
        </w:rPr>
        <w:t>The Group is exposed to market risk, credit risk and liquidity risk. The Group’s senior management oversees the management of these risks.</w:t>
      </w:r>
    </w:p>
    <w:p>
      <w:pPr>
        <w:spacing w:after="0" w:line="170" w:lineRule="exact"/>
        <w:rPr>
          <w:sz w:val="20"/>
          <w:szCs w:val="20"/>
          <w:color w:val="auto"/>
        </w:rPr>
      </w:pPr>
    </w:p>
    <w:p>
      <w:pPr>
        <w:jc w:val="both"/>
        <w:ind w:right="200" w:firstLine="556"/>
        <w:spacing w:after="0" w:line="272" w:lineRule="auto"/>
        <w:rPr>
          <w:sz w:val="20"/>
          <w:szCs w:val="20"/>
          <w:color w:val="auto"/>
        </w:rPr>
      </w:pPr>
      <w:r>
        <w:rPr>
          <w:rFonts w:ascii="Arial" w:cs="Arial" w:eastAsia="Arial" w:hAnsi="Arial"/>
          <w:sz w:val="13"/>
          <w:szCs w:val="13"/>
          <w:color w:val="auto"/>
        </w:rPr>
        <w:t>The controlling committee provides assurance to the Group’s senior management that the Group’s financial risk activities are governed by appropriate policies and procedures and that financial risks are identified, measured and managed in accordance with the Group’s policies and risk objectives. The Board of Directors reviews and agrees policies for managing each of these risks, which are summarized below.</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12.5</w:t>
      </w:r>
      <w:r>
        <w:rPr>
          <w:sz w:val="20"/>
          <w:szCs w:val="20"/>
          <w:color w:val="auto"/>
        </w:rPr>
        <w:tab/>
      </w:r>
      <w:r>
        <w:rPr>
          <w:rFonts w:ascii="Arial" w:cs="Arial" w:eastAsia="Arial" w:hAnsi="Arial"/>
          <w:sz w:val="13"/>
          <w:szCs w:val="13"/>
          <w:b w:val="1"/>
          <w:bCs w:val="1"/>
          <w:color w:val="auto"/>
        </w:rPr>
        <w:t>Market Risk</w:t>
      </w:r>
    </w:p>
    <w:p>
      <w:pPr>
        <w:spacing w:after="0" w:line="94" w:lineRule="exact"/>
        <w:rPr>
          <w:sz w:val="20"/>
          <w:szCs w:val="20"/>
          <w:color w:val="auto"/>
        </w:rPr>
      </w:pPr>
    </w:p>
    <w:p>
      <w:pPr>
        <w:ind w:right="180" w:firstLine="556"/>
        <w:spacing w:after="0" w:line="331" w:lineRule="auto"/>
        <w:rPr>
          <w:sz w:val="20"/>
          <w:szCs w:val="20"/>
          <w:color w:val="auto"/>
        </w:rPr>
      </w:pPr>
      <w:r>
        <w:rPr>
          <w:rFonts w:ascii="Arial" w:cs="Arial" w:eastAsia="Arial" w:hAnsi="Arial"/>
          <w:sz w:val="12"/>
          <w:szCs w:val="12"/>
          <w:color w:val="auto"/>
        </w:rPr>
        <w:t>Market risk is the risk that the fair value or future cash flows of a financial instrument will fluctuate due to changes in market prices. Market risk comprises of three types of risk: interest risk, foreign currency risk and other price risk. Financial instruments affected by market risk include cash and cash equivalents. Interest risk as well as other price risk are not considered as risks for the Group.</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sensitivity analysis in the following sections relate to the position as at December 31, 2019 and December 31,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There were no material changes in the Group’s market risk exposures or changes in the way risk was managed and valued during the periods.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Foreign Currency Risk</w:t>
      </w:r>
    </w:p>
    <w:p>
      <w:pPr>
        <w:spacing w:after="0" w:line="94" w:lineRule="exact"/>
        <w:rPr>
          <w:sz w:val="20"/>
          <w:szCs w:val="20"/>
          <w:color w:val="auto"/>
        </w:rPr>
      </w:pPr>
    </w:p>
    <w:p>
      <w:pPr>
        <w:ind w:right="420" w:firstLine="556"/>
        <w:spacing w:after="0" w:line="287" w:lineRule="auto"/>
        <w:rPr>
          <w:sz w:val="20"/>
          <w:szCs w:val="20"/>
          <w:color w:val="auto"/>
        </w:rPr>
      </w:pPr>
      <w:r>
        <w:rPr>
          <w:rFonts w:ascii="Arial" w:cs="Arial" w:eastAsia="Arial" w:hAnsi="Arial"/>
          <w:sz w:val="13"/>
          <w:szCs w:val="13"/>
          <w:color w:val="auto"/>
        </w:rPr>
        <w:t>Foreign currency risk is the risk that the fair value or future cash flows of an exposure will fluctuate because of changes in foreign exchange rates. The Group’s exposure to the risk of changes in foreign currency rates relates primarily to the Group’s operating activities (when revenue or expense is denominated in a foreign currency).</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order to reduce exchange rate risk, BioNTech makes every effort to generate expenses and income in the same functional currency. The Group does not hedge exchange rate risks.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carrying amount of the monetary assets (the Group’s cash and cash equivalents) of BioNTech denominated in foreign currencies at the dates indicated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00" w:type="dxa"/>
            <w:vAlign w:val="bottom"/>
            <w:tcBorders>
              <w:right w:val="single" w:sz="8" w:color="70AD47"/>
            </w:tcBorders>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93"/>
        </w:trPr>
        <w:tc>
          <w:tcPr>
            <w:tcW w:w="8100" w:type="dxa"/>
            <w:vAlign w:val="bottom"/>
            <w:tcBorders>
              <w:right w:val="single" w:sz="8" w:color="70AD47"/>
            </w:tcBorders>
            <w:vMerge w:val="continue"/>
          </w:tcPr>
          <w:p>
            <w:pPr>
              <w:spacing w:after="0"/>
              <w:rPr>
                <w:sz w:val="8"/>
                <w:szCs w:val="8"/>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810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USD Bank accounts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€213,913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€176,376</w:t>
            </w:r>
          </w:p>
        </w:tc>
        <w:tc>
          <w:tcPr>
            <w:tcW w:w="0" w:type="dxa"/>
            <w:vAlign w:val="bottom"/>
          </w:tcPr>
          <w:p>
            <w:pPr>
              <w:spacing w:after="0"/>
              <w:rPr>
                <w:sz w:val="1"/>
                <w:szCs w:val="1"/>
                <w:color w:val="auto"/>
              </w:rPr>
            </w:pPr>
          </w:p>
        </w:tc>
      </w:tr>
      <w:tr>
        <w:trPr>
          <w:trHeight w:val="160"/>
        </w:trPr>
        <w:tc>
          <w:tcPr>
            <w:tcW w:w="81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€213,913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€176,376</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300" w:firstLine="554"/>
        <w:spacing w:after="0" w:line="287" w:lineRule="auto"/>
        <w:rPr>
          <w:sz w:val="20"/>
          <w:szCs w:val="20"/>
          <w:color w:val="auto"/>
        </w:rPr>
      </w:pPr>
      <w:r>
        <w:rPr>
          <w:rFonts w:ascii="Arial" w:cs="Arial" w:eastAsia="Arial" w:hAnsi="Arial"/>
          <w:sz w:val="13"/>
          <w:szCs w:val="13"/>
          <w:color w:val="auto"/>
        </w:rPr>
        <w:t>The following tables demonstrate the sensitivity to a reasonably possible change in USD exchange rates, with all other variables held constant. The impact on the Group’s profit before tax is due to changes in the fair value of monetary assets. The Group’s exposure to foreign currency changes for all other currencies is not material.</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60" w:type="dxa"/>
            <w:vAlign w:val="bottom"/>
          </w:tcPr>
          <w:p>
            <w:pPr>
              <w:spacing w:after="0"/>
              <w:rPr>
                <w:sz w:val="15"/>
                <w:szCs w:val="15"/>
                <w:color w:val="auto"/>
              </w:rPr>
            </w:pPr>
          </w:p>
        </w:tc>
        <w:tc>
          <w:tcPr>
            <w:tcW w:w="3320" w:type="dxa"/>
            <w:vAlign w:val="bottom"/>
          </w:tcPr>
          <w:p>
            <w:pPr>
              <w:ind w:left="2880"/>
              <w:spacing w:after="0"/>
              <w:rPr>
                <w:sz w:val="20"/>
                <w:szCs w:val="20"/>
                <w:color w:val="auto"/>
              </w:rPr>
            </w:pPr>
            <w:r>
              <w:rPr>
                <w:rFonts w:ascii="Arial" w:cs="Arial" w:eastAsia="Arial" w:hAnsi="Arial"/>
                <w:sz w:val="13"/>
                <w:szCs w:val="13"/>
                <w:i w:val="1"/>
                <w:iCs w:val="1"/>
                <w:color w:val="auto"/>
              </w:rPr>
              <w:t>1 € =</w:t>
            </w:r>
          </w:p>
        </w:tc>
        <w:tc>
          <w:tcPr>
            <w:tcW w:w="3220" w:type="dxa"/>
            <w:vAlign w:val="bottom"/>
            <w:tcBorders>
              <w:bottom w:val="single" w:sz="8" w:color="70AD47"/>
            </w:tcBorders>
            <w:gridSpan w:val="3"/>
          </w:tcPr>
          <w:p>
            <w:pPr>
              <w:jc w:val="right"/>
              <w:ind w:right="1213"/>
              <w:spacing w:after="0"/>
              <w:rPr>
                <w:sz w:val="20"/>
                <w:szCs w:val="20"/>
                <w:color w:val="auto"/>
              </w:rPr>
            </w:pPr>
            <w:r>
              <w:rPr>
                <w:rFonts w:ascii="Arial" w:cs="Arial" w:eastAsia="Arial" w:hAnsi="Arial"/>
                <w:sz w:val="13"/>
                <w:szCs w:val="13"/>
                <w:b w:val="1"/>
                <w:bCs w:val="1"/>
                <w:color w:val="auto"/>
              </w:rPr>
              <w:t>Closing rate</w:t>
            </w:r>
          </w:p>
        </w:tc>
        <w:tc>
          <w:tcPr>
            <w:tcW w:w="20" w:type="dxa"/>
            <w:vAlign w:val="bottom"/>
            <w:tcBorders>
              <w:bottom w:val="single" w:sz="8" w:color="70AD47"/>
            </w:tcBorders>
          </w:tcPr>
          <w:p>
            <w:pPr>
              <w:spacing w:after="0"/>
              <w:rPr>
                <w:sz w:val="15"/>
                <w:szCs w:val="15"/>
                <w:color w:val="auto"/>
              </w:rPr>
            </w:pPr>
          </w:p>
        </w:tc>
        <w:tc>
          <w:tcPr>
            <w:tcW w:w="3160" w:type="dxa"/>
            <w:vAlign w:val="bottom"/>
            <w:tcBorders>
              <w:bottom w:val="single" w:sz="8" w:color="70AD47"/>
            </w:tcBorders>
            <w:gridSpan w:val="3"/>
          </w:tcPr>
          <w:p>
            <w:pPr>
              <w:jc w:val="right"/>
              <w:ind w:right="1173"/>
              <w:spacing w:after="0"/>
              <w:rPr>
                <w:sz w:val="20"/>
                <w:szCs w:val="20"/>
                <w:color w:val="auto"/>
              </w:rPr>
            </w:pPr>
            <w:r>
              <w:rPr>
                <w:rFonts w:ascii="Arial" w:cs="Arial" w:eastAsia="Arial" w:hAnsi="Arial"/>
                <w:sz w:val="13"/>
                <w:szCs w:val="13"/>
                <w:b w:val="1"/>
                <w:bCs w:val="1"/>
                <w:color w:val="auto"/>
              </w:rPr>
              <w:t>Average rate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6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Currency</w:t>
            </w:r>
          </w:p>
        </w:tc>
        <w:tc>
          <w:tcPr>
            <w:tcW w:w="3320" w:type="dxa"/>
            <w:vAlign w:val="bottom"/>
            <w:tcBorders>
              <w:bottom w:val="single" w:sz="8" w:color="70AD47"/>
              <w:right w:val="single" w:sz="8" w:color="70AD47"/>
            </w:tcBorders>
          </w:tcPr>
          <w:p>
            <w:pPr>
              <w:ind w:left="800"/>
              <w:spacing w:after="0"/>
              <w:rPr>
                <w:sz w:val="20"/>
                <w:szCs w:val="20"/>
                <w:color w:val="auto"/>
              </w:rPr>
            </w:pPr>
            <w:r>
              <w:rPr>
                <w:rFonts w:ascii="Arial" w:cs="Arial" w:eastAsia="Arial" w:hAnsi="Arial"/>
                <w:sz w:val="13"/>
                <w:szCs w:val="13"/>
                <w:b w:val="1"/>
                <w:bCs w:val="1"/>
                <w:color w:val="auto"/>
              </w:rPr>
              <w:t>Country</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tcBorders>
              <w:bottom w:val="single" w:sz="8" w:color="70AD47"/>
              <w:right w:val="single" w:sz="8" w:color="70AD47"/>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1600" w:type="dxa"/>
            <w:vAlign w:val="bottom"/>
            <w:tcBorders>
              <w:bottom w:val="single" w:sz="8" w:color="70AD47"/>
              <w:right w:val="single" w:sz="8" w:color="70AD47"/>
            </w:tcBorders>
            <w:gridSpan w:val="2"/>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tcBorders>
              <w:bottom w:val="single" w:sz="8" w:color="70AD47"/>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6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USD</w:t>
            </w:r>
          </w:p>
        </w:tc>
        <w:tc>
          <w:tcPr>
            <w:tcW w:w="3320" w:type="dxa"/>
            <w:vAlign w:val="bottom"/>
            <w:tcBorders>
              <w:bottom w:val="single" w:sz="8" w:color="70AD47"/>
              <w:right w:val="single" w:sz="8" w:color="70AD47"/>
            </w:tcBorders>
          </w:tcPr>
          <w:p>
            <w:pPr>
              <w:ind w:left="800"/>
              <w:spacing w:after="0"/>
              <w:rPr>
                <w:sz w:val="20"/>
                <w:szCs w:val="20"/>
                <w:color w:val="auto"/>
              </w:rPr>
            </w:pPr>
            <w:r>
              <w:rPr>
                <w:rFonts w:ascii="Arial" w:cs="Arial" w:eastAsia="Arial" w:hAnsi="Arial"/>
                <w:sz w:val="13"/>
                <w:szCs w:val="13"/>
                <w:color w:val="auto"/>
              </w:rPr>
              <w:t>United States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1.1234</w:t>
            </w:r>
          </w:p>
        </w:tc>
        <w:tc>
          <w:tcPr>
            <w:tcW w:w="1620" w:type="dxa"/>
            <w:vAlign w:val="bottom"/>
            <w:tcBorders>
              <w:bottom w:val="single" w:sz="8" w:color="70AD47"/>
              <w:right w:val="single" w:sz="8" w:color="70AD47"/>
            </w:tcBorders>
            <w:gridSpan w:val="2"/>
          </w:tcPr>
          <w:p>
            <w:pPr>
              <w:jc w:val="right"/>
              <w:spacing w:after="0"/>
              <w:rPr>
                <w:sz w:val="20"/>
                <w:szCs w:val="20"/>
                <w:color w:val="auto"/>
              </w:rPr>
            </w:pPr>
            <w:r>
              <w:rPr>
                <w:rFonts w:ascii="Arial" w:cs="Arial" w:eastAsia="Arial" w:hAnsi="Arial"/>
                <w:sz w:val="13"/>
                <w:szCs w:val="13"/>
                <w:color w:val="auto"/>
              </w:rPr>
              <w:t>1.1450</w:t>
            </w:r>
          </w:p>
        </w:tc>
        <w:tc>
          <w:tcPr>
            <w:tcW w:w="1600" w:type="dxa"/>
            <w:vAlign w:val="bottom"/>
            <w:tcBorders>
              <w:bottom w:val="single" w:sz="8" w:color="70AD47"/>
              <w:right w:val="single" w:sz="8" w:color="70AD47"/>
            </w:tcBorders>
            <w:gridSpan w:val="2"/>
            <w:shd w:val="clear" w:color="auto" w:fill="C6E0B4"/>
          </w:tcPr>
          <w:p>
            <w:pPr>
              <w:jc w:val="right"/>
              <w:spacing w:after="0"/>
              <w:rPr>
                <w:sz w:val="20"/>
                <w:szCs w:val="20"/>
                <w:color w:val="auto"/>
              </w:rPr>
            </w:pPr>
            <w:r>
              <w:rPr>
                <w:rFonts w:ascii="Arial" w:cs="Arial" w:eastAsia="Arial" w:hAnsi="Arial"/>
                <w:sz w:val="13"/>
                <w:szCs w:val="13"/>
                <w:color w:val="auto"/>
              </w:rPr>
              <w:t>1.1195</w:t>
            </w:r>
          </w:p>
        </w:tc>
        <w:tc>
          <w:tcPr>
            <w:tcW w:w="1580" w:type="dxa"/>
            <w:vAlign w:val="bottom"/>
            <w:tcBorders>
              <w:bottom w:val="single" w:sz="8" w:color="70AD47"/>
            </w:tcBorders>
            <w:gridSpan w:val="2"/>
          </w:tcPr>
          <w:p>
            <w:pPr>
              <w:jc w:val="right"/>
              <w:spacing w:after="0"/>
              <w:rPr>
                <w:sz w:val="20"/>
                <w:szCs w:val="20"/>
                <w:color w:val="auto"/>
              </w:rPr>
            </w:pPr>
            <w:r>
              <w:rPr>
                <w:rFonts w:ascii="Arial" w:cs="Arial" w:eastAsia="Arial" w:hAnsi="Arial"/>
                <w:sz w:val="13"/>
                <w:szCs w:val="13"/>
                <w:color w:val="auto"/>
              </w:rPr>
              <w:t>1.1810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5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3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Change in USD rate</w:t>
            </w:r>
          </w:p>
        </w:tc>
        <w:tc>
          <w:tcPr>
            <w:tcW w:w="2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Effect on loss before</w:t>
            </w:r>
          </w:p>
        </w:tc>
        <w:tc>
          <w:tcPr>
            <w:tcW w:w="2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Effect on pre-tax 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60" w:type="dxa"/>
            <w:vAlign w:val="bottom"/>
            <w:vMerge w:val="continue"/>
          </w:tcPr>
          <w:p>
            <w:pPr>
              <w:spacing w:after="0"/>
              <w:rPr>
                <w:sz w:val="13"/>
                <w:szCs w:val="13"/>
                <w:color w:val="auto"/>
              </w:rPr>
            </w:pPr>
          </w:p>
        </w:tc>
        <w:tc>
          <w:tcPr>
            <w:tcW w:w="3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0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58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56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60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tax</w:t>
            </w:r>
          </w:p>
        </w:tc>
        <w:tc>
          <w:tcPr>
            <w:tcW w:w="20" w:type="dxa"/>
            <w:vAlign w:val="bottom"/>
            <w:shd w:val="clear" w:color="auto" w:fill="70AD47"/>
          </w:tcPr>
          <w:p>
            <w:pPr>
              <w:spacing w:after="0"/>
              <w:rPr>
                <w:sz w:val="8"/>
                <w:szCs w:val="8"/>
                <w:color w:val="auto"/>
              </w:rPr>
            </w:pPr>
          </w:p>
        </w:tc>
        <w:tc>
          <w:tcPr>
            <w:tcW w:w="1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560" w:type="dxa"/>
            <w:vAlign w:val="bottom"/>
            <w:tcBorders>
              <w:bottom w:val="single" w:sz="8" w:color="70AD47"/>
            </w:tcBorders>
          </w:tcPr>
          <w:p>
            <w:pPr>
              <w:spacing w:after="0"/>
              <w:rPr>
                <w:sz w:val="6"/>
                <w:szCs w:val="6"/>
                <w:color w:val="auto"/>
              </w:rPr>
            </w:pPr>
          </w:p>
        </w:tc>
        <w:tc>
          <w:tcPr>
            <w:tcW w:w="3320" w:type="dxa"/>
            <w:vAlign w:val="bottom"/>
            <w:tcBorders>
              <w:bottom w:val="single" w:sz="8" w:color="70AD47"/>
            </w:tcBorders>
          </w:tcPr>
          <w:p>
            <w:pPr>
              <w:spacing w:after="0"/>
              <w:rPr>
                <w:sz w:val="6"/>
                <w:szCs w:val="6"/>
                <w:color w:val="auto"/>
              </w:rPr>
            </w:pPr>
          </w:p>
        </w:tc>
        <w:tc>
          <w:tcPr>
            <w:tcW w:w="1600" w:type="dxa"/>
            <w:vAlign w:val="bottom"/>
            <w:tcBorders>
              <w:bottom w:val="single" w:sz="8" w:color="70AD47"/>
            </w:tcBorders>
          </w:tcPr>
          <w:p>
            <w:pPr>
              <w:spacing w:after="0"/>
              <w:rPr>
                <w:sz w:val="6"/>
                <w:szCs w:val="6"/>
                <w:color w:val="auto"/>
              </w:rPr>
            </w:pPr>
          </w:p>
        </w:tc>
        <w:tc>
          <w:tcPr>
            <w:tcW w:w="20" w:type="dxa"/>
            <w:vAlign w:val="bottom"/>
            <w:tcBorders>
              <w:bottom w:val="single" w:sz="8" w:color="70AD47"/>
            </w:tcBorders>
            <w:shd w:val="clear" w:color="auto" w:fill="70AD47"/>
          </w:tcPr>
          <w:p>
            <w:pPr>
              <w:spacing w:after="0"/>
              <w:rPr>
                <w:sz w:val="6"/>
                <w:szCs w:val="6"/>
                <w:color w:val="auto"/>
              </w:rPr>
            </w:pPr>
          </w:p>
        </w:tc>
        <w:tc>
          <w:tcPr>
            <w:tcW w:w="1600" w:type="dxa"/>
            <w:vAlign w:val="bottom"/>
            <w:tcBorders>
              <w:bottom w:val="single" w:sz="8" w:color="70AD47"/>
            </w:tcBorders>
          </w:tcPr>
          <w:p>
            <w:pPr>
              <w:spacing w:after="0"/>
              <w:rPr>
                <w:sz w:val="6"/>
                <w:szCs w:val="6"/>
                <w:color w:val="auto"/>
              </w:rPr>
            </w:pPr>
          </w:p>
        </w:tc>
        <w:tc>
          <w:tcPr>
            <w:tcW w:w="20" w:type="dxa"/>
            <w:vAlign w:val="bottom"/>
            <w:tcBorders>
              <w:bottom w:val="single" w:sz="8" w:color="70AD47"/>
            </w:tcBorders>
            <w:shd w:val="clear" w:color="auto" w:fill="70AD47"/>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20" w:type="dxa"/>
            <w:vAlign w:val="bottom"/>
            <w:tcBorders>
              <w:bottom w:val="single" w:sz="8" w:color="70AD47"/>
            </w:tcBorders>
            <w:shd w:val="clear" w:color="auto" w:fill="70AD47"/>
          </w:tcPr>
          <w:p>
            <w:pPr>
              <w:spacing w:after="0"/>
              <w:rPr>
                <w:sz w:val="6"/>
                <w:szCs w:val="6"/>
                <w:color w:val="auto"/>
              </w:rPr>
            </w:pPr>
          </w:p>
        </w:tc>
        <w:tc>
          <w:tcPr>
            <w:tcW w:w="1560" w:type="dxa"/>
            <w:vAlign w:val="bottom"/>
            <w:tcBorders>
              <w:bottom w:val="single" w:sz="8" w:color="70AD47"/>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560" w:type="dxa"/>
            <w:vAlign w:val="bottom"/>
            <w:shd w:val="clear" w:color="auto" w:fill="C6E0B4"/>
          </w:tcPr>
          <w:p>
            <w:pPr>
              <w:spacing w:after="0"/>
              <w:rPr>
                <w:sz w:val="20"/>
                <w:szCs w:val="20"/>
                <w:color w:val="auto"/>
              </w:rPr>
            </w:pPr>
            <w:r>
              <w:rPr>
                <w:rFonts w:ascii="Arial" w:cs="Arial" w:eastAsia="Arial" w:hAnsi="Arial"/>
                <w:sz w:val="13"/>
                <w:szCs w:val="13"/>
                <w:color w:val="auto"/>
              </w:rPr>
              <w:t>2019</w:t>
            </w:r>
          </w:p>
        </w:tc>
        <w:tc>
          <w:tcPr>
            <w:tcW w:w="3320" w:type="dxa"/>
            <w:vAlign w:val="bottom"/>
            <w:tcBorders>
              <w:right w:val="single" w:sz="8" w:color="C6E0B4"/>
            </w:tcBorders>
            <w:shd w:val="clear" w:color="auto" w:fill="C6E0B4"/>
          </w:tcPr>
          <w:p>
            <w:pPr>
              <w:spacing w:after="0"/>
              <w:rPr>
                <w:sz w:val="13"/>
                <w:szCs w:val="13"/>
                <w:color w:val="auto"/>
              </w:rPr>
            </w:pPr>
          </w:p>
        </w:tc>
        <w:tc>
          <w:tcPr>
            <w:tcW w:w="1600" w:type="dxa"/>
            <w:vAlign w:val="bottom"/>
            <w:tcBorders>
              <w:right w:val="single" w:sz="8" w:color="C6E0B4"/>
            </w:tcBorders>
            <w:shd w:val="clear" w:color="auto" w:fill="C6E0B4"/>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600" w:type="dxa"/>
            <w:vAlign w:val="bottom"/>
            <w:tcBorders>
              <w:right w:val="single" w:sz="8" w:color="C6E0B4"/>
            </w:tcBorders>
            <w:shd w:val="clear" w:color="auto" w:fill="C6E0B4"/>
          </w:tcPr>
          <w:p>
            <w:pPr>
              <w:jc w:val="center"/>
              <w:spacing w:after="0"/>
              <w:rPr>
                <w:sz w:val="20"/>
                <w:szCs w:val="20"/>
                <w:color w:val="auto"/>
              </w:rPr>
            </w:pPr>
            <w:r>
              <w:rPr>
                <w:rFonts w:ascii="Arial" w:cs="Arial" w:eastAsia="Arial" w:hAnsi="Arial"/>
                <w:sz w:val="13"/>
                <w:szCs w:val="13"/>
                <w:color w:val="auto"/>
                <w:w w:val="93"/>
              </w:rPr>
              <w:t>+5 %</w:t>
            </w:r>
          </w:p>
        </w:tc>
        <w:tc>
          <w:tcPr>
            <w:tcW w:w="20" w:type="dxa"/>
            <w:vAlign w:val="bottom"/>
            <w:shd w:val="clear" w:color="auto" w:fill="70AD47"/>
          </w:tcPr>
          <w:p>
            <w:pPr>
              <w:spacing w:after="0"/>
              <w:rPr>
                <w:sz w:val="13"/>
                <w:szCs w:val="13"/>
                <w:color w:val="auto"/>
              </w:rPr>
            </w:pP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€(10,186)</w:t>
            </w:r>
          </w:p>
        </w:tc>
        <w:tc>
          <w:tcPr>
            <w:tcW w:w="20" w:type="dxa"/>
            <w:vAlign w:val="bottom"/>
            <w:shd w:val="clear" w:color="auto" w:fill="70AD47"/>
          </w:tcPr>
          <w:p>
            <w:pPr>
              <w:spacing w:after="0"/>
              <w:rPr>
                <w:sz w:val="13"/>
                <w:szCs w:val="13"/>
                <w:color w:val="auto"/>
              </w:rPr>
            </w:pPr>
          </w:p>
        </w:tc>
        <w:tc>
          <w:tcPr>
            <w:tcW w:w="15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€(10,186)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560" w:type="dxa"/>
            <w:vAlign w:val="bottom"/>
            <w:shd w:val="clear" w:color="auto" w:fill="C6E0B4"/>
          </w:tcPr>
          <w:p>
            <w:pPr>
              <w:spacing w:after="0"/>
              <w:rPr>
                <w:sz w:val="20"/>
                <w:szCs w:val="20"/>
                <w:color w:val="auto"/>
              </w:rPr>
            </w:pPr>
            <w:r>
              <w:rPr>
                <w:rFonts w:ascii="Arial" w:cs="Arial" w:eastAsia="Arial" w:hAnsi="Arial"/>
                <w:sz w:val="13"/>
                <w:szCs w:val="13"/>
                <w:color w:val="auto"/>
              </w:rPr>
              <w:t>2019</w:t>
            </w:r>
          </w:p>
        </w:tc>
        <w:tc>
          <w:tcPr>
            <w:tcW w:w="3320" w:type="dxa"/>
            <w:vAlign w:val="bottom"/>
            <w:tcBorders>
              <w:right w:val="single" w:sz="8" w:color="C6E0B4"/>
            </w:tcBorders>
            <w:shd w:val="clear" w:color="auto" w:fill="C6E0B4"/>
          </w:tcPr>
          <w:p>
            <w:pPr>
              <w:spacing w:after="0"/>
              <w:rPr>
                <w:sz w:val="14"/>
                <w:szCs w:val="14"/>
                <w:color w:val="auto"/>
              </w:rPr>
            </w:pPr>
          </w:p>
        </w:tc>
        <w:tc>
          <w:tcPr>
            <w:tcW w:w="1600" w:type="dxa"/>
            <w:vAlign w:val="bottom"/>
            <w:tcBorders>
              <w:right w:val="single" w:sz="8" w:color="C6E0B4"/>
            </w:tcBorders>
            <w:shd w:val="clear" w:color="auto" w:fill="C6E0B4"/>
          </w:tcPr>
          <w:p>
            <w:pPr>
              <w:spacing w:after="0"/>
              <w:rPr>
                <w:sz w:val="14"/>
                <w:szCs w:val="14"/>
                <w:color w:val="auto"/>
              </w:rPr>
            </w:pPr>
          </w:p>
        </w:tc>
        <w:tc>
          <w:tcPr>
            <w:tcW w:w="20" w:type="dxa"/>
            <w:vAlign w:val="bottom"/>
            <w:shd w:val="clear" w:color="auto" w:fill="70AD47"/>
          </w:tcPr>
          <w:p>
            <w:pPr>
              <w:spacing w:after="0"/>
              <w:rPr>
                <w:sz w:val="14"/>
                <w:szCs w:val="14"/>
                <w:color w:val="auto"/>
              </w:rPr>
            </w:pPr>
          </w:p>
        </w:tc>
        <w:tc>
          <w:tcPr>
            <w:tcW w:w="1600" w:type="dxa"/>
            <w:vAlign w:val="bottom"/>
            <w:tcBorders>
              <w:right w:val="single" w:sz="8" w:color="C6E0B4"/>
            </w:tcBorders>
            <w:shd w:val="clear" w:color="auto" w:fill="C6E0B4"/>
          </w:tcPr>
          <w:p>
            <w:pPr>
              <w:jc w:val="center"/>
              <w:spacing w:after="0"/>
              <w:rPr>
                <w:sz w:val="20"/>
                <w:szCs w:val="20"/>
                <w:color w:val="auto"/>
              </w:rPr>
            </w:pPr>
            <w:r>
              <w:rPr>
                <w:rFonts w:ascii="Arial" w:cs="Arial" w:eastAsia="Arial" w:hAnsi="Arial"/>
                <w:sz w:val="13"/>
                <w:szCs w:val="13"/>
                <w:color w:val="auto"/>
                <w:w w:val="94"/>
              </w:rPr>
              <w:t>-5%</w:t>
            </w:r>
          </w:p>
        </w:tc>
        <w:tc>
          <w:tcPr>
            <w:tcW w:w="20" w:type="dxa"/>
            <w:vAlign w:val="bottom"/>
            <w:shd w:val="clear" w:color="auto" w:fill="70AD47"/>
          </w:tcPr>
          <w:p>
            <w:pPr>
              <w:spacing w:after="0"/>
              <w:rPr>
                <w:sz w:val="14"/>
                <w:szCs w:val="14"/>
                <w:color w:val="auto"/>
              </w:rPr>
            </w:pPr>
          </w:p>
        </w:tc>
        <w:tc>
          <w:tcPr>
            <w:tcW w:w="1580" w:type="dxa"/>
            <w:vAlign w:val="bottom"/>
            <w:tcBorders>
              <w:right w:val="single" w:sz="8" w:color="C6E0B4"/>
            </w:tcBorders>
            <w:shd w:val="clear" w:color="auto" w:fill="C6E0B4"/>
          </w:tcPr>
          <w:p>
            <w:pPr>
              <w:jc w:val="right"/>
              <w:spacing w:after="0"/>
              <w:rPr>
                <w:sz w:val="20"/>
                <w:szCs w:val="20"/>
                <w:color w:val="auto"/>
              </w:rPr>
            </w:pPr>
            <w:r>
              <w:rPr>
                <w:rFonts w:ascii="Arial" w:cs="Arial" w:eastAsia="Arial" w:hAnsi="Arial"/>
                <w:sz w:val="13"/>
                <w:szCs w:val="13"/>
                <w:color w:val="auto"/>
              </w:rPr>
              <w:t>€11,259</w:t>
            </w:r>
          </w:p>
        </w:tc>
        <w:tc>
          <w:tcPr>
            <w:tcW w:w="20" w:type="dxa"/>
            <w:vAlign w:val="bottom"/>
            <w:shd w:val="clear" w:color="auto" w:fill="70AD47"/>
          </w:tcPr>
          <w:p>
            <w:pPr>
              <w:spacing w:after="0"/>
              <w:rPr>
                <w:sz w:val="14"/>
                <w:szCs w:val="14"/>
                <w:color w:val="auto"/>
              </w:rPr>
            </w:pPr>
          </w:p>
        </w:tc>
        <w:tc>
          <w:tcPr>
            <w:tcW w:w="15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€11,259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20"/>
                <w:szCs w:val="20"/>
                <w:color w:val="auto"/>
              </w:rPr>
            </w:pPr>
            <w:r>
              <w:rPr>
                <w:rFonts w:ascii="Arial" w:cs="Arial" w:eastAsia="Arial" w:hAnsi="Arial"/>
                <w:sz w:val="13"/>
                <w:szCs w:val="13"/>
                <w:color w:val="auto"/>
              </w:rPr>
              <w:t>2018</w:t>
            </w:r>
          </w:p>
        </w:tc>
        <w:tc>
          <w:tcPr>
            <w:tcW w:w="3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shd w:val="clear" w:color="auto" w:fill="70AD47"/>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3"/>
                <w:szCs w:val="13"/>
                <w:color w:val="auto"/>
                <w:w w:val="93"/>
              </w:rPr>
              <w:t>+5 %</w:t>
            </w:r>
          </w:p>
        </w:tc>
        <w:tc>
          <w:tcPr>
            <w:tcW w:w="20" w:type="dxa"/>
            <w:vAlign w:val="bottom"/>
            <w:shd w:val="clear" w:color="auto" w:fill="70AD47"/>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€(8,399)</w:t>
            </w:r>
          </w:p>
        </w:tc>
        <w:tc>
          <w:tcPr>
            <w:tcW w:w="20" w:type="dxa"/>
            <w:vAlign w:val="bottom"/>
            <w:shd w:val="clear" w:color="auto" w:fill="70AD47"/>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€(8,399)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6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2018</w:t>
            </w:r>
          </w:p>
        </w:tc>
        <w:tc>
          <w:tcPr>
            <w:tcW w:w="3320" w:type="dxa"/>
            <w:vAlign w:val="bottom"/>
            <w:tcBorders>
              <w:bottom w:val="single" w:sz="8" w:color="70AD47"/>
            </w:tcBorders>
          </w:tcPr>
          <w:p>
            <w:pPr>
              <w:spacing w:after="0"/>
              <w:rPr>
                <w:sz w:val="14"/>
                <w:szCs w:val="14"/>
                <w:color w:val="auto"/>
              </w:rPr>
            </w:pPr>
          </w:p>
        </w:tc>
        <w:tc>
          <w:tcPr>
            <w:tcW w:w="1600" w:type="dxa"/>
            <w:vAlign w:val="bottom"/>
            <w:tcBorders>
              <w:bottom w:val="single" w:sz="8" w:color="70AD47"/>
            </w:tcBorders>
          </w:tcPr>
          <w:p>
            <w:pPr>
              <w:spacing w:after="0"/>
              <w:rPr>
                <w:sz w:val="14"/>
                <w:szCs w:val="14"/>
                <w:color w:val="auto"/>
              </w:rPr>
            </w:pPr>
          </w:p>
        </w:tc>
        <w:tc>
          <w:tcPr>
            <w:tcW w:w="20" w:type="dxa"/>
            <w:vAlign w:val="bottom"/>
            <w:tcBorders>
              <w:bottom w:val="single" w:sz="8" w:color="70AD47"/>
            </w:tcBorders>
            <w:shd w:val="clear" w:color="auto" w:fill="70AD47"/>
          </w:tcPr>
          <w:p>
            <w:pPr>
              <w:spacing w:after="0"/>
              <w:rPr>
                <w:sz w:val="14"/>
                <w:szCs w:val="14"/>
                <w:color w:val="auto"/>
              </w:rPr>
            </w:pPr>
          </w:p>
        </w:tc>
        <w:tc>
          <w:tcPr>
            <w:tcW w:w="1600" w:type="dxa"/>
            <w:vAlign w:val="bottom"/>
            <w:tcBorders>
              <w:bottom w:val="single" w:sz="8" w:color="70AD47"/>
            </w:tcBorders>
          </w:tcPr>
          <w:p>
            <w:pPr>
              <w:jc w:val="center"/>
              <w:spacing w:after="0"/>
              <w:rPr>
                <w:sz w:val="20"/>
                <w:szCs w:val="20"/>
                <w:color w:val="auto"/>
              </w:rPr>
            </w:pPr>
            <w:r>
              <w:rPr>
                <w:rFonts w:ascii="Arial" w:cs="Arial" w:eastAsia="Arial" w:hAnsi="Arial"/>
                <w:sz w:val="13"/>
                <w:szCs w:val="13"/>
                <w:color w:val="auto"/>
                <w:w w:val="94"/>
              </w:rPr>
              <w:t>-5%</w:t>
            </w:r>
          </w:p>
        </w:tc>
        <w:tc>
          <w:tcPr>
            <w:tcW w:w="20" w:type="dxa"/>
            <w:vAlign w:val="bottom"/>
            <w:tcBorders>
              <w:bottom w:val="single" w:sz="8" w:color="70AD47"/>
            </w:tcBorders>
            <w:shd w:val="clear" w:color="auto" w:fill="70AD47"/>
          </w:tcPr>
          <w:p>
            <w:pPr>
              <w:spacing w:after="0"/>
              <w:rPr>
                <w:sz w:val="14"/>
                <w:szCs w:val="14"/>
                <w:color w:val="auto"/>
              </w:rPr>
            </w:pP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€9,283</w:t>
            </w:r>
          </w:p>
        </w:tc>
        <w:tc>
          <w:tcPr>
            <w:tcW w:w="20" w:type="dxa"/>
            <w:vAlign w:val="bottom"/>
            <w:tcBorders>
              <w:bottom w:val="single" w:sz="8" w:color="70AD47"/>
            </w:tcBorders>
            <w:shd w:val="clear" w:color="auto" w:fill="70AD47"/>
          </w:tcPr>
          <w:p>
            <w:pPr>
              <w:spacing w:after="0"/>
              <w:rPr>
                <w:sz w:val="14"/>
                <w:szCs w:val="14"/>
                <w:color w:val="auto"/>
              </w:rPr>
            </w:pP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€9,283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1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0" w:type="dxa"/>
            <w:vAlign w:val="bottom"/>
          </w:tcPr>
          <w:p>
            <w:pPr>
              <w:jc w:val="right"/>
              <w:ind w:right="653"/>
              <w:spacing w:after="0"/>
              <w:rPr>
                <w:sz w:val="20"/>
                <w:szCs w:val="20"/>
                <w:color w:val="auto"/>
              </w:rPr>
            </w:pPr>
            <w:r>
              <w:rPr>
                <w:rFonts w:ascii="Arial" w:cs="Arial" w:eastAsia="Arial" w:hAnsi="Arial"/>
                <w:sz w:val="13"/>
                <w:szCs w:val="13"/>
                <w:color w:val="auto"/>
              </w:rPr>
              <w:t>F-34</w:t>
            </w: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560" w:type="dxa"/>
            <w:vAlign w:val="bottom"/>
            <w:tcBorders>
              <w:bottom w:val="single" w:sz="8" w:color="9A9A9A"/>
            </w:tcBorders>
          </w:tcPr>
          <w:p>
            <w:pPr>
              <w:spacing w:after="0"/>
              <w:rPr>
                <w:sz w:val="6"/>
                <w:szCs w:val="6"/>
                <w:color w:val="auto"/>
              </w:rPr>
            </w:pPr>
          </w:p>
        </w:tc>
        <w:tc>
          <w:tcPr>
            <w:tcW w:w="332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451" w:right="299" w:bottom="1440" w:gutter="0" w:footer="0" w:header="0"/>
        </w:sectPr>
      </w:pPr>
    </w:p>
    <w:bookmarkStart w:id="298" w:name="page299"/>
    <w:bookmarkEnd w:id="298"/>
    <w:p>
      <w:pPr>
        <w:spacing w:after="0"/>
        <w:tabs>
          <w:tab w:leader="none" w:pos="780" w:val="left"/>
        </w:tabs>
        <w:rPr>
          <w:sz w:val="20"/>
          <w:szCs w:val="20"/>
          <w:color w:val="auto"/>
        </w:rPr>
      </w:pPr>
      <w:r>
        <w:rPr>
          <w:rFonts w:ascii="Arial" w:cs="Arial" w:eastAsia="Arial" w:hAnsi="Arial"/>
          <w:sz w:val="13"/>
          <w:szCs w:val="13"/>
          <w:b w:val="1"/>
          <w:bCs w:val="1"/>
          <w:color w:val="auto"/>
        </w:rPr>
        <w:t>12.6</w:t>
      </w:r>
      <w:r>
        <w:rPr>
          <w:sz w:val="20"/>
          <w:szCs w:val="20"/>
          <w:color w:val="auto"/>
        </w:rPr>
        <w:tab/>
      </w:r>
      <w:r>
        <w:rPr>
          <w:rFonts w:ascii="Arial" w:cs="Arial" w:eastAsia="Arial" w:hAnsi="Arial"/>
          <w:sz w:val="12"/>
          <w:szCs w:val="12"/>
          <w:b w:val="1"/>
          <w:bCs w:val="1"/>
          <w:color w:val="auto"/>
        </w:rPr>
        <w:t>Credit Risk Management</w:t>
      </w:r>
    </w:p>
    <w:p>
      <w:pPr>
        <w:spacing w:after="0" w:line="94"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Credit risk is the risk that a counterparty will not meet its obligations under a financial instrument or customer contract, leading to a financial loss. The Group is exposed to credit risk from its operating activities, including deposits with banks and financial institutions, foreign exchange transactions and trade accounts receivable.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Trade Receivables and Contract Assets</w:t>
      </w:r>
    </w:p>
    <w:p>
      <w:pPr>
        <w:spacing w:after="0" w:line="94" w:lineRule="exact"/>
        <w:rPr>
          <w:sz w:val="20"/>
          <w:szCs w:val="20"/>
          <w:color w:val="auto"/>
        </w:rPr>
      </w:pPr>
    </w:p>
    <w:p>
      <w:pPr>
        <w:ind w:right="200" w:firstLine="556"/>
        <w:spacing w:after="0" w:line="304" w:lineRule="auto"/>
        <w:rPr>
          <w:sz w:val="20"/>
          <w:szCs w:val="20"/>
          <w:color w:val="auto"/>
        </w:rPr>
      </w:pPr>
      <w:r>
        <w:rPr>
          <w:rFonts w:ascii="Arial" w:cs="Arial" w:eastAsia="Arial" w:hAnsi="Arial"/>
          <w:sz w:val="12"/>
          <w:szCs w:val="12"/>
          <w:color w:val="auto"/>
        </w:rPr>
        <w:t>The Group’s exposure to credit risk of trade receivables and contract assets is primarily on transactions with corporate customers in the biopharma/biotech industry that operate in Germany or in the United States. An analysis of the aging of receivables and the creditworthiness of customers is used to evaluate this risk at each reporting date. The Group follows risk control procedures to assess the credit quality of the customers taking into account their financial position, past experience and other factors. The compliance with credit limits by corporate customers is regularly monitored by management.</w:t>
      </w:r>
    </w:p>
    <w:p>
      <w:pPr>
        <w:spacing w:after="0" w:line="116" w:lineRule="exact"/>
        <w:rPr>
          <w:sz w:val="20"/>
          <w:szCs w:val="20"/>
          <w:color w:val="auto"/>
        </w:rPr>
      </w:pPr>
    </w:p>
    <w:p>
      <w:pPr>
        <w:jc w:val="both"/>
        <w:ind w:right="160" w:firstLine="556"/>
        <w:spacing w:after="0" w:line="287" w:lineRule="auto"/>
        <w:rPr>
          <w:sz w:val="20"/>
          <w:szCs w:val="20"/>
          <w:color w:val="auto"/>
        </w:rPr>
      </w:pPr>
      <w:r>
        <w:rPr>
          <w:rFonts w:ascii="Arial" w:cs="Arial" w:eastAsia="Arial" w:hAnsi="Arial"/>
          <w:sz w:val="13"/>
          <w:szCs w:val="13"/>
          <w:color w:val="auto"/>
        </w:rPr>
        <w:t>The credit risk on trade receivables and contract assets is very low as the customer portfolio of BioNTech mainly consists of medical universities, other public institutions and peers in the biopharma industry, which all have a very high credit rating and the group has not incurred bad debt expense. BioNTech does not expect that its customer portfolio will change.</w:t>
      </w:r>
    </w:p>
    <w:p>
      <w:pPr>
        <w:spacing w:after="0" w:line="122" w:lineRule="exact"/>
        <w:rPr>
          <w:sz w:val="20"/>
          <w:szCs w:val="20"/>
          <w:color w:val="auto"/>
        </w:rPr>
      </w:pPr>
    </w:p>
    <w:p>
      <w:pPr>
        <w:ind w:firstLine="556"/>
        <w:spacing w:after="0" w:line="287" w:lineRule="auto"/>
        <w:rPr>
          <w:sz w:val="20"/>
          <w:szCs w:val="20"/>
          <w:color w:val="auto"/>
        </w:rPr>
      </w:pPr>
      <w:r>
        <w:rPr>
          <w:rFonts w:ascii="Arial" w:cs="Arial" w:eastAsia="Arial" w:hAnsi="Arial"/>
          <w:sz w:val="13"/>
          <w:szCs w:val="13"/>
          <w:color w:val="auto"/>
        </w:rPr>
        <w:t>Generally, trade receivables are written off if past due for more than one year and are not subject to enforcement activity. The maximum exposure to credit risk at the reporting date is the carrying value of each class of financial assets disclosed in Note 12.2. The Group does not hold collateral as security.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Cash Deposits</w:t>
      </w:r>
    </w:p>
    <w:p>
      <w:pPr>
        <w:spacing w:after="0" w:line="94" w:lineRule="exact"/>
        <w:rPr>
          <w:sz w:val="20"/>
          <w:szCs w:val="20"/>
          <w:color w:val="auto"/>
        </w:rPr>
      </w:pPr>
    </w:p>
    <w:p>
      <w:pPr>
        <w:ind w:right="220" w:firstLine="556"/>
        <w:spacing w:after="0" w:line="287" w:lineRule="auto"/>
        <w:rPr>
          <w:sz w:val="20"/>
          <w:szCs w:val="20"/>
          <w:color w:val="auto"/>
        </w:rPr>
      </w:pPr>
      <w:r>
        <w:rPr>
          <w:rFonts w:ascii="Arial" w:cs="Arial" w:eastAsia="Arial" w:hAnsi="Arial"/>
          <w:sz w:val="13"/>
          <w:szCs w:val="13"/>
          <w:color w:val="auto"/>
        </w:rPr>
        <w:t>Credit risk from balances with banks and financial institutions is managed by the Group’s controlling department in accordance with the Group’s policy. Investments of surplus funds are made only with banks.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Credit risk stemming from cash and deposits is very 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Group’s maximum exposure to credit risk for the components of the statements of financial position at December 31, 2019 and December 31, 2018 are the carrying amounts as illustrated in Note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12.1.</w:t>
      </w:r>
    </w:p>
    <w:p>
      <w:pPr>
        <w:spacing w:after="0" w:line="23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12.7</w:t>
      </w:r>
      <w:r>
        <w:rPr>
          <w:sz w:val="20"/>
          <w:szCs w:val="20"/>
          <w:color w:val="auto"/>
        </w:rPr>
        <w:tab/>
      </w:r>
      <w:r>
        <w:rPr>
          <w:rFonts w:ascii="Arial" w:cs="Arial" w:eastAsia="Arial" w:hAnsi="Arial"/>
          <w:sz w:val="12"/>
          <w:szCs w:val="12"/>
          <w:b w:val="1"/>
          <w:bCs w:val="1"/>
          <w:color w:val="auto"/>
        </w:rPr>
        <w:t>Liquidity Risk</w:t>
      </w:r>
    </w:p>
    <w:p>
      <w:pPr>
        <w:spacing w:after="0" w:line="94" w:lineRule="exact"/>
        <w:rPr>
          <w:sz w:val="20"/>
          <w:szCs w:val="20"/>
          <w:color w:val="auto"/>
        </w:rPr>
      </w:pPr>
    </w:p>
    <w:p>
      <w:pPr>
        <w:jc w:val="both"/>
        <w:ind w:right="180" w:firstLine="556"/>
        <w:spacing w:after="0" w:line="272" w:lineRule="auto"/>
        <w:rPr>
          <w:sz w:val="20"/>
          <w:szCs w:val="20"/>
          <w:color w:val="auto"/>
        </w:rPr>
      </w:pPr>
      <w:r>
        <w:rPr>
          <w:rFonts w:ascii="Arial" w:cs="Arial" w:eastAsia="Arial" w:hAnsi="Arial"/>
          <w:sz w:val="13"/>
          <w:szCs w:val="13"/>
          <w:color w:val="auto"/>
        </w:rPr>
        <w:t>Generally, BioNTech has relied on the financing from shareholders and collaborators in order to ensure sufficient liquidity. Lack of external financial support could pose a risk of going concern. The liquidity management of BioNTech ensures the availability of cash and cash equivalents for operational activities and further investments through appropriate budget planning. In addition, a sufficient level of cash and cash equivalents, which is managed centrally, is always maintained to finance the operational activities.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Group monitors liquidity risks using a liquidity planning tool.</w:t>
      </w:r>
    </w:p>
    <w:p>
      <w:pPr>
        <w:spacing w:after="0" w:line="170" w:lineRule="exact"/>
        <w:rPr>
          <w:sz w:val="20"/>
          <w:szCs w:val="20"/>
          <w:color w:val="auto"/>
        </w:rPr>
      </w:pPr>
    </w:p>
    <w:p>
      <w:pPr>
        <w:ind w:right="160" w:firstLine="556"/>
        <w:spacing w:after="0" w:line="272" w:lineRule="auto"/>
        <w:rPr>
          <w:sz w:val="20"/>
          <w:szCs w:val="20"/>
          <w:color w:val="auto"/>
        </w:rPr>
      </w:pPr>
      <w:r>
        <w:rPr>
          <w:rFonts w:ascii="Arial" w:cs="Arial" w:eastAsia="Arial" w:hAnsi="Arial"/>
          <w:sz w:val="13"/>
          <w:szCs w:val="13"/>
          <w:color w:val="auto"/>
        </w:rPr>
        <w:t>Ultimately, the responsibility for liquidity risk management lies with the management, which has established an appropriate approach to managing short-, medium- and long-term financing and liquidity requirements. BioNTech manages liquidity risks by holding appropriate reserves, as well as by monitoring forecasted and actual cash flows and reconciling the maturity profiles of financial assets and liabilities.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 Concentration</w:t>
      </w:r>
    </w:p>
    <w:p>
      <w:pPr>
        <w:spacing w:after="0" w:line="94"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Concentrations arise when a number of counterparties are engaged in similar business activities, or activities in the same geographical region, or have economic features that would cause their ability to meet contractual obligations to be similarly affected by changes in economic, political or other conditions. Concentrations indicate the relative sensitivity of the Group’s performance to developments affecting a particular industry.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397" w:right="339" w:bottom="1440" w:gutter="0" w:footer="0" w:header="0"/>
        </w:sectPr>
      </w:pPr>
    </w:p>
    <w:bookmarkStart w:id="299" w:name="page300"/>
    <w:bookmarkEnd w:id="299"/>
    <w:p>
      <w:pPr>
        <w:ind w:right="500" w:firstLine="556"/>
        <w:spacing w:after="0" w:line="287" w:lineRule="auto"/>
        <w:rPr>
          <w:sz w:val="20"/>
          <w:szCs w:val="20"/>
          <w:color w:val="auto"/>
        </w:rPr>
      </w:pPr>
      <w:r>
        <w:rPr>
          <w:rFonts w:ascii="Arial" w:cs="Arial" w:eastAsia="Arial" w:hAnsi="Arial"/>
          <w:sz w:val="13"/>
          <w:szCs w:val="13"/>
          <w:color w:val="auto"/>
        </w:rPr>
        <w:t>In order to avoid concentrations of risk, the Group’s policies and procedures include specific guidelines to focus on the maintenance of an effective diversification in the sources of funding and distribution of cash deposits. Identified concentrations of credit risks are controlled and managed accordingly.</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maturity profile of the Group’s financial liabilities based on contractual undiscounted payments is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20"/>
                <w:szCs w:val="20"/>
                <w:color w:val="auto"/>
              </w:rPr>
            </w:pPr>
            <w:r>
              <w:rPr>
                <w:rFonts w:ascii="Arial" w:cs="Arial" w:eastAsia="Arial" w:hAnsi="Arial"/>
                <w:sz w:val="13"/>
                <w:szCs w:val="13"/>
                <w:b w:val="1"/>
                <w:bCs w:val="1"/>
                <w:color w:val="auto"/>
              </w:rPr>
              <w:t>Year ended December 31, 2019</w:t>
            </w:r>
          </w:p>
        </w:tc>
        <w:tc>
          <w:tcPr>
            <w:tcW w:w="15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5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Less than 1 year</w:t>
            </w:r>
          </w:p>
        </w:tc>
        <w:tc>
          <w:tcPr>
            <w:tcW w:w="1880" w:type="dxa"/>
            <w:vAlign w:val="bottom"/>
            <w:tcBorders>
              <w:bottom w:val="single" w:sz="8" w:color="70AD47"/>
            </w:tcBorders>
            <w:shd w:val="clear" w:color="auto" w:fill="C6E0B4"/>
          </w:tcPr>
          <w:p>
            <w:pPr>
              <w:jc w:val="right"/>
              <w:ind w:right="213"/>
              <w:spacing w:after="0"/>
              <w:rPr>
                <w:sz w:val="20"/>
                <w:szCs w:val="20"/>
                <w:color w:val="auto"/>
              </w:rPr>
            </w:pPr>
            <w:r>
              <w:rPr>
                <w:rFonts w:ascii="Arial" w:cs="Arial" w:eastAsia="Arial" w:hAnsi="Arial"/>
                <w:sz w:val="13"/>
                <w:szCs w:val="13"/>
                <w:b w:val="1"/>
                <w:bCs w:val="1"/>
                <w:color w:val="auto"/>
              </w:rPr>
              <w:t>1 to 5 years</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More than 5 years</w:t>
            </w:r>
          </w:p>
        </w:tc>
        <w:tc>
          <w:tcPr>
            <w:tcW w:w="20" w:type="dxa"/>
            <w:vAlign w:val="bottom"/>
            <w:tcBorders>
              <w:bottom w:val="single" w:sz="8" w:color="70AD47"/>
            </w:tcBorders>
            <w:shd w:val="clear" w:color="auto" w:fill="C6E0B4"/>
          </w:tcPr>
          <w:p>
            <w:pPr>
              <w:spacing w:after="0"/>
              <w:rPr>
                <w:sz w:val="14"/>
                <w:szCs w:val="14"/>
                <w:color w:val="auto"/>
              </w:rPr>
            </w:pPr>
          </w:p>
        </w:tc>
        <w:tc>
          <w:tcPr>
            <w:tcW w:w="15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49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Interest bearing loans and borrowings</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€2,220</w:t>
            </w:r>
          </w:p>
        </w:tc>
        <w:tc>
          <w:tcPr>
            <w:tcW w:w="1880" w:type="dxa"/>
            <w:vAlign w:val="bottom"/>
            <w:shd w:val="clear" w:color="auto" w:fill="C6E0B4"/>
          </w:tcPr>
          <w:p>
            <w:pPr>
              <w:jc w:val="right"/>
              <w:ind w:right="213"/>
              <w:spacing w:after="0"/>
              <w:rPr>
                <w:sz w:val="20"/>
                <w:szCs w:val="20"/>
                <w:color w:val="auto"/>
              </w:rPr>
            </w:pPr>
            <w:r>
              <w:rPr>
                <w:rFonts w:ascii="Arial" w:cs="Arial" w:eastAsia="Arial" w:hAnsi="Arial"/>
                <w:sz w:val="13"/>
                <w:szCs w:val="13"/>
                <w:color w:val="auto"/>
              </w:rPr>
              <w:t>€10,693</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€8,355</w:t>
            </w:r>
          </w:p>
        </w:tc>
        <w:tc>
          <w:tcPr>
            <w:tcW w:w="20" w:type="dxa"/>
            <w:vAlign w:val="bottom"/>
            <w:shd w:val="clear" w:color="auto" w:fill="C6E0B4"/>
          </w:tcPr>
          <w:p>
            <w:pPr>
              <w:spacing w:after="0"/>
              <w:rPr>
                <w:sz w:val="13"/>
                <w:szCs w:val="13"/>
                <w:color w:val="auto"/>
              </w:rPr>
            </w:pPr>
          </w:p>
        </w:tc>
        <w:tc>
          <w:tcPr>
            <w:tcW w:w="15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€21,268</w:t>
            </w:r>
          </w:p>
        </w:tc>
        <w:tc>
          <w:tcPr>
            <w:tcW w:w="0" w:type="dxa"/>
            <w:vAlign w:val="bottom"/>
          </w:tcPr>
          <w:p>
            <w:pPr>
              <w:spacing w:after="0"/>
              <w:rPr>
                <w:sz w:val="1"/>
                <w:szCs w:val="1"/>
                <w:color w:val="auto"/>
              </w:rPr>
            </w:pPr>
          </w:p>
        </w:tc>
      </w:tr>
      <w:tr>
        <w:trPr>
          <w:trHeight w:val="170"/>
        </w:trPr>
        <w:tc>
          <w:tcPr>
            <w:tcW w:w="49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Trade and other payables</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€20,498</w:t>
            </w:r>
          </w:p>
        </w:tc>
        <w:tc>
          <w:tcPr>
            <w:tcW w:w="1880" w:type="dxa"/>
            <w:vAlign w:val="bottom"/>
            <w:shd w:val="clear" w:color="auto" w:fill="C6E0B4"/>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6E0B4"/>
          </w:tcPr>
          <w:p>
            <w:pPr>
              <w:spacing w:after="0"/>
              <w:rPr>
                <w:sz w:val="14"/>
                <w:szCs w:val="14"/>
                <w:color w:val="auto"/>
              </w:rPr>
            </w:pPr>
          </w:p>
        </w:tc>
        <w:tc>
          <w:tcPr>
            <w:tcW w:w="15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€20,498</w:t>
            </w:r>
          </w:p>
        </w:tc>
        <w:tc>
          <w:tcPr>
            <w:tcW w:w="0" w:type="dxa"/>
            <w:vAlign w:val="bottom"/>
          </w:tcPr>
          <w:p>
            <w:pPr>
              <w:spacing w:after="0"/>
              <w:rPr>
                <w:sz w:val="1"/>
                <w:szCs w:val="1"/>
                <w:color w:val="auto"/>
              </w:rPr>
            </w:pPr>
          </w:p>
        </w:tc>
      </w:tr>
      <w:tr>
        <w:trPr>
          <w:trHeight w:val="167"/>
        </w:trPr>
        <w:tc>
          <w:tcPr>
            <w:tcW w:w="49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Lease liabilities</w:t>
            </w:r>
          </w:p>
        </w:tc>
        <w:tc>
          <w:tcPr>
            <w:tcW w:w="15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€5,176</w:t>
            </w:r>
          </w:p>
        </w:tc>
        <w:tc>
          <w:tcPr>
            <w:tcW w:w="1880" w:type="dxa"/>
            <w:vAlign w:val="bottom"/>
            <w:shd w:val="clear" w:color="auto" w:fill="C6E0B4"/>
          </w:tcPr>
          <w:p>
            <w:pPr>
              <w:jc w:val="right"/>
              <w:ind w:right="213"/>
              <w:spacing w:after="0"/>
              <w:rPr>
                <w:sz w:val="20"/>
                <w:szCs w:val="20"/>
                <w:color w:val="auto"/>
              </w:rPr>
            </w:pPr>
            <w:r>
              <w:rPr>
                <w:rFonts w:ascii="Arial" w:cs="Arial" w:eastAsia="Arial" w:hAnsi="Arial"/>
                <w:sz w:val="13"/>
                <w:szCs w:val="13"/>
                <w:color w:val="auto"/>
              </w:rPr>
              <w:t>€17,882</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€55,852</w:t>
            </w:r>
          </w:p>
        </w:tc>
        <w:tc>
          <w:tcPr>
            <w:tcW w:w="20" w:type="dxa"/>
            <w:vAlign w:val="bottom"/>
            <w:shd w:val="clear" w:color="auto" w:fill="C6E0B4"/>
          </w:tcPr>
          <w:p>
            <w:pPr>
              <w:spacing w:after="0"/>
              <w:rPr>
                <w:sz w:val="14"/>
                <w:szCs w:val="14"/>
                <w:color w:val="auto"/>
              </w:rPr>
            </w:pPr>
          </w:p>
        </w:tc>
        <w:tc>
          <w:tcPr>
            <w:tcW w:w="15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€78,910</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Other financial liabilities</w:t>
            </w:r>
          </w:p>
        </w:tc>
        <w:tc>
          <w:tcPr>
            <w:tcW w:w="15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€10,351</w:t>
            </w:r>
          </w:p>
        </w:tc>
        <w:tc>
          <w:tcPr>
            <w:tcW w:w="1880" w:type="dxa"/>
            <w:vAlign w:val="bottom"/>
            <w:tcBorders>
              <w:bottom w:val="single" w:sz="8" w:color="70AD47"/>
            </w:tcBorders>
            <w:shd w:val="clear" w:color="auto" w:fill="C6E0B4"/>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C6E0B4"/>
          </w:tcPr>
          <w:p>
            <w:pPr>
              <w:spacing w:after="0"/>
              <w:rPr>
                <w:sz w:val="15"/>
                <w:szCs w:val="15"/>
                <w:color w:val="auto"/>
              </w:rPr>
            </w:pPr>
          </w:p>
        </w:tc>
        <w:tc>
          <w:tcPr>
            <w:tcW w:w="15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€10,351</w:t>
            </w:r>
          </w:p>
        </w:tc>
        <w:tc>
          <w:tcPr>
            <w:tcW w:w="0" w:type="dxa"/>
            <w:vAlign w:val="bottom"/>
          </w:tcPr>
          <w:p>
            <w:pPr>
              <w:spacing w:after="0"/>
              <w:rPr>
                <w:sz w:val="1"/>
                <w:szCs w:val="1"/>
                <w:color w:val="auto"/>
              </w:rPr>
            </w:pPr>
          </w:p>
        </w:tc>
      </w:tr>
      <w:tr>
        <w:trPr>
          <w:trHeight w:val="160"/>
        </w:trPr>
        <w:tc>
          <w:tcPr>
            <w:tcW w:w="49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158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€38,245</w:t>
            </w:r>
          </w:p>
        </w:tc>
        <w:tc>
          <w:tcPr>
            <w:tcW w:w="1880" w:type="dxa"/>
            <w:vAlign w:val="bottom"/>
            <w:tcBorders>
              <w:bottom w:val="single" w:sz="8" w:color="70AD47"/>
            </w:tcBorders>
            <w:shd w:val="clear" w:color="auto" w:fill="C6E0B4"/>
          </w:tcPr>
          <w:p>
            <w:pPr>
              <w:jc w:val="right"/>
              <w:ind w:right="213"/>
              <w:spacing w:after="0"/>
              <w:rPr>
                <w:sz w:val="20"/>
                <w:szCs w:val="20"/>
                <w:color w:val="auto"/>
              </w:rPr>
            </w:pPr>
            <w:r>
              <w:rPr>
                <w:rFonts w:ascii="Arial" w:cs="Arial" w:eastAsia="Arial" w:hAnsi="Arial"/>
                <w:sz w:val="13"/>
                <w:szCs w:val="13"/>
                <w:b w:val="1"/>
                <w:bCs w:val="1"/>
                <w:color w:val="auto"/>
              </w:rPr>
              <w:t>€28,575</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€64,207</w:t>
            </w:r>
          </w:p>
        </w:tc>
        <w:tc>
          <w:tcPr>
            <w:tcW w:w="20" w:type="dxa"/>
            <w:vAlign w:val="bottom"/>
            <w:tcBorders>
              <w:bottom w:val="single" w:sz="8" w:color="70AD47"/>
            </w:tcBorders>
            <w:shd w:val="clear" w:color="auto" w:fill="C6E0B4"/>
          </w:tcPr>
          <w:p>
            <w:pPr>
              <w:spacing w:after="0"/>
              <w:rPr>
                <w:sz w:val="13"/>
                <w:szCs w:val="13"/>
                <w:color w:val="auto"/>
              </w:rPr>
            </w:pPr>
          </w:p>
        </w:tc>
        <w:tc>
          <w:tcPr>
            <w:tcW w:w="15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€131,027</w:t>
            </w:r>
          </w:p>
        </w:tc>
        <w:tc>
          <w:tcPr>
            <w:tcW w:w="0" w:type="dxa"/>
            <w:vAlign w:val="bottom"/>
          </w:tcPr>
          <w:p>
            <w:pPr>
              <w:spacing w:after="0"/>
              <w:rPr>
                <w:sz w:val="1"/>
                <w:szCs w:val="1"/>
                <w:color w:val="auto"/>
              </w:rPr>
            </w:pPr>
          </w:p>
        </w:tc>
      </w:tr>
      <w:tr>
        <w:trPr>
          <w:trHeight w:val="320"/>
        </w:trPr>
        <w:tc>
          <w:tcPr>
            <w:tcW w:w="4900" w:type="dxa"/>
            <w:vAlign w:val="bottom"/>
          </w:tcPr>
          <w:p>
            <w:pPr>
              <w:spacing w:after="0"/>
              <w:rPr>
                <w:sz w:val="20"/>
                <w:szCs w:val="20"/>
                <w:color w:val="auto"/>
              </w:rPr>
            </w:pPr>
            <w:r>
              <w:rPr>
                <w:rFonts w:ascii="Arial" w:cs="Arial" w:eastAsia="Arial" w:hAnsi="Arial"/>
                <w:sz w:val="13"/>
                <w:szCs w:val="13"/>
                <w:b w:val="1"/>
                <w:bCs w:val="1"/>
                <w:color w:val="auto"/>
              </w:rPr>
              <w:t>Year ended December 31, 2018</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Less than 1 year</w:t>
            </w:r>
          </w:p>
        </w:tc>
        <w:tc>
          <w:tcPr>
            <w:tcW w:w="188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1 to 5 years</w:t>
            </w: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More than 5 years</w:t>
            </w:r>
          </w:p>
        </w:tc>
        <w:tc>
          <w:tcPr>
            <w:tcW w:w="2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9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i w:val="1"/>
                <w:iCs w:val="1"/>
                <w:color w:val="auto"/>
              </w:rPr>
              <w:t>(in thousands)</w:t>
            </w:r>
          </w:p>
        </w:tc>
        <w:tc>
          <w:tcPr>
            <w:tcW w:w="1580" w:type="dxa"/>
            <w:vAlign w:val="bottom"/>
            <w:tcBorders>
              <w:bottom w:val="single" w:sz="8" w:color="70AD47"/>
            </w:tcBorders>
            <w:vMerge w:val="continue"/>
          </w:tcPr>
          <w:p>
            <w:pPr>
              <w:spacing w:after="0"/>
              <w:rPr>
                <w:sz w:val="14"/>
                <w:szCs w:val="14"/>
                <w:color w:val="auto"/>
              </w:rPr>
            </w:pPr>
          </w:p>
        </w:tc>
        <w:tc>
          <w:tcPr>
            <w:tcW w:w="1880" w:type="dxa"/>
            <w:vAlign w:val="bottom"/>
            <w:tcBorders>
              <w:bottom w:val="single" w:sz="8" w:color="70AD47"/>
            </w:tcBorders>
            <w:vMerge w:val="continue"/>
          </w:tcPr>
          <w:p>
            <w:pPr>
              <w:spacing w:after="0"/>
              <w:rPr>
                <w:sz w:val="14"/>
                <w:szCs w:val="14"/>
                <w:color w:val="auto"/>
              </w:rPr>
            </w:pPr>
          </w:p>
        </w:tc>
        <w:tc>
          <w:tcPr>
            <w:tcW w:w="1340" w:type="dxa"/>
            <w:vAlign w:val="bottom"/>
            <w:tcBorders>
              <w:bottom w:val="single" w:sz="8" w:color="70AD47"/>
            </w:tcBorders>
            <w:vMerge w:val="continue"/>
          </w:tcPr>
          <w:p>
            <w:pPr>
              <w:spacing w:after="0"/>
              <w:rPr>
                <w:sz w:val="14"/>
                <w:szCs w:val="14"/>
                <w:color w:val="auto"/>
              </w:rPr>
            </w:pPr>
          </w:p>
        </w:tc>
        <w:tc>
          <w:tcPr>
            <w:tcW w:w="20" w:type="dxa"/>
            <w:vAlign w:val="bottom"/>
            <w:tcBorders>
              <w:bottom w:val="single" w:sz="8" w:color="70AD47"/>
            </w:tcBorders>
            <w:shd w:val="clear" w:color="auto" w:fill="70AD47"/>
          </w:tcPr>
          <w:p>
            <w:pPr>
              <w:spacing w:after="0"/>
              <w:rPr>
                <w:sz w:val="14"/>
                <w:szCs w:val="14"/>
                <w:color w:val="auto"/>
              </w:rPr>
            </w:pPr>
          </w:p>
        </w:tc>
        <w:tc>
          <w:tcPr>
            <w:tcW w:w="1560" w:type="dxa"/>
            <w:vAlign w:val="bottom"/>
            <w:tcBorders>
              <w:bottom w:val="single" w:sz="8" w:color="70AD47"/>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Interest bearing loans and borrowings</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1880" w:type="dxa"/>
            <w:vAlign w:val="bottom"/>
          </w:tcPr>
          <w:p>
            <w:pPr>
              <w:jc w:val="right"/>
              <w:ind w:right="213"/>
              <w:spacing w:after="0"/>
              <w:rPr>
                <w:sz w:val="20"/>
                <w:szCs w:val="20"/>
                <w:color w:val="auto"/>
              </w:rPr>
            </w:pPr>
            <w:r>
              <w:rPr>
                <w:rFonts w:ascii="Arial" w:cs="Arial" w:eastAsia="Arial" w:hAnsi="Arial"/>
                <w:sz w:val="13"/>
                <w:szCs w:val="13"/>
                <w:color w:val="auto"/>
              </w:rPr>
              <w:t>€5,600</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€5,600</w:t>
            </w:r>
          </w:p>
        </w:tc>
        <w:tc>
          <w:tcPr>
            <w:tcW w:w="0" w:type="dxa"/>
            <w:vAlign w:val="bottom"/>
          </w:tcPr>
          <w:p>
            <w:pPr>
              <w:spacing w:after="0"/>
              <w:rPr>
                <w:sz w:val="1"/>
                <w:szCs w:val="1"/>
                <w:color w:val="auto"/>
              </w:rPr>
            </w:pPr>
          </w:p>
        </w:tc>
      </w:tr>
      <w:tr>
        <w:trPr>
          <w:trHeight w:val="170"/>
        </w:trPr>
        <w:tc>
          <w:tcPr>
            <w:tcW w:w="49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Trade and other payables</w:t>
            </w:r>
          </w:p>
        </w:tc>
        <w:tc>
          <w:tcPr>
            <w:tcW w:w="1580" w:type="dxa"/>
            <w:vAlign w:val="bottom"/>
          </w:tcPr>
          <w:p>
            <w:pPr>
              <w:jc w:val="right"/>
              <w:spacing w:after="0"/>
              <w:rPr>
                <w:sz w:val="20"/>
                <w:szCs w:val="20"/>
                <w:color w:val="auto"/>
              </w:rPr>
            </w:pPr>
            <w:r>
              <w:rPr>
                <w:rFonts w:ascii="Arial" w:cs="Arial" w:eastAsia="Arial" w:hAnsi="Arial"/>
                <w:sz w:val="13"/>
                <w:szCs w:val="13"/>
                <w:color w:val="auto"/>
              </w:rPr>
              <w:t>41,721</w:t>
            </w:r>
          </w:p>
        </w:tc>
        <w:tc>
          <w:tcPr>
            <w:tcW w:w="18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70AD47"/>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41,721</w:t>
            </w:r>
          </w:p>
        </w:tc>
        <w:tc>
          <w:tcPr>
            <w:tcW w:w="0" w:type="dxa"/>
            <w:vAlign w:val="bottom"/>
          </w:tcPr>
          <w:p>
            <w:pPr>
              <w:spacing w:after="0"/>
              <w:rPr>
                <w:sz w:val="1"/>
                <w:szCs w:val="1"/>
                <w:color w:val="auto"/>
              </w:rPr>
            </w:pPr>
          </w:p>
        </w:tc>
      </w:tr>
      <w:tr>
        <w:trPr>
          <w:trHeight w:val="170"/>
        </w:trPr>
        <w:tc>
          <w:tcPr>
            <w:tcW w:w="49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Lease liabilities</w:t>
            </w:r>
          </w:p>
        </w:tc>
        <w:tc>
          <w:tcPr>
            <w:tcW w:w="1580" w:type="dxa"/>
            <w:vAlign w:val="bottom"/>
          </w:tcPr>
          <w:p>
            <w:pPr>
              <w:jc w:val="right"/>
              <w:spacing w:after="0"/>
              <w:rPr>
                <w:sz w:val="20"/>
                <w:szCs w:val="20"/>
                <w:color w:val="auto"/>
              </w:rPr>
            </w:pPr>
            <w:r>
              <w:rPr>
                <w:rFonts w:ascii="Arial" w:cs="Arial" w:eastAsia="Arial" w:hAnsi="Arial"/>
                <w:sz w:val="13"/>
                <w:szCs w:val="13"/>
                <w:color w:val="auto"/>
              </w:rPr>
              <w:t>3,822</w:t>
            </w:r>
          </w:p>
        </w:tc>
        <w:tc>
          <w:tcPr>
            <w:tcW w:w="1880" w:type="dxa"/>
            <w:vAlign w:val="bottom"/>
          </w:tcPr>
          <w:p>
            <w:pPr>
              <w:jc w:val="right"/>
              <w:ind w:right="213"/>
              <w:spacing w:after="0"/>
              <w:rPr>
                <w:sz w:val="20"/>
                <w:szCs w:val="20"/>
                <w:color w:val="auto"/>
              </w:rPr>
            </w:pPr>
            <w:r>
              <w:rPr>
                <w:rFonts w:ascii="Arial" w:cs="Arial" w:eastAsia="Arial" w:hAnsi="Arial"/>
                <w:sz w:val="13"/>
                <w:szCs w:val="13"/>
                <w:color w:val="auto"/>
              </w:rPr>
              <w:t>13,346</w:t>
            </w:r>
          </w:p>
        </w:tc>
        <w:tc>
          <w:tcPr>
            <w:tcW w:w="1340" w:type="dxa"/>
            <w:vAlign w:val="bottom"/>
          </w:tcPr>
          <w:p>
            <w:pPr>
              <w:jc w:val="right"/>
              <w:spacing w:after="0"/>
              <w:rPr>
                <w:sz w:val="20"/>
                <w:szCs w:val="20"/>
                <w:color w:val="auto"/>
              </w:rPr>
            </w:pPr>
            <w:r>
              <w:rPr>
                <w:rFonts w:ascii="Arial" w:cs="Arial" w:eastAsia="Arial" w:hAnsi="Arial"/>
                <w:sz w:val="13"/>
                <w:szCs w:val="13"/>
                <w:color w:val="auto"/>
              </w:rPr>
              <w:t>56,524</w:t>
            </w:r>
          </w:p>
        </w:tc>
        <w:tc>
          <w:tcPr>
            <w:tcW w:w="20" w:type="dxa"/>
            <w:vAlign w:val="bottom"/>
            <w:shd w:val="clear" w:color="auto" w:fill="70AD47"/>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73,692</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Other financial liabilities</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6,132</w:t>
            </w:r>
          </w:p>
        </w:tc>
        <w:tc>
          <w:tcPr>
            <w:tcW w:w="1880" w:type="dxa"/>
            <w:vAlign w:val="bottom"/>
            <w:tcBorders>
              <w:bottom w:val="single" w:sz="8" w:color="70AD47"/>
            </w:tcBorders>
          </w:tcPr>
          <w:p>
            <w:pPr>
              <w:jc w:val="right"/>
              <w:ind w:right="21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70AD47"/>
            </w:tcBorders>
            <w:shd w:val="clear" w:color="auto" w:fill="70AD47"/>
          </w:tcPr>
          <w:p>
            <w:pPr>
              <w:spacing w:after="0"/>
              <w:rPr>
                <w:sz w:val="15"/>
                <w:szCs w:val="15"/>
                <w:color w:val="auto"/>
              </w:rPr>
            </w:pP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6,132</w:t>
            </w:r>
          </w:p>
        </w:tc>
        <w:tc>
          <w:tcPr>
            <w:tcW w:w="0" w:type="dxa"/>
            <w:vAlign w:val="bottom"/>
          </w:tcPr>
          <w:p>
            <w:pPr>
              <w:spacing w:after="0"/>
              <w:rPr>
                <w:sz w:val="1"/>
                <w:szCs w:val="1"/>
                <w:color w:val="auto"/>
              </w:rPr>
            </w:pPr>
          </w:p>
        </w:tc>
      </w:tr>
      <w:tr>
        <w:trPr>
          <w:trHeight w:val="160"/>
        </w:trPr>
        <w:tc>
          <w:tcPr>
            <w:tcW w:w="49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€51,675</w:t>
            </w:r>
          </w:p>
        </w:tc>
        <w:tc>
          <w:tcPr>
            <w:tcW w:w="1880" w:type="dxa"/>
            <w:vAlign w:val="bottom"/>
            <w:tcBorders>
              <w:bottom w:val="single" w:sz="8" w:color="70AD47"/>
            </w:tcBorders>
          </w:tcPr>
          <w:p>
            <w:pPr>
              <w:jc w:val="right"/>
              <w:ind w:right="213"/>
              <w:spacing w:after="0"/>
              <w:rPr>
                <w:sz w:val="20"/>
                <w:szCs w:val="20"/>
                <w:color w:val="auto"/>
              </w:rPr>
            </w:pPr>
            <w:r>
              <w:rPr>
                <w:rFonts w:ascii="Arial" w:cs="Arial" w:eastAsia="Arial" w:hAnsi="Arial"/>
                <w:sz w:val="13"/>
                <w:szCs w:val="13"/>
                <w:b w:val="1"/>
                <w:bCs w:val="1"/>
                <w:color w:val="auto"/>
              </w:rPr>
              <w:t>€18,946</w:t>
            </w:r>
          </w:p>
        </w:tc>
        <w:tc>
          <w:tcPr>
            <w:tcW w:w="13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€56,524</w:t>
            </w:r>
          </w:p>
        </w:tc>
        <w:tc>
          <w:tcPr>
            <w:tcW w:w="20" w:type="dxa"/>
            <w:vAlign w:val="bottom"/>
            <w:tcBorders>
              <w:bottom w:val="single" w:sz="8" w:color="70AD47"/>
            </w:tcBorders>
            <w:shd w:val="clear" w:color="auto" w:fill="70AD47"/>
          </w:tcPr>
          <w:p>
            <w:pPr>
              <w:spacing w:after="0"/>
              <w:rPr>
                <w:sz w:val="13"/>
                <w:szCs w:val="13"/>
                <w:color w:val="auto"/>
              </w:rPr>
            </w:pP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€127,145</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 w:type="dxa"/>
            <w:vAlign w:val="bottom"/>
          </w:tcPr>
          <w:p>
            <w:pPr>
              <w:spacing w:after="0"/>
              <w:rPr>
                <w:sz w:val="20"/>
                <w:szCs w:val="20"/>
                <w:color w:val="auto"/>
              </w:rPr>
            </w:pPr>
            <w:r>
              <w:rPr>
                <w:rFonts w:ascii="Arial" w:cs="Arial" w:eastAsia="Arial" w:hAnsi="Arial"/>
                <w:sz w:val="13"/>
                <w:szCs w:val="13"/>
                <w:b w:val="1"/>
                <w:bCs w:val="1"/>
                <w:color w:val="auto"/>
              </w:rPr>
              <w:t>12.8</w:t>
            </w:r>
          </w:p>
        </w:tc>
        <w:tc>
          <w:tcPr>
            <w:tcW w:w="3500" w:type="dxa"/>
            <w:vAlign w:val="bottom"/>
          </w:tcPr>
          <w:p>
            <w:pPr>
              <w:spacing w:after="0"/>
              <w:rPr>
                <w:sz w:val="20"/>
                <w:szCs w:val="20"/>
                <w:color w:val="auto"/>
              </w:rPr>
            </w:pPr>
            <w:r>
              <w:rPr>
                <w:rFonts w:ascii="Arial" w:cs="Arial" w:eastAsia="Arial" w:hAnsi="Arial"/>
                <w:sz w:val="13"/>
                <w:szCs w:val="13"/>
                <w:b w:val="1"/>
                <w:bCs w:val="1"/>
                <w:color w:val="auto"/>
              </w:rPr>
              <w:t>Changes in Liabilities arising from Financing Activities</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320" w:type="dxa"/>
            <w:vAlign w:val="bottom"/>
            <w:gridSpan w:val="2"/>
          </w:tcPr>
          <w:p>
            <w:pPr>
              <w:spacing w:after="0"/>
              <w:rPr>
                <w:sz w:val="20"/>
                <w:szCs w:val="20"/>
                <w:color w:val="auto"/>
              </w:rPr>
            </w:pPr>
            <w:r>
              <w:rPr>
                <w:rFonts w:ascii="Arial" w:cs="Arial" w:eastAsia="Arial" w:hAnsi="Arial"/>
                <w:sz w:val="13"/>
                <w:szCs w:val="13"/>
                <w:b w:val="1"/>
                <w:bCs w:val="1"/>
                <w:color w:val="auto"/>
              </w:rPr>
              <w:t>Year ended December 31, 2019</w:t>
            </w: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500" w:type="dxa"/>
            <w:vAlign w:val="bottom"/>
            <w:tcBorders>
              <w:right w:val="single" w:sz="8" w:color="70AD47"/>
            </w:tcBorders>
          </w:tcPr>
          <w:p>
            <w:pPr>
              <w:spacing w:after="0"/>
              <w:rPr>
                <w:sz w:val="13"/>
                <w:szCs w:val="13"/>
                <w:color w:val="auto"/>
              </w:rPr>
            </w:pPr>
          </w:p>
        </w:tc>
        <w:tc>
          <w:tcPr>
            <w:tcW w:w="134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January 1,</w:t>
            </w:r>
          </w:p>
        </w:tc>
        <w:tc>
          <w:tcPr>
            <w:tcW w:w="1340" w:type="dxa"/>
            <w:vAlign w:val="bottom"/>
            <w:tcBorders>
              <w:lef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Cash flows</w:t>
            </w:r>
          </w:p>
        </w:tc>
        <w:tc>
          <w:tcPr>
            <w:tcW w:w="136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b w:val="1"/>
                <w:bCs w:val="1"/>
                <w:color w:val="auto"/>
              </w:rPr>
              <w:t>New leases and</w:t>
            </w:r>
          </w:p>
        </w:tc>
        <w:tc>
          <w:tcPr>
            <w:tcW w:w="1600" w:type="dxa"/>
            <w:vAlign w:val="bottom"/>
            <w:tcBorders>
              <w:right w:val="single" w:sz="8" w:color="70AD47"/>
            </w:tcBorders>
            <w:gridSpan w:val="2"/>
            <w:vMerge w:val="restart"/>
            <w:shd w:val="clear" w:color="auto" w:fill="C6E0B4"/>
          </w:tcPr>
          <w:p>
            <w:pPr>
              <w:jc w:val="right"/>
              <w:ind w:right="40"/>
              <w:spacing w:after="0"/>
              <w:rPr>
                <w:sz w:val="20"/>
                <w:szCs w:val="20"/>
                <w:color w:val="auto"/>
              </w:rPr>
            </w:pPr>
            <w:r>
              <w:rPr>
                <w:rFonts w:ascii="Arial" w:cs="Arial" w:eastAsia="Arial" w:hAnsi="Arial"/>
                <w:sz w:val="13"/>
                <w:szCs w:val="13"/>
                <w:b w:val="1"/>
                <w:bCs w:val="1"/>
                <w:color w:val="auto"/>
              </w:rPr>
              <w:t>Reclassification</w:t>
            </w:r>
          </w:p>
        </w:tc>
        <w:tc>
          <w:tcPr>
            <w:tcW w:w="1320" w:type="dxa"/>
            <w:vAlign w:val="bottom"/>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 2019</w:t>
            </w:r>
          </w:p>
        </w:tc>
        <w:tc>
          <w:tcPr>
            <w:tcW w:w="0" w:type="dxa"/>
            <w:vAlign w:val="bottom"/>
          </w:tcPr>
          <w:p>
            <w:pPr>
              <w:spacing w:after="0"/>
              <w:rPr>
                <w:sz w:val="1"/>
                <w:szCs w:val="1"/>
                <w:color w:val="auto"/>
              </w:rPr>
            </w:pPr>
          </w:p>
        </w:tc>
      </w:tr>
      <w:tr>
        <w:trPr>
          <w:trHeight w:val="93"/>
        </w:trPr>
        <w:tc>
          <w:tcPr>
            <w:tcW w:w="820" w:type="dxa"/>
            <w:vAlign w:val="bottom"/>
            <w:vMerge w:val="restart"/>
          </w:tcPr>
          <w:p>
            <w:pPr>
              <w:spacing w:after="0"/>
              <w:rPr>
                <w:sz w:val="20"/>
                <w:szCs w:val="20"/>
                <w:color w:val="auto"/>
              </w:rPr>
            </w:pPr>
            <w:r>
              <w:rPr>
                <w:rFonts w:ascii="Arial" w:cs="Arial" w:eastAsia="Arial" w:hAnsi="Arial"/>
                <w:sz w:val="13"/>
                <w:szCs w:val="13"/>
                <w:i w:val="1"/>
                <w:iCs w:val="1"/>
                <w:color w:val="auto"/>
                <w:w w:val="97"/>
              </w:rPr>
              <w:t>(in thousands)</w:t>
            </w:r>
          </w:p>
        </w:tc>
        <w:tc>
          <w:tcPr>
            <w:tcW w:w="3500" w:type="dxa"/>
            <w:vAlign w:val="bottom"/>
            <w:tcBorders>
              <w:right w:val="single" w:sz="8" w:color="70AD47"/>
            </w:tcBorders>
          </w:tcPr>
          <w:p>
            <w:pPr>
              <w:spacing w:after="0"/>
              <w:rPr>
                <w:sz w:val="8"/>
                <w:szCs w:val="8"/>
                <w:color w:val="auto"/>
              </w:rPr>
            </w:pPr>
          </w:p>
        </w:tc>
        <w:tc>
          <w:tcPr>
            <w:tcW w:w="1340" w:type="dxa"/>
            <w:vAlign w:val="bottom"/>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340" w:type="dxa"/>
            <w:vAlign w:val="bottom"/>
            <w:tcBorders>
              <w:left w:val="single" w:sz="8" w:color="70AD47"/>
            </w:tcBorders>
            <w:vMerge w:val="continue"/>
            <w:shd w:val="clear" w:color="auto" w:fill="C6E0B4"/>
          </w:tcPr>
          <w:p>
            <w:pPr>
              <w:spacing w:after="0"/>
              <w:rPr>
                <w:sz w:val="8"/>
                <w:szCs w:val="8"/>
                <w:color w:val="auto"/>
              </w:rPr>
            </w:pPr>
          </w:p>
        </w:tc>
        <w:tc>
          <w:tcPr>
            <w:tcW w:w="1360" w:type="dxa"/>
            <w:vAlign w:val="bottom"/>
            <w:gridSpan w:val="2"/>
            <w:vMerge w:val="restart"/>
            <w:shd w:val="clear" w:color="auto" w:fill="C6E0B4"/>
          </w:tcPr>
          <w:p>
            <w:pPr>
              <w:jc w:val="right"/>
              <w:ind w:right="20"/>
              <w:spacing w:after="0"/>
              <w:rPr>
                <w:sz w:val="20"/>
                <w:szCs w:val="20"/>
                <w:color w:val="auto"/>
              </w:rPr>
            </w:pPr>
            <w:r>
              <w:rPr>
                <w:rFonts w:ascii="Arial" w:cs="Arial" w:eastAsia="Arial" w:hAnsi="Arial"/>
                <w:sz w:val="13"/>
                <w:szCs w:val="13"/>
                <w:b w:val="1"/>
                <w:bCs w:val="1"/>
                <w:color w:val="auto"/>
              </w:rPr>
              <w:t>disposals</w:t>
            </w:r>
          </w:p>
        </w:tc>
        <w:tc>
          <w:tcPr>
            <w:tcW w:w="1600" w:type="dxa"/>
            <w:vAlign w:val="bottom"/>
            <w:tcBorders>
              <w:right w:val="single" w:sz="8" w:color="70AD47"/>
            </w:tcBorders>
            <w:gridSpan w:val="2"/>
            <w:vMerge w:val="continue"/>
            <w:shd w:val="clear" w:color="auto" w:fill="C6E0B4"/>
          </w:tcPr>
          <w:p>
            <w:pPr>
              <w:spacing w:after="0"/>
              <w:rPr>
                <w:sz w:val="8"/>
                <w:szCs w:val="8"/>
                <w:color w:val="auto"/>
              </w:rPr>
            </w:pPr>
          </w:p>
        </w:tc>
        <w:tc>
          <w:tcPr>
            <w:tcW w:w="1320" w:type="dxa"/>
            <w:vAlign w:val="bottom"/>
            <w:vMerge w:val="continue"/>
            <w:shd w:val="clear" w:color="auto" w:fill="C6E0B4"/>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70AD47"/>
            </w:tcBorders>
            <w:vMerge w:val="continue"/>
          </w:tcPr>
          <w:p>
            <w:pPr>
              <w:spacing w:after="0"/>
              <w:rPr>
                <w:sz w:val="6"/>
                <w:szCs w:val="6"/>
                <w:color w:val="auto"/>
              </w:rPr>
            </w:pPr>
          </w:p>
        </w:tc>
        <w:tc>
          <w:tcPr>
            <w:tcW w:w="3500" w:type="dxa"/>
            <w:vAlign w:val="bottom"/>
            <w:tcBorders>
              <w:bottom w:val="single" w:sz="8" w:color="70AD47"/>
              <w:right w:val="single" w:sz="8" w:color="70AD47"/>
            </w:tcBorders>
          </w:tcPr>
          <w:p>
            <w:pPr>
              <w:spacing w:after="0"/>
              <w:rPr>
                <w:sz w:val="6"/>
                <w:szCs w:val="6"/>
                <w:color w:val="auto"/>
              </w:rPr>
            </w:pPr>
          </w:p>
        </w:tc>
        <w:tc>
          <w:tcPr>
            <w:tcW w:w="1340" w:type="dxa"/>
            <w:vAlign w:val="bottom"/>
            <w:tcBorders>
              <w:bottom w:val="single" w:sz="8" w:color="70AD47"/>
            </w:tcBorders>
            <w:vMerge w:val="continue"/>
            <w:shd w:val="clear" w:color="auto" w:fill="C6E0B4"/>
          </w:tcPr>
          <w:p>
            <w:pPr>
              <w:spacing w:after="0"/>
              <w:rPr>
                <w:sz w:val="6"/>
                <w:szCs w:val="6"/>
                <w:color w:val="auto"/>
              </w:rPr>
            </w:pPr>
          </w:p>
        </w:tc>
        <w:tc>
          <w:tcPr>
            <w:tcW w:w="1340" w:type="dxa"/>
            <w:vAlign w:val="bottom"/>
            <w:tcBorders>
              <w:left w:val="single" w:sz="8" w:color="70AD47"/>
              <w:bottom w:val="single" w:sz="8" w:color="70AD47"/>
            </w:tcBorders>
            <w:shd w:val="clear" w:color="auto" w:fill="C6E0B4"/>
          </w:tcPr>
          <w:p>
            <w:pPr>
              <w:spacing w:after="0"/>
              <w:rPr>
                <w:sz w:val="6"/>
                <w:szCs w:val="6"/>
                <w:color w:val="auto"/>
              </w:rPr>
            </w:pPr>
          </w:p>
        </w:tc>
        <w:tc>
          <w:tcPr>
            <w:tcW w:w="1360" w:type="dxa"/>
            <w:vAlign w:val="bottom"/>
            <w:tcBorders>
              <w:bottom w:val="single" w:sz="8" w:color="70AD47"/>
            </w:tcBorders>
            <w:gridSpan w:val="2"/>
            <w:vMerge w:val="continue"/>
            <w:shd w:val="clear" w:color="auto" w:fill="C6E0B4"/>
          </w:tcPr>
          <w:p>
            <w:pPr>
              <w:spacing w:after="0"/>
              <w:rPr>
                <w:sz w:val="6"/>
                <w:szCs w:val="6"/>
                <w:color w:val="auto"/>
              </w:rPr>
            </w:pPr>
          </w:p>
        </w:tc>
        <w:tc>
          <w:tcPr>
            <w:tcW w:w="1340" w:type="dxa"/>
            <w:vAlign w:val="bottom"/>
            <w:tcBorders>
              <w:bottom w:val="single" w:sz="8" w:color="70AD47"/>
              <w:right w:val="single" w:sz="8" w:color="C6E0B4"/>
            </w:tcBorders>
            <w:shd w:val="clear" w:color="auto" w:fill="C6E0B4"/>
          </w:tcPr>
          <w:p>
            <w:pPr>
              <w:spacing w:after="0"/>
              <w:rPr>
                <w:sz w:val="6"/>
                <w:szCs w:val="6"/>
                <w:color w:val="auto"/>
              </w:rPr>
            </w:pPr>
          </w:p>
        </w:tc>
        <w:tc>
          <w:tcPr>
            <w:tcW w:w="260" w:type="dxa"/>
            <w:vAlign w:val="bottom"/>
            <w:tcBorders>
              <w:bottom w:val="single" w:sz="8" w:color="70AD47"/>
              <w:right w:val="single" w:sz="8" w:color="70AD47"/>
            </w:tcBorders>
            <w:shd w:val="clear" w:color="auto" w:fill="C6E0B4"/>
          </w:tcPr>
          <w:p>
            <w:pPr>
              <w:spacing w:after="0"/>
              <w:rPr>
                <w:sz w:val="6"/>
                <w:szCs w:val="6"/>
                <w:color w:val="auto"/>
              </w:rPr>
            </w:pPr>
          </w:p>
        </w:tc>
        <w:tc>
          <w:tcPr>
            <w:tcW w:w="1320" w:type="dxa"/>
            <w:vAlign w:val="bottom"/>
            <w:tcBorders>
              <w:bottom w:val="single" w:sz="8" w:color="70AD47"/>
            </w:tcBorders>
            <w:shd w:val="clear" w:color="auto" w:fill="C6E0B4"/>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3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Current obligations under lease contracts</w:t>
            </w:r>
          </w:p>
        </w:tc>
        <w:tc>
          <w:tcPr>
            <w:tcW w:w="13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€2,134</w:t>
            </w:r>
          </w:p>
        </w:tc>
        <w:tc>
          <w:tcPr>
            <w:tcW w:w="1340" w:type="dxa"/>
            <w:vAlign w:val="bottom"/>
            <w:tcBorders>
              <w:lef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€(3,061)</w:t>
            </w:r>
          </w:p>
        </w:tc>
        <w:tc>
          <w:tcPr>
            <w:tcW w:w="136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€1,484</w:t>
            </w:r>
          </w:p>
        </w:tc>
        <w:tc>
          <w:tcPr>
            <w:tcW w:w="1600" w:type="dxa"/>
            <w:vAlign w:val="bottom"/>
            <w:tcBorders>
              <w:right w:val="single" w:sz="8" w:color="70AD47"/>
            </w:tcBorders>
            <w:gridSpan w:val="2"/>
            <w:shd w:val="clear" w:color="auto" w:fill="C6E0B4"/>
          </w:tcPr>
          <w:p>
            <w:pPr>
              <w:jc w:val="right"/>
              <w:ind w:right="40"/>
              <w:spacing w:after="0"/>
              <w:rPr>
                <w:sz w:val="20"/>
                <w:szCs w:val="20"/>
                <w:color w:val="auto"/>
              </w:rPr>
            </w:pPr>
            <w:r>
              <w:rPr>
                <w:rFonts w:ascii="Arial" w:cs="Arial" w:eastAsia="Arial" w:hAnsi="Arial"/>
                <w:sz w:val="13"/>
                <w:szCs w:val="13"/>
                <w:color w:val="auto"/>
              </w:rPr>
              <w:t>€2,928</w:t>
            </w:r>
          </w:p>
        </w:tc>
        <w:tc>
          <w:tcPr>
            <w:tcW w:w="132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€3,485</w:t>
            </w:r>
          </w:p>
        </w:tc>
        <w:tc>
          <w:tcPr>
            <w:tcW w:w="0" w:type="dxa"/>
            <w:vAlign w:val="bottom"/>
          </w:tcPr>
          <w:p>
            <w:pPr>
              <w:spacing w:after="0"/>
              <w:rPr>
                <w:sz w:val="1"/>
                <w:szCs w:val="1"/>
                <w:color w:val="auto"/>
              </w:rPr>
            </w:pPr>
          </w:p>
        </w:tc>
      </w:tr>
      <w:tr>
        <w:trPr>
          <w:trHeight w:val="170"/>
        </w:trPr>
        <w:tc>
          <w:tcPr>
            <w:tcW w:w="43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Non-current obligations under lease contracts</w:t>
            </w:r>
          </w:p>
        </w:tc>
        <w:tc>
          <w:tcPr>
            <w:tcW w:w="1340" w:type="dxa"/>
            <w:vAlign w:val="bottom"/>
            <w:shd w:val="clear" w:color="auto" w:fill="C6E0B4"/>
          </w:tcPr>
          <w:p>
            <w:pPr>
              <w:jc w:val="right"/>
              <w:spacing w:after="0"/>
              <w:rPr>
                <w:sz w:val="20"/>
                <w:szCs w:val="20"/>
                <w:color w:val="auto"/>
              </w:rPr>
            </w:pPr>
            <w:r>
              <w:rPr>
                <w:rFonts w:ascii="Arial" w:cs="Arial" w:eastAsia="Arial" w:hAnsi="Arial"/>
                <w:sz w:val="13"/>
                <w:szCs w:val="13"/>
                <w:color w:val="auto"/>
              </w:rPr>
              <w:t>48,618</w:t>
            </w:r>
          </w:p>
        </w:tc>
        <w:tc>
          <w:tcPr>
            <w:tcW w:w="1340" w:type="dxa"/>
            <w:vAlign w:val="bottom"/>
            <w:tcBorders>
              <w:lef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8,437</w:t>
            </w:r>
          </w:p>
        </w:tc>
        <w:tc>
          <w:tcPr>
            <w:tcW w:w="1600" w:type="dxa"/>
            <w:vAlign w:val="bottom"/>
            <w:tcBorders>
              <w:right w:val="single" w:sz="8" w:color="70AD47"/>
            </w:tcBorders>
            <w:gridSpan w:val="2"/>
            <w:shd w:val="clear" w:color="auto" w:fill="C6E0B4"/>
          </w:tcPr>
          <w:p>
            <w:pPr>
              <w:jc w:val="right"/>
              <w:ind w:right="40"/>
              <w:spacing w:after="0"/>
              <w:rPr>
                <w:sz w:val="20"/>
                <w:szCs w:val="20"/>
                <w:color w:val="auto"/>
              </w:rPr>
            </w:pPr>
            <w:r>
              <w:rPr>
                <w:rFonts w:ascii="Arial" w:cs="Arial" w:eastAsia="Arial" w:hAnsi="Arial"/>
                <w:sz w:val="13"/>
                <w:szCs w:val="13"/>
                <w:color w:val="auto"/>
              </w:rPr>
              <w:t>(2,928)</w:t>
            </w:r>
          </w:p>
        </w:tc>
        <w:tc>
          <w:tcPr>
            <w:tcW w:w="132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54,127</w:t>
            </w:r>
          </w:p>
        </w:tc>
        <w:tc>
          <w:tcPr>
            <w:tcW w:w="0" w:type="dxa"/>
            <w:vAlign w:val="bottom"/>
          </w:tcPr>
          <w:p>
            <w:pPr>
              <w:spacing w:after="0"/>
              <w:rPr>
                <w:sz w:val="1"/>
                <w:szCs w:val="1"/>
                <w:color w:val="auto"/>
              </w:rPr>
            </w:pPr>
          </w:p>
        </w:tc>
      </w:tr>
      <w:tr>
        <w:trPr>
          <w:trHeight w:val="170"/>
        </w:trPr>
        <w:tc>
          <w:tcPr>
            <w:tcW w:w="432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Interest-bearing loans and borrowings</w:t>
            </w:r>
          </w:p>
        </w:tc>
        <w:tc>
          <w:tcPr>
            <w:tcW w:w="13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5,600</w:t>
            </w:r>
          </w:p>
        </w:tc>
        <w:tc>
          <w:tcPr>
            <w:tcW w:w="1340" w:type="dxa"/>
            <w:vAlign w:val="bottom"/>
            <w:tcBorders>
              <w:left w:val="single" w:sz="8" w:color="70AD47"/>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11,000</w:t>
            </w:r>
          </w:p>
        </w:tc>
        <w:tc>
          <w:tcPr>
            <w:tcW w:w="1360" w:type="dxa"/>
            <w:vAlign w:val="bottom"/>
            <w:tcBorders>
              <w:bottom w:val="single" w:sz="8" w:color="70AD47"/>
            </w:tcBorders>
            <w:gridSpan w:val="2"/>
            <w:shd w:val="clear" w:color="auto" w:fill="C6E0B4"/>
          </w:tcPr>
          <w:p>
            <w:pPr>
              <w:jc w:val="right"/>
              <w:ind w:right="20"/>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70AD47"/>
              <w:right w:val="single" w:sz="8" w:color="70AD47"/>
            </w:tcBorders>
            <w:gridSpan w:val="2"/>
            <w:shd w:val="clear" w:color="auto" w:fill="C6E0B4"/>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16,600</w:t>
            </w:r>
          </w:p>
        </w:tc>
        <w:tc>
          <w:tcPr>
            <w:tcW w:w="0" w:type="dxa"/>
            <w:vAlign w:val="bottom"/>
          </w:tcPr>
          <w:p>
            <w:pPr>
              <w:spacing w:after="0"/>
              <w:rPr>
                <w:sz w:val="1"/>
                <w:szCs w:val="1"/>
                <w:color w:val="auto"/>
              </w:rPr>
            </w:pPr>
          </w:p>
        </w:tc>
      </w:tr>
      <w:tr>
        <w:trPr>
          <w:trHeight w:val="160"/>
        </w:trPr>
        <w:tc>
          <w:tcPr>
            <w:tcW w:w="8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3500" w:type="dxa"/>
            <w:vAlign w:val="bottom"/>
            <w:tcBorders>
              <w:bottom w:val="single" w:sz="8" w:color="70AD47"/>
              <w:right w:val="single" w:sz="8" w:color="70AD47"/>
            </w:tcBorders>
          </w:tcPr>
          <w:p>
            <w:pPr>
              <w:spacing w:after="0"/>
              <w:rPr>
                <w:sz w:val="13"/>
                <w:szCs w:val="13"/>
                <w:color w:val="auto"/>
              </w:rPr>
            </w:pPr>
          </w:p>
        </w:tc>
        <w:tc>
          <w:tcPr>
            <w:tcW w:w="134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€56,352</w:t>
            </w:r>
          </w:p>
        </w:tc>
        <w:tc>
          <w:tcPr>
            <w:tcW w:w="1340" w:type="dxa"/>
            <w:vAlign w:val="bottom"/>
            <w:tcBorders>
              <w:left w:val="single" w:sz="8" w:color="70AD47"/>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€7,939</w:t>
            </w:r>
          </w:p>
        </w:tc>
        <w:tc>
          <w:tcPr>
            <w:tcW w:w="1360" w:type="dxa"/>
            <w:vAlign w:val="bottom"/>
            <w:tcBorders>
              <w:bottom w:val="single" w:sz="8" w:color="70AD47"/>
            </w:tcBorders>
            <w:gridSpan w:val="2"/>
            <w:shd w:val="clear" w:color="auto" w:fill="C6E0B4"/>
          </w:tcPr>
          <w:p>
            <w:pPr>
              <w:jc w:val="right"/>
              <w:ind w:right="20"/>
              <w:spacing w:after="0"/>
              <w:rPr>
                <w:sz w:val="20"/>
                <w:szCs w:val="20"/>
                <w:color w:val="auto"/>
              </w:rPr>
            </w:pPr>
            <w:r>
              <w:rPr>
                <w:rFonts w:ascii="Arial" w:cs="Arial" w:eastAsia="Arial" w:hAnsi="Arial"/>
                <w:sz w:val="13"/>
                <w:szCs w:val="13"/>
                <w:b w:val="1"/>
                <w:bCs w:val="1"/>
                <w:color w:val="auto"/>
              </w:rPr>
              <w:t>€9,921</w:t>
            </w:r>
          </w:p>
        </w:tc>
        <w:tc>
          <w:tcPr>
            <w:tcW w:w="1600" w:type="dxa"/>
            <w:vAlign w:val="bottom"/>
            <w:tcBorders>
              <w:bottom w:val="single" w:sz="8" w:color="70AD47"/>
              <w:right w:val="single" w:sz="8" w:color="70AD47"/>
            </w:tcBorders>
            <w:gridSpan w:val="2"/>
            <w:shd w:val="clear" w:color="auto" w:fill="C6E0B4"/>
          </w:tcPr>
          <w:p>
            <w:pPr>
              <w:jc w:val="right"/>
              <w:ind w:right="40"/>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€74,212</w:t>
            </w:r>
          </w:p>
        </w:tc>
        <w:tc>
          <w:tcPr>
            <w:tcW w:w="0" w:type="dxa"/>
            <w:vAlign w:val="bottom"/>
          </w:tcPr>
          <w:p>
            <w:pPr>
              <w:spacing w:after="0"/>
              <w:rPr>
                <w:sz w:val="1"/>
                <w:szCs w:val="1"/>
                <w:color w:val="auto"/>
              </w:rPr>
            </w:pPr>
          </w:p>
        </w:tc>
      </w:tr>
      <w:tr>
        <w:trPr>
          <w:trHeight w:val="320"/>
        </w:trPr>
        <w:tc>
          <w:tcPr>
            <w:tcW w:w="4320" w:type="dxa"/>
            <w:vAlign w:val="bottom"/>
            <w:gridSpan w:val="2"/>
          </w:tcPr>
          <w:p>
            <w:pPr>
              <w:spacing w:after="0"/>
              <w:rPr>
                <w:sz w:val="20"/>
                <w:szCs w:val="20"/>
                <w:color w:val="auto"/>
              </w:rPr>
            </w:pPr>
            <w:r>
              <w:rPr>
                <w:rFonts w:ascii="Arial" w:cs="Arial" w:eastAsia="Arial" w:hAnsi="Arial"/>
                <w:sz w:val="13"/>
                <w:szCs w:val="13"/>
                <w:b w:val="1"/>
                <w:bCs w:val="1"/>
                <w:color w:val="auto"/>
              </w:rPr>
              <w:t>Year ended December 31, 2018</w:t>
            </w: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January 1,</w:t>
            </w:r>
          </w:p>
        </w:tc>
        <w:tc>
          <w:tcPr>
            <w:tcW w:w="1340" w:type="dxa"/>
            <w:vAlign w:val="bottom"/>
          </w:tcPr>
          <w:p>
            <w:pPr>
              <w:spacing w:after="0"/>
              <w:rPr>
                <w:sz w:val="24"/>
                <w:szCs w:val="24"/>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New leases and</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500" w:type="dxa"/>
            <w:vAlign w:val="bottom"/>
            <w:tcBorders>
              <w:right w:val="single" w:sz="8" w:color="70AD47"/>
            </w:tcBorders>
          </w:tcPr>
          <w:p>
            <w:pPr>
              <w:spacing w:after="0"/>
              <w:rPr>
                <w:sz w:val="13"/>
                <w:szCs w:val="13"/>
                <w:color w:val="auto"/>
              </w:rPr>
            </w:pPr>
          </w:p>
        </w:tc>
        <w:tc>
          <w:tcPr>
            <w:tcW w:w="1340" w:type="dxa"/>
            <w:vAlign w:val="bottom"/>
            <w:vMerge w:val="continue"/>
          </w:tcPr>
          <w:p>
            <w:pPr>
              <w:spacing w:after="0"/>
              <w:rPr>
                <w:sz w:val="13"/>
                <w:szCs w:val="13"/>
                <w:color w:val="auto"/>
              </w:rPr>
            </w:pPr>
          </w:p>
        </w:tc>
        <w:tc>
          <w:tcPr>
            <w:tcW w:w="1340" w:type="dxa"/>
            <w:vAlign w:val="bottom"/>
            <w:tcBorders>
              <w:left w:val="single" w:sz="8" w:color="70AD47"/>
            </w:tcBorders>
            <w:vMerge w:val="restart"/>
          </w:tcPr>
          <w:p>
            <w:pPr>
              <w:jc w:val="right"/>
              <w:spacing w:after="0"/>
              <w:rPr>
                <w:sz w:val="20"/>
                <w:szCs w:val="20"/>
                <w:color w:val="auto"/>
              </w:rPr>
            </w:pPr>
            <w:r>
              <w:rPr>
                <w:rFonts w:ascii="Arial" w:cs="Arial" w:eastAsia="Arial" w:hAnsi="Arial"/>
                <w:sz w:val="13"/>
                <w:szCs w:val="13"/>
                <w:b w:val="1"/>
                <w:bCs w:val="1"/>
                <w:color w:val="auto"/>
              </w:rPr>
              <w:t>Cash flows</w:t>
            </w:r>
          </w:p>
        </w:tc>
        <w:tc>
          <w:tcPr>
            <w:tcW w:w="1360" w:type="dxa"/>
            <w:vAlign w:val="bottom"/>
            <w:gridSpan w:val="2"/>
            <w:vMerge w:val="continue"/>
          </w:tcPr>
          <w:p>
            <w:pPr>
              <w:spacing w:after="0"/>
              <w:rPr>
                <w:sz w:val="13"/>
                <w:szCs w:val="13"/>
                <w:color w:val="auto"/>
              </w:rPr>
            </w:pPr>
          </w:p>
        </w:tc>
        <w:tc>
          <w:tcPr>
            <w:tcW w:w="1600" w:type="dxa"/>
            <w:vAlign w:val="bottom"/>
            <w:tcBorders>
              <w:right w:val="single" w:sz="8" w:color="70AD47"/>
            </w:tcBorders>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Reclassification</w:t>
            </w: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93"/>
        </w:trPr>
        <w:tc>
          <w:tcPr>
            <w:tcW w:w="820" w:type="dxa"/>
            <w:vAlign w:val="bottom"/>
            <w:vMerge w:val="restart"/>
          </w:tcPr>
          <w:p>
            <w:pPr>
              <w:spacing w:after="0"/>
              <w:rPr>
                <w:sz w:val="20"/>
                <w:szCs w:val="20"/>
                <w:color w:val="auto"/>
              </w:rPr>
            </w:pPr>
            <w:r>
              <w:rPr>
                <w:rFonts w:ascii="Arial" w:cs="Arial" w:eastAsia="Arial" w:hAnsi="Arial"/>
                <w:sz w:val="13"/>
                <w:szCs w:val="13"/>
                <w:i w:val="1"/>
                <w:iCs w:val="1"/>
                <w:color w:val="auto"/>
                <w:w w:val="97"/>
              </w:rPr>
              <w:t>(in thousands)</w:t>
            </w:r>
          </w:p>
        </w:tc>
        <w:tc>
          <w:tcPr>
            <w:tcW w:w="3500" w:type="dxa"/>
            <w:vAlign w:val="bottom"/>
            <w:tcBorders>
              <w:right w:val="single" w:sz="8" w:color="70AD47"/>
            </w:tcBorders>
          </w:tcPr>
          <w:p>
            <w:pPr>
              <w:spacing w:after="0"/>
              <w:rPr>
                <w:sz w:val="8"/>
                <w:szCs w:val="8"/>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1340" w:type="dxa"/>
            <w:vAlign w:val="bottom"/>
            <w:tcBorders>
              <w:left w:val="single" w:sz="8" w:color="70AD47"/>
            </w:tcBorders>
            <w:vMerge w:val="continue"/>
          </w:tcPr>
          <w:p>
            <w:pPr>
              <w:spacing w:after="0"/>
              <w:rPr>
                <w:sz w:val="8"/>
                <w:szCs w:val="8"/>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disposals</w:t>
            </w:r>
          </w:p>
        </w:tc>
        <w:tc>
          <w:tcPr>
            <w:tcW w:w="1600" w:type="dxa"/>
            <w:vAlign w:val="bottom"/>
            <w:tcBorders>
              <w:right w:val="single" w:sz="8" w:color="70AD47"/>
            </w:tcBorders>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20" w:type="dxa"/>
            <w:vAlign w:val="bottom"/>
            <w:tcBorders>
              <w:bottom w:val="single" w:sz="8" w:color="70AD47"/>
            </w:tcBorders>
            <w:vMerge w:val="continue"/>
          </w:tcPr>
          <w:p>
            <w:pPr>
              <w:spacing w:after="0"/>
              <w:rPr>
                <w:sz w:val="6"/>
                <w:szCs w:val="6"/>
                <w:color w:val="auto"/>
              </w:rPr>
            </w:pPr>
          </w:p>
        </w:tc>
        <w:tc>
          <w:tcPr>
            <w:tcW w:w="3500" w:type="dxa"/>
            <w:vAlign w:val="bottom"/>
            <w:tcBorders>
              <w:bottom w:val="single" w:sz="8" w:color="70AD47"/>
              <w:right w:val="single" w:sz="8" w:color="70AD47"/>
            </w:tcBorders>
          </w:tcPr>
          <w:p>
            <w:pPr>
              <w:spacing w:after="0"/>
              <w:rPr>
                <w:sz w:val="6"/>
                <w:szCs w:val="6"/>
                <w:color w:val="auto"/>
              </w:rPr>
            </w:pPr>
          </w:p>
        </w:tc>
        <w:tc>
          <w:tcPr>
            <w:tcW w:w="1340" w:type="dxa"/>
            <w:vAlign w:val="bottom"/>
            <w:tcBorders>
              <w:bottom w:val="single" w:sz="8" w:color="70AD47"/>
            </w:tcBorders>
            <w:vMerge w:val="continue"/>
          </w:tcPr>
          <w:p>
            <w:pPr>
              <w:spacing w:after="0"/>
              <w:rPr>
                <w:sz w:val="6"/>
                <w:szCs w:val="6"/>
                <w:color w:val="auto"/>
              </w:rPr>
            </w:pPr>
          </w:p>
        </w:tc>
        <w:tc>
          <w:tcPr>
            <w:tcW w:w="1340" w:type="dxa"/>
            <w:vAlign w:val="bottom"/>
            <w:tcBorders>
              <w:left w:val="single" w:sz="8" w:color="70AD47"/>
              <w:bottom w:val="single" w:sz="8" w:color="70AD47"/>
            </w:tcBorders>
          </w:tcPr>
          <w:p>
            <w:pPr>
              <w:spacing w:after="0"/>
              <w:rPr>
                <w:sz w:val="6"/>
                <w:szCs w:val="6"/>
                <w:color w:val="auto"/>
              </w:rPr>
            </w:pPr>
          </w:p>
        </w:tc>
        <w:tc>
          <w:tcPr>
            <w:tcW w:w="1360" w:type="dxa"/>
            <w:vAlign w:val="bottom"/>
            <w:tcBorders>
              <w:bottom w:val="single" w:sz="8" w:color="70AD47"/>
            </w:tcBorders>
            <w:gridSpan w:val="2"/>
            <w:vMerge w:val="continue"/>
          </w:tcPr>
          <w:p>
            <w:pPr>
              <w:spacing w:after="0"/>
              <w:rPr>
                <w:sz w:val="6"/>
                <w:szCs w:val="6"/>
                <w:color w:val="auto"/>
              </w:rPr>
            </w:pPr>
          </w:p>
        </w:tc>
        <w:tc>
          <w:tcPr>
            <w:tcW w:w="1340" w:type="dxa"/>
            <w:vAlign w:val="bottom"/>
            <w:tcBorders>
              <w:bottom w:val="single" w:sz="8" w:color="70AD47"/>
            </w:tcBorders>
          </w:tcPr>
          <w:p>
            <w:pPr>
              <w:spacing w:after="0"/>
              <w:rPr>
                <w:sz w:val="6"/>
                <w:szCs w:val="6"/>
                <w:color w:val="auto"/>
              </w:rPr>
            </w:pPr>
          </w:p>
        </w:tc>
        <w:tc>
          <w:tcPr>
            <w:tcW w:w="260" w:type="dxa"/>
            <w:vAlign w:val="bottom"/>
            <w:tcBorders>
              <w:bottom w:val="single" w:sz="8" w:color="70AD47"/>
              <w:right w:val="single" w:sz="8" w:color="70AD47"/>
            </w:tcBorders>
          </w:tcPr>
          <w:p>
            <w:pPr>
              <w:spacing w:after="0"/>
              <w:rPr>
                <w:sz w:val="6"/>
                <w:szCs w:val="6"/>
                <w:color w:val="auto"/>
              </w:rPr>
            </w:pPr>
          </w:p>
        </w:tc>
        <w:tc>
          <w:tcPr>
            <w:tcW w:w="1320" w:type="dxa"/>
            <w:vAlign w:val="bottom"/>
            <w:tcBorders>
              <w:bottom w:val="single" w:sz="8" w:color="70AD47"/>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3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Current obligations under lease contracts</w:t>
            </w:r>
          </w:p>
        </w:tc>
        <w:tc>
          <w:tcPr>
            <w:tcW w:w="1340" w:type="dxa"/>
            <w:vAlign w:val="bottom"/>
          </w:tcPr>
          <w:p>
            <w:pPr>
              <w:jc w:val="right"/>
              <w:spacing w:after="0"/>
              <w:rPr>
                <w:sz w:val="20"/>
                <w:szCs w:val="20"/>
                <w:color w:val="auto"/>
              </w:rPr>
            </w:pPr>
            <w:r>
              <w:rPr>
                <w:rFonts w:ascii="Arial" w:cs="Arial" w:eastAsia="Arial" w:hAnsi="Arial"/>
                <w:sz w:val="13"/>
                <w:szCs w:val="13"/>
                <w:color w:val="auto"/>
              </w:rPr>
              <w:t>€1,832</w:t>
            </w:r>
          </w:p>
        </w:tc>
        <w:tc>
          <w:tcPr>
            <w:tcW w:w="134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€(2,126)</w:t>
            </w:r>
          </w:p>
        </w:tc>
        <w:tc>
          <w:tcPr>
            <w:tcW w:w="1360" w:type="dxa"/>
            <w:vAlign w:val="bottom"/>
            <w:gridSpan w:val="2"/>
          </w:tcPr>
          <w:p>
            <w:pPr>
              <w:jc w:val="right"/>
              <w:ind w:right="20"/>
              <w:spacing w:after="0"/>
              <w:rPr>
                <w:sz w:val="20"/>
                <w:szCs w:val="20"/>
                <w:color w:val="auto"/>
              </w:rPr>
            </w:pPr>
            <w:r>
              <w:rPr>
                <w:rFonts w:ascii="Arial" w:cs="Arial" w:eastAsia="Arial" w:hAnsi="Arial"/>
                <w:sz w:val="13"/>
                <w:szCs w:val="13"/>
                <w:color w:val="auto"/>
              </w:rPr>
              <w:t>€296</w:t>
            </w:r>
          </w:p>
        </w:tc>
        <w:tc>
          <w:tcPr>
            <w:tcW w:w="1600" w:type="dxa"/>
            <w:vAlign w:val="bottom"/>
            <w:tcBorders>
              <w:right w:val="single" w:sz="8" w:color="70AD47"/>
            </w:tcBorders>
            <w:gridSpan w:val="2"/>
          </w:tcPr>
          <w:p>
            <w:pPr>
              <w:jc w:val="right"/>
              <w:ind w:right="40"/>
              <w:spacing w:after="0"/>
              <w:rPr>
                <w:sz w:val="20"/>
                <w:szCs w:val="20"/>
                <w:color w:val="auto"/>
              </w:rPr>
            </w:pPr>
            <w:r>
              <w:rPr>
                <w:rFonts w:ascii="Arial" w:cs="Arial" w:eastAsia="Arial" w:hAnsi="Arial"/>
                <w:sz w:val="13"/>
                <w:szCs w:val="13"/>
                <w:color w:val="auto"/>
              </w:rPr>
              <w:t>€2,132</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€2,134</w:t>
            </w:r>
          </w:p>
        </w:tc>
        <w:tc>
          <w:tcPr>
            <w:tcW w:w="0" w:type="dxa"/>
            <w:vAlign w:val="bottom"/>
          </w:tcPr>
          <w:p>
            <w:pPr>
              <w:spacing w:after="0"/>
              <w:rPr>
                <w:sz w:val="1"/>
                <w:szCs w:val="1"/>
                <w:color w:val="auto"/>
              </w:rPr>
            </w:pPr>
          </w:p>
        </w:tc>
      </w:tr>
      <w:tr>
        <w:trPr>
          <w:trHeight w:val="170"/>
        </w:trPr>
        <w:tc>
          <w:tcPr>
            <w:tcW w:w="43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Non-current obligations under lease contracts</w:t>
            </w:r>
          </w:p>
        </w:tc>
        <w:tc>
          <w:tcPr>
            <w:tcW w:w="1340" w:type="dxa"/>
            <w:vAlign w:val="bottom"/>
          </w:tcPr>
          <w:p>
            <w:pPr>
              <w:jc w:val="right"/>
              <w:spacing w:after="0"/>
              <w:rPr>
                <w:sz w:val="20"/>
                <w:szCs w:val="20"/>
                <w:color w:val="auto"/>
              </w:rPr>
            </w:pPr>
            <w:r>
              <w:rPr>
                <w:rFonts w:ascii="Arial" w:cs="Arial" w:eastAsia="Arial" w:hAnsi="Arial"/>
                <w:sz w:val="13"/>
                <w:szCs w:val="13"/>
                <w:color w:val="auto"/>
              </w:rPr>
              <w:t>50,349</w:t>
            </w:r>
          </w:p>
        </w:tc>
        <w:tc>
          <w:tcPr>
            <w:tcW w:w="1340" w:type="dxa"/>
            <w:vAlign w:val="bottom"/>
            <w:tcBorders>
              <w:left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3"/>
                <w:szCs w:val="13"/>
                <w:color w:val="auto"/>
              </w:rPr>
              <w:t>401</w:t>
            </w:r>
          </w:p>
        </w:tc>
        <w:tc>
          <w:tcPr>
            <w:tcW w:w="1600" w:type="dxa"/>
            <w:vAlign w:val="bottom"/>
            <w:tcBorders>
              <w:right w:val="single" w:sz="8" w:color="70AD47"/>
            </w:tcBorders>
            <w:gridSpan w:val="2"/>
          </w:tcPr>
          <w:p>
            <w:pPr>
              <w:jc w:val="right"/>
              <w:ind w:right="40"/>
              <w:spacing w:after="0"/>
              <w:rPr>
                <w:sz w:val="20"/>
                <w:szCs w:val="20"/>
                <w:color w:val="auto"/>
              </w:rPr>
            </w:pPr>
            <w:r>
              <w:rPr>
                <w:rFonts w:ascii="Arial" w:cs="Arial" w:eastAsia="Arial" w:hAnsi="Arial"/>
                <w:sz w:val="13"/>
                <w:szCs w:val="13"/>
                <w:color w:val="auto"/>
              </w:rPr>
              <w:t>(2,132)</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48,618</w:t>
            </w:r>
          </w:p>
        </w:tc>
        <w:tc>
          <w:tcPr>
            <w:tcW w:w="0" w:type="dxa"/>
            <w:vAlign w:val="bottom"/>
          </w:tcPr>
          <w:p>
            <w:pPr>
              <w:spacing w:after="0"/>
              <w:rPr>
                <w:sz w:val="1"/>
                <w:szCs w:val="1"/>
                <w:color w:val="auto"/>
              </w:rPr>
            </w:pPr>
          </w:p>
        </w:tc>
      </w:tr>
      <w:tr>
        <w:trPr>
          <w:trHeight w:val="173"/>
        </w:trPr>
        <w:tc>
          <w:tcPr>
            <w:tcW w:w="432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Interest-bearing loans and borrowings</w:t>
            </w:r>
          </w:p>
        </w:tc>
        <w:tc>
          <w:tcPr>
            <w:tcW w:w="13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left w:val="single" w:sz="8" w:color="70AD47"/>
              <w:bottom w:val="single" w:sz="8" w:color="70AD47"/>
            </w:tcBorders>
          </w:tcPr>
          <w:p>
            <w:pPr>
              <w:jc w:val="right"/>
              <w:spacing w:after="0"/>
              <w:rPr>
                <w:sz w:val="20"/>
                <w:szCs w:val="20"/>
                <w:color w:val="auto"/>
              </w:rPr>
            </w:pPr>
            <w:r>
              <w:rPr>
                <w:rFonts w:ascii="Arial" w:cs="Arial" w:eastAsia="Arial" w:hAnsi="Arial"/>
                <w:sz w:val="13"/>
                <w:szCs w:val="13"/>
                <w:color w:val="auto"/>
              </w:rPr>
              <w:t>5,600</w:t>
            </w:r>
          </w:p>
        </w:tc>
        <w:tc>
          <w:tcPr>
            <w:tcW w:w="136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70AD47"/>
              <w:right w:val="single" w:sz="8" w:color="70AD47"/>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5,600</w:t>
            </w:r>
          </w:p>
        </w:tc>
        <w:tc>
          <w:tcPr>
            <w:tcW w:w="0" w:type="dxa"/>
            <w:vAlign w:val="bottom"/>
          </w:tcPr>
          <w:p>
            <w:pPr>
              <w:spacing w:after="0"/>
              <w:rPr>
                <w:sz w:val="1"/>
                <w:szCs w:val="1"/>
                <w:color w:val="auto"/>
              </w:rPr>
            </w:pPr>
          </w:p>
        </w:tc>
      </w:tr>
      <w:tr>
        <w:trPr>
          <w:trHeight w:val="160"/>
        </w:trPr>
        <w:tc>
          <w:tcPr>
            <w:tcW w:w="8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3500" w:type="dxa"/>
            <w:vAlign w:val="bottom"/>
            <w:tcBorders>
              <w:bottom w:val="single" w:sz="8" w:color="70AD47"/>
              <w:right w:val="single" w:sz="8" w:color="70AD47"/>
            </w:tcBorders>
          </w:tcPr>
          <w:p>
            <w:pPr>
              <w:spacing w:after="0"/>
              <w:rPr>
                <w:sz w:val="13"/>
                <w:szCs w:val="13"/>
                <w:color w:val="auto"/>
              </w:rPr>
            </w:pPr>
          </w:p>
        </w:tc>
        <w:tc>
          <w:tcPr>
            <w:tcW w:w="13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€52,182</w:t>
            </w:r>
          </w:p>
        </w:tc>
        <w:tc>
          <w:tcPr>
            <w:tcW w:w="1340" w:type="dxa"/>
            <w:vAlign w:val="bottom"/>
            <w:tcBorders>
              <w:left w:val="single" w:sz="8" w:color="70AD47"/>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€3,474</w:t>
            </w:r>
          </w:p>
        </w:tc>
        <w:tc>
          <w:tcPr>
            <w:tcW w:w="136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b w:val="1"/>
                <w:bCs w:val="1"/>
                <w:color w:val="auto"/>
              </w:rPr>
              <w:t>€697</w:t>
            </w:r>
          </w:p>
        </w:tc>
        <w:tc>
          <w:tcPr>
            <w:tcW w:w="1600" w:type="dxa"/>
            <w:vAlign w:val="bottom"/>
            <w:tcBorders>
              <w:bottom w:val="single" w:sz="8" w:color="70AD47"/>
              <w:right w:val="single" w:sz="8" w:color="70AD47"/>
            </w:tcBorders>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€56,352</w:t>
            </w:r>
          </w:p>
        </w:tc>
        <w:tc>
          <w:tcPr>
            <w:tcW w:w="0" w:type="dxa"/>
            <w:vAlign w:val="bottom"/>
          </w:tcPr>
          <w:p>
            <w:pPr>
              <w:spacing w:after="0"/>
              <w:rPr>
                <w:sz w:val="1"/>
                <w:szCs w:val="1"/>
                <w:color w:val="auto"/>
              </w:rPr>
            </w:pPr>
          </w:p>
        </w:tc>
      </w:tr>
      <w:tr>
        <w:trPr>
          <w:trHeight w:val="550"/>
        </w:trPr>
        <w:tc>
          <w:tcPr>
            <w:tcW w:w="820" w:type="dxa"/>
            <w:vAlign w:val="bottom"/>
          </w:tcPr>
          <w:p>
            <w:pPr>
              <w:spacing w:after="0"/>
              <w:rPr>
                <w:sz w:val="20"/>
                <w:szCs w:val="20"/>
                <w:color w:val="auto"/>
              </w:rPr>
            </w:pPr>
            <w:r>
              <w:rPr>
                <w:rFonts w:ascii="Arial" w:cs="Arial" w:eastAsia="Arial" w:hAnsi="Arial"/>
                <w:sz w:val="13"/>
                <w:szCs w:val="13"/>
                <w:b w:val="1"/>
                <w:bCs w:val="1"/>
                <w:color w:val="auto"/>
              </w:rPr>
              <w:t>13</w:t>
            </w:r>
          </w:p>
        </w:tc>
        <w:tc>
          <w:tcPr>
            <w:tcW w:w="3500" w:type="dxa"/>
            <w:vAlign w:val="bottom"/>
          </w:tcPr>
          <w:p>
            <w:pPr>
              <w:spacing w:after="0"/>
              <w:rPr>
                <w:sz w:val="20"/>
                <w:szCs w:val="20"/>
                <w:color w:val="auto"/>
              </w:rPr>
            </w:pPr>
            <w:r>
              <w:rPr>
                <w:rFonts w:ascii="Arial" w:cs="Arial" w:eastAsia="Arial" w:hAnsi="Arial"/>
                <w:sz w:val="13"/>
                <w:szCs w:val="13"/>
                <w:b w:val="1"/>
                <w:bCs w:val="1"/>
                <w:color w:val="auto"/>
              </w:rPr>
              <w:t>Inventories</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8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820" w:type="dxa"/>
            <w:vAlign w:val="bottom"/>
            <w:vMerge w:val="restart"/>
          </w:tcPr>
          <w:p>
            <w:pPr>
              <w:spacing w:after="0"/>
              <w:rPr>
                <w:sz w:val="20"/>
                <w:szCs w:val="20"/>
                <w:color w:val="auto"/>
              </w:rPr>
            </w:pPr>
            <w:r>
              <w:rPr>
                <w:rFonts w:ascii="Arial" w:cs="Arial" w:eastAsia="Arial" w:hAnsi="Arial"/>
                <w:sz w:val="13"/>
                <w:szCs w:val="13"/>
                <w:i w:val="1"/>
                <w:iCs w:val="1"/>
                <w:color w:val="auto"/>
                <w:w w:val="97"/>
              </w:rPr>
              <w:t>(in thousands)</w:t>
            </w:r>
          </w:p>
        </w:tc>
        <w:tc>
          <w:tcPr>
            <w:tcW w:w="3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00" w:type="dxa"/>
            <w:vAlign w:val="bottom"/>
            <w:tcBorders>
              <w:right w:val="single" w:sz="8" w:color="70AD47"/>
            </w:tcBorders>
          </w:tcPr>
          <w:p>
            <w:pPr>
              <w:spacing w:after="0"/>
              <w:rPr>
                <w:sz w:val="13"/>
                <w:szCs w:val="13"/>
                <w:color w:val="auto"/>
              </w:rPr>
            </w:pPr>
          </w:p>
        </w:tc>
        <w:tc>
          <w:tcPr>
            <w:tcW w:w="260" w:type="dxa"/>
            <w:vAlign w:val="bottom"/>
            <w:shd w:val="clear" w:color="auto" w:fill="C6E0B4"/>
          </w:tcPr>
          <w:p>
            <w:pPr>
              <w:spacing w:after="0"/>
              <w:rPr>
                <w:sz w:val="13"/>
                <w:szCs w:val="13"/>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26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820" w:type="dxa"/>
            <w:vAlign w:val="bottom"/>
            <w:vMerge w:val="continue"/>
          </w:tcPr>
          <w:p>
            <w:pPr>
              <w:spacing w:after="0"/>
              <w:rPr>
                <w:sz w:val="8"/>
                <w:szCs w:val="8"/>
                <w:color w:val="auto"/>
              </w:rPr>
            </w:pPr>
          </w:p>
        </w:tc>
        <w:tc>
          <w:tcPr>
            <w:tcW w:w="3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00" w:type="dxa"/>
            <w:vAlign w:val="bottom"/>
            <w:tcBorders>
              <w:right w:val="single" w:sz="8" w:color="70AD47"/>
            </w:tcBorders>
          </w:tcPr>
          <w:p>
            <w:pPr>
              <w:spacing w:after="0"/>
              <w:rPr>
                <w:sz w:val="8"/>
                <w:szCs w:val="8"/>
                <w:color w:val="auto"/>
              </w:rPr>
            </w:pPr>
          </w:p>
        </w:tc>
        <w:tc>
          <w:tcPr>
            <w:tcW w:w="260" w:type="dxa"/>
            <w:vAlign w:val="bottom"/>
            <w:shd w:val="clear" w:color="auto" w:fill="C6E0B4"/>
          </w:tcPr>
          <w:p>
            <w:pPr>
              <w:spacing w:after="0"/>
              <w:rPr>
                <w:sz w:val="8"/>
                <w:szCs w:val="8"/>
                <w:color w:val="auto"/>
              </w:rPr>
            </w:pPr>
          </w:p>
        </w:tc>
        <w:tc>
          <w:tcPr>
            <w:tcW w:w="13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8"/>
                <w:szCs w:val="8"/>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820" w:type="dxa"/>
            <w:vAlign w:val="bottom"/>
            <w:tcBorders>
              <w:bottom w:val="single" w:sz="8" w:color="70AD47"/>
            </w:tcBorders>
          </w:tcPr>
          <w:p>
            <w:pPr>
              <w:spacing w:after="0"/>
              <w:rPr>
                <w:sz w:val="6"/>
                <w:szCs w:val="6"/>
                <w:color w:val="auto"/>
              </w:rPr>
            </w:pPr>
          </w:p>
        </w:tc>
        <w:tc>
          <w:tcPr>
            <w:tcW w:w="3500" w:type="dxa"/>
            <w:vAlign w:val="bottom"/>
            <w:tcBorders>
              <w:bottom w:val="single" w:sz="8" w:color="70AD47"/>
            </w:tcBorders>
          </w:tcPr>
          <w:p>
            <w:pPr>
              <w:spacing w:after="0"/>
              <w:rPr>
                <w:sz w:val="6"/>
                <w:szCs w:val="6"/>
                <w:color w:val="auto"/>
              </w:rPr>
            </w:pPr>
          </w:p>
        </w:tc>
        <w:tc>
          <w:tcPr>
            <w:tcW w:w="1340" w:type="dxa"/>
            <w:vAlign w:val="bottom"/>
            <w:tcBorders>
              <w:bottom w:val="single" w:sz="8" w:color="70AD47"/>
            </w:tcBorders>
          </w:tcPr>
          <w:p>
            <w:pPr>
              <w:spacing w:after="0"/>
              <w:rPr>
                <w:sz w:val="6"/>
                <w:szCs w:val="6"/>
                <w:color w:val="auto"/>
              </w:rPr>
            </w:pPr>
          </w:p>
        </w:tc>
        <w:tc>
          <w:tcPr>
            <w:tcW w:w="1340" w:type="dxa"/>
            <w:vAlign w:val="bottom"/>
            <w:tcBorders>
              <w:bottom w:val="single" w:sz="8" w:color="70AD47"/>
            </w:tcBorders>
          </w:tcPr>
          <w:p>
            <w:pPr>
              <w:spacing w:after="0"/>
              <w:rPr>
                <w:sz w:val="6"/>
                <w:szCs w:val="6"/>
                <w:color w:val="auto"/>
              </w:rPr>
            </w:pPr>
          </w:p>
        </w:tc>
        <w:tc>
          <w:tcPr>
            <w:tcW w:w="1100" w:type="dxa"/>
            <w:vAlign w:val="bottom"/>
            <w:tcBorders>
              <w:bottom w:val="single" w:sz="8" w:color="70AD47"/>
              <w:right w:val="single" w:sz="8" w:color="70AD47"/>
            </w:tcBorders>
          </w:tcPr>
          <w:p>
            <w:pPr>
              <w:spacing w:after="0"/>
              <w:rPr>
                <w:sz w:val="6"/>
                <w:szCs w:val="6"/>
                <w:color w:val="auto"/>
              </w:rPr>
            </w:pPr>
          </w:p>
        </w:tc>
        <w:tc>
          <w:tcPr>
            <w:tcW w:w="260" w:type="dxa"/>
            <w:vAlign w:val="bottom"/>
            <w:tcBorders>
              <w:bottom w:val="single" w:sz="8" w:color="70AD47"/>
            </w:tcBorders>
            <w:shd w:val="clear" w:color="auto" w:fill="C6E0B4"/>
          </w:tcPr>
          <w:p>
            <w:pPr>
              <w:spacing w:after="0"/>
              <w:rPr>
                <w:sz w:val="6"/>
                <w:szCs w:val="6"/>
                <w:color w:val="auto"/>
              </w:rPr>
            </w:pPr>
          </w:p>
        </w:tc>
        <w:tc>
          <w:tcPr>
            <w:tcW w:w="134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260" w:type="dxa"/>
            <w:vAlign w:val="bottom"/>
            <w:tcBorders>
              <w:bottom w:val="single" w:sz="8" w:color="70AD47"/>
            </w:tcBorders>
          </w:tcPr>
          <w:p>
            <w:pPr>
              <w:spacing w:after="0"/>
              <w:rPr>
                <w:sz w:val="6"/>
                <w:szCs w:val="6"/>
                <w:color w:val="auto"/>
              </w:rPr>
            </w:pPr>
          </w:p>
        </w:tc>
        <w:tc>
          <w:tcPr>
            <w:tcW w:w="132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rPr>
                <w:sz w:val="20"/>
                <w:szCs w:val="20"/>
                <w:color w:val="auto"/>
              </w:rPr>
            </w:pPr>
            <w:r>
              <w:rPr>
                <w:rFonts w:ascii="Arial" w:cs="Arial" w:eastAsia="Arial" w:hAnsi="Arial"/>
                <w:sz w:val="13"/>
                <w:szCs w:val="13"/>
                <w:color w:val="auto"/>
              </w:rPr>
              <w:t>Raw materials and supplies</w:t>
            </w:r>
          </w:p>
        </w:tc>
        <w:tc>
          <w:tcPr>
            <w:tcW w:w="1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00" w:type="dxa"/>
            <w:vAlign w:val="bottom"/>
            <w:tcBorders>
              <w:right w:val="single" w:sz="8" w:color="70AD47"/>
            </w:tcBorders>
          </w:tcPr>
          <w:p>
            <w:pPr>
              <w:spacing w:after="0"/>
              <w:rPr>
                <w:sz w:val="13"/>
                <w:szCs w:val="13"/>
                <w:color w:val="auto"/>
              </w:rPr>
            </w:pPr>
          </w:p>
        </w:tc>
        <w:tc>
          <w:tcPr>
            <w:tcW w:w="260" w:type="dxa"/>
            <w:vAlign w:val="bottom"/>
            <w:shd w:val="clear" w:color="auto" w:fill="C6E0B4"/>
          </w:tcPr>
          <w:p>
            <w:pPr>
              <w:spacing w:after="0"/>
              <w:rPr>
                <w:sz w:val="13"/>
                <w:szCs w:val="13"/>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€8,201</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€4,475</w:t>
            </w:r>
          </w:p>
        </w:tc>
        <w:tc>
          <w:tcPr>
            <w:tcW w:w="0" w:type="dxa"/>
            <w:vAlign w:val="bottom"/>
          </w:tcPr>
          <w:p>
            <w:pPr>
              <w:spacing w:after="0"/>
              <w:rPr>
                <w:sz w:val="1"/>
                <w:szCs w:val="1"/>
                <w:color w:val="auto"/>
              </w:rPr>
            </w:pPr>
          </w:p>
        </w:tc>
      </w:tr>
      <w:tr>
        <w:trPr>
          <w:trHeight w:val="170"/>
        </w:trPr>
        <w:tc>
          <w:tcPr>
            <w:tcW w:w="4320" w:type="dxa"/>
            <w:vAlign w:val="bottom"/>
            <w:gridSpan w:val="2"/>
          </w:tcPr>
          <w:p>
            <w:pPr>
              <w:spacing w:after="0"/>
              <w:rPr>
                <w:sz w:val="20"/>
                <w:szCs w:val="20"/>
                <w:color w:val="auto"/>
              </w:rPr>
            </w:pPr>
            <w:r>
              <w:rPr>
                <w:rFonts w:ascii="Arial" w:cs="Arial" w:eastAsia="Arial" w:hAnsi="Arial"/>
                <w:sz w:val="13"/>
                <w:szCs w:val="13"/>
                <w:color w:val="auto"/>
              </w:rPr>
              <w:t>Unfinished goods</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Borders>
              <w:right w:val="single" w:sz="8" w:color="70AD47"/>
            </w:tcBorders>
          </w:tcPr>
          <w:p>
            <w:pPr>
              <w:spacing w:after="0"/>
              <w:rPr>
                <w:sz w:val="14"/>
                <w:szCs w:val="14"/>
                <w:color w:val="auto"/>
              </w:rPr>
            </w:pPr>
          </w:p>
        </w:tc>
        <w:tc>
          <w:tcPr>
            <w:tcW w:w="260" w:type="dxa"/>
            <w:vAlign w:val="bottom"/>
            <w:shd w:val="clear" w:color="auto" w:fill="C6E0B4"/>
          </w:tcPr>
          <w:p>
            <w:pPr>
              <w:spacing w:after="0"/>
              <w:rPr>
                <w:sz w:val="14"/>
                <w:szCs w:val="14"/>
                <w:color w:val="auto"/>
              </w:rPr>
            </w:pPr>
          </w:p>
        </w:tc>
        <w:tc>
          <w:tcPr>
            <w:tcW w:w="13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2,888</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70"/>
        </w:trPr>
        <w:tc>
          <w:tcPr>
            <w:tcW w:w="82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w w:val="90"/>
              </w:rPr>
              <w:t>Finished goods</w:t>
            </w:r>
          </w:p>
        </w:tc>
        <w:tc>
          <w:tcPr>
            <w:tcW w:w="3500" w:type="dxa"/>
            <w:vAlign w:val="bottom"/>
            <w:tcBorders>
              <w:bottom w:val="single" w:sz="8" w:color="70AD47"/>
            </w:tcBorders>
          </w:tcPr>
          <w:p>
            <w:pPr>
              <w:spacing w:after="0"/>
              <w:rPr>
                <w:sz w:val="14"/>
                <w:szCs w:val="14"/>
                <w:color w:val="auto"/>
              </w:rPr>
            </w:pPr>
          </w:p>
        </w:tc>
        <w:tc>
          <w:tcPr>
            <w:tcW w:w="1340" w:type="dxa"/>
            <w:vAlign w:val="bottom"/>
            <w:tcBorders>
              <w:bottom w:val="single" w:sz="8" w:color="70AD47"/>
            </w:tcBorders>
          </w:tcPr>
          <w:p>
            <w:pPr>
              <w:spacing w:after="0"/>
              <w:rPr>
                <w:sz w:val="14"/>
                <w:szCs w:val="14"/>
                <w:color w:val="auto"/>
              </w:rPr>
            </w:pPr>
          </w:p>
        </w:tc>
        <w:tc>
          <w:tcPr>
            <w:tcW w:w="1340" w:type="dxa"/>
            <w:vAlign w:val="bottom"/>
            <w:tcBorders>
              <w:bottom w:val="single" w:sz="8" w:color="70AD47"/>
            </w:tcBorders>
          </w:tcPr>
          <w:p>
            <w:pPr>
              <w:spacing w:after="0"/>
              <w:rPr>
                <w:sz w:val="14"/>
                <w:szCs w:val="14"/>
                <w:color w:val="auto"/>
              </w:rPr>
            </w:pPr>
          </w:p>
        </w:tc>
        <w:tc>
          <w:tcPr>
            <w:tcW w:w="1100" w:type="dxa"/>
            <w:vAlign w:val="bottom"/>
            <w:tcBorders>
              <w:bottom w:val="single" w:sz="8" w:color="70AD47"/>
              <w:right w:val="single" w:sz="8" w:color="70AD47"/>
            </w:tcBorders>
          </w:tcPr>
          <w:p>
            <w:pPr>
              <w:spacing w:after="0"/>
              <w:rPr>
                <w:sz w:val="14"/>
                <w:szCs w:val="14"/>
                <w:color w:val="auto"/>
              </w:rPr>
            </w:pPr>
          </w:p>
        </w:tc>
        <w:tc>
          <w:tcPr>
            <w:tcW w:w="260" w:type="dxa"/>
            <w:vAlign w:val="bottom"/>
            <w:tcBorders>
              <w:bottom w:val="single" w:sz="8" w:color="70AD47"/>
            </w:tcBorders>
            <w:shd w:val="clear" w:color="auto" w:fill="C6E0B4"/>
          </w:tcPr>
          <w:p>
            <w:pPr>
              <w:spacing w:after="0"/>
              <w:rPr>
                <w:sz w:val="14"/>
                <w:szCs w:val="14"/>
                <w:color w:val="auto"/>
              </w:rPr>
            </w:pP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633</w:t>
            </w:r>
          </w:p>
        </w:tc>
        <w:tc>
          <w:tcPr>
            <w:tcW w:w="260" w:type="dxa"/>
            <w:vAlign w:val="bottom"/>
            <w:tcBorders>
              <w:bottom w:val="single" w:sz="8" w:color="70AD47"/>
            </w:tcBorders>
          </w:tcPr>
          <w:p>
            <w:pPr>
              <w:spacing w:after="0"/>
              <w:rPr>
                <w:sz w:val="14"/>
                <w:szCs w:val="14"/>
                <w:color w:val="auto"/>
              </w:rPr>
            </w:pP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1,234</w:t>
            </w:r>
          </w:p>
        </w:tc>
        <w:tc>
          <w:tcPr>
            <w:tcW w:w="0" w:type="dxa"/>
            <w:vAlign w:val="bottom"/>
          </w:tcPr>
          <w:p>
            <w:pPr>
              <w:spacing w:after="0"/>
              <w:rPr>
                <w:sz w:val="1"/>
                <w:szCs w:val="1"/>
                <w:color w:val="auto"/>
              </w:rPr>
            </w:pPr>
          </w:p>
        </w:tc>
      </w:tr>
      <w:tr>
        <w:trPr>
          <w:trHeight w:val="160"/>
        </w:trPr>
        <w:tc>
          <w:tcPr>
            <w:tcW w:w="8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3500" w:type="dxa"/>
            <w:vAlign w:val="bottom"/>
            <w:tcBorders>
              <w:bottom w:val="single" w:sz="8" w:color="70AD47"/>
            </w:tcBorders>
          </w:tcPr>
          <w:p>
            <w:pPr>
              <w:spacing w:after="0"/>
              <w:rPr>
                <w:sz w:val="13"/>
                <w:szCs w:val="13"/>
                <w:color w:val="auto"/>
              </w:rPr>
            </w:pPr>
          </w:p>
        </w:tc>
        <w:tc>
          <w:tcPr>
            <w:tcW w:w="1340" w:type="dxa"/>
            <w:vAlign w:val="bottom"/>
            <w:tcBorders>
              <w:bottom w:val="single" w:sz="8" w:color="70AD47"/>
            </w:tcBorders>
          </w:tcPr>
          <w:p>
            <w:pPr>
              <w:spacing w:after="0"/>
              <w:rPr>
                <w:sz w:val="13"/>
                <w:szCs w:val="13"/>
                <w:color w:val="auto"/>
              </w:rPr>
            </w:pPr>
          </w:p>
        </w:tc>
        <w:tc>
          <w:tcPr>
            <w:tcW w:w="1340" w:type="dxa"/>
            <w:vAlign w:val="bottom"/>
            <w:tcBorders>
              <w:bottom w:val="single" w:sz="8" w:color="70AD47"/>
            </w:tcBorders>
          </w:tcPr>
          <w:p>
            <w:pPr>
              <w:spacing w:after="0"/>
              <w:rPr>
                <w:sz w:val="13"/>
                <w:szCs w:val="13"/>
                <w:color w:val="auto"/>
              </w:rPr>
            </w:pPr>
          </w:p>
        </w:tc>
        <w:tc>
          <w:tcPr>
            <w:tcW w:w="1100" w:type="dxa"/>
            <w:vAlign w:val="bottom"/>
            <w:tcBorders>
              <w:bottom w:val="single" w:sz="8" w:color="70AD47"/>
              <w:right w:val="single" w:sz="8" w:color="70AD47"/>
            </w:tcBorders>
          </w:tcPr>
          <w:p>
            <w:pPr>
              <w:spacing w:after="0"/>
              <w:rPr>
                <w:sz w:val="13"/>
                <w:szCs w:val="13"/>
                <w:color w:val="auto"/>
              </w:rPr>
            </w:pPr>
          </w:p>
        </w:tc>
        <w:tc>
          <w:tcPr>
            <w:tcW w:w="260" w:type="dxa"/>
            <w:vAlign w:val="bottom"/>
            <w:tcBorders>
              <w:bottom w:val="single" w:sz="8" w:color="70AD47"/>
            </w:tcBorders>
            <w:shd w:val="clear" w:color="auto" w:fill="C6E0B4"/>
          </w:tcPr>
          <w:p>
            <w:pPr>
              <w:spacing w:after="0"/>
              <w:rPr>
                <w:sz w:val="13"/>
                <w:szCs w:val="13"/>
                <w:color w:val="auto"/>
              </w:rPr>
            </w:pP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€11,722</w:t>
            </w:r>
          </w:p>
        </w:tc>
        <w:tc>
          <w:tcPr>
            <w:tcW w:w="260" w:type="dxa"/>
            <w:vAlign w:val="bottom"/>
            <w:tcBorders>
              <w:bottom w:val="single" w:sz="8" w:color="70AD47"/>
            </w:tcBorders>
          </w:tcPr>
          <w:p>
            <w:pPr>
              <w:spacing w:after="0"/>
              <w:rPr>
                <w:sz w:val="13"/>
                <w:szCs w:val="13"/>
                <w:color w:val="auto"/>
              </w:rPr>
            </w:pPr>
          </w:p>
        </w:tc>
        <w:tc>
          <w:tcPr>
            <w:tcW w:w="132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€5,789</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During the year ended December 31, 2019, inventories of k€2,182 (during the year ended December 31, 2018: k€1,789) were recognized as an expense and recognized in cost of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sectPr>
      </w:pPr>
    </w:p>
    <w:bookmarkStart w:id="300" w:name="page301"/>
    <w:bookmarkEnd w:id="300"/>
    <w:p>
      <w:pPr>
        <w:ind w:left="560"/>
        <w:spacing w:after="0"/>
        <w:rPr>
          <w:sz w:val="20"/>
          <w:szCs w:val="20"/>
          <w:color w:val="auto"/>
        </w:rPr>
      </w:pPr>
      <w:r>
        <w:rPr>
          <w:rFonts w:ascii="Arial" w:cs="Arial" w:eastAsia="Arial" w:hAnsi="Arial"/>
          <w:sz w:val="13"/>
          <w:szCs w:val="13"/>
          <w:color w:val="auto"/>
        </w:rPr>
        <w:t>BioNTech has not pledged any inventories as securities for liabilities.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14</w:t>
            </w:r>
          </w:p>
        </w:tc>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Trade Receivables</w:t>
            </w: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Pr>
          <w:p>
            <w:pPr>
              <w:spacing w:after="0"/>
              <w:rPr>
                <w:sz w:val="7"/>
                <w:szCs w:val="7"/>
                <w:color w:val="auto"/>
              </w:rPr>
            </w:pPr>
          </w:p>
        </w:tc>
        <w:tc>
          <w:tcPr>
            <w:tcW w:w="7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80" w:type="dxa"/>
            <w:vAlign w:val="bottom"/>
            <w:vMerge w:val="restart"/>
          </w:tcPr>
          <w:p>
            <w:pPr>
              <w:spacing w:after="0"/>
              <w:rPr>
                <w:sz w:val="20"/>
                <w:szCs w:val="20"/>
                <w:color w:val="auto"/>
              </w:rPr>
            </w:pPr>
            <w:r>
              <w:rPr>
                <w:rFonts w:ascii="Arial" w:cs="Arial" w:eastAsia="Arial" w:hAnsi="Arial"/>
                <w:sz w:val="13"/>
                <w:szCs w:val="13"/>
                <w:i w:val="1"/>
                <w:iCs w:val="1"/>
                <w:color w:val="auto"/>
                <w:w w:val="92"/>
              </w:rPr>
              <w:t>(in thousands)</w:t>
            </w:r>
          </w:p>
        </w:tc>
        <w:tc>
          <w:tcPr>
            <w:tcW w:w="732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7320" w:type="dxa"/>
            <w:vAlign w:val="bottom"/>
            <w:tcBorders>
              <w:right w:val="single" w:sz="8" w:color="70AD47"/>
            </w:tcBorders>
          </w:tcPr>
          <w:p>
            <w:pPr>
              <w:spacing w:after="0"/>
              <w:rPr>
                <w:sz w:val="8"/>
                <w:szCs w:val="8"/>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780" w:type="dxa"/>
            <w:vAlign w:val="bottom"/>
            <w:tcBorders>
              <w:bottom w:val="single" w:sz="8" w:color="70AD47"/>
            </w:tcBorders>
          </w:tcPr>
          <w:p>
            <w:pPr>
              <w:spacing w:after="0"/>
              <w:rPr>
                <w:sz w:val="6"/>
                <w:szCs w:val="6"/>
                <w:color w:val="auto"/>
              </w:rPr>
            </w:pPr>
          </w:p>
        </w:tc>
        <w:tc>
          <w:tcPr>
            <w:tcW w:w="732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10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Trade receivables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€11,913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€18,938</w:t>
            </w:r>
          </w:p>
        </w:tc>
        <w:tc>
          <w:tcPr>
            <w:tcW w:w="0" w:type="dxa"/>
            <w:vAlign w:val="bottom"/>
          </w:tcPr>
          <w:p>
            <w:pPr>
              <w:spacing w:after="0"/>
              <w:rPr>
                <w:sz w:val="1"/>
                <w:szCs w:val="1"/>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732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€11,913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€18,938</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Trade receivables are non-interest bearing and are generally due on terms of 20 to 30 days. As described in Note 12.6, expected credit loss for trade receivables is immaterial.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15</w:t>
            </w:r>
          </w:p>
        </w:tc>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Other Assets</w:t>
            </w: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Pr>
          <w:p>
            <w:pPr>
              <w:spacing w:after="0"/>
              <w:rPr>
                <w:sz w:val="7"/>
                <w:szCs w:val="7"/>
                <w:color w:val="auto"/>
              </w:rPr>
            </w:pPr>
          </w:p>
        </w:tc>
        <w:tc>
          <w:tcPr>
            <w:tcW w:w="7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80" w:type="dxa"/>
            <w:vAlign w:val="bottom"/>
            <w:vMerge w:val="restart"/>
          </w:tcPr>
          <w:p>
            <w:pPr>
              <w:spacing w:after="0"/>
              <w:rPr>
                <w:sz w:val="20"/>
                <w:szCs w:val="20"/>
                <w:color w:val="auto"/>
              </w:rPr>
            </w:pPr>
            <w:r>
              <w:rPr>
                <w:rFonts w:ascii="Arial" w:cs="Arial" w:eastAsia="Arial" w:hAnsi="Arial"/>
                <w:sz w:val="13"/>
                <w:szCs w:val="13"/>
                <w:i w:val="1"/>
                <w:iCs w:val="1"/>
                <w:color w:val="auto"/>
                <w:w w:val="92"/>
              </w:rPr>
              <w:t>(in thousands)</w:t>
            </w:r>
          </w:p>
        </w:tc>
        <w:tc>
          <w:tcPr>
            <w:tcW w:w="732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7320" w:type="dxa"/>
            <w:vAlign w:val="bottom"/>
            <w:tcBorders>
              <w:right w:val="single" w:sz="8" w:color="70AD47"/>
            </w:tcBorders>
          </w:tcPr>
          <w:p>
            <w:pPr>
              <w:spacing w:after="0"/>
              <w:rPr>
                <w:sz w:val="8"/>
                <w:szCs w:val="8"/>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780" w:type="dxa"/>
            <w:vAlign w:val="bottom"/>
            <w:tcBorders>
              <w:bottom w:val="single" w:sz="8" w:color="70AD47"/>
            </w:tcBorders>
          </w:tcPr>
          <w:p>
            <w:pPr>
              <w:spacing w:after="0"/>
              <w:rPr>
                <w:sz w:val="6"/>
                <w:szCs w:val="6"/>
                <w:color w:val="auto"/>
              </w:rPr>
            </w:pPr>
          </w:p>
        </w:tc>
        <w:tc>
          <w:tcPr>
            <w:tcW w:w="732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10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Sales tax receivable</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€7,536</w:t>
            </w:r>
          </w:p>
        </w:tc>
        <w:tc>
          <w:tcPr>
            <w:tcW w:w="1580" w:type="dxa"/>
            <w:vAlign w:val="bottom"/>
          </w:tcPr>
          <w:p>
            <w:pPr>
              <w:jc w:val="right"/>
              <w:spacing w:after="0"/>
              <w:rPr>
                <w:sz w:val="20"/>
                <w:szCs w:val="20"/>
                <w:color w:val="auto"/>
              </w:rPr>
            </w:pPr>
            <w:r>
              <w:rPr>
                <w:rFonts w:ascii="Arial" w:cs="Arial" w:eastAsia="Arial" w:hAnsi="Arial"/>
                <w:sz w:val="13"/>
                <w:szCs w:val="13"/>
                <w:color w:val="auto"/>
              </w:rPr>
              <w:t>€8,611</w:t>
            </w:r>
          </w:p>
        </w:tc>
        <w:tc>
          <w:tcPr>
            <w:tcW w:w="0" w:type="dxa"/>
            <w:vAlign w:val="bottom"/>
          </w:tcPr>
          <w:p>
            <w:pPr>
              <w:spacing w:after="0"/>
              <w:rPr>
                <w:sz w:val="1"/>
                <w:szCs w:val="1"/>
                <w:color w:val="auto"/>
              </w:rPr>
            </w:pPr>
          </w:p>
        </w:tc>
      </w:tr>
      <w:tr>
        <w:trPr>
          <w:trHeight w:val="170"/>
        </w:trPr>
        <w:tc>
          <w:tcPr>
            <w:tcW w:w="810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Prepayments on inventories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351</w:t>
            </w:r>
          </w:p>
        </w:tc>
        <w:tc>
          <w:tcPr>
            <w:tcW w:w="158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w:t>
            </w:r>
          </w:p>
        </w:tc>
        <w:tc>
          <w:tcPr>
            <w:tcW w:w="732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1,182</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732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€9,069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€9,164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180" w:firstLine="554"/>
        <w:spacing w:after="0" w:line="287" w:lineRule="auto"/>
        <w:rPr>
          <w:sz w:val="20"/>
          <w:szCs w:val="20"/>
          <w:color w:val="auto"/>
        </w:rPr>
      </w:pPr>
      <w:r>
        <w:rPr>
          <w:rFonts w:ascii="Arial" w:cs="Arial" w:eastAsia="Arial" w:hAnsi="Arial"/>
          <w:sz w:val="13"/>
          <w:szCs w:val="13"/>
          <w:color w:val="auto"/>
        </w:rPr>
        <w:t>As at December 31, 2019, other assets mainly comprised interest income of k€529 and receivables from withholding taxes of k€310 (as at December 31, 2018, other assets were mainly comprised of interest income of k€270).</w:t>
      </w:r>
    </w:p>
    <w:p>
      <w:pPr>
        <w:spacing w:after="0" w:line="198" w:lineRule="exact"/>
        <w:rPr>
          <w:sz w:val="20"/>
          <w:szCs w:val="20"/>
          <w:color w:val="auto"/>
        </w:rPr>
      </w:pPr>
    </w:p>
    <w:p>
      <w:pPr>
        <w:ind w:left="560" w:right="8860" w:hanging="560"/>
        <w:spacing w:after="0" w:line="459" w:lineRule="auto"/>
        <w:tabs>
          <w:tab w:leader="none" w:pos="813" w:val="left"/>
        </w:tabs>
        <w:numPr>
          <w:ilvl w:val="0"/>
          <w:numId w:val="327"/>
        </w:numPr>
        <w:rPr>
          <w:rFonts w:ascii="Arial" w:cs="Arial" w:eastAsia="Arial" w:hAnsi="Arial"/>
          <w:sz w:val="11"/>
          <w:szCs w:val="11"/>
          <w:b w:val="1"/>
          <w:bCs w:val="1"/>
          <w:color w:val="auto"/>
        </w:rPr>
      </w:pPr>
      <w:r>
        <w:rPr>
          <w:rFonts w:ascii="Arial" w:cs="Arial" w:eastAsia="Arial" w:hAnsi="Arial"/>
          <w:sz w:val="11"/>
          <w:szCs w:val="11"/>
          <w:b w:val="1"/>
          <w:bCs w:val="1"/>
          <w:color w:val="auto"/>
        </w:rPr>
        <w:t>Issued Capital and Reserves Year ended December 31, 2019</w:t>
      </w:r>
    </w:p>
    <w:p>
      <w:pPr>
        <w:ind w:right="40" w:firstLine="556"/>
        <w:spacing w:after="0" w:line="272" w:lineRule="auto"/>
        <w:rPr>
          <w:sz w:val="20"/>
          <w:szCs w:val="20"/>
          <w:color w:val="auto"/>
        </w:rPr>
      </w:pPr>
      <w:r>
        <w:rPr>
          <w:rFonts w:ascii="Arial" w:cs="Arial" w:eastAsia="Arial" w:hAnsi="Arial"/>
          <w:sz w:val="13"/>
          <w:szCs w:val="13"/>
          <w:color w:val="auto"/>
        </w:rPr>
        <w:t>On September 18, 2019, BioNTech effected a 1:18 share split by issuing 206,595,492 shares by way of a capital increase from its own funds; thus, no outside proceeds were received. This capital increase came into effect upon registration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The accompanying financial statements and notes to the financial statements give retroactive effect to the share split for all periods presented.</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financing transactions that occurred during the year ended December 31, 2019 were as follows: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Issuance of Share Capital</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January 2019, BioNTech issued 5,088,204 shares and increased its share capital by k€5,088. The cash investment of k€80,006 was received in 2018 (k€79,997).</w:t>
      </w:r>
    </w:p>
    <w:p>
      <w:pPr>
        <w:spacing w:after="0" w:line="170" w:lineRule="exact"/>
        <w:rPr>
          <w:sz w:val="20"/>
          <w:szCs w:val="20"/>
          <w:color w:val="auto"/>
        </w:rPr>
      </w:pPr>
    </w:p>
    <w:p>
      <w:pPr>
        <w:jc w:val="both"/>
        <w:ind w:right="20" w:firstLine="556"/>
        <w:spacing w:after="0" w:line="296" w:lineRule="auto"/>
        <w:rPr>
          <w:sz w:val="20"/>
          <w:szCs w:val="20"/>
          <w:color w:val="auto"/>
        </w:rPr>
      </w:pPr>
      <w:r>
        <w:rPr>
          <w:rFonts w:ascii="Arial" w:cs="Arial" w:eastAsia="Arial" w:hAnsi="Arial"/>
          <w:sz w:val="12"/>
          <w:szCs w:val="12"/>
          <w:color w:val="auto"/>
        </w:rPr>
        <w:t>On August 30, 2019, BioNTech entered into agreements with the Bill &amp; Melinda Gates Foundation (BMGF). BMGF agreed to purchase 3,038,674 ordinary shares with nominal amount of k€ 3,039 of BioNTech for a total of k€49,864 (k$55,000). These agreements require BioNTech to perform certain research and development activities to advance the development of products for the prevention and treatment of HIV and tuberculosis. In the event of a breach of the underlying conditions, including such research and development activities, BMGF has the right to sell its shares back to BioNTech at the initial share price or fair market value, whichever is higher, subject to certain conditions. BioNTech’s ability to pay dividends is also limited under the terms of these agreements.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Capital Increase Series B</w:t>
      </w:r>
    </w:p>
    <w:p>
      <w:pPr>
        <w:spacing w:after="0" w:line="94" w:lineRule="exact"/>
        <w:rPr>
          <w:sz w:val="20"/>
          <w:szCs w:val="20"/>
          <w:color w:val="auto"/>
        </w:rPr>
      </w:pPr>
    </w:p>
    <w:p>
      <w:pPr>
        <w:ind w:right="240" w:firstLine="556"/>
        <w:spacing w:after="0" w:line="304" w:lineRule="auto"/>
        <w:rPr>
          <w:sz w:val="20"/>
          <w:szCs w:val="20"/>
          <w:color w:val="auto"/>
        </w:rPr>
      </w:pPr>
      <w:r>
        <w:rPr>
          <w:rFonts w:ascii="Arial" w:cs="Arial" w:eastAsia="Arial" w:hAnsi="Arial"/>
          <w:sz w:val="12"/>
          <w:szCs w:val="12"/>
          <w:color w:val="auto"/>
        </w:rPr>
        <w:t>In June and August 2019, BioNTech issued an aggregate of 12,465,288 of ordinary shares (excluding 5,524,506 ordinary shares which were issued to a Hong Kong-based investor and subsequently transferred to BioNTech for no consideration; these shares are held as treasury shares) to certain new and existing shareholders at a price of USD 18.10 per share for aggregate proceeds of k€198,548 (k$225,622). These share issuances led to an increase of share capital of k€ 17,990 and capital reserve of k€ 186,390 and recognition of a treasury share balance of k€ 5,525.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50" w:right="319" w:bottom="1440" w:gutter="0" w:footer="0" w:header="0"/>
        </w:sectPr>
      </w:pPr>
    </w:p>
    <w:bookmarkStart w:id="301" w:name="page302"/>
    <w:bookmarkEnd w:id="301"/>
    <w:p>
      <w:pPr>
        <w:ind w:left="560"/>
        <w:spacing w:after="0"/>
        <w:rPr>
          <w:sz w:val="20"/>
          <w:szCs w:val="20"/>
          <w:color w:val="auto"/>
        </w:rPr>
      </w:pPr>
      <w:r>
        <w:rPr>
          <w:rFonts w:ascii="Arial" w:cs="Arial" w:eastAsia="Arial" w:hAnsi="Arial"/>
          <w:sz w:val="13"/>
          <w:szCs w:val="13"/>
          <w:b w:val="1"/>
          <w:bCs w:val="1"/>
          <w:color w:val="auto"/>
        </w:rPr>
        <w:t>Initial Public Offering (IPO)</w:t>
      </w:r>
    </w:p>
    <w:p>
      <w:pPr>
        <w:spacing w:after="0" w:line="94" w:lineRule="exact"/>
        <w:rPr>
          <w:sz w:val="20"/>
          <w:szCs w:val="20"/>
          <w:color w:val="auto"/>
        </w:rPr>
      </w:pPr>
    </w:p>
    <w:p>
      <w:pPr>
        <w:ind w:firstLine="556"/>
        <w:spacing w:after="0" w:line="267" w:lineRule="auto"/>
        <w:rPr>
          <w:sz w:val="20"/>
          <w:szCs w:val="20"/>
          <w:color w:val="auto"/>
        </w:rPr>
      </w:pPr>
      <w:r>
        <w:rPr>
          <w:rFonts w:ascii="Arial" w:cs="Arial" w:eastAsia="Arial" w:hAnsi="Arial"/>
          <w:sz w:val="13"/>
          <w:szCs w:val="13"/>
          <w:color w:val="auto"/>
        </w:rPr>
        <w:t>On October 10, 2019, BioNTech increased its share capital by k€10,000 in conjunction with the Initial Public Offering. American Depositary Shares which represent ordinary shares were offered on the Nasdaq Global Select Market at a price of $15.00. On November 6, 2019, BioNTech increased its share capital by k€517 upon the execution of the underwriter´s option. American Depositary Shares which represent ordinary shares were issued at a price of $15.00 (under both issuances). The gross proceeds were k€143,260 (k$157,761) including k€10,517 increase in share capital and k€132,743 increase in capital reserve.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Acquisition of Non-Controlling Interest</w:t>
      </w:r>
    </w:p>
    <w:p>
      <w:pPr>
        <w:spacing w:after="0" w:line="94" w:lineRule="exact"/>
        <w:rPr>
          <w:sz w:val="20"/>
          <w:szCs w:val="20"/>
          <w:color w:val="auto"/>
        </w:rPr>
      </w:pPr>
    </w:p>
    <w:p>
      <w:pPr>
        <w:ind w:right="60" w:firstLine="556"/>
        <w:spacing w:after="0" w:line="272" w:lineRule="auto"/>
        <w:rPr>
          <w:sz w:val="20"/>
          <w:szCs w:val="20"/>
          <w:color w:val="auto"/>
        </w:rPr>
      </w:pPr>
      <w:r>
        <w:rPr>
          <w:rFonts w:ascii="Arial" w:cs="Arial" w:eastAsia="Arial" w:hAnsi="Arial"/>
          <w:sz w:val="13"/>
          <w:szCs w:val="13"/>
          <w:color w:val="auto"/>
        </w:rPr>
        <w:t>As of March 14, 2019, BioNTech acquired the remaining 5.5% of non-controlling interests in BioNTech Cell &amp; Gene Therapies GmbH held by Eli Lilly Nederland B.V. in exchange of issuing 2,374,794 new ordinary shares with an imputed share in the share capital of €1.00 each. This acquisition was recognized within equity and resulted in the derecognition of the non-controlling interest of k€731 as well as an increase to the share capital of k€2,375. The net effect of the transaction of k€1,644 was recognized as a decrease in the capital reserve.</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Year ended December 31, 2018</w:t>
      </w:r>
    </w:p>
    <w:p>
      <w:pPr>
        <w:spacing w:after="0" w:line="94" w:lineRule="exact"/>
        <w:rPr>
          <w:sz w:val="20"/>
          <w:szCs w:val="20"/>
          <w:color w:val="auto"/>
        </w:rPr>
      </w:pPr>
    </w:p>
    <w:p>
      <w:pPr>
        <w:ind w:right="140" w:firstLine="556"/>
        <w:spacing w:after="0" w:line="383" w:lineRule="auto"/>
        <w:rPr>
          <w:sz w:val="20"/>
          <w:szCs w:val="20"/>
          <w:color w:val="auto"/>
        </w:rPr>
      </w:pPr>
      <w:r>
        <w:rPr>
          <w:rFonts w:ascii="Arial" w:cs="Arial" w:eastAsia="Arial" w:hAnsi="Arial"/>
          <w:sz w:val="11"/>
          <w:szCs w:val="11"/>
          <w:color w:val="auto"/>
        </w:rPr>
        <w:t>During the year ended December 31, 2018, the issued capital increased by k€26,532. The increase was mainly related to k€22,588 issued during the Series A financing round, k€3,361 issued as share capital and k€583 issued in the course of settling the share-based payment plan. As a result of the financing transactions the capital reserve increased during the year ended December 31, 2018, by k€335,193.</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Year ended December 31, 2017</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During the year ended December 31, 2017, a capital increase from company funds increased the issued capital and decreased the capital reserve by k€163,494.</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17</w:t>
      </w:r>
      <w:r>
        <w:rPr>
          <w:sz w:val="20"/>
          <w:szCs w:val="20"/>
          <w:color w:val="auto"/>
        </w:rPr>
        <w:tab/>
      </w:r>
      <w:r>
        <w:rPr>
          <w:rFonts w:ascii="Arial" w:cs="Arial" w:eastAsia="Arial" w:hAnsi="Arial"/>
          <w:sz w:val="13"/>
          <w:szCs w:val="13"/>
          <w:b w:val="1"/>
          <w:bCs w:val="1"/>
          <w:color w:val="auto"/>
        </w:rPr>
        <w:t>Share-Based Payments</w:t>
      </w:r>
    </w:p>
    <w:p>
      <w:pPr>
        <w:spacing w:after="0" w:line="94" w:lineRule="exact"/>
        <w:rPr>
          <w:sz w:val="20"/>
          <w:szCs w:val="20"/>
          <w:color w:val="auto"/>
        </w:rPr>
      </w:pPr>
    </w:p>
    <w:p>
      <w:pPr>
        <w:ind w:right="360" w:firstLine="556"/>
        <w:spacing w:after="0" w:line="272" w:lineRule="auto"/>
        <w:rPr>
          <w:sz w:val="20"/>
          <w:szCs w:val="20"/>
          <w:color w:val="auto"/>
        </w:rPr>
      </w:pPr>
      <w:r>
        <w:rPr>
          <w:rFonts w:ascii="Arial" w:cs="Arial" w:eastAsia="Arial" w:hAnsi="Arial"/>
          <w:sz w:val="13"/>
          <w:szCs w:val="13"/>
          <w:color w:val="auto"/>
        </w:rPr>
        <w:t>On September 18, 2019, BioNTech effected a 1:18 share split by issuing 206,595,492 shares by way of a capital increase from its own funds; thus, no outside proceeds were received. This capital increase came into effect upon registration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The accompanying financial statements and notes to the financial statements including share-based payment information below give retroactive effect to the share split for all periods presented.</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During the years ended December 31, 2019, December 31, 2018 and December 31, 2017, the Group had the following share-based arrangements.</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17.1</w:t>
      </w:r>
      <w:r>
        <w:rPr>
          <w:sz w:val="20"/>
          <w:szCs w:val="20"/>
          <w:color w:val="auto"/>
        </w:rPr>
        <w:tab/>
      </w:r>
      <w:r>
        <w:rPr>
          <w:rFonts w:ascii="Arial" w:cs="Arial" w:eastAsia="Arial" w:hAnsi="Arial"/>
          <w:sz w:val="12"/>
          <w:szCs w:val="12"/>
          <w:b w:val="1"/>
          <w:bCs w:val="1"/>
          <w:color w:val="auto"/>
        </w:rPr>
        <w:t>Chief Executive Officer Grant (Equity-Settled)</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Description of Share-Based Payments</w:t>
      </w:r>
    </w:p>
    <w:p>
      <w:pPr>
        <w:spacing w:after="0" w:line="94" w:lineRule="exact"/>
        <w:rPr>
          <w:sz w:val="20"/>
          <w:szCs w:val="20"/>
          <w:color w:val="auto"/>
        </w:rPr>
      </w:pPr>
    </w:p>
    <w:p>
      <w:pPr>
        <w:ind w:firstLine="556"/>
        <w:spacing w:after="0" w:line="284" w:lineRule="auto"/>
        <w:rPr>
          <w:sz w:val="20"/>
          <w:szCs w:val="20"/>
          <w:color w:val="auto"/>
        </w:rPr>
      </w:pPr>
      <w:r>
        <w:rPr>
          <w:rFonts w:ascii="Arial" w:cs="Arial" w:eastAsia="Arial" w:hAnsi="Arial"/>
          <w:sz w:val="12"/>
          <w:szCs w:val="12"/>
          <w:color w:val="auto"/>
        </w:rPr>
        <w:t>In September 2019, BioNTech agreed to grant Prof. Ugur Sahin, M.D. an option to purchase 4,374,963 ordinary shares, subject to Prof. Sahin’s continuous employment with BioNTech. The options’ per share exercise price is the Euro translation of the public offering price from BioNTech’s initial public offering, €13.60 ($15.00). The option will vest annually in equal installments after four years commencing on the first anniversary of the initial public offering and will be exercisable four years after the initial public offering. The option will be subject to the terms, conditions, definitions and provisions of the Employee Stock Ownership Plan (ESOP) and the applicable option agreement thereunder. The vested option rights can only be exercised if and to the extent that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shares outstanding immediately following the initial public offering (other than shares owned by BioNTech),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 at least the same percentage by which the Nasdaq Biotechnology Index or a comparable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527" w:right="319" w:bottom="1440" w:gutter="0" w:footer="0" w:header="0"/>
        </w:sectPr>
      </w:pPr>
    </w:p>
    <w:bookmarkStart w:id="302" w:name="page303"/>
    <w:bookmarkEnd w:id="302"/>
    <w:p>
      <w:pPr>
        <w:ind w:right="20"/>
        <w:spacing w:after="0" w:line="287" w:lineRule="auto"/>
        <w:rPr>
          <w:sz w:val="20"/>
          <w:szCs w:val="20"/>
          <w:color w:val="auto"/>
        </w:rPr>
      </w:pPr>
      <w:r>
        <w:rPr>
          <w:rFonts w:ascii="Arial" w:cs="Arial" w:eastAsia="Arial" w:hAnsi="Arial"/>
          <w:sz w:val="13"/>
          <w:szCs w:val="13"/>
          <w:color w:val="auto"/>
        </w:rPr>
        <w:t>successor index as of such time is higher than such index was as of the last trading day before the Allocation Date. The Option Rights can be exercised at the latest ten years after the Allocation Date. If they have not been exercised by that date, they will lapse without compensation.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Measurement of Fair Values</w:t>
      </w:r>
    </w:p>
    <w:p>
      <w:pPr>
        <w:spacing w:after="0" w:line="94" w:lineRule="exact"/>
        <w:rPr>
          <w:sz w:val="20"/>
          <w:szCs w:val="20"/>
          <w:color w:val="auto"/>
        </w:rPr>
      </w:pPr>
    </w:p>
    <w:p>
      <w:pPr>
        <w:ind w:firstLine="556"/>
        <w:spacing w:after="0" w:line="272" w:lineRule="auto"/>
        <w:rPr>
          <w:sz w:val="20"/>
          <w:szCs w:val="20"/>
          <w:color w:val="auto"/>
        </w:rPr>
      </w:pPr>
      <w:r>
        <w:rPr>
          <w:rFonts w:ascii="Arial" w:cs="Arial" w:eastAsia="Arial" w:hAnsi="Arial"/>
          <w:sz w:val="13"/>
          <w:szCs w:val="13"/>
          <w:color w:val="auto"/>
        </w:rPr>
        <w:t>A Monte-Carlo simulation model has been used to measure the fair value at grant date of the Chief Executive Officer Grant. This model incorporates the impact of the performance criteria regarding share price and index development described above in the calculation of the award’s fair value at grant date. The inputs used in the measurement of the fair value at grant date of the Chief Executive Officer Grant were as follows:</w:t>
      </w:r>
    </w:p>
    <w:p>
      <w:pPr>
        <w:sectPr>
          <w:pgSz w:w="11900" w:h="16838" w:orient="portrait"/>
          <w:cols w:equalWidth="0" w:num="1">
            <w:col w:w="11280"/>
          </w:cols>
          <w:pgMar w:left="300" w:top="371" w:right="319" w:bottom="1440"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Weighted average share price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Exercise price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Expected volatility (%)</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Expected life (years)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Risk-free interest rate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Grant date October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-6133465</wp:posOffset>
            </wp:positionH>
            <wp:positionV relativeFrom="paragraph">
              <wp:posOffset>-85090</wp:posOffset>
            </wp:positionV>
            <wp:extent cx="7174230" cy="7620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7174230" cy="762000"/>
                    </a:xfrm>
                    <a:prstGeom prst="rect">
                      <a:avLst/>
                    </a:prstGeom>
                    <a:noFill/>
                  </pic:spPr>
                </pic:pic>
              </a:graphicData>
            </a:graphic>
          </wp:anchor>
        </w:drawing>
      </w:r>
    </w:p>
    <w:p>
      <w:pPr>
        <w:spacing w:after="0" w:line="26" w:lineRule="exact"/>
        <w:rPr>
          <w:sz w:val="20"/>
          <w:szCs w:val="20"/>
          <w:color w:val="auto"/>
        </w:rPr>
      </w:pPr>
    </w:p>
    <w:p>
      <w:pPr>
        <w:jc w:val="center"/>
        <w:ind w:left="-999"/>
        <w:spacing w:after="0"/>
        <w:rPr>
          <w:sz w:val="20"/>
          <w:szCs w:val="20"/>
          <w:color w:val="auto"/>
        </w:rPr>
      </w:pPr>
      <w:r>
        <w:rPr>
          <w:rFonts w:ascii="Arial" w:cs="Arial" w:eastAsia="Arial" w:hAnsi="Arial"/>
          <w:sz w:val="11"/>
          <w:szCs w:val="11"/>
          <w:color w:val="auto"/>
        </w:rPr>
        <w:t>€5.63</w:t>
      </w:r>
    </w:p>
    <w:p>
      <w:pPr>
        <w:spacing w:after="0" w:line="43" w:lineRule="exact"/>
        <w:rPr>
          <w:sz w:val="20"/>
          <w:szCs w:val="20"/>
          <w:color w:val="auto"/>
        </w:rPr>
      </w:pPr>
    </w:p>
    <w:p>
      <w:pPr>
        <w:jc w:val="center"/>
        <w:ind w:left="-939"/>
        <w:spacing w:after="0"/>
        <w:rPr>
          <w:sz w:val="20"/>
          <w:szCs w:val="20"/>
          <w:color w:val="auto"/>
        </w:rPr>
      </w:pPr>
      <w:r>
        <w:rPr>
          <w:rFonts w:ascii="Arial" w:cs="Arial" w:eastAsia="Arial" w:hAnsi="Arial"/>
          <w:sz w:val="11"/>
          <w:szCs w:val="11"/>
          <w:color w:val="auto"/>
        </w:rPr>
        <w:t>€13.60</w:t>
      </w:r>
    </w:p>
    <w:p>
      <w:pPr>
        <w:spacing w:after="0" w:line="43" w:lineRule="exact"/>
        <w:rPr>
          <w:sz w:val="20"/>
          <w:szCs w:val="20"/>
          <w:color w:val="auto"/>
        </w:rPr>
      </w:pPr>
    </w:p>
    <w:p>
      <w:pPr>
        <w:jc w:val="center"/>
        <w:ind w:left="-939"/>
        <w:spacing w:after="0"/>
        <w:rPr>
          <w:sz w:val="20"/>
          <w:szCs w:val="20"/>
          <w:color w:val="auto"/>
        </w:rPr>
      </w:pPr>
      <w:r>
        <w:rPr>
          <w:rFonts w:ascii="Arial" w:cs="Arial" w:eastAsia="Arial" w:hAnsi="Arial"/>
          <w:sz w:val="11"/>
          <w:szCs w:val="11"/>
          <w:color w:val="auto"/>
        </w:rPr>
        <w:t>€13.60</w:t>
      </w:r>
    </w:p>
    <w:p>
      <w:pPr>
        <w:spacing w:after="0" w:line="43" w:lineRule="exact"/>
        <w:rPr>
          <w:sz w:val="20"/>
          <w:szCs w:val="20"/>
          <w:color w:val="auto"/>
        </w:rPr>
      </w:pPr>
    </w:p>
    <w:p>
      <w:pPr>
        <w:jc w:val="center"/>
        <w:ind w:left="-959"/>
        <w:spacing w:after="0"/>
        <w:rPr>
          <w:sz w:val="20"/>
          <w:szCs w:val="20"/>
          <w:color w:val="auto"/>
        </w:rPr>
      </w:pPr>
      <w:r>
        <w:rPr>
          <w:rFonts w:ascii="Arial" w:cs="Arial" w:eastAsia="Arial" w:hAnsi="Arial"/>
          <w:sz w:val="11"/>
          <w:szCs w:val="11"/>
          <w:color w:val="auto"/>
        </w:rPr>
        <w:t>41.4%</w:t>
      </w:r>
    </w:p>
    <w:p>
      <w:pPr>
        <w:spacing w:after="0" w:line="43" w:lineRule="exact"/>
        <w:rPr>
          <w:sz w:val="20"/>
          <w:szCs w:val="20"/>
          <w:color w:val="auto"/>
        </w:rPr>
      </w:pPr>
    </w:p>
    <w:p>
      <w:pPr>
        <w:jc w:val="center"/>
        <w:ind w:left="-1079"/>
        <w:spacing w:after="0"/>
        <w:rPr>
          <w:sz w:val="20"/>
          <w:szCs w:val="20"/>
          <w:color w:val="auto"/>
        </w:rPr>
      </w:pPr>
      <w:r>
        <w:rPr>
          <w:rFonts w:ascii="Arial" w:cs="Arial" w:eastAsia="Arial" w:hAnsi="Arial"/>
          <w:sz w:val="11"/>
          <w:szCs w:val="11"/>
          <w:color w:val="auto"/>
        </w:rPr>
        <w:t>5.37</w:t>
      </w:r>
    </w:p>
    <w:p>
      <w:pPr>
        <w:spacing w:after="0" w:line="43" w:lineRule="exact"/>
        <w:rPr>
          <w:sz w:val="20"/>
          <w:szCs w:val="20"/>
          <w:color w:val="auto"/>
        </w:rPr>
      </w:pPr>
    </w:p>
    <w:p>
      <w:pPr>
        <w:jc w:val="center"/>
        <w:ind w:left="-939"/>
        <w:spacing w:after="0"/>
        <w:rPr>
          <w:sz w:val="20"/>
          <w:szCs w:val="20"/>
          <w:color w:val="auto"/>
        </w:rPr>
      </w:pPr>
      <w:r>
        <w:rPr>
          <w:rFonts w:ascii="Arial" w:cs="Arial" w:eastAsia="Arial" w:hAnsi="Arial"/>
          <w:sz w:val="11"/>
          <w:szCs w:val="11"/>
          <w:color w:val="auto"/>
        </w:rPr>
        <w:t>1.52 %</w:t>
      </w:r>
    </w:p>
    <w:p>
      <w:pPr>
        <w:spacing w:after="0" w:line="223" w:lineRule="exact"/>
        <w:rPr>
          <w:sz w:val="20"/>
          <w:szCs w:val="20"/>
          <w:color w:val="auto"/>
        </w:rPr>
      </w:pPr>
    </w:p>
    <w:p>
      <w:pPr>
        <w:sectPr>
          <w:pgSz w:w="11900" w:h="16838" w:orient="portrait"/>
          <w:cols w:equalWidth="0" w:num="2">
            <w:col w:w="8940" w:space="720"/>
            <w:col w:w="1620"/>
          </w:cols>
          <w:pgMar w:left="300" w:top="371" w:right="319" w:bottom="1440" w:gutter="0" w:footer="0" w:header="0"/>
          <w:type w:val="continuous"/>
        </w:sectPr>
      </w:pPr>
    </w:p>
    <w:p>
      <w:pPr>
        <w:spacing w:after="0" w:line="50" w:lineRule="exact"/>
        <w:rPr>
          <w:sz w:val="20"/>
          <w:szCs w:val="20"/>
          <w:color w:val="auto"/>
        </w:rPr>
      </w:pPr>
    </w:p>
    <w:p>
      <w:pPr>
        <w:ind w:right="120" w:firstLine="554"/>
        <w:spacing w:after="0" w:line="331" w:lineRule="auto"/>
        <w:rPr>
          <w:sz w:val="20"/>
          <w:szCs w:val="20"/>
          <w:color w:val="auto"/>
        </w:rPr>
      </w:pPr>
      <w:r>
        <w:rPr>
          <w:rFonts w:ascii="Arial" w:cs="Arial" w:eastAsia="Arial" w:hAnsi="Arial"/>
          <w:sz w:val="12"/>
          <w:szCs w:val="12"/>
          <w:color w:val="auto"/>
        </w:rPr>
        <w:t>The options’ per share exercise price is the Euro translation of the public offering price from BioNTech’s initial public offering on October 10, 2019. Expected volatility was based on an evaluation of the historical volatilities of comparable companies over the historical period commensurate with the expected term. The expected term was based on general optionholder behavior for employee options.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Reconciliation of Outstanding Share-Options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number and weighted-average exercise price of share options under the Chief Executive Officer Grant during the year ended December 31, 2019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24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spacing w:after="0"/>
              <w:rPr>
                <w:sz w:val="13"/>
                <w:szCs w:val="13"/>
                <w:color w:val="auto"/>
              </w:rPr>
            </w:pP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Number of</w:t>
            </w:r>
          </w:p>
        </w:tc>
        <w:tc>
          <w:tcPr>
            <w:tcW w:w="1660" w:type="dxa"/>
            <w:vAlign w:val="bottom"/>
            <w:shd w:val="clear" w:color="auto" w:fill="C6E0B4"/>
          </w:tcPr>
          <w:p>
            <w:pPr>
              <w:spacing w:after="0"/>
              <w:rPr>
                <w:sz w:val="13"/>
                <w:szCs w:val="13"/>
                <w:color w:val="auto"/>
              </w:rPr>
            </w:pPr>
          </w:p>
        </w:tc>
      </w:tr>
      <w:tr>
        <w:trPr>
          <w:trHeight w:val="160"/>
        </w:trPr>
        <w:tc>
          <w:tcPr>
            <w:tcW w:w="624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Share options</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Ordinary Shares</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w w:val="98"/>
              </w:rPr>
              <w:t>Weighted average exercise</w:t>
            </w:r>
          </w:p>
        </w:tc>
      </w:tr>
      <w:tr>
        <w:trPr>
          <w:trHeight w:val="160"/>
        </w:trPr>
        <w:tc>
          <w:tcPr>
            <w:tcW w:w="624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outstanding</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underlying</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price (€)</w:t>
            </w:r>
          </w:p>
        </w:tc>
      </w:tr>
      <w:tr>
        <w:trPr>
          <w:trHeight w:val="173"/>
        </w:trPr>
        <w:tc>
          <w:tcPr>
            <w:tcW w:w="6240" w:type="dxa"/>
            <w:vAlign w:val="bottom"/>
            <w:tcBorders>
              <w:bottom w:val="single" w:sz="8" w:color="70AD47"/>
              <w:right w:val="single" w:sz="8" w:color="70AD47"/>
            </w:tcBorders>
          </w:tcPr>
          <w:p>
            <w:pPr>
              <w:spacing w:after="0"/>
              <w:rPr>
                <w:sz w:val="15"/>
                <w:szCs w:val="15"/>
                <w:color w:val="auto"/>
              </w:rPr>
            </w:pPr>
          </w:p>
        </w:tc>
        <w:tc>
          <w:tcPr>
            <w:tcW w:w="1680" w:type="dxa"/>
            <w:vAlign w:val="bottom"/>
            <w:tcBorders>
              <w:bottom w:val="single" w:sz="8" w:color="70AD47"/>
              <w:right w:val="single" w:sz="8" w:color="70AD47"/>
            </w:tcBorders>
            <w:shd w:val="clear" w:color="auto" w:fill="C6E0B4"/>
          </w:tcPr>
          <w:p>
            <w:pPr>
              <w:spacing w:after="0"/>
              <w:rPr>
                <w:sz w:val="15"/>
                <w:szCs w:val="15"/>
                <w:color w:val="auto"/>
              </w:rPr>
            </w:pP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options</w:t>
            </w:r>
          </w:p>
        </w:tc>
        <w:tc>
          <w:tcPr>
            <w:tcW w:w="1660" w:type="dxa"/>
            <w:vAlign w:val="bottom"/>
            <w:tcBorders>
              <w:bottom w:val="single" w:sz="8" w:color="70AD47"/>
            </w:tcBorders>
            <w:shd w:val="clear" w:color="auto" w:fill="C6E0B4"/>
          </w:tcPr>
          <w:p>
            <w:pPr>
              <w:spacing w:after="0"/>
              <w:rPr>
                <w:sz w:val="15"/>
                <w:szCs w:val="15"/>
                <w:color w:val="auto"/>
              </w:rPr>
            </w:pPr>
          </w:p>
        </w:tc>
      </w:tr>
      <w:tr>
        <w:trPr>
          <w:trHeight w:val="160"/>
        </w:trPr>
        <w:tc>
          <w:tcPr>
            <w:tcW w:w="624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As of January 1, 2019</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24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Granted</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4,374,963</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4,374,963</w:t>
            </w: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13.60</w:t>
            </w:r>
          </w:p>
        </w:tc>
      </w:tr>
      <w:tr>
        <w:trPr>
          <w:trHeight w:val="160"/>
        </w:trPr>
        <w:tc>
          <w:tcPr>
            <w:tcW w:w="624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As of December 31, 2019</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4,374,963</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4,374,963</w:t>
            </w: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13.60</w:t>
            </w:r>
          </w:p>
        </w:tc>
      </w:tr>
    </w:tbl>
    <w:p>
      <w:pPr>
        <w:spacing w:after="0" w:line="200" w:lineRule="exact"/>
        <w:rPr>
          <w:sz w:val="20"/>
          <w:szCs w:val="20"/>
          <w:color w:val="auto"/>
        </w:rPr>
      </w:pPr>
    </w:p>
    <w:p>
      <w:pPr>
        <w:sectPr>
          <w:pgSz w:w="11900" w:h="16838" w:orient="portrait"/>
          <w:cols w:equalWidth="0" w:num="1">
            <w:col w:w="11280"/>
          </w:cols>
          <w:pgMar w:left="300" w:top="371" w:right="319" w:bottom="1440" w:gutter="0" w:footer="0" w:header="0"/>
          <w:type w:val="continuous"/>
        </w:sectPr>
      </w:pPr>
    </w:p>
    <w:p>
      <w:pPr>
        <w:spacing w:after="0" w:line="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options outstanding at December 31, 2019 have a weighted-average expected life of 5.12 years.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Expense recognized in the Statement of Operations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expense recognized for employee services received during the year ended December 31, 2019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7167880" cy="3429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7167880" cy="3429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Research and development expenses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There were no cancellations or modifications to the awards in the year ended December 31, 2019.</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Year ended</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1"/>
          <w:szCs w:val="11"/>
          <w:b w:val="1"/>
          <w:bCs w:val="1"/>
          <w:color w:val="auto"/>
        </w:rPr>
        <w:t>December 31,</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2019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€3,208</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€3,208</w:t>
      </w:r>
    </w:p>
    <w:p>
      <w:pPr>
        <w:sectPr>
          <w:pgSz w:w="11900" w:h="16838" w:orient="portrait"/>
          <w:cols w:equalWidth="0" w:num="2">
            <w:col w:w="9320" w:space="720"/>
            <w:col w:w="1240"/>
          </w:cols>
          <w:pgMar w:left="300" w:top="371" w:right="319" w:bottom="1440" w:gutter="0" w:footer="0" w:header="0"/>
          <w:type w:val="continuous"/>
        </w:sectPr>
      </w:pPr>
    </w:p>
    <w:bookmarkStart w:id="303" w:name="page304"/>
    <w:bookmarkEnd w:id="303"/>
    <w:p>
      <w:pPr>
        <w:spacing w:after="0"/>
        <w:tabs>
          <w:tab w:leader="none" w:pos="780" w:val="left"/>
        </w:tabs>
        <w:rPr>
          <w:sz w:val="20"/>
          <w:szCs w:val="20"/>
          <w:color w:val="auto"/>
        </w:rPr>
      </w:pPr>
      <w:r>
        <w:rPr>
          <w:rFonts w:ascii="Arial" w:cs="Arial" w:eastAsia="Arial" w:hAnsi="Arial"/>
          <w:sz w:val="13"/>
          <w:szCs w:val="13"/>
          <w:b w:val="1"/>
          <w:bCs w:val="1"/>
          <w:color w:val="auto"/>
        </w:rPr>
        <w:t>17.2</w:t>
      </w:r>
      <w:r>
        <w:rPr>
          <w:sz w:val="20"/>
          <w:szCs w:val="20"/>
          <w:color w:val="auto"/>
        </w:rPr>
        <w:tab/>
      </w:r>
      <w:r>
        <w:rPr>
          <w:rFonts w:ascii="Arial" w:cs="Arial" w:eastAsia="Arial" w:hAnsi="Arial"/>
          <w:sz w:val="12"/>
          <w:szCs w:val="12"/>
          <w:b w:val="1"/>
          <w:bCs w:val="1"/>
          <w:color w:val="auto"/>
        </w:rPr>
        <w:t>Employee Stock Ownership Plan (Equity-Settled)</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Description of Share-Based Payments</w:t>
      </w:r>
    </w:p>
    <w:p>
      <w:pPr>
        <w:spacing w:after="0" w:line="94" w:lineRule="exact"/>
        <w:rPr>
          <w:sz w:val="20"/>
          <w:szCs w:val="20"/>
          <w:color w:val="auto"/>
        </w:rPr>
      </w:pPr>
    </w:p>
    <w:p>
      <w:pPr>
        <w:ind w:right="140" w:firstLine="556"/>
        <w:spacing w:after="0" w:line="263" w:lineRule="auto"/>
        <w:rPr>
          <w:sz w:val="20"/>
          <w:szCs w:val="20"/>
          <w:color w:val="auto"/>
        </w:rPr>
      </w:pPr>
      <w:r>
        <w:rPr>
          <w:rFonts w:ascii="Arial" w:cs="Arial" w:eastAsia="Arial" w:hAnsi="Arial"/>
          <w:sz w:val="13"/>
          <w:szCs w:val="13"/>
          <w:color w:val="auto"/>
        </w:rPr>
        <w:t>On November 15, 2018, the Group established a share option program that grants selected employees options to receive shares in the company. The program is designed as an Employee Stock Ownership Plan (ESOP). The Group has offered the participants a certain number of rights (Option Rights) by explicit acceptance of the participants. The exercise of the Option Rights in accordance with the terms of the ESOP, gives the participants the right to obtain shares against payment of the exercise price. The Option Rights vest over four years, can only be exercised if the company has executed a public offering in the United States (IPO) and when meeting the Threshold Amount. Threshold Amount means the exercise price provided that such price increases by eight percentage points on the first and then each subsequent anniversary of the Allocation Date (September 26, 2018). The Option Rights can be exercised at the latest eight years after the Allocation Date. If they have not been exercised by that date, they will forfeit without compensation.</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Measurement of Fair Values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fair value of the ESOP has been measured using a binomial model. Service conditions attached to the arrangement were not taken into account in measuring the fair value.</w:t>
      </w:r>
    </w:p>
    <w:p>
      <w:pPr>
        <w:spacing w:after="0" w:line="170" w:lineRule="exact"/>
        <w:rPr>
          <w:sz w:val="20"/>
          <w:szCs w:val="20"/>
          <w:color w:val="auto"/>
        </w:rPr>
      </w:pPr>
    </w:p>
    <w:p>
      <w:pPr>
        <w:ind w:right="400" w:firstLine="554"/>
        <w:spacing w:after="0" w:line="287" w:lineRule="auto"/>
        <w:rPr>
          <w:sz w:val="20"/>
          <w:szCs w:val="20"/>
          <w:color w:val="auto"/>
        </w:rPr>
      </w:pPr>
      <w:r>
        <w:rPr>
          <w:rFonts w:ascii="Arial" w:cs="Arial" w:eastAsia="Arial" w:hAnsi="Arial"/>
          <w:sz w:val="13"/>
          <w:szCs w:val="13"/>
          <w:color w:val="auto"/>
        </w:rPr>
        <w:t>The share options can only be exercised by the grantee if the price of the share is equal or greater to the Threshold Amount as defined in the arrangement. Moreover, the option rights can only be exercised if the IPO has occurred. Both conditions have been incorporated into the fair value at grant date.</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inputs used in the measurement of the fair values at grant date of the ESOP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2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spacing w:after="0"/>
              <w:rPr>
                <w:sz w:val="13"/>
                <w:szCs w:val="13"/>
                <w:color w:val="auto"/>
              </w:rPr>
            </w:pP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Grant dates</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Grant dates</w:t>
            </w:r>
          </w:p>
        </w:tc>
        <w:tc>
          <w:tcPr>
            <w:tcW w:w="1680" w:type="dxa"/>
            <w:vAlign w:val="bottom"/>
            <w:shd w:val="clear" w:color="auto" w:fill="C6E0B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2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Grant date</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between</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between</w:t>
            </w:r>
          </w:p>
        </w:tc>
        <w:tc>
          <w:tcPr>
            <w:tcW w:w="1680" w:type="dxa"/>
            <w:vAlign w:val="bottom"/>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w w:val="92"/>
              </w:rPr>
              <w:t>Grant date December 1, 2019</w:t>
            </w:r>
          </w:p>
        </w:tc>
        <w:tc>
          <w:tcPr>
            <w:tcW w:w="0" w:type="dxa"/>
            <w:vAlign w:val="bottom"/>
          </w:tcPr>
          <w:p>
            <w:pPr>
              <w:spacing w:after="0"/>
              <w:rPr>
                <w:sz w:val="1"/>
                <w:szCs w:val="1"/>
                <w:color w:val="auto"/>
              </w:rPr>
            </w:pPr>
          </w:p>
        </w:tc>
      </w:tr>
      <w:tr>
        <w:trPr>
          <w:trHeight w:val="160"/>
        </w:trPr>
        <w:tc>
          <w:tcPr>
            <w:tcW w:w="452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15 November 2018</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February 21 -</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April 29 -</w:t>
            </w:r>
          </w:p>
        </w:tc>
        <w:tc>
          <w:tcPr>
            <w:tcW w:w="1680" w:type="dxa"/>
            <w:vAlign w:val="bottom"/>
            <w:vMerge w:val="continue"/>
            <w:shd w:val="clear" w:color="auto" w:fill="C6E0B4"/>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20" w:type="dxa"/>
            <w:vAlign w:val="bottom"/>
            <w:tcBorders>
              <w:bottom w:val="single" w:sz="8" w:color="70AD47"/>
              <w:right w:val="single" w:sz="8" w:color="70AD47"/>
            </w:tcBorders>
          </w:tcPr>
          <w:p>
            <w:pPr>
              <w:spacing w:after="0"/>
              <w:rPr>
                <w:sz w:val="15"/>
                <w:szCs w:val="15"/>
                <w:color w:val="auto"/>
              </w:rPr>
            </w:pPr>
          </w:p>
        </w:tc>
        <w:tc>
          <w:tcPr>
            <w:tcW w:w="1680" w:type="dxa"/>
            <w:vAlign w:val="bottom"/>
            <w:tcBorders>
              <w:bottom w:val="single" w:sz="8" w:color="70AD47"/>
              <w:right w:val="single" w:sz="8" w:color="70AD47"/>
            </w:tcBorders>
            <w:shd w:val="clear" w:color="auto" w:fill="C6E0B4"/>
          </w:tcPr>
          <w:p>
            <w:pPr>
              <w:spacing w:after="0"/>
              <w:rPr>
                <w:sz w:val="15"/>
                <w:szCs w:val="15"/>
                <w:color w:val="auto"/>
              </w:rPr>
            </w:pP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April 3, 2019</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May 31, 2019</w:t>
            </w:r>
          </w:p>
        </w:tc>
        <w:tc>
          <w:tcPr>
            <w:tcW w:w="1680" w:type="dxa"/>
            <w:vAlign w:val="bottom"/>
            <w:tcBorders>
              <w:bottom w:val="single" w:sz="8" w:color="70AD47"/>
            </w:tcBorders>
            <w:shd w:val="clear" w:color="auto" w:fill="C6E0B4"/>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Weighted average fair value</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€7.41</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€6.93</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€7.04</w:t>
            </w: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170"/>
        </w:trPr>
        <w:tc>
          <w:tcPr>
            <w:tcW w:w="45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Weighted average share price</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€14.40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€15.72</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€16.03</w:t>
            </w: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€19.84</w:t>
            </w:r>
          </w:p>
        </w:tc>
        <w:tc>
          <w:tcPr>
            <w:tcW w:w="0" w:type="dxa"/>
            <w:vAlign w:val="bottom"/>
          </w:tcPr>
          <w:p>
            <w:pPr>
              <w:spacing w:after="0"/>
              <w:rPr>
                <w:sz w:val="1"/>
                <w:szCs w:val="1"/>
                <w:color w:val="auto"/>
              </w:rPr>
            </w:pPr>
          </w:p>
        </w:tc>
      </w:tr>
      <w:tr>
        <w:trPr>
          <w:trHeight w:val="170"/>
        </w:trPr>
        <w:tc>
          <w:tcPr>
            <w:tcW w:w="45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Exercise price</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€10.14</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€15.03</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€15.39</w:t>
            </w: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€15.82</w:t>
            </w:r>
          </w:p>
        </w:tc>
        <w:tc>
          <w:tcPr>
            <w:tcW w:w="0" w:type="dxa"/>
            <w:vAlign w:val="bottom"/>
          </w:tcPr>
          <w:p>
            <w:pPr>
              <w:spacing w:after="0"/>
              <w:rPr>
                <w:sz w:val="1"/>
                <w:szCs w:val="1"/>
                <w:color w:val="auto"/>
              </w:rPr>
            </w:pPr>
          </w:p>
        </w:tc>
      </w:tr>
      <w:tr>
        <w:trPr>
          <w:trHeight w:val="170"/>
        </w:trPr>
        <w:tc>
          <w:tcPr>
            <w:tcW w:w="45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Expected volatility (%)</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46.0%</w:t>
            </w: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70"/>
        </w:trPr>
        <w:tc>
          <w:tcPr>
            <w:tcW w:w="45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Expected life (years)</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5.84</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6.00</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6.00</w:t>
            </w: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70"/>
        </w:trPr>
        <w:tc>
          <w:tcPr>
            <w:tcW w:w="452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Risk-free interest rate (%)</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0.05%</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0.05%</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0.05%</w:t>
            </w:r>
          </w:p>
        </w:tc>
        <w:tc>
          <w:tcPr>
            <w:tcW w:w="1680" w:type="dxa"/>
            <w:vAlign w:val="bottom"/>
            <w:shd w:val="clear" w:color="auto" w:fill="C6E0B4"/>
          </w:tcPr>
          <w:p>
            <w:pPr>
              <w:jc w:val="right"/>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40" w:firstLine="554"/>
        <w:spacing w:after="0" w:line="287" w:lineRule="auto"/>
        <w:rPr>
          <w:sz w:val="20"/>
          <w:szCs w:val="20"/>
          <w:color w:val="auto"/>
        </w:rPr>
      </w:pPr>
      <w:r>
        <w:rPr>
          <w:rFonts w:ascii="Arial" w:cs="Arial" w:eastAsia="Arial" w:hAnsi="Arial"/>
          <w:sz w:val="13"/>
          <w:szCs w:val="13"/>
          <w:color w:val="auto"/>
        </w:rPr>
        <w:t>Expected volatility has been based on an evaluation of the historical and the implied volatilities of comparable companies over the historical period commensurate with the expected term. The expected term has been based on general option holder behavior for employee options.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Reconciliation of Outstanding Share-Options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number and weighted-average exercise prices of share options under the ESOP during the years ended December 31, 2019 and December 31, 2018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60" w:type="dxa"/>
            <w:vAlign w:val="bottom"/>
          </w:tcPr>
          <w:p>
            <w:pPr>
              <w:spacing w:after="0"/>
              <w:rPr>
                <w:sz w:val="13"/>
                <w:szCs w:val="13"/>
                <w:color w:val="auto"/>
              </w:rPr>
            </w:pPr>
          </w:p>
        </w:tc>
        <w:tc>
          <w:tcPr>
            <w:tcW w:w="278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spacing w:after="0"/>
              <w:rPr>
                <w:sz w:val="13"/>
                <w:szCs w:val="13"/>
                <w:color w:val="auto"/>
              </w:rPr>
            </w:pP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Number of</w:t>
            </w:r>
          </w:p>
        </w:tc>
        <w:tc>
          <w:tcPr>
            <w:tcW w:w="1660" w:type="dxa"/>
            <w:vAlign w:val="bottom"/>
            <w:shd w:val="clear" w:color="auto" w:fill="C6E0B4"/>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460" w:type="dxa"/>
            <w:vAlign w:val="bottom"/>
          </w:tcPr>
          <w:p>
            <w:pPr>
              <w:spacing w:after="0"/>
              <w:rPr>
                <w:sz w:val="13"/>
                <w:szCs w:val="13"/>
                <w:color w:val="auto"/>
              </w:rPr>
            </w:pPr>
          </w:p>
        </w:tc>
        <w:tc>
          <w:tcPr>
            <w:tcW w:w="278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Share options</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Ordinary Shares</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w w:val="98"/>
              </w:rPr>
              <w:t>Weighted average exercise</w:t>
            </w:r>
          </w:p>
        </w:tc>
        <w:tc>
          <w:tcPr>
            <w:tcW w:w="20" w:type="dxa"/>
            <w:vAlign w:val="bottom"/>
          </w:tcPr>
          <w:p>
            <w:pPr>
              <w:spacing w:after="0"/>
              <w:rPr>
                <w:sz w:val="13"/>
                <w:szCs w:val="13"/>
                <w:color w:val="auto"/>
              </w:rPr>
            </w:pPr>
          </w:p>
        </w:tc>
      </w:tr>
      <w:tr>
        <w:trPr>
          <w:trHeight w:val="160"/>
        </w:trPr>
        <w:tc>
          <w:tcPr>
            <w:tcW w:w="3460" w:type="dxa"/>
            <w:vAlign w:val="bottom"/>
          </w:tcPr>
          <w:p>
            <w:pPr>
              <w:spacing w:after="0"/>
              <w:rPr>
                <w:sz w:val="13"/>
                <w:szCs w:val="13"/>
                <w:color w:val="auto"/>
              </w:rPr>
            </w:pPr>
          </w:p>
        </w:tc>
        <w:tc>
          <w:tcPr>
            <w:tcW w:w="278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outstanding</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underlying</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b w:val="1"/>
                <w:bCs w:val="1"/>
                <w:color w:val="auto"/>
              </w:rPr>
              <w:t>price (€)</w:t>
            </w:r>
          </w:p>
        </w:tc>
        <w:tc>
          <w:tcPr>
            <w:tcW w:w="20" w:type="dxa"/>
            <w:vAlign w:val="bottom"/>
          </w:tcPr>
          <w:p>
            <w:pPr>
              <w:spacing w:after="0"/>
              <w:rPr>
                <w:sz w:val="13"/>
                <w:szCs w:val="13"/>
                <w:color w:val="auto"/>
              </w:rPr>
            </w:pPr>
          </w:p>
        </w:tc>
      </w:tr>
      <w:tr>
        <w:trPr>
          <w:trHeight w:val="173"/>
        </w:trPr>
        <w:tc>
          <w:tcPr>
            <w:tcW w:w="3460" w:type="dxa"/>
            <w:vAlign w:val="bottom"/>
            <w:tcBorders>
              <w:bottom w:val="single" w:sz="8" w:color="70AD47"/>
            </w:tcBorders>
          </w:tcPr>
          <w:p>
            <w:pPr>
              <w:spacing w:after="0"/>
              <w:rPr>
                <w:sz w:val="15"/>
                <w:szCs w:val="15"/>
                <w:color w:val="auto"/>
              </w:rPr>
            </w:pPr>
          </w:p>
        </w:tc>
        <w:tc>
          <w:tcPr>
            <w:tcW w:w="2780" w:type="dxa"/>
            <w:vAlign w:val="bottom"/>
            <w:tcBorders>
              <w:bottom w:val="single" w:sz="8" w:color="70AD47"/>
              <w:right w:val="single" w:sz="8" w:color="70AD47"/>
            </w:tcBorders>
          </w:tcPr>
          <w:p>
            <w:pPr>
              <w:spacing w:after="0"/>
              <w:rPr>
                <w:sz w:val="15"/>
                <w:szCs w:val="15"/>
                <w:color w:val="auto"/>
              </w:rPr>
            </w:pPr>
          </w:p>
        </w:tc>
        <w:tc>
          <w:tcPr>
            <w:tcW w:w="1680" w:type="dxa"/>
            <w:vAlign w:val="bottom"/>
            <w:tcBorders>
              <w:bottom w:val="single" w:sz="8" w:color="70AD47"/>
              <w:right w:val="single" w:sz="8" w:color="70AD47"/>
            </w:tcBorders>
            <w:shd w:val="clear" w:color="auto" w:fill="C6E0B4"/>
          </w:tcPr>
          <w:p>
            <w:pPr>
              <w:spacing w:after="0"/>
              <w:rPr>
                <w:sz w:val="15"/>
                <w:szCs w:val="15"/>
                <w:color w:val="auto"/>
              </w:rPr>
            </w:pP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options</w:t>
            </w:r>
          </w:p>
        </w:tc>
        <w:tc>
          <w:tcPr>
            <w:tcW w:w="1660" w:type="dxa"/>
            <w:vAlign w:val="bottom"/>
            <w:tcBorders>
              <w:bottom w:val="single" w:sz="8" w:color="70AD47"/>
            </w:tcBorders>
            <w:shd w:val="clear" w:color="auto" w:fill="C6E0B4"/>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3460" w:type="dxa"/>
            <w:vAlign w:val="bottom"/>
          </w:tcPr>
          <w:p>
            <w:pPr>
              <w:spacing w:after="0"/>
              <w:rPr>
                <w:sz w:val="20"/>
                <w:szCs w:val="20"/>
                <w:color w:val="auto"/>
              </w:rPr>
            </w:pPr>
            <w:r>
              <w:rPr>
                <w:rFonts w:ascii="Arial" w:cs="Arial" w:eastAsia="Arial" w:hAnsi="Arial"/>
                <w:sz w:val="13"/>
                <w:szCs w:val="13"/>
                <w:color w:val="auto"/>
              </w:rPr>
              <w:t>As of January 1, 2018</w:t>
            </w:r>
          </w:p>
        </w:tc>
        <w:tc>
          <w:tcPr>
            <w:tcW w:w="278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0"/>
        </w:trPr>
        <w:tc>
          <w:tcPr>
            <w:tcW w:w="346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Granted</w:t>
            </w:r>
          </w:p>
        </w:tc>
        <w:tc>
          <w:tcPr>
            <w:tcW w:w="2780" w:type="dxa"/>
            <w:vAlign w:val="bottom"/>
            <w:tcBorders>
              <w:bottom w:val="single" w:sz="8" w:color="70AD47"/>
              <w:right w:val="single" w:sz="8" w:color="70AD47"/>
            </w:tcBorders>
          </w:tcPr>
          <w:p>
            <w:pPr>
              <w:spacing w:after="0"/>
              <w:rPr>
                <w:sz w:val="14"/>
                <w:szCs w:val="14"/>
                <w:color w:val="auto"/>
              </w:rPr>
            </w:pP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658,109</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11,845,962</w:t>
            </w: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10.14</w:t>
            </w:r>
          </w:p>
        </w:tc>
        <w:tc>
          <w:tcPr>
            <w:tcW w:w="20" w:type="dxa"/>
            <w:vAlign w:val="bottom"/>
          </w:tcPr>
          <w:p>
            <w:pPr>
              <w:spacing w:after="0"/>
              <w:rPr>
                <w:sz w:val="14"/>
                <w:szCs w:val="14"/>
                <w:color w:val="auto"/>
              </w:rPr>
            </w:pPr>
          </w:p>
        </w:tc>
      </w:tr>
      <w:tr>
        <w:trPr>
          <w:trHeight w:val="160"/>
        </w:trPr>
        <w:tc>
          <w:tcPr>
            <w:tcW w:w="346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As of December 31, 2018</w:t>
            </w:r>
          </w:p>
        </w:tc>
        <w:tc>
          <w:tcPr>
            <w:tcW w:w="2780" w:type="dxa"/>
            <w:vAlign w:val="bottom"/>
            <w:tcBorders>
              <w:bottom w:val="single" w:sz="8" w:color="70AD47"/>
              <w:right w:val="single" w:sz="8" w:color="70AD47"/>
            </w:tcBorders>
          </w:tcPr>
          <w:p>
            <w:pPr>
              <w:spacing w:after="0"/>
              <w:rPr>
                <w:sz w:val="13"/>
                <w:szCs w:val="13"/>
                <w:color w:val="auto"/>
              </w:rPr>
            </w:pP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658,109</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11,845,962</w:t>
            </w: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10.14</w:t>
            </w:r>
          </w:p>
        </w:tc>
        <w:tc>
          <w:tcPr>
            <w:tcW w:w="20" w:type="dxa"/>
            <w:vAlign w:val="bottom"/>
          </w:tcPr>
          <w:p>
            <w:pPr>
              <w:spacing w:after="0"/>
              <w:rPr>
                <w:sz w:val="13"/>
                <w:szCs w:val="13"/>
                <w:color w:val="auto"/>
              </w:rPr>
            </w:pPr>
          </w:p>
        </w:tc>
      </w:tr>
      <w:tr>
        <w:trPr>
          <w:trHeight w:val="160"/>
        </w:trPr>
        <w:tc>
          <w:tcPr>
            <w:tcW w:w="3460" w:type="dxa"/>
            <w:vAlign w:val="bottom"/>
          </w:tcPr>
          <w:p>
            <w:pPr>
              <w:spacing w:after="0"/>
              <w:rPr>
                <w:sz w:val="20"/>
                <w:szCs w:val="20"/>
                <w:color w:val="auto"/>
              </w:rPr>
            </w:pPr>
            <w:r>
              <w:rPr>
                <w:rFonts w:ascii="Arial" w:cs="Arial" w:eastAsia="Arial" w:hAnsi="Arial"/>
                <w:sz w:val="13"/>
                <w:szCs w:val="13"/>
                <w:color w:val="auto"/>
              </w:rPr>
              <w:t>As of January 1, 2019</w:t>
            </w:r>
          </w:p>
        </w:tc>
        <w:tc>
          <w:tcPr>
            <w:tcW w:w="2780" w:type="dxa"/>
            <w:vAlign w:val="bottom"/>
            <w:tcBorders>
              <w:right w:val="single" w:sz="8" w:color="70AD47"/>
            </w:tcBorders>
          </w:tcPr>
          <w:p>
            <w:pPr>
              <w:spacing w:after="0"/>
              <w:rPr>
                <w:sz w:val="13"/>
                <w:szCs w:val="13"/>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658,109</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11,845,962</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10.14</w:t>
            </w:r>
          </w:p>
        </w:tc>
        <w:tc>
          <w:tcPr>
            <w:tcW w:w="20" w:type="dxa"/>
            <w:vAlign w:val="bottom"/>
          </w:tcPr>
          <w:p>
            <w:pPr>
              <w:spacing w:after="0"/>
              <w:rPr>
                <w:sz w:val="13"/>
                <w:szCs w:val="13"/>
                <w:color w:val="auto"/>
              </w:rPr>
            </w:pPr>
          </w:p>
        </w:tc>
      </w:tr>
      <w:tr>
        <w:trPr>
          <w:trHeight w:val="170"/>
        </w:trPr>
        <w:tc>
          <w:tcPr>
            <w:tcW w:w="3460" w:type="dxa"/>
            <w:vAlign w:val="bottom"/>
          </w:tcPr>
          <w:p>
            <w:pPr>
              <w:spacing w:after="0"/>
              <w:rPr>
                <w:sz w:val="20"/>
                <w:szCs w:val="20"/>
                <w:color w:val="auto"/>
              </w:rPr>
            </w:pPr>
            <w:r>
              <w:rPr>
                <w:rFonts w:ascii="Arial" w:cs="Arial" w:eastAsia="Arial" w:hAnsi="Arial"/>
                <w:sz w:val="13"/>
                <w:szCs w:val="13"/>
                <w:color w:val="auto"/>
              </w:rPr>
              <w:t>Granted</w:t>
            </w:r>
          </w:p>
        </w:tc>
        <w:tc>
          <w:tcPr>
            <w:tcW w:w="2780" w:type="dxa"/>
            <w:vAlign w:val="bottom"/>
            <w:tcBorders>
              <w:right w:val="single" w:sz="8" w:color="70AD47"/>
            </w:tcBorders>
          </w:tcPr>
          <w:p>
            <w:pPr>
              <w:spacing w:after="0"/>
              <w:rPr>
                <w:sz w:val="14"/>
                <w:szCs w:val="14"/>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14,511</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261,198</w:t>
            </w:r>
          </w:p>
        </w:tc>
        <w:tc>
          <w:tcPr>
            <w:tcW w:w="1660" w:type="dxa"/>
            <w:vAlign w:val="bottom"/>
            <w:shd w:val="clear" w:color="auto" w:fill="C6E0B4"/>
          </w:tcPr>
          <w:p>
            <w:pPr>
              <w:jc w:val="right"/>
              <w:spacing w:after="0"/>
              <w:rPr>
                <w:sz w:val="20"/>
                <w:szCs w:val="20"/>
                <w:color w:val="auto"/>
              </w:rPr>
            </w:pPr>
            <w:r>
              <w:rPr>
                <w:rFonts w:ascii="Arial" w:cs="Arial" w:eastAsia="Arial" w:hAnsi="Arial"/>
                <w:sz w:val="13"/>
                <w:szCs w:val="13"/>
                <w:color w:val="auto"/>
              </w:rPr>
              <w:t>15.17</w:t>
            </w:r>
          </w:p>
        </w:tc>
        <w:tc>
          <w:tcPr>
            <w:tcW w:w="20" w:type="dxa"/>
            <w:vAlign w:val="bottom"/>
          </w:tcPr>
          <w:p>
            <w:pPr>
              <w:spacing w:after="0"/>
              <w:rPr>
                <w:sz w:val="14"/>
                <w:szCs w:val="14"/>
                <w:color w:val="auto"/>
              </w:rPr>
            </w:pPr>
          </w:p>
        </w:tc>
      </w:tr>
      <w:tr>
        <w:trPr>
          <w:trHeight w:val="170"/>
        </w:trPr>
        <w:tc>
          <w:tcPr>
            <w:tcW w:w="346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Forfeited</w:t>
            </w:r>
          </w:p>
        </w:tc>
        <w:tc>
          <w:tcPr>
            <w:tcW w:w="2780" w:type="dxa"/>
            <w:vAlign w:val="bottom"/>
            <w:tcBorders>
              <w:bottom w:val="single" w:sz="8" w:color="70AD47"/>
              <w:right w:val="single" w:sz="8" w:color="70AD47"/>
            </w:tcBorders>
          </w:tcPr>
          <w:p>
            <w:pPr>
              <w:spacing w:after="0"/>
              <w:rPr>
                <w:sz w:val="14"/>
                <w:szCs w:val="14"/>
                <w:color w:val="auto"/>
              </w:rPr>
            </w:pP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(17,237)</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(310,266)</w:t>
            </w: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10.85</w:t>
            </w:r>
          </w:p>
        </w:tc>
        <w:tc>
          <w:tcPr>
            <w:tcW w:w="20" w:type="dxa"/>
            <w:vAlign w:val="bottom"/>
          </w:tcPr>
          <w:p>
            <w:pPr>
              <w:spacing w:after="0"/>
              <w:rPr>
                <w:sz w:val="14"/>
                <w:szCs w:val="14"/>
                <w:color w:val="auto"/>
              </w:rPr>
            </w:pPr>
          </w:p>
        </w:tc>
      </w:tr>
      <w:tr>
        <w:trPr>
          <w:trHeight w:val="160"/>
        </w:trPr>
        <w:tc>
          <w:tcPr>
            <w:tcW w:w="346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As of December 31, 2019</w:t>
            </w:r>
          </w:p>
        </w:tc>
        <w:tc>
          <w:tcPr>
            <w:tcW w:w="2780" w:type="dxa"/>
            <w:vAlign w:val="bottom"/>
            <w:tcBorders>
              <w:bottom w:val="single" w:sz="8" w:color="70AD47"/>
              <w:right w:val="single" w:sz="8" w:color="70AD47"/>
            </w:tcBorders>
          </w:tcPr>
          <w:p>
            <w:pPr>
              <w:spacing w:after="0"/>
              <w:rPr>
                <w:sz w:val="13"/>
                <w:szCs w:val="13"/>
                <w:color w:val="auto"/>
              </w:rPr>
            </w:pP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655,383</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11,796,894</w:t>
            </w:r>
          </w:p>
        </w:tc>
        <w:tc>
          <w:tcPr>
            <w:tcW w:w="1660" w:type="dxa"/>
            <w:vAlign w:val="bottom"/>
            <w:tcBorders>
              <w:bottom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10.23</w:t>
            </w:r>
          </w:p>
        </w:tc>
        <w:tc>
          <w:tcPr>
            <w:tcW w:w="20" w:type="dxa"/>
            <w:vAlign w:val="bottom"/>
          </w:tcPr>
          <w:p>
            <w:pPr>
              <w:spacing w:after="0"/>
              <w:rPr>
                <w:sz w:val="13"/>
                <w:szCs w:val="13"/>
                <w:color w:val="auto"/>
              </w:rPr>
            </w:pPr>
          </w:p>
        </w:tc>
      </w:tr>
      <w:tr>
        <w:trPr>
          <w:trHeight w:val="470"/>
        </w:trPr>
        <w:tc>
          <w:tcPr>
            <w:tcW w:w="3460" w:type="dxa"/>
            <w:vAlign w:val="bottom"/>
          </w:tcPr>
          <w:p>
            <w:pPr>
              <w:spacing w:after="0"/>
              <w:rPr>
                <w:sz w:val="24"/>
                <w:szCs w:val="24"/>
                <w:color w:val="auto"/>
              </w:rPr>
            </w:pPr>
          </w:p>
        </w:tc>
        <w:tc>
          <w:tcPr>
            <w:tcW w:w="4460" w:type="dxa"/>
            <w:vAlign w:val="bottom"/>
            <w:gridSpan w:val="2"/>
          </w:tcPr>
          <w:p>
            <w:pPr>
              <w:jc w:val="right"/>
              <w:ind w:right="2093"/>
              <w:spacing w:after="0"/>
              <w:rPr>
                <w:sz w:val="20"/>
                <w:szCs w:val="20"/>
                <w:color w:val="auto"/>
              </w:rPr>
            </w:pPr>
            <w:r>
              <w:rPr>
                <w:rFonts w:ascii="Arial" w:cs="Arial" w:eastAsia="Arial" w:hAnsi="Arial"/>
                <w:sz w:val="13"/>
                <w:szCs w:val="13"/>
                <w:color w:val="auto"/>
              </w:rPr>
              <w:t>F-40</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460" w:type="dxa"/>
            <w:vAlign w:val="bottom"/>
            <w:tcBorders>
              <w:bottom w:val="single" w:sz="8" w:color="9A9A9A"/>
            </w:tcBorders>
          </w:tcPr>
          <w:p>
            <w:pPr>
              <w:spacing w:after="0"/>
              <w:rPr>
                <w:sz w:val="6"/>
                <w:szCs w:val="6"/>
                <w:color w:val="auto"/>
              </w:rPr>
            </w:pPr>
          </w:p>
        </w:tc>
        <w:tc>
          <w:tcPr>
            <w:tcW w:w="27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527" w:right="29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8600" w:type="dxa"/>
            <w:vAlign w:val="bottom"/>
            <w:gridSpan w:val="2"/>
          </w:tcPr>
          <w:p>
            <w:pPr>
              <w:ind w:left="140"/>
              <w:spacing w:after="0"/>
              <w:rPr>
                <w:sz w:val="20"/>
                <w:szCs w:val="20"/>
                <w:color w:val="auto"/>
              </w:rPr>
            </w:pPr>
            <w:r>
              <w:rPr>
                <w:rFonts w:ascii="Arial" w:cs="Arial" w:eastAsia="Arial" w:hAnsi="Arial"/>
                <w:sz w:val="13"/>
                <w:szCs w:val="13"/>
                <w:color w:val="auto"/>
              </w:rPr>
              <w:t>The options outstanding at December 31, 2019 have a weighted-average expected life of 4.73 years.</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420" w:type="dxa"/>
            <w:vAlign w:val="bottom"/>
          </w:tcPr>
          <w:p>
            <w:pPr>
              <w:spacing w:after="0"/>
              <w:rPr>
                <w:sz w:val="24"/>
                <w:szCs w:val="24"/>
                <w:color w:val="auto"/>
              </w:rPr>
            </w:pPr>
          </w:p>
        </w:tc>
        <w:tc>
          <w:tcPr>
            <w:tcW w:w="8600" w:type="dxa"/>
            <w:vAlign w:val="bottom"/>
            <w:gridSpan w:val="2"/>
          </w:tcPr>
          <w:p>
            <w:pPr>
              <w:ind w:left="140"/>
              <w:spacing w:after="0"/>
              <w:rPr>
                <w:sz w:val="20"/>
                <w:szCs w:val="20"/>
                <w:color w:val="auto"/>
              </w:rPr>
            </w:pPr>
            <w:r>
              <w:rPr>
                <w:rFonts w:ascii="Arial" w:cs="Arial" w:eastAsia="Arial" w:hAnsi="Arial"/>
                <w:sz w:val="13"/>
                <w:szCs w:val="13"/>
                <w:b w:val="1"/>
                <w:bCs w:val="1"/>
                <w:color w:val="auto"/>
              </w:rPr>
              <w:t>Expense recognized in the Statement of Operations</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 w:type="dxa"/>
            <w:vAlign w:val="bottom"/>
          </w:tcPr>
          <w:p>
            <w:pPr>
              <w:spacing w:after="0"/>
              <w:rPr>
                <w:sz w:val="20"/>
                <w:szCs w:val="20"/>
                <w:color w:val="auto"/>
              </w:rPr>
            </w:pPr>
          </w:p>
        </w:tc>
        <w:tc>
          <w:tcPr>
            <w:tcW w:w="8600" w:type="dxa"/>
            <w:vAlign w:val="bottom"/>
            <w:gridSpan w:val="2"/>
          </w:tcPr>
          <w:p>
            <w:pPr>
              <w:ind w:left="140"/>
              <w:spacing w:after="0"/>
              <w:rPr>
                <w:sz w:val="20"/>
                <w:szCs w:val="20"/>
                <w:color w:val="auto"/>
              </w:rPr>
            </w:pPr>
            <w:r>
              <w:rPr>
                <w:rFonts w:ascii="Arial" w:cs="Arial" w:eastAsia="Arial" w:hAnsi="Arial"/>
                <w:sz w:val="13"/>
                <w:szCs w:val="13"/>
                <w:color w:val="auto"/>
                <w:w w:val="93"/>
              </w:rPr>
              <w:t>The expense recognized for employee services received during the years ended December 31, 2019 and December 31, 2018 is shown in the following table:</w:t>
            </w: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Years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December 31,</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0"/>
        </w:trPr>
        <w:tc>
          <w:tcPr>
            <w:tcW w:w="792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i w:val="1"/>
                <w:iCs w:val="1"/>
                <w:color w:val="auto"/>
              </w:rPr>
              <w:t>(in thousands)</w:t>
            </w:r>
          </w:p>
        </w:tc>
        <w:tc>
          <w:tcPr>
            <w:tcW w:w="1100" w:type="dxa"/>
            <w:vAlign w:val="bottom"/>
            <w:tcBorders>
              <w:bottom w:val="single" w:sz="8" w:color="70AD47"/>
            </w:tcBorders>
            <w:shd w:val="clear" w:color="auto" w:fill="C6E0B4"/>
          </w:tcPr>
          <w:p>
            <w:pPr>
              <w:spacing w:after="0"/>
              <w:rPr>
                <w:sz w:val="14"/>
                <w:szCs w:val="14"/>
                <w:color w:val="auto"/>
              </w:rPr>
            </w:pPr>
          </w:p>
        </w:tc>
        <w:tc>
          <w:tcPr>
            <w:tcW w:w="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820" w:type="dxa"/>
            <w:vAlign w:val="bottom"/>
            <w:tcBorders>
              <w:bottom w:val="single" w:sz="8" w:color="70AD47"/>
            </w:tcBorders>
          </w:tcPr>
          <w:p>
            <w:pPr>
              <w:spacing w:after="0"/>
              <w:rPr>
                <w:sz w:val="14"/>
                <w:szCs w:val="14"/>
                <w:color w:val="auto"/>
              </w:rPr>
            </w:pPr>
          </w:p>
        </w:tc>
        <w:tc>
          <w:tcPr>
            <w:tcW w:w="840" w:type="dxa"/>
            <w:vAlign w:val="bottom"/>
            <w:tcBorders>
              <w:bottom w:val="single" w:sz="8" w:color="70AD47"/>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9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Cost of sales</w:t>
            </w:r>
          </w:p>
        </w:tc>
        <w:tc>
          <w:tcPr>
            <w:tcW w:w="1100" w:type="dxa"/>
            <w:vAlign w:val="bottom"/>
            <w:shd w:val="clear" w:color="auto" w:fill="C6E0B4"/>
          </w:tcPr>
          <w:p>
            <w:pPr>
              <w:spacing w:after="0"/>
              <w:rPr>
                <w:sz w:val="13"/>
                <w:szCs w:val="13"/>
                <w:color w:val="auto"/>
              </w:rPr>
            </w:pPr>
          </w:p>
        </w:tc>
        <w:tc>
          <w:tcPr>
            <w:tcW w:w="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€896</w:t>
            </w:r>
          </w:p>
        </w:tc>
        <w:tc>
          <w:tcPr>
            <w:tcW w:w="8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70"/>
        </w:trPr>
        <w:tc>
          <w:tcPr>
            <w:tcW w:w="79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Research and development expenses</w:t>
            </w:r>
          </w:p>
        </w:tc>
        <w:tc>
          <w:tcPr>
            <w:tcW w:w="1100" w:type="dxa"/>
            <w:vAlign w:val="bottom"/>
            <w:shd w:val="clear" w:color="auto" w:fill="C6E0B4"/>
          </w:tcPr>
          <w:p>
            <w:pPr>
              <w:spacing w:after="0"/>
              <w:rPr>
                <w:sz w:val="14"/>
                <w:szCs w:val="14"/>
                <w:color w:val="auto"/>
              </w:rPr>
            </w:pPr>
          </w:p>
        </w:tc>
        <w:tc>
          <w:tcPr>
            <w:tcW w:w="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20,016</w:t>
            </w: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6,786</w:t>
            </w:r>
          </w:p>
        </w:tc>
        <w:tc>
          <w:tcPr>
            <w:tcW w:w="0" w:type="dxa"/>
            <w:vAlign w:val="bottom"/>
          </w:tcPr>
          <w:p>
            <w:pPr>
              <w:spacing w:after="0"/>
              <w:rPr>
                <w:sz w:val="1"/>
                <w:szCs w:val="1"/>
                <w:color w:val="auto"/>
              </w:rPr>
            </w:pPr>
          </w:p>
        </w:tc>
      </w:tr>
      <w:tr>
        <w:trPr>
          <w:trHeight w:val="170"/>
        </w:trPr>
        <w:tc>
          <w:tcPr>
            <w:tcW w:w="79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Sales and marketing expenses</w:t>
            </w:r>
          </w:p>
        </w:tc>
        <w:tc>
          <w:tcPr>
            <w:tcW w:w="1100" w:type="dxa"/>
            <w:vAlign w:val="bottom"/>
            <w:shd w:val="clear" w:color="auto" w:fill="C6E0B4"/>
          </w:tcPr>
          <w:p>
            <w:pPr>
              <w:spacing w:after="0"/>
              <w:rPr>
                <w:sz w:val="14"/>
                <w:szCs w:val="14"/>
                <w:color w:val="auto"/>
              </w:rPr>
            </w:pPr>
          </w:p>
        </w:tc>
        <w:tc>
          <w:tcPr>
            <w:tcW w:w="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108</w:t>
            </w: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0"/>
        </w:trPr>
        <w:tc>
          <w:tcPr>
            <w:tcW w:w="792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General and administrative expenses</w:t>
            </w:r>
          </w:p>
        </w:tc>
        <w:tc>
          <w:tcPr>
            <w:tcW w:w="1100" w:type="dxa"/>
            <w:vAlign w:val="bottom"/>
            <w:tcBorders>
              <w:bottom w:val="single" w:sz="8" w:color="70AD47"/>
            </w:tcBorders>
            <w:shd w:val="clear" w:color="auto" w:fill="C6E0B4"/>
          </w:tcPr>
          <w:p>
            <w:pPr>
              <w:spacing w:after="0"/>
              <w:rPr>
                <w:sz w:val="14"/>
                <w:szCs w:val="14"/>
                <w:color w:val="auto"/>
              </w:rPr>
            </w:pPr>
          </w:p>
        </w:tc>
        <w:tc>
          <w:tcPr>
            <w:tcW w:w="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6,008</w:t>
            </w:r>
          </w:p>
        </w:tc>
        <w:tc>
          <w:tcPr>
            <w:tcW w:w="820" w:type="dxa"/>
            <w:vAlign w:val="bottom"/>
            <w:tcBorders>
              <w:bottom w:val="single" w:sz="8" w:color="70AD47"/>
            </w:tcBorders>
          </w:tcPr>
          <w:p>
            <w:pPr>
              <w:spacing w:after="0"/>
              <w:rPr>
                <w:sz w:val="14"/>
                <w:szCs w:val="14"/>
                <w:color w:val="auto"/>
              </w:rPr>
            </w:pPr>
          </w:p>
        </w:tc>
        <w:tc>
          <w:tcPr>
            <w:tcW w:w="8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60"/>
        </w:trPr>
        <w:tc>
          <w:tcPr>
            <w:tcW w:w="42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7500" w:type="dxa"/>
            <w:vAlign w:val="bottom"/>
            <w:tcBorders>
              <w:bottom w:val="single" w:sz="8" w:color="70AD47"/>
              <w:right w:val="single" w:sz="8" w:color="70AD47"/>
            </w:tcBorders>
          </w:tcPr>
          <w:p>
            <w:pPr>
              <w:spacing w:after="0"/>
              <w:rPr>
                <w:sz w:val="13"/>
                <w:szCs w:val="13"/>
                <w:color w:val="auto"/>
              </w:rPr>
            </w:pPr>
          </w:p>
        </w:tc>
        <w:tc>
          <w:tcPr>
            <w:tcW w:w="1100" w:type="dxa"/>
            <w:vAlign w:val="bottom"/>
            <w:tcBorders>
              <w:bottom w:val="single" w:sz="8" w:color="70AD47"/>
            </w:tcBorders>
            <w:shd w:val="clear" w:color="auto" w:fill="C6E0B4"/>
          </w:tcPr>
          <w:p>
            <w:pPr>
              <w:spacing w:after="0"/>
              <w:rPr>
                <w:sz w:val="13"/>
                <w:szCs w:val="13"/>
                <w:color w:val="auto"/>
              </w:rPr>
            </w:pPr>
          </w:p>
        </w:tc>
        <w:tc>
          <w:tcPr>
            <w:tcW w:w="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€27,028</w:t>
            </w:r>
          </w:p>
        </w:tc>
        <w:tc>
          <w:tcPr>
            <w:tcW w:w="820" w:type="dxa"/>
            <w:vAlign w:val="bottom"/>
            <w:tcBorders>
              <w:bottom w:val="single" w:sz="8" w:color="70AD47"/>
            </w:tcBorders>
          </w:tcPr>
          <w:p>
            <w:pPr>
              <w:spacing w:after="0"/>
              <w:rPr>
                <w:sz w:val="13"/>
                <w:szCs w:val="13"/>
                <w:color w:val="auto"/>
              </w:rPr>
            </w:pPr>
          </w:p>
        </w:tc>
        <w:tc>
          <w:tcPr>
            <w:tcW w:w="8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€7,641</w:t>
            </w:r>
          </w:p>
        </w:tc>
        <w:tc>
          <w:tcPr>
            <w:tcW w:w="0" w:type="dxa"/>
            <w:vAlign w:val="bottom"/>
          </w:tcPr>
          <w:p>
            <w:pPr>
              <w:spacing w:after="0"/>
              <w:rPr>
                <w:sz w:val="1"/>
                <w:szCs w:val="1"/>
                <w:color w:val="auto"/>
              </w:rPr>
            </w:pPr>
          </w:p>
        </w:tc>
      </w:tr>
      <w:tr>
        <w:trPr>
          <w:trHeight w:val="390"/>
        </w:trPr>
        <w:tc>
          <w:tcPr>
            <w:tcW w:w="420" w:type="dxa"/>
            <w:vAlign w:val="bottom"/>
          </w:tcPr>
          <w:p>
            <w:pPr>
              <w:spacing w:after="0"/>
              <w:rPr>
                <w:sz w:val="24"/>
                <w:szCs w:val="24"/>
                <w:color w:val="auto"/>
              </w:rPr>
            </w:pPr>
          </w:p>
        </w:tc>
        <w:tc>
          <w:tcPr>
            <w:tcW w:w="8600" w:type="dxa"/>
            <w:vAlign w:val="bottom"/>
            <w:gridSpan w:val="2"/>
          </w:tcPr>
          <w:p>
            <w:pPr>
              <w:ind w:left="140"/>
              <w:spacing w:after="0"/>
              <w:rPr>
                <w:sz w:val="20"/>
                <w:szCs w:val="20"/>
                <w:color w:val="auto"/>
              </w:rPr>
            </w:pPr>
            <w:r>
              <w:rPr>
                <w:rFonts w:ascii="Arial" w:cs="Arial" w:eastAsia="Arial" w:hAnsi="Arial"/>
                <w:sz w:val="13"/>
                <w:szCs w:val="13"/>
                <w:color w:val="auto"/>
              </w:rPr>
              <w:t>There were no cancellations or modifications to the awards in the years ended December 31, 2019 and December 31, 2018.</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20" w:type="dxa"/>
            <w:vAlign w:val="bottom"/>
          </w:tcPr>
          <w:p>
            <w:pPr>
              <w:spacing w:after="0"/>
              <w:rPr>
                <w:sz w:val="20"/>
                <w:szCs w:val="20"/>
                <w:color w:val="auto"/>
              </w:rPr>
            </w:pPr>
            <w:r>
              <w:rPr>
                <w:rFonts w:ascii="Arial" w:cs="Arial" w:eastAsia="Arial" w:hAnsi="Arial"/>
                <w:sz w:val="13"/>
                <w:szCs w:val="13"/>
                <w:b w:val="1"/>
                <w:bCs w:val="1"/>
                <w:color w:val="auto"/>
              </w:rPr>
              <w:t>17.3</w:t>
            </w:r>
          </w:p>
        </w:tc>
        <w:tc>
          <w:tcPr>
            <w:tcW w:w="8600" w:type="dxa"/>
            <w:vAlign w:val="bottom"/>
            <w:gridSpan w:val="2"/>
          </w:tcPr>
          <w:p>
            <w:pPr>
              <w:ind w:left="380"/>
              <w:spacing w:after="0"/>
              <w:rPr>
                <w:sz w:val="20"/>
                <w:szCs w:val="20"/>
                <w:color w:val="auto"/>
              </w:rPr>
            </w:pPr>
            <w:r>
              <w:rPr>
                <w:rFonts w:ascii="Arial" w:cs="Arial" w:eastAsia="Arial" w:hAnsi="Arial"/>
                <w:sz w:val="13"/>
                <w:szCs w:val="13"/>
                <w:b w:val="1"/>
                <w:bCs w:val="1"/>
                <w:color w:val="auto"/>
              </w:rPr>
              <w:t>Share appreciation rights (Equity-Settled)</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 w:type="dxa"/>
            <w:vAlign w:val="bottom"/>
          </w:tcPr>
          <w:p>
            <w:pPr>
              <w:spacing w:after="0"/>
              <w:rPr>
                <w:sz w:val="20"/>
                <w:szCs w:val="20"/>
                <w:color w:val="auto"/>
              </w:rPr>
            </w:pPr>
          </w:p>
        </w:tc>
        <w:tc>
          <w:tcPr>
            <w:tcW w:w="8600" w:type="dxa"/>
            <w:vAlign w:val="bottom"/>
            <w:gridSpan w:val="2"/>
          </w:tcPr>
          <w:p>
            <w:pPr>
              <w:ind w:left="140"/>
              <w:spacing w:after="0"/>
              <w:rPr>
                <w:sz w:val="20"/>
                <w:szCs w:val="20"/>
                <w:color w:val="auto"/>
              </w:rPr>
            </w:pPr>
            <w:r>
              <w:rPr>
                <w:rFonts w:ascii="Arial" w:cs="Arial" w:eastAsia="Arial" w:hAnsi="Arial"/>
                <w:sz w:val="13"/>
                <w:szCs w:val="13"/>
                <w:b w:val="1"/>
                <w:bCs w:val="1"/>
                <w:color w:val="auto"/>
              </w:rPr>
              <w:t>Description of Share-Based Payments</w:t>
            </w: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right="20" w:firstLine="556"/>
        <w:spacing w:after="0" w:line="287" w:lineRule="auto"/>
        <w:rPr>
          <w:sz w:val="20"/>
          <w:szCs w:val="20"/>
          <w:color w:val="auto"/>
        </w:rPr>
      </w:pPr>
      <w:r>
        <w:rPr>
          <w:rFonts w:ascii="Arial" w:cs="Arial" w:eastAsia="Arial" w:hAnsi="Arial"/>
          <w:sz w:val="13"/>
          <w:szCs w:val="13"/>
          <w:color w:val="auto"/>
        </w:rPr>
        <w:t>On December 1, 2017, the Group granted 582,714 shares to selected employees under the share appreciation rights (SAR) program. The shares vested immediately at the grant date (December 2017) as there were no vesting conditions.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There were no other SARs granted during the years ended December 31, 2019 and December 31, 2018.</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Measurement of Fair Values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fair value of the SARs has been determined using a discounted cash flow (DCF) model as of December 2017.</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inputs used in the measurement of the fair values at grant date of the SARs were as follows:</w:t>
      </w:r>
    </w:p>
    <w:p>
      <w:pPr>
        <w:sectPr>
          <w:pgSz w:w="11900" w:h="16838" w:orient="portrait"/>
          <w:cols w:equalWidth="0" w:num="1">
            <w:col w:w="11280"/>
          </w:cols>
          <w:pgMar w:left="300" w:top="451" w:right="31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67880" cy="8699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7167880" cy="8699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Exercise price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WACC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Tax rate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Debt free net working capital (in % of sales)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Risk-free interest rate (%)</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Long-term growth rate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Grant date 1 December 2017</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10.13€</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10.13€</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31.2%</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pacing w:after="0" w:line="200" w:lineRule="exact"/>
        <w:rPr>
          <w:sz w:val="20"/>
          <w:szCs w:val="20"/>
          <w:color w:val="auto"/>
        </w:rPr>
      </w:pPr>
    </w:p>
    <w:p>
      <w:pPr>
        <w:sectPr>
          <w:pgSz w:w="11900" w:h="16838" w:orient="portrait"/>
          <w:cols w:equalWidth="0" w:num="2">
            <w:col w:w="8920" w:space="720"/>
            <w:col w:w="1640"/>
          </w:cols>
          <w:pgMar w:left="300" w:top="451" w:right="319" w:bottom="1440" w:gutter="0" w:footer="0" w:header="0"/>
          <w:type w:val="continuous"/>
        </w:sectPr>
      </w:pPr>
    </w:p>
    <w:p>
      <w:pPr>
        <w:spacing w:after="0" w:line="50" w:lineRule="exact"/>
        <w:rPr>
          <w:sz w:val="20"/>
          <w:szCs w:val="20"/>
          <w:color w:val="auto"/>
        </w:rPr>
      </w:pPr>
    </w:p>
    <w:p>
      <w:pPr>
        <w:ind w:right="60" w:firstLine="554"/>
        <w:spacing w:after="0" w:line="287" w:lineRule="auto"/>
        <w:rPr>
          <w:sz w:val="20"/>
          <w:szCs w:val="20"/>
          <w:color w:val="auto"/>
        </w:rPr>
      </w:pPr>
      <w:r>
        <w:rPr>
          <w:rFonts w:ascii="Arial" w:cs="Arial" w:eastAsia="Arial" w:hAnsi="Arial"/>
          <w:sz w:val="13"/>
          <w:szCs w:val="13"/>
          <w:color w:val="auto"/>
        </w:rPr>
        <w:t>Growth rate estimates are based on epidemiology data for different indications in focus geographies. The average market growth rates per indication and stage have been extrapolated with data derived from published industry research.</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expected life of the SARs is based on historical data and current expectations and is not necessarily indicative of exercise patterns that may occur.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Expected dividends were not incorporated into the measurement of fair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type w:val="continuous"/>
        </w:sectPr>
      </w:pPr>
    </w:p>
    <w:bookmarkStart w:id="305" w:name="page306"/>
    <w:bookmarkEnd w:id="305"/>
    <w:p>
      <w:pPr>
        <w:ind w:left="560"/>
        <w:spacing w:after="0"/>
        <w:rPr>
          <w:sz w:val="20"/>
          <w:szCs w:val="20"/>
          <w:color w:val="auto"/>
        </w:rPr>
      </w:pPr>
      <w:r>
        <w:rPr>
          <w:rFonts w:ascii="Arial" w:cs="Arial" w:eastAsia="Arial" w:hAnsi="Arial"/>
          <w:sz w:val="13"/>
          <w:szCs w:val="13"/>
          <w:b w:val="1"/>
          <w:bCs w:val="1"/>
          <w:color w:val="auto"/>
        </w:rPr>
        <w:t>Expense recognized in the Statement of Operations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expense recognized for employee services received during the year ended December 31, 2017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7167880" cy="6667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7167880" cy="6667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Cost of sales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Research and development expenses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Sales and marketing expenses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General and administrative expenses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290"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17.3</w:t>
      </w:r>
      <w:r>
        <w:rPr>
          <w:sz w:val="20"/>
          <w:szCs w:val="20"/>
          <w:color w:val="auto"/>
        </w:rPr>
        <w:tab/>
      </w:r>
      <w:r>
        <w:rPr>
          <w:rFonts w:ascii="Arial" w:cs="Arial" w:eastAsia="Arial" w:hAnsi="Arial"/>
          <w:sz w:val="12"/>
          <w:szCs w:val="12"/>
          <w:b w:val="1"/>
          <w:bCs w:val="1"/>
          <w:color w:val="auto"/>
        </w:rPr>
        <w:t>Net Settlement Feature for Withholding Tax Obligation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Year ended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December 31,</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2017</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3,620</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2,275</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€5,909</w:t>
      </w:r>
    </w:p>
    <w:p>
      <w:pPr>
        <w:spacing w:after="0" w:line="533" w:lineRule="exact"/>
        <w:rPr>
          <w:sz w:val="20"/>
          <w:szCs w:val="20"/>
          <w:color w:val="auto"/>
        </w:rPr>
      </w:pPr>
    </w:p>
    <w:p>
      <w:pPr>
        <w:sectPr>
          <w:pgSz w:w="11900" w:h="16838" w:orient="portrait"/>
          <w:cols w:equalWidth="0" w:num="2">
            <w:col w:w="9780" w:space="720"/>
            <w:col w:w="780"/>
          </w:cols>
          <w:pgMar w:left="300" w:top="526" w:right="319" w:bottom="1440" w:gutter="0" w:footer="0" w:header="0"/>
        </w:sectPr>
      </w:pPr>
    </w:p>
    <w:p>
      <w:pPr>
        <w:ind w:right="120" w:firstLine="554"/>
        <w:spacing w:after="0" w:line="272" w:lineRule="auto"/>
        <w:rPr>
          <w:sz w:val="20"/>
          <w:szCs w:val="20"/>
          <w:color w:val="auto"/>
        </w:rPr>
      </w:pPr>
      <w:r>
        <w:rPr>
          <w:rFonts w:ascii="Arial" w:cs="Arial" w:eastAsia="Arial" w:hAnsi="Arial"/>
          <w:sz w:val="13"/>
          <w:szCs w:val="13"/>
          <w:color w:val="auto"/>
        </w:rPr>
        <w:t>Under the agreement, BioNTech must withhold an amount for an employee’s tax obligation associated with the share-based payment and transfer that amount in cash to the tax authority on the employee’s behalf. BioNTech does not withhold shares in order to settle the employee’s tax obligations. The Group withheld an amount of k€7,761 that was paid to the taxation authority in relation to the SARs in the year ended 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Arial" w:cs="Arial" w:eastAsia="Arial" w:hAnsi="Arial"/>
                <w:sz w:val="13"/>
                <w:szCs w:val="13"/>
                <w:b w:val="1"/>
                <w:bCs w:val="1"/>
                <w:color w:val="auto"/>
              </w:rPr>
              <w:t>18</w:t>
            </w:r>
          </w:p>
        </w:tc>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Other Liabilities</w:t>
            </w: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80" w:type="dxa"/>
            <w:vAlign w:val="bottom"/>
          </w:tcPr>
          <w:p>
            <w:pPr>
              <w:spacing w:after="0"/>
              <w:rPr>
                <w:sz w:val="7"/>
                <w:szCs w:val="7"/>
                <w:color w:val="auto"/>
              </w:rPr>
            </w:pPr>
          </w:p>
        </w:tc>
        <w:tc>
          <w:tcPr>
            <w:tcW w:w="7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80" w:type="dxa"/>
            <w:vAlign w:val="bottom"/>
            <w:vMerge w:val="restart"/>
          </w:tcPr>
          <w:p>
            <w:pPr>
              <w:spacing w:after="0"/>
              <w:rPr>
                <w:sz w:val="20"/>
                <w:szCs w:val="20"/>
                <w:color w:val="auto"/>
              </w:rPr>
            </w:pPr>
            <w:r>
              <w:rPr>
                <w:rFonts w:ascii="Arial" w:cs="Arial" w:eastAsia="Arial" w:hAnsi="Arial"/>
                <w:sz w:val="13"/>
                <w:szCs w:val="13"/>
                <w:i w:val="1"/>
                <w:iCs w:val="1"/>
                <w:color w:val="auto"/>
                <w:w w:val="92"/>
              </w:rPr>
              <w:t>(in thousands)</w:t>
            </w:r>
          </w:p>
        </w:tc>
        <w:tc>
          <w:tcPr>
            <w:tcW w:w="732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7320" w:type="dxa"/>
            <w:vAlign w:val="bottom"/>
            <w:tcBorders>
              <w:right w:val="single" w:sz="8" w:color="70AD47"/>
            </w:tcBorders>
          </w:tcPr>
          <w:p>
            <w:pPr>
              <w:spacing w:after="0"/>
              <w:rPr>
                <w:sz w:val="8"/>
                <w:szCs w:val="8"/>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780" w:type="dxa"/>
            <w:vAlign w:val="bottom"/>
            <w:tcBorders>
              <w:bottom w:val="single" w:sz="8" w:color="70AD47"/>
            </w:tcBorders>
          </w:tcPr>
          <w:p>
            <w:pPr>
              <w:spacing w:after="0"/>
              <w:rPr>
                <w:sz w:val="6"/>
                <w:szCs w:val="6"/>
                <w:color w:val="auto"/>
              </w:rPr>
            </w:pPr>
          </w:p>
        </w:tc>
        <w:tc>
          <w:tcPr>
            <w:tcW w:w="732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10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Liabilities employees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€6,710</w:t>
            </w:r>
          </w:p>
        </w:tc>
        <w:tc>
          <w:tcPr>
            <w:tcW w:w="1580" w:type="dxa"/>
            <w:vAlign w:val="bottom"/>
          </w:tcPr>
          <w:p>
            <w:pPr>
              <w:jc w:val="right"/>
              <w:spacing w:after="0"/>
              <w:rPr>
                <w:sz w:val="20"/>
                <w:szCs w:val="20"/>
                <w:color w:val="auto"/>
              </w:rPr>
            </w:pPr>
            <w:r>
              <w:rPr>
                <w:rFonts w:ascii="Arial" w:cs="Arial" w:eastAsia="Arial" w:hAnsi="Arial"/>
                <w:sz w:val="13"/>
                <w:szCs w:val="13"/>
                <w:color w:val="auto"/>
              </w:rPr>
              <w:t>€5,236</w:t>
            </w:r>
          </w:p>
        </w:tc>
        <w:tc>
          <w:tcPr>
            <w:tcW w:w="0" w:type="dxa"/>
            <w:vAlign w:val="bottom"/>
          </w:tcPr>
          <w:p>
            <w:pPr>
              <w:spacing w:after="0"/>
              <w:rPr>
                <w:sz w:val="1"/>
                <w:szCs w:val="1"/>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Other</w:t>
            </w:r>
          </w:p>
        </w:tc>
        <w:tc>
          <w:tcPr>
            <w:tcW w:w="732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780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3,864</w:t>
            </w:r>
          </w:p>
        </w:tc>
        <w:tc>
          <w:tcPr>
            <w:tcW w:w="0" w:type="dxa"/>
            <w:vAlign w:val="bottom"/>
          </w:tcPr>
          <w:p>
            <w:pPr>
              <w:spacing w:after="0"/>
              <w:rPr>
                <w:sz w:val="1"/>
                <w:szCs w:val="1"/>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732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€7,490</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€9,100</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Other liabilities comprise accruals for outstanding invoices in the amount of k€715 as at December 31, 2019 (as at December 31, 2018: k€3,739) and several other non-material positions.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Pr>
          <w:p>
            <w:pPr>
              <w:spacing w:after="0"/>
              <w:rPr>
                <w:sz w:val="20"/>
                <w:szCs w:val="20"/>
                <w:color w:val="auto"/>
              </w:rPr>
            </w:pPr>
            <w:r>
              <w:rPr>
                <w:rFonts w:ascii="Arial" w:cs="Arial" w:eastAsia="Arial" w:hAnsi="Arial"/>
                <w:sz w:val="13"/>
                <w:szCs w:val="13"/>
                <w:b w:val="1"/>
                <w:bCs w:val="1"/>
                <w:color w:val="auto"/>
              </w:rPr>
              <w:t>19</w:t>
            </w:r>
          </w:p>
        </w:tc>
        <w:tc>
          <w:tcPr>
            <w:tcW w:w="7360" w:type="dxa"/>
            <w:vAlign w:val="bottom"/>
          </w:tcPr>
          <w:p>
            <w:pPr>
              <w:ind w:left="60"/>
              <w:spacing w:after="0"/>
              <w:rPr>
                <w:sz w:val="20"/>
                <w:szCs w:val="20"/>
                <w:color w:val="auto"/>
              </w:rPr>
            </w:pPr>
            <w:r>
              <w:rPr>
                <w:rFonts w:ascii="Arial" w:cs="Arial" w:eastAsia="Arial" w:hAnsi="Arial"/>
                <w:sz w:val="13"/>
                <w:szCs w:val="13"/>
                <w:b w:val="1"/>
                <w:bCs w:val="1"/>
                <w:color w:val="auto"/>
              </w:rPr>
              <w:t>Leases</w:t>
            </w: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40" w:type="dxa"/>
            <w:vAlign w:val="bottom"/>
          </w:tcPr>
          <w:p>
            <w:pPr>
              <w:spacing w:after="0"/>
              <w:rPr>
                <w:sz w:val="20"/>
                <w:szCs w:val="20"/>
                <w:color w:val="auto"/>
              </w:rPr>
            </w:pPr>
            <w:r>
              <w:rPr>
                <w:rFonts w:ascii="Arial" w:cs="Arial" w:eastAsia="Arial" w:hAnsi="Arial"/>
                <w:sz w:val="13"/>
                <w:szCs w:val="13"/>
                <w:b w:val="1"/>
                <w:bCs w:val="1"/>
                <w:color w:val="auto"/>
              </w:rPr>
              <w:t>19.1</w:t>
            </w:r>
          </w:p>
        </w:tc>
        <w:tc>
          <w:tcPr>
            <w:tcW w:w="7360" w:type="dxa"/>
            <w:vAlign w:val="bottom"/>
          </w:tcPr>
          <w:p>
            <w:pPr>
              <w:ind w:left="60"/>
              <w:spacing w:after="0"/>
              <w:rPr>
                <w:sz w:val="20"/>
                <w:szCs w:val="20"/>
                <w:color w:val="auto"/>
              </w:rPr>
            </w:pPr>
            <w:r>
              <w:rPr>
                <w:rFonts w:ascii="Arial" w:cs="Arial" w:eastAsia="Arial" w:hAnsi="Arial"/>
                <w:sz w:val="13"/>
                <w:szCs w:val="13"/>
                <w:b w:val="1"/>
                <w:bCs w:val="1"/>
                <w:color w:val="auto"/>
              </w:rPr>
              <w:t>Amounts Recognized in the Statement of Financial Positions</w:t>
            </w: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100" w:type="dxa"/>
            <w:vAlign w:val="bottom"/>
            <w:gridSpan w:val="2"/>
          </w:tcPr>
          <w:p>
            <w:pPr>
              <w:spacing w:after="0"/>
              <w:rPr>
                <w:sz w:val="20"/>
                <w:szCs w:val="20"/>
                <w:color w:val="auto"/>
              </w:rPr>
            </w:pPr>
            <w:r>
              <w:rPr>
                <w:rFonts w:ascii="Arial" w:cs="Arial" w:eastAsia="Arial" w:hAnsi="Arial"/>
                <w:sz w:val="13"/>
                <w:szCs w:val="13"/>
                <w:b w:val="1"/>
                <w:bCs w:val="1"/>
                <w:color w:val="auto"/>
              </w:rPr>
              <w:t>Right-of-Use Assets</w:t>
            </w: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100" w:type="dxa"/>
            <w:vAlign w:val="bottom"/>
            <w:gridSpan w:val="2"/>
          </w:tcPr>
          <w:p>
            <w:pPr>
              <w:ind w:left="560"/>
              <w:spacing w:after="0"/>
              <w:rPr>
                <w:sz w:val="20"/>
                <w:szCs w:val="20"/>
                <w:color w:val="auto"/>
              </w:rPr>
            </w:pPr>
            <w:r>
              <w:rPr>
                <w:rFonts w:ascii="Arial" w:cs="Arial" w:eastAsia="Arial" w:hAnsi="Arial"/>
                <w:sz w:val="13"/>
                <w:szCs w:val="13"/>
                <w:color w:val="auto"/>
              </w:rPr>
              <w:t>The following amounts are presented as right-of-use assets within the statement of financial positions as of the dates indicated:</w:t>
            </w: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4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736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40" w:type="dxa"/>
            <w:vAlign w:val="bottom"/>
            <w:tcBorders>
              <w:bottom w:val="single" w:sz="8" w:color="70AD47"/>
            </w:tcBorders>
          </w:tcPr>
          <w:p>
            <w:pPr>
              <w:spacing w:after="0"/>
              <w:rPr>
                <w:sz w:val="15"/>
                <w:szCs w:val="15"/>
                <w:color w:val="auto"/>
              </w:rPr>
            </w:pPr>
          </w:p>
        </w:tc>
        <w:tc>
          <w:tcPr>
            <w:tcW w:w="7360" w:type="dxa"/>
            <w:vAlign w:val="bottom"/>
            <w:tcBorders>
              <w:bottom w:val="single" w:sz="8" w:color="70AD47"/>
              <w:right w:val="single" w:sz="8" w:color="70AD47"/>
            </w:tcBorders>
          </w:tcPr>
          <w:p>
            <w:pPr>
              <w:spacing w:after="0"/>
              <w:rPr>
                <w:sz w:val="15"/>
                <w:szCs w:val="15"/>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0"/>
        </w:trPr>
        <w:tc>
          <w:tcPr>
            <w:tcW w:w="740" w:type="dxa"/>
            <w:vAlign w:val="bottom"/>
          </w:tcPr>
          <w:p>
            <w:pPr>
              <w:spacing w:after="0"/>
              <w:rPr>
                <w:sz w:val="20"/>
                <w:szCs w:val="20"/>
                <w:color w:val="auto"/>
              </w:rPr>
            </w:pPr>
            <w:r>
              <w:rPr>
                <w:rFonts w:ascii="Arial" w:cs="Arial" w:eastAsia="Arial" w:hAnsi="Arial"/>
                <w:sz w:val="13"/>
                <w:szCs w:val="13"/>
                <w:color w:val="auto"/>
              </w:rPr>
              <w:t>Buildings</w:t>
            </w:r>
          </w:p>
        </w:tc>
        <w:tc>
          <w:tcPr>
            <w:tcW w:w="736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€54,956</w:t>
            </w:r>
          </w:p>
        </w:tc>
        <w:tc>
          <w:tcPr>
            <w:tcW w:w="1580" w:type="dxa"/>
            <w:vAlign w:val="bottom"/>
          </w:tcPr>
          <w:p>
            <w:pPr>
              <w:jc w:val="right"/>
              <w:spacing w:after="0"/>
              <w:rPr>
                <w:sz w:val="20"/>
                <w:szCs w:val="20"/>
                <w:color w:val="auto"/>
              </w:rPr>
            </w:pPr>
            <w:r>
              <w:rPr>
                <w:rFonts w:ascii="Arial" w:cs="Arial" w:eastAsia="Arial" w:hAnsi="Arial"/>
                <w:sz w:val="13"/>
                <w:szCs w:val="13"/>
                <w:color w:val="auto"/>
              </w:rPr>
              <w:t>€49,718</w:t>
            </w:r>
          </w:p>
        </w:tc>
        <w:tc>
          <w:tcPr>
            <w:tcW w:w="0" w:type="dxa"/>
            <w:vAlign w:val="bottom"/>
          </w:tcPr>
          <w:p>
            <w:pPr>
              <w:spacing w:after="0"/>
              <w:rPr>
                <w:sz w:val="1"/>
                <w:szCs w:val="1"/>
                <w:color w:val="auto"/>
              </w:rPr>
            </w:pPr>
          </w:p>
        </w:tc>
      </w:tr>
      <w:tr>
        <w:trPr>
          <w:trHeight w:val="170"/>
        </w:trPr>
        <w:tc>
          <w:tcPr>
            <w:tcW w:w="810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Equipment, tools and installations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7</w:t>
            </w:r>
          </w:p>
        </w:tc>
        <w:tc>
          <w:tcPr>
            <w:tcW w:w="158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0"/>
        </w:trPr>
        <w:tc>
          <w:tcPr>
            <w:tcW w:w="74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Automobiles</w:t>
            </w:r>
          </w:p>
        </w:tc>
        <w:tc>
          <w:tcPr>
            <w:tcW w:w="736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55</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0"/>
        </w:trPr>
        <w:tc>
          <w:tcPr>
            <w:tcW w:w="74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736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€55,018</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€49,766</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Additions to the right-of-use assets during the year ended December 31, 2019 were k€10,040 (during the year ended December 31, 2018: k€723).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type w:val="continuous"/>
        </w:sectPr>
      </w:pPr>
    </w:p>
    <w:bookmarkStart w:id="306" w:name="page307"/>
    <w:bookmarkEnd w:id="306"/>
    <w:p>
      <w:pPr>
        <w:spacing w:after="0"/>
        <w:rPr>
          <w:sz w:val="20"/>
          <w:szCs w:val="20"/>
          <w:color w:val="auto"/>
        </w:rPr>
      </w:pPr>
      <w:r>
        <w:rPr>
          <w:rFonts w:ascii="Arial" w:cs="Arial" w:eastAsia="Arial" w:hAnsi="Arial"/>
          <w:sz w:val="13"/>
          <w:szCs w:val="13"/>
          <w:b w:val="1"/>
          <w:bCs w:val="1"/>
          <w:color w:val="auto"/>
        </w:rPr>
        <w:t>Lease Liability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80" w:type="dxa"/>
            <w:vAlign w:val="bottom"/>
            <w:gridSpan w:val="2"/>
          </w:tcPr>
          <w:p>
            <w:pPr>
              <w:ind w:left="560"/>
              <w:spacing w:after="0"/>
              <w:rPr>
                <w:sz w:val="20"/>
                <w:szCs w:val="20"/>
                <w:color w:val="auto"/>
              </w:rPr>
            </w:pPr>
            <w:r>
              <w:rPr>
                <w:rFonts w:ascii="Arial" w:cs="Arial" w:eastAsia="Arial" w:hAnsi="Arial"/>
                <w:sz w:val="13"/>
                <w:szCs w:val="13"/>
                <w:color w:val="auto"/>
              </w:rPr>
              <w:t>The following amounts are included in other financial liabilities as of the dates indicated:</w:t>
            </w: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80" w:type="dxa"/>
            <w:vAlign w:val="bottom"/>
            <w:vMerge w:val="restart"/>
          </w:tcPr>
          <w:p>
            <w:pPr>
              <w:spacing w:after="0"/>
              <w:rPr>
                <w:sz w:val="20"/>
                <w:szCs w:val="20"/>
                <w:color w:val="auto"/>
              </w:rPr>
            </w:pPr>
            <w:r>
              <w:rPr>
                <w:rFonts w:ascii="Arial" w:cs="Arial" w:eastAsia="Arial" w:hAnsi="Arial"/>
                <w:sz w:val="13"/>
                <w:szCs w:val="13"/>
                <w:i w:val="1"/>
                <w:iCs w:val="1"/>
                <w:color w:val="auto"/>
                <w:w w:val="92"/>
              </w:rPr>
              <w:t>(in thousands)</w:t>
            </w:r>
          </w:p>
        </w:tc>
        <w:tc>
          <w:tcPr>
            <w:tcW w:w="5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4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tcPr>
          <w:p>
            <w:pPr>
              <w:spacing w:after="0"/>
              <w:rPr>
                <w:sz w:val="8"/>
                <w:szCs w:val="8"/>
                <w:color w:val="auto"/>
              </w:rPr>
            </w:pPr>
          </w:p>
        </w:tc>
        <w:tc>
          <w:tcPr>
            <w:tcW w:w="5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40" w:type="dxa"/>
            <w:vAlign w:val="bottom"/>
            <w:tcBorders>
              <w:left w:val="single" w:sz="8" w:color="70AD47"/>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780" w:type="dxa"/>
            <w:vAlign w:val="bottom"/>
            <w:tcBorders>
              <w:bottom w:val="single" w:sz="8" w:color="70AD47"/>
            </w:tcBorders>
          </w:tcPr>
          <w:p>
            <w:pPr>
              <w:spacing w:after="0"/>
              <w:rPr>
                <w:sz w:val="6"/>
                <w:szCs w:val="6"/>
                <w:color w:val="auto"/>
              </w:rPr>
            </w:pPr>
          </w:p>
        </w:tc>
        <w:tc>
          <w:tcPr>
            <w:tcW w:w="5700" w:type="dxa"/>
            <w:vAlign w:val="bottom"/>
            <w:tcBorders>
              <w:bottom w:val="single" w:sz="8" w:color="70AD47"/>
            </w:tcBorders>
          </w:tcPr>
          <w:p>
            <w:pPr>
              <w:spacing w:after="0"/>
              <w:rPr>
                <w:sz w:val="6"/>
                <w:szCs w:val="6"/>
                <w:color w:val="auto"/>
              </w:rPr>
            </w:pPr>
          </w:p>
        </w:tc>
        <w:tc>
          <w:tcPr>
            <w:tcW w:w="1600" w:type="dxa"/>
            <w:vAlign w:val="bottom"/>
            <w:tcBorders>
              <w:bottom w:val="single" w:sz="8" w:color="70AD47"/>
            </w:tcBorders>
          </w:tcPr>
          <w:p>
            <w:pPr>
              <w:spacing w:after="0"/>
              <w:rPr>
                <w:sz w:val="6"/>
                <w:szCs w:val="6"/>
                <w:color w:val="auto"/>
              </w:rPr>
            </w:pPr>
          </w:p>
        </w:tc>
        <w:tc>
          <w:tcPr>
            <w:tcW w:w="1640" w:type="dxa"/>
            <w:vAlign w:val="bottom"/>
            <w:tcBorders>
              <w:left w:val="single" w:sz="8" w:color="70AD47"/>
              <w:bottom w:val="single" w:sz="8" w:color="70AD47"/>
              <w:right w:val="single" w:sz="8" w:color="70AD47"/>
            </w:tcBorders>
            <w:vMerge w:val="continue"/>
            <w:shd w:val="clear" w:color="auto" w:fill="C6E0B4"/>
          </w:tcPr>
          <w:p>
            <w:pPr>
              <w:spacing w:after="0"/>
              <w:rPr>
                <w:sz w:val="6"/>
                <w:szCs w:val="6"/>
                <w:color w:val="auto"/>
              </w:rPr>
            </w:pPr>
          </w:p>
        </w:tc>
        <w:tc>
          <w:tcPr>
            <w:tcW w:w="156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20"/>
                <w:szCs w:val="20"/>
                <w:color w:val="auto"/>
              </w:rPr>
            </w:pPr>
            <w:r>
              <w:rPr>
                <w:rFonts w:ascii="Arial" w:cs="Arial" w:eastAsia="Arial" w:hAnsi="Arial"/>
                <w:sz w:val="13"/>
                <w:szCs w:val="13"/>
                <w:color w:val="auto"/>
              </w:rPr>
              <w:t>Current</w:t>
            </w:r>
          </w:p>
        </w:tc>
        <w:tc>
          <w:tcPr>
            <w:tcW w:w="5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4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€3,485</w:t>
            </w:r>
          </w:p>
        </w:tc>
        <w:tc>
          <w:tcPr>
            <w:tcW w:w="1560" w:type="dxa"/>
            <w:vAlign w:val="bottom"/>
          </w:tcPr>
          <w:p>
            <w:pPr>
              <w:jc w:val="right"/>
              <w:spacing w:after="0"/>
              <w:rPr>
                <w:sz w:val="20"/>
                <w:szCs w:val="20"/>
                <w:color w:val="auto"/>
              </w:rPr>
            </w:pPr>
            <w:r>
              <w:rPr>
                <w:rFonts w:ascii="Arial" w:cs="Arial" w:eastAsia="Arial" w:hAnsi="Arial"/>
                <w:sz w:val="13"/>
                <w:szCs w:val="13"/>
                <w:color w:val="auto"/>
              </w:rPr>
              <w:t>€2,134</w:t>
            </w:r>
          </w:p>
        </w:tc>
        <w:tc>
          <w:tcPr>
            <w:tcW w:w="0" w:type="dxa"/>
            <w:vAlign w:val="bottom"/>
          </w:tcPr>
          <w:p>
            <w:pPr>
              <w:spacing w:after="0"/>
              <w:rPr>
                <w:sz w:val="1"/>
                <w:szCs w:val="1"/>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Non-current</w:t>
            </w:r>
          </w:p>
        </w:tc>
        <w:tc>
          <w:tcPr>
            <w:tcW w:w="5700" w:type="dxa"/>
            <w:vAlign w:val="bottom"/>
            <w:tcBorders>
              <w:bottom w:val="single" w:sz="8" w:color="70AD47"/>
            </w:tcBorders>
          </w:tcPr>
          <w:p>
            <w:pPr>
              <w:spacing w:after="0"/>
              <w:rPr>
                <w:sz w:val="14"/>
                <w:szCs w:val="14"/>
                <w:color w:val="auto"/>
              </w:rPr>
            </w:pPr>
          </w:p>
        </w:tc>
        <w:tc>
          <w:tcPr>
            <w:tcW w:w="1600" w:type="dxa"/>
            <w:vAlign w:val="bottom"/>
            <w:tcBorders>
              <w:bottom w:val="single" w:sz="8" w:color="70AD47"/>
            </w:tcBorders>
          </w:tcPr>
          <w:p>
            <w:pPr>
              <w:spacing w:after="0"/>
              <w:rPr>
                <w:sz w:val="14"/>
                <w:szCs w:val="14"/>
                <w:color w:val="auto"/>
              </w:rPr>
            </w:pPr>
          </w:p>
        </w:tc>
        <w:tc>
          <w:tcPr>
            <w:tcW w:w="164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54,127</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48,618</w:t>
            </w:r>
          </w:p>
        </w:tc>
        <w:tc>
          <w:tcPr>
            <w:tcW w:w="0" w:type="dxa"/>
            <w:vAlign w:val="bottom"/>
          </w:tcPr>
          <w:p>
            <w:pPr>
              <w:spacing w:after="0"/>
              <w:rPr>
                <w:sz w:val="1"/>
                <w:szCs w:val="1"/>
                <w:color w:val="auto"/>
              </w:rPr>
            </w:pPr>
          </w:p>
        </w:tc>
      </w:tr>
      <w:tr>
        <w:trPr>
          <w:trHeight w:val="16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5700" w:type="dxa"/>
            <w:vAlign w:val="bottom"/>
            <w:tcBorders>
              <w:bottom w:val="single" w:sz="8" w:color="70AD47"/>
            </w:tcBorders>
          </w:tcPr>
          <w:p>
            <w:pPr>
              <w:spacing w:after="0"/>
              <w:rPr>
                <w:sz w:val="13"/>
                <w:szCs w:val="13"/>
                <w:color w:val="auto"/>
              </w:rPr>
            </w:pPr>
          </w:p>
        </w:tc>
        <w:tc>
          <w:tcPr>
            <w:tcW w:w="1600" w:type="dxa"/>
            <w:vAlign w:val="bottom"/>
            <w:tcBorders>
              <w:bottom w:val="single" w:sz="8" w:color="70AD47"/>
            </w:tcBorders>
          </w:tcPr>
          <w:p>
            <w:pPr>
              <w:spacing w:after="0"/>
              <w:rPr>
                <w:sz w:val="13"/>
                <w:szCs w:val="13"/>
                <w:color w:val="auto"/>
              </w:rPr>
            </w:pPr>
          </w:p>
        </w:tc>
        <w:tc>
          <w:tcPr>
            <w:tcW w:w="164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€57,612</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€50,752</w:t>
            </w:r>
          </w:p>
        </w:tc>
        <w:tc>
          <w:tcPr>
            <w:tcW w:w="0" w:type="dxa"/>
            <w:vAlign w:val="bottom"/>
          </w:tcPr>
          <w:p>
            <w:pPr>
              <w:spacing w:after="0"/>
              <w:rPr>
                <w:sz w:val="1"/>
                <w:szCs w:val="1"/>
                <w:color w:val="auto"/>
              </w:rPr>
            </w:pPr>
          </w:p>
        </w:tc>
      </w:tr>
      <w:tr>
        <w:trPr>
          <w:trHeight w:val="420"/>
        </w:trPr>
        <w:tc>
          <w:tcPr>
            <w:tcW w:w="780" w:type="dxa"/>
            <w:vAlign w:val="bottom"/>
          </w:tcPr>
          <w:p>
            <w:pPr>
              <w:spacing w:after="0"/>
              <w:rPr>
                <w:sz w:val="20"/>
                <w:szCs w:val="20"/>
                <w:color w:val="auto"/>
              </w:rPr>
            </w:pPr>
            <w:r>
              <w:rPr>
                <w:rFonts w:ascii="Arial" w:cs="Arial" w:eastAsia="Arial" w:hAnsi="Arial"/>
                <w:sz w:val="13"/>
                <w:szCs w:val="13"/>
                <w:b w:val="1"/>
                <w:bCs w:val="1"/>
                <w:color w:val="auto"/>
              </w:rPr>
              <w:t>19.2</w:t>
            </w:r>
          </w:p>
        </w:tc>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Amounts Recognized in the Statement of Operations</w:t>
            </w: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Arial" w:cs="Arial" w:eastAsia="Arial" w:hAnsi="Arial"/>
                <w:sz w:val="13"/>
                <w:szCs w:val="13"/>
                <w:b w:val="1"/>
                <w:bCs w:val="1"/>
                <w:color w:val="auto"/>
              </w:rPr>
              <w:t>Depreciation Charge of Right-of-Use Assets</w:t>
            </w:r>
          </w:p>
        </w:tc>
        <w:tc>
          <w:tcPr>
            <w:tcW w:w="1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40" w:type="dxa"/>
            <w:vAlign w:val="bottom"/>
          </w:tcPr>
          <w:p>
            <w:pPr>
              <w:jc w:val="right"/>
              <w:ind w:right="433"/>
              <w:spacing w:after="0"/>
              <w:rPr>
                <w:sz w:val="20"/>
                <w:szCs w:val="20"/>
                <w:color w:val="auto"/>
              </w:rPr>
            </w:pPr>
            <w:r>
              <w:rPr>
                <w:rFonts w:ascii="Arial" w:cs="Arial" w:eastAsia="Arial" w:hAnsi="Arial"/>
                <w:sz w:val="13"/>
                <w:szCs w:val="13"/>
                <w:b w:val="1"/>
                <w:bCs w:val="1"/>
                <w:color w:val="auto"/>
              </w:rPr>
              <w:t>Years ended</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40" w:type="dxa"/>
            <w:vAlign w:val="bottom"/>
          </w:tcPr>
          <w:p>
            <w:pPr>
              <w:jc w:val="right"/>
              <w:ind w:right="393"/>
              <w:spacing w:after="0"/>
              <w:rPr>
                <w:sz w:val="20"/>
                <w:szCs w:val="20"/>
                <w:color w:val="auto"/>
              </w:rPr>
            </w:pPr>
            <w:r>
              <w:rPr>
                <w:rFonts w:ascii="Arial" w:cs="Arial" w:eastAsia="Arial" w:hAnsi="Arial"/>
                <w:sz w:val="13"/>
                <w:szCs w:val="13"/>
                <w:b w:val="1"/>
                <w:bCs w:val="1"/>
                <w:color w:val="auto"/>
              </w:rPr>
              <w:t>December 31,</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i w:val="1"/>
                <w:iCs w:val="1"/>
                <w:color w:val="auto"/>
                <w:w w:val="92"/>
              </w:rPr>
              <w:t>(in thousands)</w:t>
            </w:r>
          </w:p>
        </w:tc>
        <w:tc>
          <w:tcPr>
            <w:tcW w:w="570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2018</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20"/>
                <w:szCs w:val="20"/>
                <w:color w:val="auto"/>
              </w:rPr>
            </w:pPr>
            <w:r>
              <w:rPr>
                <w:rFonts w:ascii="Arial" w:cs="Arial" w:eastAsia="Arial" w:hAnsi="Arial"/>
                <w:sz w:val="13"/>
                <w:szCs w:val="13"/>
                <w:color w:val="auto"/>
              </w:rPr>
              <w:t>Buildings</w:t>
            </w:r>
          </w:p>
        </w:tc>
        <w:tc>
          <w:tcPr>
            <w:tcW w:w="570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€4,614</w:t>
            </w:r>
          </w:p>
        </w:tc>
        <w:tc>
          <w:tcPr>
            <w:tcW w:w="16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€2,751</w:t>
            </w:r>
          </w:p>
        </w:tc>
        <w:tc>
          <w:tcPr>
            <w:tcW w:w="1560" w:type="dxa"/>
            <w:vAlign w:val="bottom"/>
          </w:tcPr>
          <w:p>
            <w:pPr>
              <w:jc w:val="right"/>
              <w:spacing w:after="0"/>
              <w:rPr>
                <w:sz w:val="20"/>
                <w:szCs w:val="20"/>
                <w:color w:val="auto"/>
              </w:rPr>
            </w:pPr>
            <w:r>
              <w:rPr>
                <w:rFonts w:ascii="Arial" w:cs="Arial" w:eastAsia="Arial" w:hAnsi="Arial"/>
                <w:sz w:val="13"/>
                <w:szCs w:val="13"/>
                <w:color w:val="auto"/>
              </w:rPr>
              <w:t>€1,759</w:t>
            </w:r>
          </w:p>
        </w:tc>
        <w:tc>
          <w:tcPr>
            <w:tcW w:w="0" w:type="dxa"/>
            <w:vAlign w:val="bottom"/>
          </w:tcPr>
          <w:p>
            <w:pPr>
              <w:spacing w:after="0"/>
              <w:rPr>
                <w:sz w:val="1"/>
                <w:szCs w:val="1"/>
                <w:color w:val="auto"/>
              </w:rPr>
            </w:pPr>
          </w:p>
        </w:tc>
      </w:tr>
      <w:tr>
        <w:trPr>
          <w:trHeight w:val="170"/>
        </w:trPr>
        <w:tc>
          <w:tcPr>
            <w:tcW w:w="648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Equipment, tools and installations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25</w:t>
            </w:r>
          </w:p>
        </w:tc>
        <w:tc>
          <w:tcPr>
            <w:tcW w:w="16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60</w:t>
            </w:r>
          </w:p>
        </w:tc>
        <w:tc>
          <w:tcPr>
            <w:tcW w:w="156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70"/>
        </w:trPr>
        <w:tc>
          <w:tcPr>
            <w:tcW w:w="78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Automobiles</w:t>
            </w:r>
          </w:p>
        </w:tc>
        <w:tc>
          <w:tcPr>
            <w:tcW w:w="5700" w:type="dxa"/>
            <w:vAlign w:val="bottom"/>
            <w:tcBorders>
              <w:bottom w:val="single" w:sz="8" w:color="70AD47"/>
              <w:right w:val="single" w:sz="8" w:color="70AD47"/>
            </w:tcBorders>
          </w:tcPr>
          <w:p>
            <w:pPr>
              <w:spacing w:after="0"/>
              <w:rPr>
                <w:sz w:val="14"/>
                <w:szCs w:val="14"/>
                <w:color w:val="auto"/>
              </w:rPr>
            </w:pP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40</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35</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60"/>
        </w:trPr>
        <w:tc>
          <w:tcPr>
            <w:tcW w:w="648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b w:val="1"/>
                <w:bCs w:val="1"/>
                <w:color w:val="auto"/>
              </w:rPr>
              <w:t>Total depreciation charge</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€4,679</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€2,846</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€1,909</w:t>
            </w:r>
          </w:p>
        </w:tc>
        <w:tc>
          <w:tcPr>
            <w:tcW w:w="0" w:type="dxa"/>
            <w:vAlign w:val="bottom"/>
          </w:tcPr>
          <w:p>
            <w:pPr>
              <w:spacing w:after="0"/>
              <w:rPr>
                <w:sz w:val="1"/>
                <w:szCs w:val="1"/>
                <w:color w:val="auto"/>
              </w:rPr>
            </w:pPr>
          </w:p>
        </w:tc>
      </w:tr>
      <w:tr>
        <w:trPr>
          <w:trHeight w:val="160"/>
        </w:trPr>
        <w:tc>
          <w:tcPr>
            <w:tcW w:w="780" w:type="dxa"/>
            <w:vAlign w:val="bottom"/>
            <w:tcBorders>
              <w:bottom w:val="single" w:sz="8" w:color="70AD47"/>
            </w:tcBorders>
          </w:tcPr>
          <w:p>
            <w:pPr>
              <w:spacing w:after="0"/>
              <w:rPr>
                <w:sz w:val="13"/>
                <w:szCs w:val="13"/>
                <w:color w:val="auto"/>
              </w:rPr>
            </w:pPr>
          </w:p>
        </w:tc>
        <w:tc>
          <w:tcPr>
            <w:tcW w:w="5700" w:type="dxa"/>
            <w:vAlign w:val="bottom"/>
            <w:tcBorders>
              <w:bottom w:val="single" w:sz="8" w:color="70AD47"/>
            </w:tcBorders>
          </w:tcPr>
          <w:p>
            <w:pPr>
              <w:spacing w:after="0"/>
              <w:rPr>
                <w:sz w:val="13"/>
                <w:szCs w:val="13"/>
                <w:color w:val="auto"/>
              </w:rPr>
            </w:pPr>
          </w:p>
        </w:tc>
        <w:tc>
          <w:tcPr>
            <w:tcW w:w="1600" w:type="dxa"/>
            <w:vAlign w:val="bottom"/>
            <w:tcBorders>
              <w:bottom w:val="single" w:sz="8" w:color="70AD47"/>
            </w:tcBorders>
          </w:tcPr>
          <w:p>
            <w:pPr>
              <w:spacing w:after="0"/>
              <w:rPr>
                <w:sz w:val="13"/>
                <w:szCs w:val="13"/>
                <w:color w:val="auto"/>
              </w:rPr>
            </w:pPr>
          </w:p>
        </w:tc>
        <w:tc>
          <w:tcPr>
            <w:tcW w:w="1640" w:type="dxa"/>
            <w:vAlign w:val="bottom"/>
            <w:tcBorders>
              <w:bottom w:val="single" w:sz="8" w:color="70AD47"/>
            </w:tcBorders>
          </w:tcPr>
          <w:p>
            <w:pPr>
              <w:spacing w:after="0"/>
              <w:rPr>
                <w:sz w:val="13"/>
                <w:szCs w:val="13"/>
                <w:color w:val="auto"/>
              </w:rPr>
            </w:pPr>
          </w:p>
        </w:tc>
        <w:tc>
          <w:tcPr>
            <w:tcW w:w="1560" w:type="dxa"/>
            <w:vAlign w:val="bottom"/>
            <w:tcBorders>
              <w:bottom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8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Interest on lease liabilities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€1,718</w:t>
            </w:r>
          </w:p>
        </w:tc>
        <w:tc>
          <w:tcPr>
            <w:tcW w:w="164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€1,721</w:t>
            </w:r>
          </w:p>
        </w:tc>
        <w:tc>
          <w:tcPr>
            <w:tcW w:w="1560" w:type="dxa"/>
            <w:vAlign w:val="bottom"/>
          </w:tcPr>
          <w:p>
            <w:pPr>
              <w:jc w:val="right"/>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61"/>
        </w:trPr>
        <w:tc>
          <w:tcPr>
            <w:tcW w:w="648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Expense related to short-term leases</w:t>
            </w: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color w:val="auto"/>
              </w:rPr>
              <w:t>442</w:t>
            </w:r>
          </w:p>
        </w:tc>
        <w:tc>
          <w:tcPr>
            <w:tcW w:w="164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3"/>
                <w:szCs w:val="13"/>
                <w:color w:val="auto"/>
              </w:rPr>
              <w:t>431</w:t>
            </w:r>
          </w:p>
        </w:tc>
        <w:tc>
          <w:tcPr>
            <w:tcW w:w="1560" w:type="dxa"/>
            <w:vAlign w:val="bottom"/>
            <w:vMerge w:val="restart"/>
          </w:tcPr>
          <w:p>
            <w:pPr>
              <w:jc w:val="right"/>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89"/>
        </w:trPr>
        <w:tc>
          <w:tcPr>
            <w:tcW w:w="6480" w:type="dxa"/>
            <w:vAlign w:val="bottom"/>
            <w:tcBorders>
              <w:right w:val="single" w:sz="8" w:color="70AD47"/>
            </w:tcBorders>
            <w:gridSpan w:val="2"/>
            <w:vMerge w:val="restart"/>
          </w:tcPr>
          <w:p>
            <w:pPr>
              <w:spacing w:after="0"/>
              <w:rPr>
                <w:sz w:val="20"/>
                <w:szCs w:val="20"/>
                <w:color w:val="auto"/>
              </w:rPr>
            </w:pPr>
            <w:r>
              <w:rPr>
                <w:rFonts w:ascii="Arial" w:cs="Arial" w:eastAsia="Arial" w:hAnsi="Arial"/>
                <w:sz w:val="13"/>
                <w:szCs w:val="13"/>
                <w:color w:val="auto"/>
              </w:rPr>
              <w:t>(included in other expenses)</w:t>
            </w:r>
          </w:p>
        </w:tc>
        <w:tc>
          <w:tcPr>
            <w:tcW w:w="1600" w:type="dxa"/>
            <w:vAlign w:val="bottom"/>
            <w:tcBorders>
              <w:right w:val="single" w:sz="8" w:color="70AD47"/>
            </w:tcBorders>
            <w:vMerge w:val="continue"/>
            <w:shd w:val="clear" w:color="auto" w:fill="C6E0B4"/>
          </w:tcPr>
          <w:p>
            <w:pPr>
              <w:spacing w:after="0"/>
              <w:rPr>
                <w:sz w:val="7"/>
                <w:szCs w:val="7"/>
                <w:color w:val="auto"/>
              </w:rPr>
            </w:pPr>
          </w:p>
        </w:tc>
        <w:tc>
          <w:tcPr>
            <w:tcW w:w="1640" w:type="dxa"/>
            <w:vAlign w:val="bottom"/>
            <w:tcBorders>
              <w:right w:val="single" w:sz="8" w:color="70AD47"/>
            </w:tcBorders>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6480" w:type="dxa"/>
            <w:vAlign w:val="bottom"/>
            <w:tcBorders>
              <w:right w:val="single" w:sz="8" w:color="70AD47"/>
            </w:tcBorders>
            <w:gridSpan w:val="2"/>
            <w:vMerge w:val="continue"/>
          </w:tcPr>
          <w:p>
            <w:pPr>
              <w:spacing w:after="0"/>
              <w:rPr>
                <w:sz w:val="6"/>
                <w:szCs w:val="6"/>
                <w:color w:val="auto"/>
              </w:rPr>
            </w:pPr>
          </w:p>
        </w:tc>
        <w:tc>
          <w:tcPr>
            <w:tcW w:w="1600" w:type="dxa"/>
            <w:vAlign w:val="bottom"/>
            <w:tcBorders>
              <w:right w:val="single" w:sz="8" w:color="70AD47"/>
            </w:tcBorders>
            <w:shd w:val="clear" w:color="auto" w:fill="C6E0B4"/>
          </w:tcPr>
          <w:p>
            <w:pPr>
              <w:spacing w:after="0"/>
              <w:rPr>
                <w:sz w:val="6"/>
                <w:szCs w:val="6"/>
                <w:color w:val="auto"/>
              </w:rPr>
            </w:pPr>
          </w:p>
        </w:tc>
        <w:tc>
          <w:tcPr>
            <w:tcW w:w="1640" w:type="dxa"/>
            <w:vAlign w:val="bottom"/>
            <w:tcBorders>
              <w:right w:val="single" w:sz="8" w:color="70AD47"/>
            </w:tcBorders>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48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Expense relating to leases of low-value assets that are not short-term leases (included in</w:t>
            </w: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color w:val="auto"/>
              </w:rPr>
              <w:t>90</w:t>
            </w:r>
          </w:p>
        </w:tc>
        <w:tc>
          <w:tcPr>
            <w:tcW w:w="1640" w:type="dxa"/>
            <w:vAlign w:val="bottom"/>
            <w:tcBorders>
              <w:right w:val="single" w:sz="8" w:color="70AD47"/>
            </w:tcBorders>
            <w:vMerge w:val="restart"/>
          </w:tcPr>
          <w:p>
            <w:pPr>
              <w:jc w:val="right"/>
              <w:spacing w:after="0"/>
              <w:rPr>
                <w:sz w:val="20"/>
                <w:szCs w:val="20"/>
                <w:color w:val="auto"/>
              </w:rPr>
            </w:pPr>
            <w:r>
              <w:rPr>
                <w:rFonts w:ascii="Arial" w:cs="Arial" w:eastAsia="Arial" w:hAnsi="Arial"/>
                <w:sz w:val="13"/>
                <w:szCs w:val="13"/>
                <w:color w:val="auto"/>
              </w:rPr>
              <w:t>90</w:t>
            </w:r>
          </w:p>
        </w:tc>
        <w:tc>
          <w:tcPr>
            <w:tcW w:w="1560" w:type="dxa"/>
            <w:vAlign w:val="bottom"/>
            <w:vMerge w:val="restart"/>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89"/>
        </w:trPr>
        <w:tc>
          <w:tcPr>
            <w:tcW w:w="6480" w:type="dxa"/>
            <w:vAlign w:val="bottom"/>
            <w:tcBorders>
              <w:right w:val="single" w:sz="8" w:color="70AD47"/>
            </w:tcBorders>
            <w:gridSpan w:val="2"/>
            <w:vMerge w:val="restart"/>
          </w:tcPr>
          <w:p>
            <w:pPr>
              <w:spacing w:after="0"/>
              <w:rPr>
                <w:sz w:val="20"/>
                <w:szCs w:val="20"/>
                <w:color w:val="auto"/>
              </w:rPr>
            </w:pPr>
            <w:r>
              <w:rPr>
                <w:rFonts w:ascii="Arial" w:cs="Arial" w:eastAsia="Arial" w:hAnsi="Arial"/>
                <w:sz w:val="13"/>
                <w:szCs w:val="13"/>
                <w:color w:val="auto"/>
              </w:rPr>
              <w:t>other expenses)</w:t>
            </w:r>
          </w:p>
        </w:tc>
        <w:tc>
          <w:tcPr>
            <w:tcW w:w="1600" w:type="dxa"/>
            <w:vAlign w:val="bottom"/>
            <w:tcBorders>
              <w:right w:val="single" w:sz="8" w:color="70AD47"/>
            </w:tcBorders>
            <w:vMerge w:val="continue"/>
            <w:shd w:val="clear" w:color="auto" w:fill="C6E0B4"/>
          </w:tcPr>
          <w:p>
            <w:pPr>
              <w:spacing w:after="0"/>
              <w:rPr>
                <w:sz w:val="7"/>
                <w:szCs w:val="7"/>
                <w:color w:val="auto"/>
              </w:rPr>
            </w:pPr>
          </w:p>
        </w:tc>
        <w:tc>
          <w:tcPr>
            <w:tcW w:w="1640" w:type="dxa"/>
            <w:vAlign w:val="bottom"/>
            <w:tcBorders>
              <w:right w:val="single" w:sz="8" w:color="70AD47"/>
            </w:tcBorders>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6480" w:type="dxa"/>
            <w:vAlign w:val="bottom"/>
            <w:tcBorders>
              <w:bottom w:val="single" w:sz="8" w:color="70AD47"/>
              <w:right w:val="single" w:sz="8" w:color="70AD47"/>
            </w:tcBorders>
            <w:gridSpan w:val="2"/>
            <w:vMerge w:val="continue"/>
          </w:tcPr>
          <w:p>
            <w:pPr>
              <w:spacing w:after="0"/>
              <w:rPr>
                <w:sz w:val="6"/>
                <w:szCs w:val="6"/>
                <w:color w:val="auto"/>
              </w:rPr>
            </w:pPr>
          </w:p>
        </w:tc>
        <w:tc>
          <w:tcPr>
            <w:tcW w:w="1600" w:type="dxa"/>
            <w:vAlign w:val="bottom"/>
            <w:tcBorders>
              <w:bottom w:val="single" w:sz="8" w:color="70AD47"/>
              <w:right w:val="single" w:sz="8" w:color="70AD47"/>
            </w:tcBorders>
            <w:shd w:val="clear" w:color="auto" w:fill="C6E0B4"/>
          </w:tcPr>
          <w:p>
            <w:pPr>
              <w:spacing w:after="0"/>
              <w:rPr>
                <w:sz w:val="6"/>
                <w:szCs w:val="6"/>
                <w:color w:val="auto"/>
              </w:rPr>
            </w:pPr>
          </w:p>
        </w:tc>
        <w:tc>
          <w:tcPr>
            <w:tcW w:w="1640" w:type="dxa"/>
            <w:vAlign w:val="bottom"/>
            <w:tcBorders>
              <w:bottom w:val="single" w:sz="8" w:color="70AD47"/>
              <w:right w:val="single" w:sz="8" w:color="70AD47"/>
            </w:tcBorders>
          </w:tcPr>
          <w:p>
            <w:pPr>
              <w:spacing w:after="0"/>
              <w:rPr>
                <w:sz w:val="6"/>
                <w:szCs w:val="6"/>
                <w:color w:val="auto"/>
              </w:rPr>
            </w:pPr>
          </w:p>
        </w:tc>
        <w:tc>
          <w:tcPr>
            <w:tcW w:w="1560" w:type="dxa"/>
            <w:vAlign w:val="bottom"/>
            <w:tcBorders>
              <w:bottom w:val="single" w:sz="8" w:color="70AD47"/>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48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b w:val="1"/>
                <w:bCs w:val="1"/>
                <w:color w:val="auto"/>
              </w:rPr>
              <w:t>Total amounts recognized in profit or loss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€6,929</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€5,088</w:t>
            </w:r>
          </w:p>
        </w:tc>
        <w:tc>
          <w:tcPr>
            <w:tcW w:w="156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€3,122</w:t>
            </w:r>
          </w:p>
        </w:tc>
        <w:tc>
          <w:tcPr>
            <w:tcW w:w="0" w:type="dxa"/>
            <w:vAlign w:val="bottom"/>
          </w:tcPr>
          <w:p>
            <w:pPr>
              <w:spacing w:after="0"/>
              <w:rPr>
                <w:sz w:val="1"/>
                <w:szCs w:val="1"/>
                <w:color w:val="auto"/>
              </w:rPr>
            </w:pPr>
          </w:p>
        </w:tc>
      </w:tr>
      <w:tr>
        <w:trPr>
          <w:trHeight w:val="420"/>
        </w:trPr>
        <w:tc>
          <w:tcPr>
            <w:tcW w:w="780" w:type="dxa"/>
            <w:vAlign w:val="bottom"/>
          </w:tcPr>
          <w:p>
            <w:pPr>
              <w:spacing w:after="0"/>
              <w:rPr>
                <w:sz w:val="20"/>
                <w:szCs w:val="20"/>
                <w:color w:val="auto"/>
              </w:rPr>
            </w:pPr>
            <w:r>
              <w:rPr>
                <w:rFonts w:ascii="Arial" w:cs="Arial" w:eastAsia="Arial" w:hAnsi="Arial"/>
                <w:sz w:val="13"/>
                <w:szCs w:val="13"/>
                <w:b w:val="1"/>
                <w:bCs w:val="1"/>
                <w:color w:val="auto"/>
              </w:rPr>
              <w:t>19.3</w:t>
            </w:r>
          </w:p>
        </w:tc>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Amounts recognized in the Statements of Cash Flows</w:t>
            </w: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During the year ended December 31, 2019, the total cash outflow for leases amounted to k€4,779 (during the year ended December 31, 2018: k€3,847; during the year ended December 31, 2017:</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k€2,319).</w:t>
      </w:r>
    </w:p>
    <w:p>
      <w:pPr>
        <w:spacing w:after="0" w:line="238"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3"/>
          <w:szCs w:val="13"/>
          <w:b w:val="1"/>
          <w:bCs w:val="1"/>
          <w:color w:val="auto"/>
        </w:rPr>
        <w:t>Segment Information</w:t>
      </w:r>
    </w:p>
    <w:p>
      <w:pPr>
        <w:spacing w:after="0" w:line="94"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BioNTech develops individualized treatments for cancer patients and improved therapeutics to treat infectious and rare diseases. This activity, together with research and development activities, forms the core of the company. External services provide the interface where medical products are sold to third parties.</w:t>
      </w:r>
    </w:p>
    <w:p>
      <w:pPr>
        <w:spacing w:after="0" w:line="122" w:lineRule="exact"/>
        <w:rPr>
          <w:sz w:val="20"/>
          <w:szCs w:val="20"/>
          <w:color w:val="auto"/>
        </w:rPr>
      </w:pPr>
    </w:p>
    <w:p>
      <w:pPr>
        <w:ind w:right="140" w:firstLine="556"/>
        <w:spacing w:after="0" w:line="331" w:lineRule="auto"/>
        <w:rPr>
          <w:sz w:val="20"/>
          <w:szCs w:val="20"/>
          <w:color w:val="auto"/>
        </w:rPr>
      </w:pPr>
      <w:r>
        <w:rPr>
          <w:rFonts w:ascii="Arial" w:cs="Arial" w:eastAsia="Arial" w:hAnsi="Arial"/>
          <w:sz w:val="12"/>
          <w:szCs w:val="12"/>
          <w:color w:val="auto"/>
        </w:rPr>
        <w:t>BioNTech’s business is managed in two business units, the biotech business unit and the external services business unit. The biotech business unit is comprised of three operation segments, which are individually monitored by the Chief Operating Decision Maker (CODM). Four operating segments have been identified in accordance with IFRS 8. No aggregation of operating segments was performed.</w:t>
      </w:r>
    </w:p>
    <w:p>
      <w:pPr>
        <w:spacing w:after="0" w:line="99" w:lineRule="exact"/>
        <w:rPr>
          <w:sz w:val="20"/>
          <w:szCs w:val="20"/>
          <w:color w:val="auto"/>
        </w:rPr>
      </w:pPr>
    </w:p>
    <w:p>
      <w:pPr>
        <w:ind w:right="440" w:firstLine="556"/>
        <w:spacing w:after="0" w:line="287" w:lineRule="auto"/>
        <w:rPr>
          <w:sz w:val="20"/>
          <w:szCs w:val="20"/>
          <w:color w:val="auto"/>
        </w:rPr>
      </w:pPr>
      <w:r>
        <w:rPr>
          <w:rFonts w:ascii="Arial" w:cs="Arial" w:eastAsia="Arial" w:hAnsi="Arial"/>
          <w:sz w:val="13"/>
          <w:szCs w:val="13"/>
          <w:color w:val="auto"/>
        </w:rPr>
        <w:t>Resource allocation and performance assessment is performed at the level of the Management Board. The Management Board members are jointly responsible for the management and strategic decision making. Consequently, the Management Board has been identified as the CODM. BioNTech’s business consist of the following reportable segments: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307" w:name="page308"/>
    <w:bookmarkEnd w:id="3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2723515</wp:posOffset>
            </wp:positionH>
            <wp:positionV relativeFrom="page">
              <wp:posOffset>190500</wp:posOffset>
            </wp:positionV>
            <wp:extent cx="2101215" cy="18535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210121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Research and Development activities form the Biotech Business Unit and are divided in the segments Clinical, Technology Platform and Manufacturing.</w:t>
      </w:r>
    </w:p>
    <w:p>
      <w:pPr>
        <w:spacing w:after="0" w:line="166" w:lineRule="exact"/>
        <w:rPr>
          <w:sz w:val="20"/>
          <w:szCs w:val="20"/>
          <w:color w:val="auto"/>
        </w:rPr>
      </w:pPr>
    </w:p>
    <w:p>
      <w:pPr>
        <w:ind w:right="80" w:firstLine="556"/>
        <w:spacing w:after="0" w:line="275"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b w:val="1"/>
          <w:bCs w:val="1"/>
          <w:color w:val="auto"/>
        </w:rPr>
        <w:t>Clinical</w:t>
      </w:r>
      <w:r>
        <w:rPr>
          <w:rFonts w:ascii="Arial" w:cs="Arial" w:eastAsia="Arial" w:hAnsi="Arial"/>
          <w:sz w:val="13"/>
          <w:szCs w:val="13"/>
          <w:color w:val="auto"/>
        </w:rPr>
        <w:t xml:space="preserve"> segment subsumes all development activities relating to clinical programs. Clinical studies include testing the product candidates on humans. Clinical trials are an essential part of the development and licensing of the medicinal products and are performed before the respective product can be placed on the market. BioNTech is actively engaged in many collaborations and licensing deals with reputable pharmaceutical companies and academic partners.</w:t>
      </w:r>
    </w:p>
    <w:p>
      <w:pPr>
        <w:spacing w:after="0" w:line="126" w:lineRule="exact"/>
        <w:rPr>
          <w:sz w:val="20"/>
          <w:szCs w:val="20"/>
          <w:color w:val="auto"/>
        </w:rPr>
      </w:pPr>
    </w:p>
    <w:p>
      <w:pPr>
        <w:ind w:right="40" w:firstLine="556"/>
        <w:spacing w:after="0" w:line="294" w:lineRule="auto"/>
        <w:rPr>
          <w:sz w:val="20"/>
          <w:szCs w:val="20"/>
          <w:color w:val="auto"/>
        </w:rPr>
      </w:pPr>
      <w:r>
        <w:rPr>
          <w:rFonts w:ascii="Arial" w:cs="Arial" w:eastAsia="Arial" w:hAnsi="Arial"/>
          <w:sz w:val="13"/>
          <w:szCs w:val="13"/>
          <w:b w:val="1"/>
          <w:bCs w:val="1"/>
          <w:color w:val="auto"/>
        </w:rPr>
        <w:t xml:space="preserve">Technology Platform </w:t>
      </w:r>
      <w:r>
        <w:rPr>
          <w:rFonts w:ascii="Arial" w:cs="Arial" w:eastAsia="Arial" w:hAnsi="Arial"/>
          <w:sz w:val="13"/>
          <w:szCs w:val="13"/>
          <w:color w:val="auto"/>
        </w:rPr>
        <w:t>contains all development activities relating to preclinical programs. Preclinical development is the stage of research that begins before clinical trials. It is performed to determine</w:t>
      </w:r>
      <w:r>
        <w:rPr>
          <w:rFonts w:ascii="Arial" w:cs="Arial" w:eastAsia="Arial" w:hAnsi="Arial"/>
          <w:sz w:val="13"/>
          <w:szCs w:val="13"/>
          <w:b w:val="1"/>
          <w:bCs w:val="1"/>
          <w:color w:val="auto"/>
        </w:rPr>
        <w:t xml:space="preserve"> </w:t>
      </w:r>
      <w:r>
        <w:rPr>
          <w:rFonts w:ascii="Arial" w:cs="Arial" w:eastAsia="Arial" w:hAnsi="Arial"/>
          <w:sz w:val="13"/>
          <w:szCs w:val="13"/>
          <w:color w:val="auto"/>
        </w:rPr>
        <w:t>the desired pharmacological effects and to identify any unwanted effects that may cause adverse reactions during human exposure.</w:t>
      </w:r>
    </w:p>
    <w:p>
      <w:pPr>
        <w:spacing w:after="0" w:line="114" w:lineRule="exact"/>
        <w:rPr>
          <w:sz w:val="20"/>
          <w:szCs w:val="20"/>
          <w:color w:val="auto"/>
        </w:rPr>
      </w:pPr>
    </w:p>
    <w:p>
      <w:pPr>
        <w:ind w:right="160" w:firstLine="556"/>
        <w:spacing w:after="0" w:line="338" w:lineRule="auto"/>
        <w:rPr>
          <w:sz w:val="20"/>
          <w:szCs w:val="20"/>
          <w:color w:val="auto"/>
        </w:rPr>
      </w:pPr>
      <w:r>
        <w:rPr>
          <w:rFonts w:ascii="Arial" w:cs="Arial" w:eastAsia="Arial" w:hAnsi="Arial"/>
          <w:sz w:val="12"/>
          <w:szCs w:val="12"/>
          <w:b w:val="1"/>
          <w:bCs w:val="1"/>
          <w:color w:val="auto"/>
        </w:rPr>
        <w:t xml:space="preserve">Manufacturing </w:t>
      </w:r>
      <w:r>
        <w:rPr>
          <w:rFonts w:ascii="Arial" w:cs="Arial" w:eastAsia="Arial" w:hAnsi="Arial"/>
          <w:sz w:val="12"/>
          <w:szCs w:val="12"/>
          <w:color w:val="auto"/>
        </w:rPr>
        <w:t>is an essential part of the research and development process as it comprises the manufacturing unit of mRNA and engineered cell therapies. All the medical substances and tools that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form the basis for the research studies performed at BioNTech are manufactured in this segment, </w:t>
      </w:r>
      <w:r>
        <w:rPr>
          <w:rFonts w:ascii="Arial" w:cs="Arial" w:eastAsia="Arial" w:hAnsi="Arial"/>
          <w:sz w:val="12"/>
          <w:szCs w:val="12"/>
          <w:i w:val="1"/>
          <w:iCs w:val="1"/>
          <w:color w:val="auto"/>
        </w:rPr>
        <w:t>(i.e.</w:t>
      </w:r>
      <w:r>
        <w:rPr>
          <w:rFonts w:ascii="Arial" w:cs="Arial" w:eastAsia="Arial" w:hAnsi="Arial"/>
          <w:sz w:val="12"/>
          <w:szCs w:val="12"/>
          <w:color w:val="auto"/>
        </w:rPr>
        <w:t>, the Manufacturing segment contains only internally produced substances and tools).</w:t>
      </w:r>
    </w:p>
    <w:p>
      <w:pPr>
        <w:spacing w:after="0" w:line="91" w:lineRule="exact"/>
        <w:rPr>
          <w:sz w:val="20"/>
          <w:szCs w:val="20"/>
          <w:color w:val="auto"/>
        </w:rPr>
      </w:pPr>
    </w:p>
    <w:p>
      <w:pPr>
        <w:jc w:val="both"/>
        <w:ind w:right="300" w:firstLine="556"/>
        <w:spacing w:after="0" w:line="275" w:lineRule="auto"/>
        <w:rPr>
          <w:sz w:val="20"/>
          <w:szCs w:val="20"/>
          <w:color w:val="auto"/>
        </w:rPr>
      </w:pPr>
      <w:r>
        <w:rPr>
          <w:rFonts w:ascii="Arial" w:cs="Arial" w:eastAsia="Arial" w:hAnsi="Arial"/>
          <w:sz w:val="13"/>
          <w:szCs w:val="13"/>
          <w:b w:val="1"/>
          <w:bCs w:val="1"/>
          <w:color w:val="auto"/>
        </w:rPr>
        <w:t xml:space="preserve">Product Sales &amp; External Services </w:t>
      </w:r>
      <w:r>
        <w:rPr>
          <w:rFonts w:ascii="Arial" w:cs="Arial" w:eastAsia="Arial" w:hAnsi="Arial"/>
          <w:sz w:val="13"/>
          <w:szCs w:val="13"/>
          <w:color w:val="auto"/>
        </w:rPr>
        <w:t>comprises the legal entities JPT Peptide Technology GmbH and Innovative Manufacturing Services GmbH (IMFS), which form the interface to third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External services and medicinal products (</w:t>
      </w:r>
      <w:r>
        <w:rPr>
          <w:rFonts w:ascii="Arial" w:cs="Arial" w:eastAsia="Arial" w:hAnsi="Arial"/>
          <w:sz w:val="13"/>
          <w:szCs w:val="13"/>
          <w:i w:val="1"/>
          <w:iCs w:val="1"/>
          <w:color w:val="auto"/>
        </w:rPr>
        <w:t>e.g.</w:t>
      </w:r>
      <w:r>
        <w:rPr>
          <w:rFonts w:ascii="Arial" w:cs="Arial" w:eastAsia="Arial" w:hAnsi="Arial"/>
          <w:sz w:val="13"/>
          <w:szCs w:val="13"/>
          <w:color w:val="auto"/>
        </w:rPr>
        <w:t>, peptides and retroviral vectors) that are in the areas of molecular immunotherapies and biomarker-based diagnostic approaches for individualized treatment of cancer and other infectious diseases are sold to customers worldwide.</w:t>
      </w:r>
    </w:p>
    <w:p>
      <w:pPr>
        <w:spacing w:after="0" w:line="126" w:lineRule="exact"/>
        <w:rPr>
          <w:sz w:val="20"/>
          <w:szCs w:val="20"/>
          <w:color w:val="auto"/>
        </w:rPr>
      </w:pPr>
    </w:p>
    <w:p>
      <w:pPr>
        <w:ind w:firstLine="556"/>
        <w:spacing w:after="0" w:line="275" w:lineRule="auto"/>
        <w:rPr>
          <w:sz w:val="20"/>
          <w:szCs w:val="20"/>
          <w:color w:val="auto"/>
        </w:rPr>
      </w:pPr>
      <w:r>
        <w:rPr>
          <w:rFonts w:ascii="Arial" w:cs="Arial" w:eastAsia="Arial" w:hAnsi="Arial"/>
          <w:sz w:val="13"/>
          <w:szCs w:val="13"/>
          <w:b w:val="1"/>
          <w:bCs w:val="1"/>
          <w:color w:val="auto"/>
        </w:rPr>
        <w:t xml:space="preserve">Business Service </w:t>
      </w:r>
      <w:r>
        <w:rPr>
          <w:rFonts w:ascii="Arial" w:cs="Arial" w:eastAsia="Arial" w:hAnsi="Arial"/>
          <w:sz w:val="13"/>
          <w:szCs w:val="13"/>
          <w:color w:val="auto"/>
        </w:rPr>
        <w:t>contains the Group’s central administrative functions (</w:t>
      </w:r>
      <w:r>
        <w:rPr>
          <w:rFonts w:ascii="Arial" w:cs="Arial" w:eastAsia="Arial" w:hAnsi="Arial"/>
          <w:sz w:val="13"/>
          <w:szCs w:val="13"/>
          <w:i w:val="1"/>
          <w:iCs w:val="1"/>
          <w:color w:val="auto"/>
        </w:rPr>
        <w:t>e.g.</w:t>
      </w:r>
      <w:r>
        <w:rPr>
          <w:rFonts w:ascii="Arial" w:cs="Arial" w:eastAsia="Arial" w:hAnsi="Arial"/>
          <w:sz w:val="13"/>
          <w:szCs w:val="13"/>
          <w:color w:val="auto"/>
        </w:rPr>
        <w:t>, Finance, Procurement, Human Resources, Legal and Intellectual Property) and overarching projects. Business Service does</w:t>
      </w:r>
      <w:r>
        <w:rPr>
          <w:rFonts w:ascii="Arial" w:cs="Arial" w:eastAsia="Arial" w:hAnsi="Arial"/>
          <w:sz w:val="13"/>
          <w:szCs w:val="13"/>
          <w:b w:val="1"/>
          <w:bCs w:val="1"/>
          <w:color w:val="auto"/>
        </w:rPr>
        <w:t xml:space="preserve"> </w:t>
      </w:r>
      <w:r>
        <w:rPr>
          <w:rFonts w:ascii="Arial" w:cs="Arial" w:eastAsia="Arial" w:hAnsi="Arial"/>
          <w:sz w:val="13"/>
          <w:szCs w:val="13"/>
          <w:color w:val="auto"/>
        </w:rPr>
        <w:t>not fulfil the requirements for an operating segment according to IFRS 8, as it will never generate more than incidental revenues. However, financial information about Business Service is disclosed, as it contributes to the understanding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308" w:name="page309"/>
    <w:bookmarkEnd w:id="308"/>
    <w:p>
      <w:pPr>
        <w:ind w:left="560"/>
        <w:spacing w:after="0"/>
        <w:rPr>
          <w:sz w:val="20"/>
          <w:szCs w:val="20"/>
          <w:color w:val="auto"/>
        </w:rPr>
      </w:pPr>
      <w:r>
        <w:rPr>
          <w:rFonts w:ascii="Arial" w:cs="Arial" w:eastAsia="Arial" w:hAnsi="Arial"/>
          <w:sz w:val="13"/>
          <w:szCs w:val="13"/>
          <w:color w:val="auto"/>
        </w:rPr>
        <w:t>The table below reconciles segment figures to Group figures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840" w:type="dxa"/>
            <w:vAlign w:val="bottom"/>
            <w:tcBorders>
              <w:right w:val="single" w:sz="8" w:color="70AD47"/>
            </w:tcBorders>
          </w:tcPr>
          <w:p>
            <w:pPr>
              <w:spacing w:after="0"/>
              <w:rPr>
                <w:sz w:val="9"/>
                <w:szCs w:val="9"/>
                <w:color w:val="auto"/>
              </w:rPr>
            </w:pPr>
          </w:p>
        </w:tc>
        <w:tc>
          <w:tcPr>
            <w:tcW w:w="1040" w:type="dxa"/>
            <w:vAlign w:val="bottom"/>
            <w:tcBorders>
              <w:top w:val="single" w:sz="8" w:color="70AD47"/>
            </w:tcBorders>
          </w:tcPr>
          <w:p>
            <w:pPr>
              <w:spacing w:after="0"/>
              <w:rPr>
                <w:sz w:val="9"/>
                <w:szCs w:val="9"/>
                <w:color w:val="auto"/>
              </w:rPr>
            </w:pPr>
          </w:p>
        </w:tc>
        <w:tc>
          <w:tcPr>
            <w:tcW w:w="2080" w:type="dxa"/>
            <w:vAlign w:val="bottom"/>
            <w:tcBorders>
              <w:top w:val="single" w:sz="8" w:color="70AD47"/>
            </w:tcBorders>
            <w:gridSpan w:val="2"/>
            <w:vMerge w:val="restart"/>
          </w:tcPr>
          <w:p>
            <w:pPr>
              <w:jc w:val="right"/>
              <w:ind w:right="447"/>
              <w:spacing w:after="0"/>
              <w:rPr>
                <w:sz w:val="20"/>
                <w:szCs w:val="20"/>
                <w:color w:val="auto"/>
              </w:rPr>
            </w:pPr>
            <w:r>
              <w:rPr>
                <w:rFonts w:ascii="Arial" w:cs="Arial" w:eastAsia="Arial" w:hAnsi="Arial"/>
                <w:sz w:val="11"/>
                <w:szCs w:val="11"/>
                <w:b w:val="1"/>
                <w:bCs w:val="1"/>
                <w:color w:val="auto"/>
              </w:rPr>
              <w:t>Business Unit BioNTech</w:t>
            </w:r>
          </w:p>
        </w:tc>
        <w:tc>
          <w:tcPr>
            <w:tcW w:w="1040" w:type="dxa"/>
            <w:vAlign w:val="bottom"/>
            <w:tcBorders>
              <w:top w:val="single" w:sz="8" w:color="70AD47"/>
              <w:right w:val="single" w:sz="8" w:color="70AD47"/>
            </w:tcBorders>
          </w:tcPr>
          <w:p>
            <w:pPr>
              <w:spacing w:after="0"/>
              <w:rPr>
                <w:sz w:val="9"/>
                <w:szCs w:val="9"/>
                <w:color w:val="auto"/>
              </w:rPr>
            </w:pPr>
          </w:p>
        </w:tc>
        <w:tc>
          <w:tcPr>
            <w:tcW w:w="1160" w:type="dxa"/>
            <w:vAlign w:val="bottom"/>
            <w:tcBorders>
              <w:top w:val="single" w:sz="8" w:color="70AD47"/>
              <w:right w:val="single" w:sz="8" w:color="70AD47"/>
            </w:tcBorders>
          </w:tcPr>
          <w:p>
            <w:pPr>
              <w:jc w:val="center"/>
              <w:spacing w:after="0" w:line="113" w:lineRule="exact"/>
              <w:rPr>
                <w:sz w:val="20"/>
                <w:szCs w:val="20"/>
                <w:color w:val="auto"/>
              </w:rPr>
            </w:pPr>
            <w:r>
              <w:rPr>
                <w:rFonts w:ascii="Arial" w:cs="Arial" w:eastAsia="Arial" w:hAnsi="Arial"/>
                <w:sz w:val="11"/>
                <w:szCs w:val="11"/>
                <w:b w:val="1"/>
                <w:bCs w:val="1"/>
                <w:color w:val="auto"/>
                <w:w w:val="87"/>
              </w:rPr>
              <w:t>External Services</w:t>
            </w: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840" w:type="dxa"/>
            <w:vAlign w:val="bottom"/>
            <w:tcBorders>
              <w:right w:val="single" w:sz="8" w:color="70AD47"/>
            </w:tcBorders>
          </w:tcPr>
          <w:p>
            <w:pPr>
              <w:spacing w:after="0"/>
              <w:rPr>
                <w:sz w:val="6"/>
                <w:szCs w:val="6"/>
                <w:color w:val="auto"/>
              </w:rPr>
            </w:pPr>
          </w:p>
        </w:tc>
        <w:tc>
          <w:tcPr>
            <w:tcW w:w="1040" w:type="dxa"/>
            <w:vAlign w:val="bottom"/>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1040" w:type="dxa"/>
            <w:vAlign w:val="bottom"/>
            <w:tcBorders>
              <w:right w:val="single" w:sz="8" w:color="70AD47"/>
            </w:tcBorders>
          </w:tcPr>
          <w:p>
            <w:pPr>
              <w:spacing w:after="0"/>
              <w:rPr>
                <w:sz w:val="6"/>
                <w:szCs w:val="6"/>
                <w:color w:val="auto"/>
              </w:rPr>
            </w:pPr>
          </w:p>
        </w:tc>
        <w:tc>
          <w:tcPr>
            <w:tcW w:w="116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1"/>
                <w:szCs w:val="11"/>
                <w:b w:val="1"/>
                <w:bCs w:val="1"/>
                <w:color w:val="auto"/>
                <w:w w:val="84"/>
              </w:rPr>
              <w:t>Business Unit</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8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160" w:type="dxa"/>
            <w:vAlign w:val="bottom"/>
            <w:tcBorders>
              <w:bottom w:val="single" w:sz="8" w:color="70AD47"/>
              <w:right w:val="single" w:sz="8" w:color="70AD47"/>
            </w:tcBorders>
            <w:vMerge w:val="continue"/>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60" w:type="dxa"/>
            <w:vAlign w:val="bottom"/>
            <w:tcBorders>
              <w:bottom w:val="single" w:sz="8" w:color="70AD47"/>
            </w:tcBorders>
          </w:tcPr>
          <w:p>
            <w:pPr>
              <w:spacing w:after="0"/>
              <w:rPr>
                <w:sz w:val="4"/>
                <w:szCs w:val="4"/>
                <w:color w:val="auto"/>
              </w:rPr>
            </w:pPr>
          </w:p>
        </w:tc>
        <w:tc>
          <w:tcPr>
            <w:tcW w:w="1020" w:type="dxa"/>
            <w:vAlign w:val="bottom"/>
            <w:tcBorders>
              <w:bottom w:val="single" w:sz="8" w:color="70AD47"/>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840" w:type="dxa"/>
            <w:vAlign w:val="bottom"/>
            <w:tcBorders>
              <w:right w:val="single" w:sz="8" w:color="70AD47"/>
            </w:tcBorders>
            <w:vMerge w:val="restart"/>
          </w:tcPr>
          <w:p>
            <w:pPr>
              <w:spacing w:after="0"/>
              <w:rPr>
                <w:sz w:val="20"/>
                <w:szCs w:val="20"/>
                <w:color w:val="auto"/>
              </w:rPr>
            </w:pPr>
            <w:r>
              <w:rPr>
                <w:rFonts w:ascii="Arial" w:cs="Arial" w:eastAsia="Arial" w:hAnsi="Arial"/>
                <w:sz w:val="11"/>
                <w:szCs w:val="11"/>
                <w:i w:val="1"/>
                <w:iCs w:val="1"/>
                <w:color w:val="auto"/>
              </w:rPr>
              <w:t>(in thousands)</w:t>
            </w:r>
          </w:p>
        </w:tc>
        <w:tc>
          <w:tcPr>
            <w:tcW w:w="1040" w:type="dxa"/>
            <w:vAlign w:val="bottom"/>
            <w:tcBorders>
              <w:right w:val="single" w:sz="8" w:color="70AD47"/>
            </w:tcBorders>
            <w:vMerge w:val="restart"/>
            <w:shd w:val="clear" w:color="auto" w:fill="C6E0B4"/>
          </w:tcPr>
          <w:p>
            <w:pPr>
              <w:jc w:val="right"/>
              <w:ind w:right="307"/>
              <w:spacing w:after="0"/>
              <w:rPr>
                <w:sz w:val="20"/>
                <w:szCs w:val="20"/>
                <w:color w:val="auto"/>
              </w:rPr>
            </w:pPr>
            <w:r>
              <w:rPr>
                <w:rFonts w:ascii="Arial" w:cs="Arial" w:eastAsia="Arial" w:hAnsi="Arial"/>
                <w:sz w:val="11"/>
                <w:szCs w:val="11"/>
                <w:b w:val="1"/>
                <w:bCs w:val="1"/>
                <w:color w:val="auto"/>
              </w:rPr>
              <w:t>Clinical</w:t>
            </w:r>
          </w:p>
        </w:tc>
        <w:tc>
          <w:tcPr>
            <w:tcW w:w="1040" w:type="dxa"/>
            <w:vAlign w:val="bottom"/>
            <w:tcBorders>
              <w:right w:val="single" w:sz="8" w:color="70AD47"/>
            </w:tcBorders>
            <w:shd w:val="clear" w:color="auto" w:fill="C6E0B4"/>
          </w:tcPr>
          <w:p>
            <w:pPr>
              <w:jc w:val="center"/>
              <w:spacing w:after="0" w:line="93" w:lineRule="exact"/>
              <w:rPr>
                <w:sz w:val="20"/>
                <w:szCs w:val="20"/>
                <w:color w:val="auto"/>
              </w:rPr>
            </w:pPr>
            <w:r>
              <w:rPr>
                <w:rFonts w:ascii="Arial" w:cs="Arial" w:eastAsia="Arial" w:hAnsi="Arial"/>
                <w:sz w:val="10"/>
                <w:szCs w:val="10"/>
                <w:b w:val="1"/>
                <w:bCs w:val="1"/>
                <w:color w:val="auto"/>
                <w:w w:val="89"/>
              </w:rPr>
              <w:t>Technology</w:t>
            </w:r>
          </w:p>
        </w:tc>
        <w:tc>
          <w:tcPr>
            <w:tcW w:w="1040" w:type="dxa"/>
            <w:vAlign w:val="bottom"/>
            <w:tcBorders>
              <w:right w:val="single" w:sz="8" w:color="70AD47"/>
            </w:tcBorders>
            <w:vMerge w:val="restart"/>
            <w:shd w:val="clear" w:color="auto" w:fill="C6E0B4"/>
          </w:tcPr>
          <w:p>
            <w:pPr>
              <w:jc w:val="right"/>
              <w:ind w:right="127"/>
              <w:spacing w:after="0"/>
              <w:rPr>
                <w:sz w:val="20"/>
                <w:szCs w:val="20"/>
                <w:color w:val="auto"/>
              </w:rPr>
            </w:pPr>
            <w:r>
              <w:rPr>
                <w:rFonts w:ascii="Arial" w:cs="Arial" w:eastAsia="Arial" w:hAnsi="Arial"/>
                <w:sz w:val="11"/>
                <w:szCs w:val="11"/>
                <w:b w:val="1"/>
                <w:bCs w:val="1"/>
                <w:color w:val="auto"/>
              </w:rPr>
              <w:t>Manufacturing</w:t>
            </w:r>
          </w:p>
        </w:tc>
        <w:tc>
          <w:tcPr>
            <w:tcW w:w="1040" w:type="dxa"/>
            <w:vAlign w:val="bottom"/>
            <w:tcBorders>
              <w:right w:val="single" w:sz="8" w:color="70AD47"/>
            </w:tcBorders>
            <w:vMerge w:val="restart"/>
            <w:shd w:val="clear" w:color="auto" w:fill="C6E0B4"/>
          </w:tcPr>
          <w:p>
            <w:pPr>
              <w:jc w:val="right"/>
              <w:ind w:right="107"/>
              <w:spacing w:after="0"/>
              <w:rPr>
                <w:sz w:val="20"/>
                <w:szCs w:val="20"/>
                <w:color w:val="auto"/>
              </w:rPr>
            </w:pPr>
            <w:r>
              <w:rPr>
                <w:rFonts w:ascii="Arial" w:cs="Arial" w:eastAsia="Arial" w:hAnsi="Arial"/>
                <w:sz w:val="11"/>
                <w:szCs w:val="11"/>
                <w:b w:val="1"/>
                <w:bCs w:val="1"/>
                <w:color w:val="auto"/>
                <w:w w:val="94"/>
              </w:rPr>
              <w:t>Business Service</w:t>
            </w:r>
          </w:p>
        </w:tc>
        <w:tc>
          <w:tcPr>
            <w:tcW w:w="1160" w:type="dxa"/>
            <w:vAlign w:val="bottom"/>
            <w:tcBorders>
              <w:right w:val="single" w:sz="8" w:color="70AD47"/>
            </w:tcBorders>
            <w:shd w:val="clear" w:color="auto" w:fill="C6E0B4"/>
          </w:tcPr>
          <w:p>
            <w:pPr>
              <w:jc w:val="center"/>
              <w:spacing w:after="0" w:line="93" w:lineRule="exact"/>
              <w:rPr>
                <w:sz w:val="20"/>
                <w:szCs w:val="20"/>
                <w:color w:val="auto"/>
              </w:rPr>
            </w:pPr>
            <w:r>
              <w:rPr>
                <w:rFonts w:ascii="Arial" w:cs="Arial" w:eastAsia="Arial" w:hAnsi="Arial"/>
                <w:sz w:val="10"/>
                <w:szCs w:val="10"/>
                <w:b w:val="1"/>
                <w:bCs w:val="1"/>
                <w:color w:val="auto"/>
                <w:w w:val="96"/>
              </w:rPr>
              <w:t>Product Sales &amp;</w:t>
            </w:r>
          </w:p>
        </w:tc>
        <w:tc>
          <w:tcPr>
            <w:tcW w:w="1040" w:type="dxa"/>
            <w:vAlign w:val="bottom"/>
            <w:tcBorders>
              <w:right w:val="single" w:sz="8" w:color="70AD47"/>
            </w:tcBorders>
            <w:vMerge w:val="restart"/>
            <w:shd w:val="clear" w:color="auto" w:fill="C6E0B4"/>
          </w:tcPr>
          <w:p>
            <w:pPr>
              <w:jc w:val="right"/>
              <w:ind w:right="367"/>
              <w:spacing w:after="0"/>
              <w:rPr>
                <w:sz w:val="20"/>
                <w:szCs w:val="20"/>
                <w:color w:val="auto"/>
              </w:rPr>
            </w:pPr>
            <w:r>
              <w:rPr>
                <w:rFonts w:ascii="Arial" w:cs="Arial" w:eastAsia="Arial" w:hAnsi="Arial"/>
                <w:sz w:val="11"/>
                <w:szCs w:val="11"/>
                <w:b w:val="1"/>
                <w:bCs w:val="1"/>
                <w:color w:val="auto"/>
              </w:rPr>
              <w:t>Total</w:t>
            </w:r>
          </w:p>
        </w:tc>
        <w:tc>
          <w:tcPr>
            <w:tcW w:w="1060" w:type="dxa"/>
            <w:vAlign w:val="bottom"/>
            <w:tcBorders>
              <w:right w:val="single" w:sz="8" w:color="70AD47"/>
            </w:tcBorders>
            <w:vMerge w:val="restart"/>
          </w:tcPr>
          <w:p>
            <w:pPr>
              <w:jc w:val="right"/>
              <w:ind w:right="207"/>
              <w:spacing w:after="0"/>
              <w:rPr>
                <w:sz w:val="20"/>
                <w:szCs w:val="20"/>
                <w:color w:val="auto"/>
              </w:rPr>
            </w:pPr>
            <w:r>
              <w:rPr>
                <w:rFonts w:ascii="Arial" w:cs="Arial" w:eastAsia="Arial" w:hAnsi="Arial"/>
                <w:sz w:val="11"/>
                <w:szCs w:val="11"/>
                <w:b w:val="1"/>
                <w:bCs w:val="1"/>
                <w:color w:val="auto"/>
              </w:rPr>
              <w:t>Adjustments</w:t>
            </w:r>
          </w:p>
        </w:tc>
        <w:tc>
          <w:tcPr>
            <w:tcW w:w="1020" w:type="dxa"/>
            <w:vAlign w:val="bottom"/>
            <w:vMerge w:val="restart"/>
          </w:tcPr>
          <w:p>
            <w:pPr>
              <w:jc w:val="right"/>
              <w:ind w:right="307"/>
              <w:spacing w:after="0"/>
              <w:rPr>
                <w:sz w:val="20"/>
                <w:szCs w:val="20"/>
                <w:color w:val="auto"/>
              </w:rPr>
            </w:pPr>
            <w:r>
              <w:rPr>
                <w:rFonts w:ascii="Arial" w:cs="Arial" w:eastAsia="Arial" w:hAnsi="Arial"/>
                <w:sz w:val="11"/>
                <w:szCs w:val="11"/>
                <w:b w:val="1"/>
                <w:bCs w:val="1"/>
                <w:color w:val="auto"/>
              </w:rPr>
              <w:t>Group</w:t>
            </w:r>
          </w:p>
        </w:tc>
        <w:tc>
          <w:tcPr>
            <w:tcW w:w="0" w:type="dxa"/>
            <w:vAlign w:val="bottom"/>
          </w:tcPr>
          <w:p>
            <w:pPr>
              <w:spacing w:after="0"/>
              <w:rPr>
                <w:sz w:val="1"/>
                <w:szCs w:val="1"/>
                <w:color w:val="auto"/>
              </w:rPr>
            </w:pPr>
          </w:p>
        </w:tc>
      </w:tr>
      <w:tr>
        <w:trPr>
          <w:trHeight w:val="127"/>
        </w:trPr>
        <w:tc>
          <w:tcPr>
            <w:tcW w:w="2840" w:type="dxa"/>
            <w:vAlign w:val="bottom"/>
            <w:tcBorders>
              <w:right w:val="single" w:sz="8" w:color="70AD47"/>
            </w:tcBorders>
            <w:vMerge w:val="continue"/>
          </w:tcPr>
          <w:p>
            <w:pPr>
              <w:spacing w:after="0"/>
              <w:rPr>
                <w:sz w:val="11"/>
                <w:szCs w:val="11"/>
                <w:color w:val="auto"/>
              </w:rPr>
            </w:pPr>
          </w:p>
        </w:tc>
        <w:tc>
          <w:tcPr>
            <w:tcW w:w="1040" w:type="dxa"/>
            <w:vAlign w:val="bottom"/>
            <w:tcBorders>
              <w:bottom w:val="single" w:sz="8" w:color="C6E0B4"/>
              <w:right w:val="single" w:sz="8" w:color="70AD47"/>
            </w:tcBorders>
            <w:vMerge w:val="continue"/>
            <w:shd w:val="clear" w:color="auto" w:fill="C6E0B4"/>
          </w:tcPr>
          <w:p>
            <w:pPr>
              <w:spacing w:after="0"/>
              <w:rPr>
                <w:sz w:val="11"/>
                <w:szCs w:val="11"/>
                <w:color w:val="auto"/>
              </w:rPr>
            </w:pPr>
          </w:p>
        </w:tc>
        <w:tc>
          <w:tcPr>
            <w:tcW w:w="1040" w:type="dxa"/>
            <w:vAlign w:val="bottom"/>
            <w:tcBorders>
              <w:bottom w:val="single" w:sz="8" w:color="C6E0B4"/>
              <w:right w:val="single" w:sz="8" w:color="70AD47"/>
            </w:tcBorders>
            <w:shd w:val="clear" w:color="auto" w:fill="C6E0B4"/>
          </w:tcPr>
          <w:p>
            <w:pPr>
              <w:jc w:val="center"/>
              <w:spacing w:after="0"/>
              <w:rPr>
                <w:sz w:val="20"/>
                <w:szCs w:val="20"/>
                <w:color w:val="auto"/>
              </w:rPr>
            </w:pPr>
            <w:r>
              <w:rPr>
                <w:rFonts w:ascii="Arial" w:cs="Arial" w:eastAsia="Arial" w:hAnsi="Arial"/>
                <w:sz w:val="11"/>
                <w:szCs w:val="11"/>
                <w:b w:val="1"/>
                <w:bCs w:val="1"/>
                <w:color w:val="auto"/>
                <w:w w:val="94"/>
              </w:rPr>
              <w:t>Platform</w:t>
            </w:r>
          </w:p>
        </w:tc>
        <w:tc>
          <w:tcPr>
            <w:tcW w:w="1040" w:type="dxa"/>
            <w:vAlign w:val="bottom"/>
            <w:tcBorders>
              <w:bottom w:val="single" w:sz="8" w:color="C6E0B4"/>
              <w:right w:val="single" w:sz="8" w:color="70AD47"/>
            </w:tcBorders>
            <w:vMerge w:val="continue"/>
            <w:shd w:val="clear" w:color="auto" w:fill="C6E0B4"/>
          </w:tcPr>
          <w:p>
            <w:pPr>
              <w:spacing w:after="0"/>
              <w:rPr>
                <w:sz w:val="11"/>
                <w:szCs w:val="11"/>
                <w:color w:val="auto"/>
              </w:rPr>
            </w:pPr>
          </w:p>
        </w:tc>
        <w:tc>
          <w:tcPr>
            <w:tcW w:w="1040" w:type="dxa"/>
            <w:vAlign w:val="bottom"/>
            <w:tcBorders>
              <w:bottom w:val="single" w:sz="8" w:color="C6E0B4"/>
              <w:right w:val="single" w:sz="8" w:color="70AD47"/>
            </w:tcBorders>
            <w:vMerge w:val="continue"/>
            <w:shd w:val="clear" w:color="auto" w:fill="C6E0B4"/>
          </w:tcPr>
          <w:p>
            <w:pPr>
              <w:spacing w:after="0"/>
              <w:rPr>
                <w:sz w:val="11"/>
                <w:szCs w:val="11"/>
                <w:color w:val="auto"/>
              </w:rPr>
            </w:pPr>
          </w:p>
        </w:tc>
        <w:tc>
          <w:tcPr>
            <w:tcW w:w="1160" w:type="dxa"/>
            <w:vAlign w:val="bottom"/>
            <w:tcBorders>
              <w:bottom w:val="single" w:sz="8" w:color="C6E0B4"/>
              <w:right w:val="single" w:sz="8" w:color="70AD47"/>
            </w:tcBorders>
            <w:shd w:val="clear" w:color="auto" w:fill="C6E0B4"/>
          </w:tcPr>
          <w:p>
            <w:pPr>
              <w:jc w:val="center"/>
              <w:spacing w:after="0"/>
              <w:rPr>
                <w:sz w:val="20"/>
                <w:szCs w:val="20"/>
                <w:color w:val="auto"/>
              </w:rPr>
            </w:pPr>
            <w:r>
              <w:rPr>
                <w:rFonts w:ascii="Arial" w:cs="Arial" w:eastAsia="Arial" w:hAnsi="Arial"/>
                <w:sz w:val="11"/>
                <w:szCs w:val="11"/>
                <w:b w:val="1"/>
                <w:bCs w:val="1"/>
                <w:color w:val="auto"/>
                <w:w w:val="87"/>
              </w:rPr>
              <w:t>External Services</w:t>
            </w:r>
          </w:p>
        </w:tc>
        <w:tc>
          <w:tcPr>
            <w:tcW w:w="1040" w:type="dxa"/>
            <w:vAlign w:val="bottom"/>
            <w:tcBorders>
              <w:bottom w:val="single" w:sz="8" w:color="C6E0B4"/>
              <w:right w:val="single" w:sz="8" w:color="70AD47"/>
            </w:tcBorders>
            <w:vMerge w:val="continue"/>
            <w:shd w:val="clear" w:color="auto" w:fill="C6E0B4"/>
          </w:tcPr>
          <w:p>
            <w:pPr>
              <w:spacing w:after="0"/>
              <w:rPr>
                <w:sz w:val="11"/>
                <w:szCs w:val="11"/>
                <w:color w:val="auto"/>
              </w:rPr>
            </w:pPr>
          </w:p>
        </w:tc>
        <w:tc>
          <w:tcPr>
            <w:tcW w:w="1060" w:type="dxa"/>
            <w:vAlign w:val="bottom"/>
            <w:tcBorders>
              <w:right w:val="single" w:sz="8" w:color="70AD47"/>
            </w:tcBorders>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1"/>
                <w:szCs w:val="11"/>
                <w:b w:val="1"/>
                <w:bCs w:val="1"/>
                <w:color w:val="auto"/>
              </w:rPr>
              <w:t>Year ended December 31, 2019</w:t>
            </w: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160" w:type="dxa"/>
            <w:vAlign w:val="bottom"/>
            <w:tcBorders>
              <w:top w:val="single" w:sz="8" w:color="70AD47"/>
              <w:right w:val="single" w:sz="8" w:color="70AD47"/>
            </w:tcBorders>
            <w:shd w:val="clear" w:color="auto" w:fill="C6E0B4"/>
          </w:tcPr>
          <w:p>
            <w:pPr>
              <w:spacing w:after="0"/>
              <w:rPr>
                <w:sz w:val="13"/>
                <w:szCs w:val="13"/>
                <w:color w:val="auto"/>
              </w:rPr>
            </w:pP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060" w:type="dxa"/>
            <w:vAlign w:val="bottom"/>
            <w:tcBorders>
              <w:top w:val="single" w:sz="8" w:color="70AD47"/>
              <w:right w:val="single" w:sz="8" w:color="70AD47"/>
            </w:tcBorders>
          </w:tcPr>
          <w:p>
            <w:pPr>
              <w:spacing w:after="0"/>
              <w:rPr>
                <w:sz w:val="13"/>
                <w:szCs w:val="13"/>
                <w:color w:val="auto"/>
              </w:rPr>
            </w:pPr>
          </w:p>
        </w:tc>
        <w:tc>
          <w:tcPr>
            <w:tcW w:w="1020" w:type="dxa"/>
            <w:vAlign w:val="bottom"/>
            <w:tcBorders>
              <w:top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b w:val="1"/>
                <w:bCs w:val="1"/>
                <w:color w:val="auto"/>
              </w:rPr>
              <w:t>Revenues</w:t>
            </w:r>
          </w:p>
        </w:tc>
        <w:tc>
          <w:tcPr>
            <w:tcW w:w="1040" w:type="dxa"/>
            <w:vAlign w:val="bottom"/>
            <w:tcBorders>
              <w:right w:val="single" w:sz="8" w:color="70AD47"/>
            </w:tcBorders>
            <w:shd w:val="clear" w:color="auto" w:fill="C6E0B4"/>
          </w:tcPr>
          <w:p>
            <w:pPr>
              <w:spacing w:after="0"/>
              <w:rPr>
                <w:sz w:val="16"/>
                <w:szCs w:val="16"/>
                <w:color w:val="auto"/>
              </w:rPr>
            </w:pPr>
          </w:p>
        </w:tc>
        <w:tc>
          <w:tcPr>
            <w:tcW w:w="1040" w:type="dxa"/>
            <w:vAlign w:val="bottom"/>
            <w:tcBorders>
              <w:right w:val="single" w:sz="8" w:color="70AD47"/>
            </w:tcBorders>
            <w:shd w:val="clear" w:color="auto" w:fill="C6E0B4"/>
          </w:tcPr>
          <w:p>
            <w:pPr>
              <w:spacing w:after="0"/>
              <w:rPr>
                <w:sz w:val="16"/>
                <w:szCs w:val="16"/>
                <w:color w:val="auto"/>
              </w:rPr>
            </w:pPr>
          </w:p>
        </w:tc>
        <w:tc>
          <w:tcPr>
            <w:tcW w:w="1040" w:type="dxa"/>
            <w:vAlign w:val="bottom"/>
            <w:tcBorders>
              <w:right w:val="single" w:sz="8" w:color="70AD47"/>
            </w:tcBorders>
            <w:shd w:val="clear" w:color="auto" w:fill="C6E0B4"/>
          </w:tcPr>
          <w:p>
            <w:pPr>
              <w:spacing w:after="0"/>
              <w:rPr>
                <w:sz w:val="16"/>
                <w:szCs w:val="16"/>
                <w:color w:val="auto"/>
              </w:rPr>
            </w:pPr>
          </w:p>
        </w:tc>
        <w:tc>
          <w:tcPr>
            <w:tcW w:w="1040" w:type="dxa"/>
            <w:vAlign w:val="bottom"/>
            <w:tcBorders>
              <w:right w:val="single" w:sz="8" w:color="70AD47"/>
            </w:tcBorders>
            <w:shd w:val="clear" w:color="auto" w:fill="C6E0B4"/>
          </w:tcPr>
          <w:p>
            <w:pPr>
              <w:spacing w:after="0"/>
              <w:rPr>
                <w:sz w:val="16"/>
                <w:szCs w:val="16"/>
                <w:color w:val="auto"/>
              </w:rPr>
            </w:pPr>
          </w:p>
        </w:tc>
        <w:tc>
          <w:tcPr>
            <w:tcW w:w="1160" w:type="dxa"/>
            <w:vAlign w:val="bottom"/>
            <w:tcBorders>
              <w:right w:val="single" w:sz="8" w:color="70AD47"/>
            </w:tcBorders>
            <w:shd w:val="clear" w:color="auto" w:fill="C6E0B4"/>
          </w:tcPr>
          <w:p>
            <w:pPr>
              <w:spacing w:after="0"/>
              <w:rPr>
                <w:sz w:val="16"/>
                <w:szCs w:val="16"/>
                <w:color w:val="auto"/>
              </w:rPr>
            </w:pPr>
          </w:p>
        </w:tc>
        <w:tc>
          <w:tcPr>
            <w:tcW w:w="1040" w:type="dxa"/>
            <w:vAlign w:val="bottom"/>
            <w:tcBorders>
              <w:right w:val="single" w:sz="8" w:color="70AD47"/>
            </w:tcBorders>
            <w:shd w:val="clear" w:color="auto" w:fill="C6E0B4"/>
          </w:tcPr>
          <w:p>
            <w:pPr>
              <w:spacing w:after="0"/>
              <w:rPr>
                <w:sz w:val="16"/>
                <w:szCs w:val="16"/>
                <w:color w:val="auto"/>
              </w:rPr>
            </w:pPr>
          </w:p>
        </w:tc>
        <w:tc>
          <w:tcPr>
            <w:tcW w:w="1060" w:type="dxa"/>
            <w:vAlign w:val="bottom"/>
            <w:tcBorders>
              <w:right w:val="single" w:sz="8" w:color="70AD47"/>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Collaboration Revenues</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€33,493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€2,147</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€48,788</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€84,428</w:t>
            </w:r>
          </w:p>
        </w:tc>
        <w:tc>
          <w:tcPr>
            <w:tcW w:w="1060" w:type="dxa"/>
            <w:vAlign w:val="bottom"/>
            <w:tcBorders>
              <w:right w:val="single" w:sz="8" w:color="70AD47"/>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€84,428</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Revenues from other sales transactions</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692</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2</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23,467</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24,161</w:t>
            </w:r>
          </w:p>
        </w:tc>
        <w:tc>
          <w:tcPr>
            <w:tcW w:w="1060" w:type="dxa"/>
            <w:vAlign w:val="bottom"/>
            <w:tcBorders>
              <w:right w:val="single" w:sz="8" w:color="70AD47"/>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24,161</w:t>
            </w:r>
          </w:p>
        </w:tc>
        <w:tc>
          <w:tcPr>
            <w:tcW w:w="0" w:type="dxa"/>
            <w:vAlign w:val="bottom"/>
          </w:tcPr>
          <w:p>
            <w:pPr>
              <w:spacing w:after="0"/>
              <w:rPr>
                <w:sz w:val="1"/>
                <w:szCs w:val="1"/>
                <w:color w:val="auto"/>
              </w:rPr>
            </w:pPr>
          </w:p>
        </w:tc>
      </w:tr>
      <w:tr>
        <w:trPr>
          <w:trHeight w:val="218"/>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Cost of sales</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(16,923)</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(16,923)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(438)</w:t>
            </w:r>
          </w:p>
        </w:tc>
        <w:tc>
          <w:tcPr>
            <w:tcW w:w="1020" w:type="dxa"/>
            <w:vAlign w:val="bottom"/>
          </w:tcPr>
          <w:p>
            <w:pPr>
              <w:jc w:val="right"/>
              <w:spacing w:after="0"/>
              <w:rPr>
                <w:sz w:val="20"/>
                <w:szCs w:val="20"/>
                <w:color w:val="auto"/>
              </w:rPr>
            </w:pPr>
            <w:r>
              <w:rPr>
                <w:rFonts w:ascii="Arial" w:cs="Arial" w:eastAsia="Arial" w:hAnsi="Arial"/>
                <w:sz w:val="11"/>
                <w:szCs w:val="11"/>
                <w:color w:val="auto"/>
              </w:rPr>
              <w:t>(17,361)</w:t>
            </w:r>
          </w:p>
        </w:tc>
        <w:tc>
          <w:tcPr>
            <w:tcW w:w="0" w:type="dxa"/>
            <w:vAlign w:val="bottom"/>
          </w:tcPr>
          <w:p>
            <w:pPr>
              <w:spacing w:after="0"/>
              <w:rPr>
                <w:sz w:val="1"/>
                <w:szCs w:val="1"/>
                <w:color w:val="auto"/>
              </w:rPr>
            </w:pPr>
          </w:p>
        </w:tc>
      </w:tr>
      <w:tr>
        <w:trPr>
          <w:trHeight w:val="180"/>
        </w:trPr>
        <w:tc>
          <w:tcPr>
            <w:tcW w:w="28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1"/>
                <w:szCs w:val="11"/>
                <w:b w:val="1"/>
                <w:bCs w:val="1"/>
                <w:color w:val="auto"/>
              </w:rPr>
              <w:t>Gross profit</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€33,493</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€2,839</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€48,790</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w:t>
            </w:r>
          </w:p>
        </w:tc>
        <w:tc>
          <w:tcPr>
            <w:tcW w:w="11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€6,544</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€91,666</w:t>
            </w:r>
          </w:p>
        </w:tc>
        <w:tc>
          <w:tcPr>
            <w:tcW w:w="106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1"/>
                <w:szCs w:val="11"/>
                <w:b w:val="1"/>
                <w:bCs w:val="1"/>
                <w:color w:val="auto"/>
              </w:rPr>
              <w:t>€(438)</w:t>
            </w:r>
          </w:p>
        </w:tc>
        <w:tc>
          <w:tcPr>
            <w:tcW w:w="1020" w:type="dxa"/>
            <w:vAlign w:val="bottom"/>
            <w:tcBorders>
              <w:top w:val="single" w:sz="8" w:color="70AD47"/>
            </w:tcBorders>
          </w:tcPr>
          <w:p>
            <w:pPr>
              <w:jc w:val="right"/>
              <w:spacing w:after="0"/>
              <w:rPr>
                <w:sz w:val="20"/>
                <w:szCs w:val="20"/>
                <w:color w:val="auto"/>
              </w:rPr>
            </w:pPr>
            <w:r>
              <w:rPr>
                <w:rFonts w:ascii="Arial" w:cs="Arial" w:eastAsia="Arial" w:hAnsi="Arial"/>
                <w:sz w:val="11"/>
                <w:szCs w:val="11"/>
                <w:b w:val="1"/>
                <w:bCs w:val="1"/>
                <w:color w:val="auto"/>
              </w:rPr>
              <w:t>€91,228</w:t>
            </w:r>
          </w:p>
        </w:tc>
        <w:tc>
          <w:tcPr>
            <w:tcW w:w="0" w:type="dxa"/>
            <w:vAlign w:val="bottom"/>
          </w:tcPr>
          <w:p>
            <w:pPr>
              <w:spacing w:after="0"/>
              <w:rPr>
                <w:sz w:val="1"/>
                <w:szCs w:val="1"/>
                <w:color w:val="auto"/>
              </w:rPr>
            </w:pPr>
          </w:p>
        </w:tc>
      </w:tr>
      <w:tr>
        <w:trPr>
          <w:trHeight w:val="152"/>
        </w:trPr>
        <w:tc>
          <w:tcPr>
            <w:tcW w:w="2840" w:type="dxa"/>
            <w:vAlign w:val="bottom"/>
            <w:tcBorders>
              <w:top w:val="single" w:sz="8" w:color="70AD47"/>
              <w:right w:val="single" w:sz="8" w:color="70AD47"/>
            </w:tcBorders>
          </w:tcPr>
          <w:p>
            <w:pPr>
              <w:ind w:left="100"/>
              <w:spacing w:after="0"/>
              <w:rPr>
                <w:sz w:val="20"/>
                <w:szCs w:val="20"/>
                <w:color w:val="auto"/>
              </w:rPr>
            </w:pPr>
            <w:r>
              <w:rPr>
                <w:rFonts w:ascii="Arial" w:cs="Arial" w:eastAsia="Arial" w:hAnsi="Arial"/>
                <w:sz w:val="11"/>
                <w:szCs w:val="11"/>
                <w:b w:val="1"/>
                <w:bCs w:val="1"/>
                <w:color w:val="auto"/>
              </w:rPr>
              <w:t>Income / Expenses</w:t>
            </w: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160" w:type="dxa"/>
            <w:vAlign w:val="bottom"/>
            <w:tcBorders>
              <w:top w:val="single" w:sz="8" w:color="70AD47"/>
              <w:right w:val="single" w:sz="8" w:color="70AD47"/>
            </w:tcBorders>
            <w:shd w:val="clear" w:color="auto" w:fill="C6E0B4"/>
          </w:tcPr>
          <w:p>
            <w:pPr>
              <w:spacing w:after="0"/>
              <w:rPr>
                <w:sz w:val="13"/>
                <w:szCs w:val="13"/>
                <w:color w:val="auto"/>
              </w:rPr>
            </w:pPr>
          </w:p>
        </w:tc>
        <w:tc>
          <w:tcPr>
            <w:tcW w:w="1040" w:type="dxa"/>
            <w:vAlign w:val="bottom"/>
            <w:tcBorders>
              <w:top w:val="single" w:sz="8" w:color="70AD47"/>
              <w:right w:val="single" w:sz="8" w:color="70AD47"/>
            </w:tcBorders>
            <w:shd w:val="clear" w:color="auto" w:fill="C6E0B4"/>
          </w:tcPr>
          <w:p>
            <w:pPr>
              <w:spacing w:after="0"/>
              <w:rPr>
                <w:sz w:val="13"/>
                <w:szCs w:val="13"/>
                <w:color w:val="auto"/>
              </w:rPr>
            </w:pPr>
          </w:p>
        </w:tc>
        <w:tc>
          <w:tcPr>
            <w:tcW w:w="1060" w:type="dxa"/>
            <w:vAlign w:val="bottom"/>
            <w:tcBorders>
              <w:top w:val="single" w:sz="8" w:color="70AD47"/>
              <w:right w:val="single" w:sz="8" w:color="70AD47"/>
            </w:tcBorders>
          </w:tcPr>
          <w:p>
            <w:pPr>
              <w:spacing w:after="0"/>
              <w:rPr>
                <w:sz w:val="13"/>
                <w:szCs w:val="13"/>
                <w:color w:val="auto"/>
              </w:rPr>
            </w:pPr>
          </w:p>
        </w:tc>
        <w:tc>
          <w:tcPr>
            <w:tcW w:w="1020" w:type="dxa"/>
            <w:vAlign w:val="bottom"/>
            <w:tcBorders>
              <w:top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Research and development expenses</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(91,516)</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(79,119)</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(50,478)</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(5,192)</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(600)</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(226,905)</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439</w:t>
            </w:r>
          </w:p>
        </w:tc>
        <w:tc>
          <w:tcPr>
            <w:tcW w:w="1020" w:type="dxa"/>
            <w:vAlign w:val="bottom"/>
          </w:tcPr>
          <w:p>
            <w:pPr>
              <w:jc w:val="right"/>
              <w:spacing w:after="0"/>
              <w:rPr>
                <w:sz w:val="20"/>
                <w:szCs w:val="20"/>
                <w:color w:val="auto"/>
              </w:rPr>
            </w:pPr>
            <w:r>
              <w:rPr>
                <w:rFonts w:ascii="Arial" w:cs="Arial" w:eastAsia="Arial" w:hAnsi="Arial"/>
                <w:sz w:val="11"/>
                <w:szCs w:val="11"/>
                <w:color w:val="auto"/>
              </w:rPr>
              <w:t>(226,466)</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Sales and marketing expenses</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(1,302)</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(1,415)</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(2,717)</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Pr>
          <w:p>
            <w:pPr>
              <w:jc w:val="right"/>
              <w:spacing w:after="0"/>
              <w:rPr>
                <w:sz w:val="20"/>
                <w:szCs w:val="20"/>
                <w:color w:val="auto"/>
              </w:rPr>
            </w:pPr>
            <w:r>
              <w:rPr>
                <w:rFonts w:ascii="Arial" w:cs="Arial" w:eastAsia="Arial" w:hAnsi="Arial"/>
                <w:sz w:val="11"/>
                <w:szCs w:val="11"/>
                <w:color w:val="auto"/>
              </w:rPr>
              <w:t>(2,718)</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General and administrative expenses</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(3,821)</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(38,756)</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(2,970)</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(45,547)</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(45,547)</w:t>
            </w:r>
          </w:p>
        </w:tc>
        <w:tc>
          <w:tcPr>
            <w:tcW w:w="0" w:type="dxa"/>
            <w:vAlign w:val="bottom"/>
          </w:tcPr>
          <w:p>
            <w:pPr>
              <w:spacing w:after="0"/>
              <w:rPr>
                <w:sz w:val="1"/>
                <w:szCs w:val="1"/>
                <w:color w:val="auto"/>
              </w:rPr>
            </w:pPr>
          </w:p>
        </w:tc>
      </w:tr>
      <w:tr>
        <w:trPr>
          <w:trHeight w:val="218"/>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Other result</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1,125</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307</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59</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23</w:t>
            </w:r>
          </w:p>
        </w:tc>
        <w:tc>
          <w:tcPr>
            <w:tcW w:w="11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468</w:t>
            </w:r>
          </w:p>
        </w:tc>
        <w:tc>
          <w:tcPr>
            <w:tcW w:w="104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color w:val="auto"/>
              </w:rPr>
              <w:t>1,982</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w:t>
            </w:r>
          </w:p>
        </w:tc>
        <w:tc>
          <w:tcPr>
            <w:tcW w:w="1020" w:type="dxa"/>
            <w:vAlign w:val="bottom"/>
          </w:tcPr>
          <w:p>
            <w:pPr>
              <w:jc w:val="right"/>
              <w:spacing w:after="0"/>
              <w:rPr>
                <w:sz w:val="20"/>
                <w:szCs w:val="20"/>
                <w:color w:val="auto"/>
              </w:rPr>
            </w:pPr>
            <w:r>
              <w:rPr>
                <w:rFonts w:ascii="Arial" w:cs="Arial" w:eastAsia="Arial" w:hAnsi="Arial"/>
                <w:sz w:val="11"/>
                <w:szCs w:val="11"/>
                <w:color w:val="auto"/>
              </w:rPr>
              <w:t>1,985</w:t>
            </w:r>
          </w:p>
        </w:tc>
        <w:tc>
          <w:tcPr>
            <w:tcW w:w="0" w:type="dxa"/>
            <w:vAlign w:val="bottom"/>
          </w:tcPr>
          <w:p>
            <w:pPr>
              <w:spacing w:after="0"/>
              <w:rPr>
                <w:sz w:val="1"/>
                <w:szCs w:val="1"/>
                <w:color w:val="auto"/>
              </w:rPr>
            </w:pPr>
          </w:p>
        </w:tc>
      </w:tr>
      <w:tr>
        <w:trPr>
          <w:trHeight w:val="180"/>
        </w:trPr>
        <w:tc>
          <w:tcPr>
            <w:tcW w:w="2840" w:type="dxa"/>
            <w:vAlign w:val="bottom"/>
            <w:tcBorders>
              <w:top w:val="single" w:sz="8" w:color="70AD47"/>
              <w:right w:val="single" w:sz="8" w:color="70AD47"/>
            </w:tcBorders>
          </w:tcPr>
          <w:p>
            <w:pPr>
              <w:spacing w:after="0"/>
              <w:rPr>
                <w:sz w:val="20"/>
                <w:szCs w:val="20"/>
                <w:color w:val="auto"/>
              </w:rPr>
            </w:pPr>
            <w:r>
              <w:rPr>
                <w:rFonts w:ascii="Arial" w:cs="Arial" w:eastAsia="Arial" w:hAnsi="Arial"/>
                <w:sz w:val="11"/>
                <w:szCs w:val="11"/>
                <w:b w:val="1"/>
                <w:bCs w:val="1"/>
                <w:color w:val="auto"/>
              </w:rPr>
              <w:t>Segment operating income / (loss)</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€(56,898)</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€(75,973)</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€(5,450)</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€(45,227)</w:t>
            </w:r>
          </w:p>
        </w:tc>
        <w:tc>
          <w:tcPr>
            <w:tcW w:w="11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€2,027</w:t>
            </w:r>
          </w:p>
        </w:tc>
        <w:tc>
          <w:tcPr>
            <w:tcW w:w="104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Arial" w:cs="Arial" w:eastAsia="Arial" w:hAnsi="Arial"/>
                <w:sz w:val="11"/>
                <w:szCs w:val="11"/>
                <w:b w:val="1"/>
                <w:bCs w:val="1"/>
                <w:color w:val="auto"/>
              </w:rPr>
              <w:t>€(181,521)</w:t>
            </w:r>
          </w:p>
        </w:tc>
        <w:tc>
          <w:tcPr>
            <w:tcW w:w="1060" w:type="dxa"/>
            <w:vAlign w:val="bottom"/>
            <w:tcBorders>
              <w:top w:val="single" w:sz="8" w:color="70AD47"/>
              <w:right w:val="single" w:sz="8" w:color="70AD47"/>
            </w:tcBorders>
          </w:tcPr>
          <w:p>
            <w:pPr>
              <w:jc w:val="right"/>
              <w:spacing w:after="0"/>
              <w:rPr>
                <w:sz w:val="20"/>
                <w:szCs w:val="20"/>
                <w:color w:val="auto"/>
              </w:rPr>
            </w:pPr>
            <w:r>
              <w:rPr>
                <w:rFonts w:ascii="Arial" w:cs="Arial" w:eastAsia="Arial" w:hAnsi="Arial"/>
                <w:sz w:val="11"/>
                <w:szCs w:val="11"/>
                <w:b w:val="1"/>
                <w:bCs w:val="1"/>
                <w:color w:val="auto"/>
              </w:rPr>
              <w:t>€3</w:t>
            </w:r>
          </w:p>
        </w:tc>
        <w:tc>
          <w:tcPr>
            <w:tcW w:w="1020" w:type="dxa"/>
            <w:vAlign w:val="bottom"/>
            <w:tcBorders>
              <w:top w:val="single" w:sz="8" w:color="70AD47"/>
            </w:tcBorders>
          </w:tcPr>
          <w:p>
            <w:pPr>
              <w:jc w:val="right"/>
              <w:spacing w:after="0"/>
              <w:rPr>
                <w:sz w:val="20"/>
                <w:szCs w:val="20"/>
                <w:color w:val="auto"/>
              </w:rPr>
            </w:pPr>
            <w:r>
              <w:rPr>
                <w:rFonts w:ascii="Arial" w:cs="Arial" w:eastAsia="Arial" w:hAnsi="Arial"/>
                <w:sz w:val="11"/>
                <w:szCs w:val="11"/>
                <w:b w:val="1"/>
                <w:bCs w:val="1"/>
                <w:color w:val="auto"/>
              </w:rPr>
              <w:t>€(181,518)</w:t>
            </w:r>
          </w:p>
        </w:tc>
        <w:tc>
          <w:tcPr>
            <w:tcW w:w="0" w:type="dxa"/>
            <w:vAlign w:val="bottom"/>
          </w:tcPr>
          <w:p>
            <w:pPr>
              <w:spacing w:after="0"/>
              <w:rPr>
                <w:sz w:val="1"/>
                <w:szCs w:val="1"/>
                <w:color w:val="auto"/>
              </w:rPr>
            </w:pPr>
          </w:p>
        </w:tc>
      </w:tr>
      <w:tr>
        <w:trPr>
          <w:trHeight w:val="150"/>
        </w:trPr>
        <w:tc>
          <w:tcPr>
            <w:tcW w:w="2840" w:type="dxa"/>
            <w:vAlign w:val="bottom"/>
            <w:tcBorders>
              <w:top w:val="single" w:sz="8" w:color="70AD47"/>
            </w:tcBorders>
          </w:tcPr>
          <w:p>
            <w:pPr>
              <w:spacing w:after="0"/>
              <w:rPr>
                <w:sz w:val="13"/>
                <w:szCs w:val="13"/>
                <w:color w:val="auto"/>
              </w:rPr>
            </w:pPr>
          </w:p>
        </w:tc>
        <w:tc>
          <w:tcPr>
            <w:tcW w:w="1040" w:type="dxa"/>
            <w:vAlign w:val="bottom"/>
            <w:tcBorders>
              <w:top w:val="single" w:sz="8" w:color="70AD47"/>
              <w:bottom w:val="single" w:sz="8" w:color="70AD47"/>
            </w:tcBorders>
          </w:tcPr>
          <w:p>
            <w:pPr>
              <w:spacing w:after="0"/>
              <w:rPr>
                <w:sz w:val="13"/>
                <w:szCs w:val="13"/>
                <w:color w:val="auto"/>
              </w:rPr>
            </w:pPr>
          </w:p>
        </w:tc>
        <w:tc>
          <w:tcPr>
            <w:tcW w:w="1040" w:type="dxa"/>
            <w:vAlign w:val="bottom"/>
            <w:tcBorders>
              <w:top w:val="single" w:sz="8" w:color="70AD47"/>
              <w:bottom w:val="single" w:sz="8" w:color="70AD47"/>
            </w:tcBorders>
          </w:tcPr>
          <w:p>
            <w:pPr>
              <w:spacing w:after="0"/>
              <w:rPr>
                <w:sz w:val="13"/>
                <w:szCs w:val="13"/>
                <w:color w:val="auto"/>
              </w:rPr>
            </w:pPr>
          </w:p>
        </w:tc>
        <w:tc>
          <w:tcPr>
            <w:tcW w:w="1040" w:type="dxa"/>
            <w:vAlign w:val="bottom"/>
            <w:tcBorders>
              <w:top w:val="single" w:sz="8" w:color="70AD47"/>
              <w:bottom w:val="single" w:sz="8" w:color="70AD47"/>
            </w:tcBorders>
          </w:tcPr>
          <w:p>
            <w:pPr>
              <w:spacing w:after="0"/>
              <w:rPr>
                <w:sz w:val="13"/>
                <w:szCs w:val="13"/>
                <w:color w:val="auto"/>
              </w:rPr>
            </w:pPr>
          </w:p>
        </w:tc>
        <w:tc>
          <w:tcPr>
            <w:tcW w:w="1040" w:type="dxa"/>
            <w:vAlign w:val="bottom"/>
            <w:tcBorders>
              <w:top w:val="single" w:sz="8" w:color="70AD47"/>
              <w:bottom w:val="single" w:sz="8" w:color="70AD47"/>
            </w:tcBorders>
          </w:tcPr>
          <w:p>
            <w:pPr>
              <w:spacing w:after="0"/>
              <w:rPr>
                <w:sz w:val="13"/>
                <w:szCs w:val="13"/>
                <w:color w:val="auto"/>
              </w:rPr>
            </w:pPr>
          </w:p>
        </w:tc>
        <w:tc>
          <w:tcPr>
            <w:tcW w:w="1160" w:type="dxa"/>
            <w:vAlign w:val="bottom"/>
            <w:tcBorders>
              <w:top w:val="single" w:sz="8" w:color="70AD47"/>
              <w:bottom w:val="single" w:sz="8" w:color="70AD47"/>
            </w:tcBorders>
          </w:tcPr>
          <w:p>
            <w:pPr>
              <w:spacing w:after="0"/>
              <w:rPr>
                <w:sz w:val="13"/>
                <w:szCs w:val="13"/>
                <w:color w:val="auto"/>
              </w:rPr>
            </w:pPr>
          </w:p>
        </w:tc>
        <w:tc>
          <w:tcPr>
            <w:tcW w:w="1040" w:type="dxa"/>
            <w:vAlign w:val="bottom"/>
            <w:tcBorders>
              <w:top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20" w:type="dxa"/>
            <w:vAlign w:val="bottom"/>
            <w:tcBorders>
              <w:top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840" w:type="dxa"/>
            <w:vAlign w:val="bottom"/>
            <w:tcBorders>
              <w:right w:val="single" w:sz="8" w:color="70AD47"/>
            </w:tcBorders>
          </w:tcPr>
          <w:p>
            <w:pPr>
              <w:spacing w:after="0"/>
              <w:rPr>
                <w:sz w:val="8"/>
                <w:szCs w:val="8"/>
                <w:color w:val="auto"/>
              </w:rPr>
            </w:pPr>
          </w:p>
        </w:tc>
        <w:tc>
          <w:tcPr>
            <w:tcW w:w="1040" w:type="dxa"/>
            <w:vAlign w:val="bottom"/>
          </w:tcPr>
          <w:p>
            <w:pPr>
              <w:spacing w:after="0"/>
              <w:rPr>
                <w:sz w:val="8"/>
                <w:szCs w:val="8"/>
                <w:color w:val="auto"/>
              </w:rPr>
            </w:pPr>
          </w:p>
        </w:tc>
        <w:tc>
          <w:tcPr>
            <w:tcW w:w="2080" w:type="dxa"/>
            <w:vAlign w:val="bottom"/>
            <w:gridSpan w:val="2"/>
            <w:vMerge w:val="restart"/>
          </w:tcPr>
          <w:p>
            <w:pPr>
              <w:jc w:val="right"/>
              <w:ind w:right="447"/>
              <w:spacing w:after="0"/>
              <w:rPr>
                <w:sz w:val="20"/>
                <w:szCs w:val="20"/>
                <w:color w:val="auto"/>
              </w:rPr>
            </w:pPr>
            <w:r>
              <w:rPr>
                <w:rFonts w:ascii="Arial" w:cs="Arial" w:eastAsia="Arial" w:hAnsi="Arial"/>
                <w:sz w:val="11"/>
                <w:szCs w:val="11"/>
                <w:b w:val="1"/>
                <w:bCs w:val="1"/>
                <w:color w:val="auto"/>
              </w:rPr>
              <w:t>Business Unit BioNTech</w:t>
            </w:r>
          </w:p>
        </w:tc>
        <w:tc>
          <w:tcPr>
            <w:tcW w:w="1040" w:type="dxa"/>
            <w:vAlign w:val="bottom"/>
            <w:tcBorders>
              <w:right w:val="single" w:sz="8" w:color="70AD47"/>
            </w:tcBorders>
          </w:tcPr>
          <w:p>
            <w:pPr>
              <w:spacing w:after="0"/>
              <w:rPr>
                <w:sz w:val="8"/>
                <w:szCs w:val="8"/>
                <w:color w:val="auto"/>
              </w:rPr>
            </w:pPr>
          </w:p>
        </w:tc>
        <w:tc>
          <w:tcPr>
            <w:tcW w:w="1160" w:type="dxa"/>
            <w:vAlign w:val="bottom"/>
            <w:tcBorders>
              <w:right w:val="single" w:sz="8" w:color="70AD47"/>
            </w:tcBorders>
          </w:tcPr>
          <w:p>
            <w:pPr>
              <w:jc w:val="center"/>
              <w:spacing w:after="0" w:line="93" w:lineRule="exact"/>
              <w:rPr>
                <w:sz w:val="20"/>
                <w:szCs w:val="20"/>
                <w:color w:val="auto"/>
              </w:rPr>
            </w:pPr>
            <w:r>
              <w:rPr>
                <w:rFonts w:ascii="Arial" w:cs="Arial" w:eastAsia="Arial" w:hAnsi="Arial"/>
                <w:sz w:val="10"/>
                <w:szCs w:val="10"/>
                <w:b w:val="1"/>
                <w:bCs w:val="1"/>
                <w:color w:val="auto"/>
                <w:w w:val="95"/>
              </w:rPr>
              <w:t>External Services</w:t>
            </w: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840" w:type="dxa"/>
            <w:vAlign w:val="bottom"/>
            <w:tcBorders>
              <w:right w:val="single" w:sz="8" w:color="70AD47"/>
            </w:tcBorders>
          </w:tcPr>
          <w:p>
            <w:pPr>
              <w:spacing w:after="0"/>
              <w:rPr>
                <w:sz w:val="6"/>
                <w:szCs w:val="6"/>
                <w:color w:val="auto"/>
              </w:rPr>
            </w:pPr>
          </w:p>
        </w:tc>
        <w:tc>
          <w:tcPr>
            <w:tcW w:w="1040" w:type="dxa"/>
            <w:vAlign w:val="bottom"/>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1040" w:type="dxa"/>
            <w:vAlign w:val="bottom"/>
            <w:tcBorders>
              <w:right w:val="single" w:sz="8" w:color="70AD47"/>
            </w:tcBorders>
          </w:tcPr>
          <w:p>
            <w:pPr>
              <w:spacing w:after="0"/>
              <w:rPr>
                <w:sz w:val="6"/>
                <w:szCs w:val="6"/>
                <w:color w:val="auto"/>
              </w:rPr>
            </w:pPr>
          </w:p>
        </w:tc>
        <w:tc>
          <w:tcPr>
            <w:tcW w:w="116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1"/>
                <w:szCs w:val="11"/>
                <w:b w:val="1"/>
                <w:bCs w:val="1"/>
                <w:color w:val="auto"/>
                <w:w w:val="84"/>
              </w:rPr>
              <w:t>Business Unit</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8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160" w:type="dxa"/>
            <w:vAlign w:val="bottom"/>
            <w:tcBorders>
              <w:bottom w:val="single" w:sz="8" w:color="70AD47"/>
              <w:right w:val="single" w:sz="8" w:color="70AD47"/>
            </w:tcBorders>
            <w:vMerge w:val="continue"/>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60" w:type="dxa"/>
            <w:vAlign w:val="bottom"/>
            <w:tcBorders>
              <w:bottom w:val="single" w:sz="8" w:color="70AD47"/>
            </w:tcBorders>
          </w:tcPr>
          <w:p>
            <w:pPr>
              <w:spacing w:after="0"/>
              <w:rPr>
                <w:sz w:val="4"/>
                <w:szCs w:val="4"/>
                <w:color w:val="auto"/>
              </w:rPr>
            </w:pPr>
          </w:p>
        </w:tc>
        <w:tc>
          <w:tcPr>
            <w:tcW w:w="1020" w:type="dxa"/>
            <w:vAlign w:val="bottom"/>
            <w:tcBorders>
              <w:bottom w:val="single" w:sz="8" w:color="70AD47"/>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840" w:type="dxa"/>
            <w:vAlign w:val="bottom"/>
            <w:tcBorders>
              <w:right w:val="single" w:sz="8" w:color="70AD47"/>
            </w:tcBorders>
            <w:vMerge w:val="restart"/>
          </w:tcPr>
          <w:p>
            <w:pPr>
              <w:spacing w:after="0"/>
              <w:rPr>
                <w:sz w:val="20"/>
                <w:szCs w:val="20"/>
                <w:color w:val="auto"/>
              </w:rPr>
            </w:pPr>
            <w:r>
              <w:rPr>
                <w:rFonts w:ascii="Arial" w:cs="Arial" w:eastAsia="Arial" w:hAnsi="Arial"/>
                <w:sz w:val="11"/>
                <w:szCs w:val="11"/>
                <w:i w:val="1"/>
                <w:iCs w:val="1"/>
                <w:color w:val="auto"/>
              </w:rPr>
              <w:t>(in thousands)</w:t>
            </w:r>
          </w:p>
        </w:tc>
        <w:tc>
          <w:tcPr>
            <w:tcW w:w="1040" w:type="dxa"/>
            <w:vAlign w:val="bottom"/>
            <w:tcBorders>
              <w:right w:val="single" w:sz="8" w:color="70AD47"/>
            </w:tcBorders>
            <w:vMerge w:val="restart"/>
          </w:tcPr>
          <w:p>
            <w:pPr>
              <w:jc w:val="right"/>
              <w:ind w:right="307"/>
              <w:spacing w:after="0"/>
              <w:rPr>
                <w:sz w:val="20"/>
                <w:szCs w:val="20"/>
                <w:color w:val="auto"/>
              </w:rPr>
            </w:pPr>
            <w:r>
              <w:rPr>
                <w:rFonts w:ascii="Arial" w:cs="Arial" w:eastAsia="Arial" w:hAnsi="Arial"/>
                <w:sz w:val="11"/>
                <w:szCs w:val="11"/>
                <w:b w:val="1"/>
                <w:bCs w:val="1"/>
                <w:color w:val="auto"/>
              </w:rPr>
              <w:t>Clinical</w:t>
            </w:r>
          </w:p>
        </w:tc>
        <w:tc>
          <w:tcPr>
            <w:tcW w:w="1040" w:type="dxa"/>
            <w:vAlign w:val="bottom"/>
            <w:tcBorders>
              <w:right w:val="single" w:sz="8" w:color="70AD47"/>
            </w:tcBorders>
          </w:tcPr>
          <w:p>
            <w:pPr>
              <w:jc w:val="center"/>
              <w:spacing w:after="0" w:line="93" w:lineRule="exact"/>
              <w:rPr>
                <w:sz w:val="20"/>
                <w:szCs w:val="20"/>
                <w:color w:val="auto"/>
              </w:rPr>
            </w:pPr>
            <w:r>
              <w:rPr>
                <w:rFonts w:ascii="Arial" w:cs="Arial" w:eastAsia="Arial" w:hAnsi="Arial"/>
                <w:sz w:val="10"/>
                <w:szCs w:val="10"/>
                <w:b w:val="1"/>
                <w:bCs w:val="1"/>
                <w:color w:val="auto"/>
                <w:w w:val="89"/>
              </w:rPr>
              <w:t>Technology</w:t>
            </w:r>
          </w:p>
        </w:tc>
        <w:tc>
          <w:tcPr>
            <w:tcW w:w="1040" w:type="dxa"/>
            <w:vAlign w:val="bottom"/>
            <w:tcBorders>
              <w:right w:val="single" w:sz="8" w:color="70AD47"/>
            </w:tcBorders>
            <w:vMerge w:val="restart"/>
          </w:tcPr>
          <w:p>
            <w:pPr>
              <w:jc w:val="right"/>
              <w:ind w:right="127"/>
              <w:spacing w:after="0"/>
              <w:rPr>
                <w:sz w:val="20"/>
                <w:szCs w:val="20"/>
                <w:color w:val="auto"/>
              </w:rPr>
            </w:pPr>
            <w:r>
              <w:rPr>
                <w:rFonts w:ascii="Arial" w:cs="Arial" w:eastAsia="Arial" w:hAnsi="Arial"/>
                <w:sz w:val="11"/>
                <w:szCs w:val="11"/>
                <w:b w:val="1"/>
                <w:bCs w:val="1"/>
                <w:color w:val="auto"/>
              </w:rPr>
              <w:t>Manufacturing</w:t>
            </w:r>
          </w:p>
        </w:tc>
        <w:tc>
          <w:tcPr>
            <w:tcW w:w="1040" w:type="dxa"/>
            <w:vAlign w:val="bottom"/>
            <w:tcBorders>
              <w:right w:val="single" w:sz="8" w:color="70AD47"/>
            </w:tcBorders>
            <w:vMerge w:val="restart"/>
          </w:tcPr>
          <w:p>
            <w:pPr>
              <w:jc w:val="right"/>
              <w:ind w:right="107"/>
              <w:spacing w:after="0"/>
              <w:rPr>
                <w:sz w:val="20"/>
                <w:szCs w:val="20"/>
                <w:color w:val="auto"/>
              </w:rPr>
            </w:pPr>
            <w:r>
              <w:rPr>
                <w:rFonts w:ascii="Arial" w:cs="Arial" w:eastAsia="Arial" w:hAnsi="Arial"/>
                <w:sz w:val="11"/>
                <w:szCs w:val="11"/>
                <w:b w:val="1"/>
                <w:bCs w:val="1"/>
                <w:color w:val="auto"/>
                <w:w w:val="94"/>
              </w:rPr>
              <w:t>Business Service</w:t>
            </w:r>
          </w:p>
        </w:tc>
        <w:tc>
          <w:tcPr>
            <w:tcW w:w="1160" w:type="dxa"/>
            <w:vAlign w:val="bottom"/>
            <w:tcBorders>
              <w:right w:val="single" w:sz="8" w:color="70AD47"/>
            </w:tcBorders>
          </w:tcPr>
          <w:p>
            <w:pPr>
              <w:jc w:val="center"/>
              <w:spacing w:after="0" w:line="93" w:lineRule="exact"/>
              <w:rPr>
                <w:sz w:val="20"/>
                <w:szCs w:val="20"/>
                <w:color w:val="auto"/>
              </w:rPr>
            </w:pPr>
            <w:r>
              <w:rPr>
                <w:rFonts w:ascii="Arial" w:cs="Arial" w:eastAsia="Arial" w:hAnsi="Arial"/>
                <w:sz w:val="10"/>
                <w:szCs w:val="10"/>
                <w:b w:val="1"/>
                <w:bCs w:val="1"/>
                <w:color w:val="auto"/>
                <w:w w:val="96"/>
              </w:rPr>
              <w:t>Product Sales &amp;</w:t>
            </w:r>
          </w:p>
        </w:tc>
        <w:tc>
          <w:tcPr>
            <w:tcW w:w="1040" w:type="dxa"/>
            <w:vAlign w:val="bottom"/>
            <w:tcBorders>
              <w:right w:val="single" w:sz="8" w:color="70AD47"/>
            </w:tcBorders>
            <w:vMerge w:val="restart"/>
          </w:tcPr>
          <w:p>
            <w:pPr>
              <w:jc w:val="right"/>
              <w:ind w:right="367"/>
              <w:spacing w:after="0"/>
              <w:rPr>
                <w:sz w:val="20"/>
                <w:szCs w:val="20"/>
                <w:color w:val="auto"/>
              </w:rPr>
            </w:pPr>
            <w:r>
              <w:rPr>
                <w:rFonts w:ascii="Arial" w:cs="Arial" w:eastAsia="Arial" w:hAnsi="Arial"/>
                <w:sz w:val="11"/>
                <w:szCs w:val="11"/>
                <w:b w:val="1"/>
                <w:bCs w:val="1"/>
                <w:color w:val="auto"/>
              </w:rPr>
              <w:t>Total</w:t>
            </w:r>
          </w:p>
        </w:tc>
        <w:tc>
          <w:tcPr>
            <w:tcW w:w="1060" w:type="dxa"/>
            <w:vAlign w:val="bottom"/>
            <w:tcBorders>
              <w:right w:val="single" w:sz="8" w:color="70AD47"/>
            </w:tcBorders>
            <w:vMerge w:val="restart"/>
          </w:tcPr>
          <w:p>
            <w:pPr>
              <w:jc w:val="right"/>
              <w:ind w:right="207"/>
              <w:spacing w:after="0"/>
              <w:rPr>
                <w:sz w:val="20"/>
                <w:szCs w:val="20"/>
                <w:color w:val="auto"/>
              </w:rPr>
            </w:pPr>
            <w:r>
              <w:rPr>
                <w:rFonts w:ascii="Arial" w:cs="Arial" w:eastAsia="Arial" w:hAnsi="Arial"/>
                <w:sz w:val="11"/>
                <w:szCs w:val="11"/>
                <w:b w:val="1"/>
                <w:bCs w:val="1"/>
                <w:color w:val="auto"/>
              </w:rPr>
              <w:t>Adjustments</w:t>
            </w:r>
          </w:p>
        </w:tc>
        <w:tc>
          <w:tcPr>
            <w:tcW w:w="1020" w:type="dxa"/>
            <w:vAlign w:val="bottom"/>
            <w:vMerge w:val="restart"/>
          </w:tcPr>
          <w:p>
            <w:pPr>
              <w:jc w:val="right"/>
              <w:ind w:right="307"/>
              <w:spacing w:after="0"/>
              <w:rPr>
                <w:sz w:val="20"/>
                <w:szCs w:val="20"/>
                <w:color w:val="auto"/>
              </w:rPr>
            </w:pPr>
            <w:r>
              <w:rPr>
                <w:rFonts w:ascii="Arial" w:cs="Arial" w:eastAsia="Arial" w:hAnsi="Arial"/>
                <w:sz w:val="11"/>
                <w:szCs w:val="11"/>
                <w:b w:val="1"/>
                <w:bCs w:val="1"/>
                <w:color w:val="auto"/>
              </w:rPr>
              <w:t>Group</w:t>
            </w:r>
          </w:p>
        </w:tc>
        <w:tc>
          <w:tcPr>
            <w:tcW w:w="0" w:type="dxa"/>
            <w:vAlign w:val="bottom"/>
          </w:tcPr>
          <w:p>
            <w:pPr>
              <w:spacing w:after="0"/>
              <w:rPr>
                <w:sz w:val="1"/>
                <w:szCs w:val="1"/>
                <w:color w:val="auto"/>
              </w:rPr>
            </w:pPr>
          </w:p>
        </w:tc>
      </w:tr>
      <w:tr>
        <w:trPr>
          <w:trHeight w:val="79"/>
        </w:trPr>
        <w:tc>
          <w:tcPr>
            <w:tcW w:w="2840" w:type="dxa"/>
            <w:vAlign w:val="bottom"/>
            <w:tcBorders>
              <w:right w:val="single" w:sz="8" w:color="70AD47"/>
            </w:tcBorders>
            <w:vMerge w:val="continue"/>
          </w:tcPr>
          <w:p>
            <w:pPr>
              <w:spacing w:after="0"/>
              <w:rPr>
                <w:sz w:val="6"/>
                <w:szCs w:val="6"/>
                <w:color w:val="auto"/>
              </w:rPr>
            </w:pPr>
          </w:p>
        </w:tc>
        <w:tc>
          <w:tcPr>
            <w:tcW w:w="1040" w:type="dxa"/>
            <w:vAlign w:val="bottom"/>
            <w:tcBorders>
              <w:right w:val="single" w:sz="8" w:color="70AD47"/>
            </w:tcBorders>
            <w:vMerge w:val="continue"/>
          </w:tcPr>
          <w:p>
            <w:pPr>
              <w:spacing w:after="0"/>
              <w:rPr>
                <w:sz w:val="6"/>
                <w:szCs w:val="6"/>
                <w:color w:val="auto"/>
              </w:rPr>
            </w:pPr>
          </w:p>
        </w:tc>
        <w:tc>
          <w:tcPr>
            <w:tcW w:w="10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1"/>
                <w:szCs w:val="11"/>
                <w:b w:val="1"/>
                <w:bCs w:val="1"/>
                <w:color w:val="auto"/>
                <w:w w:val="94"/>
              </w:rPr>
              <w:t>Platform</w:t>
            </w:r>
          </w:p>
        </w:tc>
        <w:tc>
          <w:tcPr>
            <w:tcW w:w="1040" w:type="dxa"/>
            <w:vAlign w:val="bottom"/>
            <w:tcBorders>
              <w:right w:val="single" w:sz="8" w:color="70AD47"/>
            </w:tcBorders>
            <w:vMerge w:val="continue"/>
          </w:tcPr>
          <w:p>
            <w:pPr>
              <w:spacing w:after="0"/>
              <w:rPr>
                <w:sz w:val="6"/>
                <w:szCs w:val="6"/>
                <w:color w:val="auto"/>
              </w:rPr>
            </w:pPr>
          </w:p>
        </w:tc>
        <w:tc>
          <w:tcPr>
            <w:tcW w:w="1040" w:type="dxa"/>
            <w:vAlign w:val="bottom"/>
            <w:tcBorders>
              <w:right w:val="single" w:sz="8" w:color="70AD47"/>
            </w:tcBorders>
            <w:vMerge w:val="continue"/>
          </w:tcPr>
          <w:p>
            <w:pPr>
              <w:spacing w:after="0"/>
              <w:rPr>
                <w:sz w:val="6"/>
                <w:szCs w:val="6"/>
                <w:color w:val="auto"/>
              </w:rPr>
            </w:pPr>
          </w:p>
        </w:tc>
        <w:tc>
          <w:tcPr>
            <w:tcW w:w="116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1"/>
                <w:szCs w:val="11"/>
                <w:b w:val="1"/>
                <w:bCs w:val="1"/>
                <w:color w:val="auto"/>
                <w:w w:val="87"/>
              </w:rPr>
              <w:t>External Services</w:t>
            </w:r>
          </w:p>
        </w:tc>
        <w:tc>
          <w:tcPr>
            <w:tcW w:w="1040" w:type="dxa"/>
            <w:vAlign w:val="bottom"/>
            <w:tcBorders>
              <w:right w:val="single" w:sz="8" w:color="70AD47"/>
            </w:tcBorders>
            <w:vMerge w:val="continue"/>
          </w:tcPr>
          <w:p>
            <w:pPr>
              <w:spacing w:after="0"/>
              <w:rPr>
                <w:sz w:val="6"/>
                <w:szCs w:val="6"/>
                <w:color w:val="auto"/>
              </w:rPr>
            </w:pPr>
          </w:p>
        </w:tc>
        <w:tc>
          <w:tcPr>
            <w:tcW w:w="1060" w:type="dxa"/>
            <w:vAlign w:val="bottom"/>
            <w:tcBorders>
              <w:right w:val="single" w:sz="8" w:color="70AD47"/>
            </w:tcBorders>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8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right w:val="single" w:sz="8" w:color="70AD47"/>
            </w:tcBorders>
            <w:vMerge w:val="continue"/>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160" w:type="dxa"/>
            <w:vAlign w:val="bottom"/>
            <w:tcBorders>
              <w:bottom w:val="single" w:sz="8" w:color="70AD47"/>
              <w:right w:val="single" w:sz="8" w:color="70AD47"/>
            </w:tcBorders>
            <w:vMerge w:val="continue"/>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060" w:type="dxa"/>
            <w:vAlign w:val="bottom"/>
            <w:tcBorders>
              <w:bottom w:val="single" w:sz="8" w:color="70AD47"/>
              <w:right w:val="single" w:sz="8" w:color="70AD47"/>
            </w:tcBorders>
          </w:tcPr>
          <w:p>
            <w:pPr>
              <w:spacing w:after="0"/>
              <w:rPr>
                <w:sz w:val="4"/>
                <w:szCs w:val="4"/>
                <w:color w:val="auto"/>
              </w:rPr>
            </w:pPr>
          </w:p>
        </w:tc>
        <w:tc>
          <w:tcPr>
            <w:tcW w:w="1020" w:type="dxa"/>
            <w:vAlign w:val="bottom"/>
            <w:tcBorders>
              <w:bottom w:val="single" w:sz="8" w:color="70AD47"/>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840" w:type="dxa"/>
            <w:vAlign w:val="bottom"/>
            <w:tcBorders>
              <w:right w:val="single" w:sz="8" w:color="70AD47"/>
            </w:tcBorders>
          </w:tcPr>
          <w:p>
            <w:pPr>
              <w:spacing w:after="0"/>
              <w:rPr>
                <w:sz w:val="20"/>
                <w:szCs w:val="20"/>
                <w:color w:val="auto"/>
              </w:rPr>
            </w:pPr>
            <w:r>
              <w:rPr>
                <w:rFonts w:ascii="Arial" w:cs="Arial" w:eastAsia="Arial" w:hAnsi="Arial"/>
                <w:sz w:val="11"/>
                <w:szCs w:val="11"/>
                <w:b w:val="1"/>
                <w:bCs w:val="1"/>
                <w:color w:val="auto"/>
              </w:rPr>
              <w:t>Year ended December 31, 2018</w:t>
            </w: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16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60" w:type="dxa"/>
            <w:vAlign w:val="bottom"/>
            <w:tcBorders>
              <w:right w:val="single" w:sz="8" w:color="70AD47"/>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b w:val="1"/>
                <w:bCs w:val="1"/>
                <w:color w:val="auto"/>
              </w:rPr>
              <w:t>Revenues</w:t>
            </w:r>
          </w:p>
        </w:tc>
        <w:tc>
          <w:tcPr>
            <w:tcW w:w="1040" w:type="dxa"/>
            <w:vAlign w:val="bottom"/>
            <w:tcBorders>
              <w:right w:val="single" w:sz="8" w:color="70AD47"/>
            </w:tcBorders>
          </w:tcPr>
          <w:p>
            <w:pPr>
              <w:spacing w:after="0"/>
              <w:rPr>
                <w:sz w:val="16"/>
                <w:szCs w:val="16"/>
                <w:color w:val="auto"/>
              </w:rPr>
            </w:pPr>
          </w:p>
        </w:tc>
        <w:tc>
          <w:tcPr>
            <w:tcW w:w="1040" w:type="dxa"/>
            <w:vAlign w:val="bottom"/>
            <w:tcBorders>
              <w:right w:val="single" w:sz="8" w:color="70AD47"/>
            </w:tcBorders>
          </w:tcPr>
          <w:p>
            <w:pPr>
              <w:spacing w:after="0"/>
              <w:rPr>
                <w:sz w:val="16"/>
                <w:szCs w:val="16"/>
                <w:color w:val="auto"/>
              </w:rPr>
            </w:pPr>
          </w:p>
        </w:tc>
        <w:tc>
          <w:tcPr>
            <w:tcW w:w="1040" w:type="dxa"/>
            <w:vAlign w:val="bottom"/>
            <w:tcBorders>
              <w:right w:val="single" w:sz="8" w:color="70AD47"/>
            </w:tcBorders>
          </w:tcPr>
          <w:p>
            <w:pPr>
              <w:spacing w:after="0"/>
              <w:rPr>
                <w:sz w:val="16"/>
                <w:szCs w:val="16"/>
                <w:color w:val="auto"/>
              </w:rPr>
            </w:pPr>
          </w:p>
        </w:tc>
        <w:tc>
          <w:tcPr>
            <w:tcW w:w="1040" w:type="dxa"/>
            <w:vAlign w:val="bottom"/>
            <w:tcBorders>
              <w:right w:val="single" w:sz="8" w:color="70AD47"/>
            </w:tcBorders>
          </w:tcPr>
          <w:p>
            <w:pPr>
              <w:spacing w:after="0"/>
              <w:rPr>
                <w:sz w:val="16"/>
                <w:szCs w:val="16"/>
                <w:color w:val="auto"/>
              </w:rPr>
            </w:pPr>
          </w:p>
        </w:tc>
        <w:tc>
          <w:tcPr>
            <w:tcW w:w="1160" w:type="dxa"/>
            <w:vAlign w:val="bottom"/>
            <w:tcBorders>
              <w:right w:val="single" w:sz="8" w:color="70AD47"/>
            </w:tcBorders>
          </w:tcPr>
          <w:p>
            <w:pPr>
              <w:spacing w:after="0"/>
              <w:rPr>
                <w:sz w:val="16"/>
                <w:szCs w:val="16"/>
                <w:color w:val="auto"/>
              </w:rPr>
            </w:pPr>
          </w:p>
        </w:tc>
        <w:tc>
          <w:tcPr>
            <w:tcW w:w="1040" w:type="dxa"/>
            <w:vAlign w:val="bottom"/>
            <w:tcBorders>
              <w:right w:val="single" w:sz="8" w:color="70AD47"/>
            </w:tcBorders>
          </w:tcPr>
          <w:p>
            <w:pPr>
              <w:spacing w:after="0"/>
              <w:rPr>
                <w:sz w:val="16"/>
                <w:szCs w:val="16"/>
                <w:color w:val="auto"/>
              </w:rPr>
            </w:pPr>
          </w:p>
        </w:tc>
        <w:tc>
          <w:tcPr>
            <w:tcW w:w="1060" w:type="dxa"/>
            <w:vAlign w:val="bottom"/>
            <w:tcBorders>
              <w:right w:val="single" w:sz="8" w:color="70AD47"/>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Collaboration Revenues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€36,750</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€39,452</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€25,635</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€101,837</w:t>
            </w:r>
          </w:p>
        </w:tc>
        <w:tc>
          <w:tcPr>
            <w:tcW w:w="1060" w:type="dxa"/>
            <w:vAlign w:val="bottom"/>
            <w:tcBorders>
              <w:right w:val="single" w:sz="8" w:color="70AD47"/>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€101,837</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Revenues from other sales transactions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6,783</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42</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18,914</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25,738</w:t>
            </w:r>
          </w:p>
        </w:tc>
        <w:tc>
          <w:tcPr>
            <w:tcW w:w="1060" w:type="dxa"/>
            <w:vAlign w:val="bottom"/>
            <w:tcBorders>
              <w:right w:val="single" w:sz="8" w:color="70AD47"/>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25,738</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Cost of sales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(40)</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(13,358)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(13,398)</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(292)</w:t>
            </w:r>
          </w:p>
        </w:tc>
        <w:tc>
          <w:tcPr>
            <w:tcW w:w="1020" w:type="dxa"/>
            <w:vAlign w:val="bottom"/>
          </w:tcPr>
          <w:p>
            <w:pPr>
              <w:jc w:val="right"/>
              <w:spacing w:after="0"/>
              <w:rPr>
                <w:sz w:val="20"/>
                <w:szCs w:val="20"/>
                <w:color w:val="auto"/>
              </w:rPr>
            </w:pPr>
            <w:r>
              <w:rPr>
                <w:rFonts w:ascii="Arial" w:cs="Arial" w:eastAsia="Arial" w:hAnsi="Arial"/>
                <w:sz w:val="11"/>
                <w:szCs w:val="11"/>
                <w:color w:val="auto"/>
              </w:rPr>
              <w:t>(13,690)</w:t>
            </w:r>
          </w:p>
        </w:tc>
        <w:tc>
          <w:tcPr>
            <w:tcW w:w="0" w:type="dxa"/>
            <w:vAlign w:val="bottom"/>
          </w:tcPr>
          <w:p>
            <w:pPr>
              <w:spacing w:after="0"/>
              <w:rPr>
                <w:sz w:val="1"/>
                <w:szCs w:val="1"/>
                <w:color w:val="auto"/>
              </w:rPr>
            </w:pPr>
          </w:p>
        </w:tc>
      </w:tr>
      <w:tr>
        <w:trPr>
          <w:trHeight w:val="28"/>
        </w:trPr>
        <w:tc>
          <w:tcPr>
            <w:tcW w:w="28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16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60" w:type="dxa"/>
            <w:vAlign w:val="bottom"/>
            <w:tcBorders>
              <w:bottom w:val="single" w:sz="8" w:color="70AD47"/>
              <w:right w:val="single" w:sz="8" w:color="70AD47"/>
            </w:tcBorders>
          </w:tcPr>
          <w:p>
            <w:pPr>
              <w:spacing w:after="0"/>
              <w:rPr>
                <w:sz w:val="2"/>
                <w:szCs w:val="2"/>
                <w:color w:val="auto"/>
              </w:rPr>
            </w:pPr>
          </w:p>
        </w:tc>
        <w:tc>
          <w:tcPr>
            <w:tcW w:w="10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840" w:type="dxa"/>
            <w:vAlign w:val="bottom"/>
            <w:tcBorders>
              <w:right w:val="single" w:sz="8" w:color="70AD47"/>
            </w:tcBorders>
          </w:tcPr>
          <w:p>
            <w:pPr>
              <w:spacing w:after="0"/>
              <w:rPr>
                <w:sz w:val="20"/>
                <w:szCs w:val="20"/>
                <w:color w:val="auto"/>
              </w:rPr>
            </w:pPr>
            <w:r>
              <w:rPr>
                <w:rFonts w:ascii="Arial" w:cs="Arial" w:eastAsia="Arial" w:hAnsi="Arial"/>
                <w:sz w:val="11"/>
                <w:szCs w:val="11"/>
                <w:b w:val="1"/>
                <w:bCs w:val="1"/>
                <w:color w:val="auto"/>
              </w:rPr>
              <w:t>Gross profit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€36,750</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€46,235</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€25,635</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€2</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€5,556</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€114,177</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€(292)</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€113,885</w:t>
            </w:r>
          </w:p>
        </w:tc>
        <w:tc>
          <w:tcPr>
            <w:tcW w:w="0" w:type="dxa"/>
            <w:vAlign w:val="bottom"/>
          </w:tcPr>
          <w:p>
            <w:pPr>
              <w:spacing w:after="0"/>
              <w:rPr>
                <w:sz w:val="1"/>
                <w:szCs w:val="1"/>
                <w:color w:val="auto"/>
              </w:rPr>
            </w:pPr>
          </w:p>
        </w:tc>
      </w:tr>
      <w:tr>
        <w:trPr>
          <w:trHeight w:val="28"/>
        </w:trPr>
        <w:tc>
          <w:tcPr>
            <w:tcW w:w="28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16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60" w:type="dxa"/>
            <w:vAlign w:val="bottom"/>
            <w:tcBorders>
              <w:bottom w:val="single" w:sz="8" w:color="70AD47"/>
              <w:right w:val="single" w:sz="8" w:color="70AD47"/>
            </w:tcBorders>
          </w:tcPr>
          <w:p>
            <w:pPr>
              <w:spacing w:after="0"/>
              <w:rPr>
                <w:sz w:val="2"/>
                <w:szCs w:val="2"/>
                <w:color w:val="auto"/>
              </w:rPr>
            </w:pPr>
          </w:p>
        </w:tc>
        <w:tc>
          <w:tcPr>
            <w:tcW w:w="10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b w:val="1"/>
                <w:bCs w:val="1"/>
                <w:color w:val="auto"/>
              </w:rPr>
              <w:t>Income / Expenses</w:t>
            </w: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16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60" w:type="dxa"/>
            <w:vAlign w:val="bottom"/>
            <w:tcBorders>
              <w:right w:val="single" w:sz="8" w:color="70AD47"/>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Research and development expenses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(48,641)</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(60,320)</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(31,508)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(1,979)</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(884)</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(143,332)</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292</w:t>
            </w:r>
          </w:p>
        </w:tc>
        <w:tc>
          <w:tcPr>
            <w:tcW w:w="1020" w:type="dxa"/>
            <w:vAlign w:val="bottom"/>
          </w:tcPr>
          <w:p>
            <w:pPr>
              <w:jc w:val="right"/>
              <w:spacing w:after="0"/>
              <w:rPr>
                <w:sz w:val="20"/>
                <w:szCs w:val="20"/>
                <w:color w:val="auto"/>
              </w:rPr>
            </w:pPr>
            <w:r>
              <w:rPr>
                <w:rFonts w:ascii="Arial" w:cs="Arial" w:eastAsia="Arial" w:hAnsi="Arial"/>
                <w:sz w:val="11"/>
                <w:szCs w:val="11"/>
                <w:color w:val="auto"/>
              </w:rPr>
              <w:t>(143,040)</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Sales and marketing expenses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(2,106)</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(935)</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(3,041)</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(3,041)</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General and administrative expenses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(2,558)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(21,233)</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(2,542)</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(26,334)</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(26,334)</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Other result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3,772</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178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30</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85</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559</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4,624</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52</w:t>
            </w:r>
          </w:p>
        </w:tc>
        <w:tc>
          <w:tcPr>
            <w:tcW w:w="1020" w:type="dxa"/>
            <w:vAlign w:val="bottom"/>
          </w:tcPr>
          <w:p>
            <w:pPr>
              <w:jc w:val="right"/>
              <w:spacing w:after="0"/>
              <w:rPr>
                <w:sz w:val="20"/>
                <w:szCs w:val="20"/>
                <w:color w:val="auto"/>
              </w:rPr>
            </w:pPr>
            <w:r>
              <w:rPr>
                <w:rFonts w:ascii="Arial" w:cs="Arial" w:eastAsia="Arial" w:hAnsi="Arial"/>
                <w:sz w:val="11"/>
                <w:szCs w:val="11"/>
                <w:color w:val="auto"/>
              </w:rPr>
              <w:t>4,676</w:t>
            </w:r>
          </w:p>
        </w:tc>
        <w:tc>
          <w:tcPr>
            <w:tcW w:w="0" w:type="dxa"/>
            <w:vAlign w:val="bottom"/>
          </w:tcPr>
          <w:p>
            <w:pPr>
              <w:spacing w:after="0"/>
              <w:rPr>
                <w:sz w:val="1"/>
                <w:szCs w:val="1"/>
                <w:color w:val="auto"/>
              </w:rPr>
            </w:pPr>
          </w:p>
        </w:tc>
      </w:tr>
      <w:tr>
        <w:trPr>
          <w:trHeight w:val="28"/>
        </w:trPr>
        <w:tc>
          <w:tcPr>
            <w:tcW w:w="28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16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60" w:type="dxa"/>
            <w:vAlign w:val="bottom"/>
            <w:tcBorders>
              <w:bottom w:val="single" w:sz="8" w:color="70AD47"/>
              <w:right w:val="single" w:sz="8" w:color="70AD47"/>
            </w:tcBorders>
          </w:tcPr>
          <w:p>
            <w:pPr>
              <w:spacing w:after="0"/>
              <w:rPr>
                <w:sz w:val="2"/>
                <w:szCs w:val="2"/>
                <w:color w:val="auto"/>
              </w:rPr>
            </w:pPr>
          </w:p>
        </w:tc>
        <w:tc>
          <w:tcPr>
            <w:tcW w:w="10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840" w:type="dxa"/>
            <w:vAlign w:val="bottom"/>
            <w:tcBorders>
              <w:right w:val="single" w:sz="8" w:color="70AD47"/>
            </w:tcBorders>
          </w:tcPr>
          <w:p>
            <w:pPr>
              <w:spacing w:after="0"/>
              <w:rPr>
                <w:sz w:val="20"/>
                <w:szCs w:val="20"/>
                <w:color w:val="auto"/>
              </w:rPr>
            </w:pPr>
            <w:r>
              <w:rPr>
                <w:rFonts w:ascii="Arial" w:cs="Arial" w:eastAsia="Arial" w:hAnsi="Arial"/>
                <w:sz w:val="11"/>
                <w:szCs w:val="11"/>
                <w:b w:val="1"/>
                <w:bCs w:val="1"/>
                <w:color w:val="auto"/>
              </w:rPr>
              <w:t>Segment operating income / (loss)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€(8,119)</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€(13,908)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€(8,401)</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€(25,231)</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€1,753</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€(53,906)</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€52</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€(53,854)</w:t>
            </w:r>
          </w:p>
        </w:tc>
        <w:tc>
          <w:tcPr>
            <w:tcW w:w="0" w:type="dxa"/>
            <w:vAlign w:val="bottom"/>
          </w:tcPr>
          <w:p>
            <w:pPr>
              <w:spacing w:after="0"/>
              <w:rPr>
                <w:sz w:val="1"/>
                <w:szCs w:val="1"/>
                <w:color w:val="auto"/>
              </w:rPr>
            </w:pPr>
          </w:p>
        </w:tc>
      </w:tr>
      <w:tr>
        <w:trPr>
          <w:trHeight w:val="28"/>
        </w:trPr>
        <w:tc>
          <w:tcPr>
            <w:tcW w:w="28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16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60" w:type="dxa"/>
            <w:vAlign w:val="bottom"/>
            <w:tcBorders>
              <w:bottom w:val="single" w:sz="8" w:color="70AD47"/>
              <w:right w:val="single" w:sz="8" w:color="70AD47"/>
            </w:tcBorders>
          </w:tcPr>
          <w:p>
            <w:pPr>
              <w:spacing w:after="0"/>
              <w:rPr>
                <w:sz w:val="2"/>
                <w:szCs w:val="2"/>
                <w:color w:val="auto"/>
              </w:rPr>
            </w:pPr>
          </w:p>
        </w:tc>
        <w:tc>
          <w:tcPr>
            <w:tcW w:w="10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13"/>
        </w:trPr>
        <w:tc>
          <w:tcPr>
            <w:tcW w:w="2840" w:type="dxa"/>
            <w:vAlign w:val="bottom"/>
            <w:tcBorders>
              <w:right w:val="single" w:sz="8" w:color="70AD47"/>
            </w:tcBorders>
          </w:tcPr>
          <w:p>
            <w:pPr>
              <w:spacing w:after="0"/>
              <w:rPr>
                <w:sz w:val="9"/>
                <w:szCs w:val="9"/>
                <w:color w:val="auto"/>
              </w:rPr>
            </w:pPr>
          </w:p>
        </w:tc>
        <w:tc>
          <w:tcPr>
            <w:tcW w:w="1040" w:type="dxa"/>
            <w:vAlign w:val="bottom"/>
            <w:tcBorders>
              <w:top w:val="single" w:sz="8" w:color="70AD47"/>
            </w:tcBorders>
          </w:tcPr>
          <w:p>
            <w:pPr>
              <w:spacing w:after="0"/>
              <w:rPr>
                <w:sz w:val="9"/>
                <w:szCs w:val="9"/>
                <w:color w:val="auto"/>
              </w:rPr>
            </w:pPr>
          </w:p>
        </w:tc>
        <w:tc>
          <w:tcPr>
            <w:tcW w:w="2080" w:type="dxa"/>
            <w:vAlign w:val="bottom"/>
            <w:tcBorders>
              <w:top w:val="single" w:sz="8" w:color="70AD47"/>
            </w:tcBorders>
            <w:gridSpan w:val="2"/>
            <w:vMerge w:val="restart"/>
          </w:tcPr>
          <w:p>
            <w:pPr>
              <w:jc w:val="right"/>
              <w:ind w:right="447"/>
              <w:spacing w:after="0"/>
              <w:rPr>
                <w:sz w:val="20"/>
                <w:szCs w:val="20"/>
                <w:color w:val="auto"/>
              </w:rPr>
            </w:pPr>
            <w:r>
              <w:rPr>
                <w:rFonts w:ascii="Arial" w:cs="Arial" w:eastAsia="Arial" w:hAnsi="Arial"/>
                <w:sz w:val="11"/>
                <w:szCs w:val="11"/>
                <w:b w:val="1"/>
                <w:bCs w:val="1"/>
                <w:color w:val="auto"/>
              </w:rPr>
              <w:t>Business Unit BioNTech</w:t>
            </w:r>
          </w:p>
        </w:tc>
        <w:tc>
          <w:tcPr>
            <w:tcW w:w="1040" w:type="dxa"/>
            <w:vAlign w:val="bottom"/>
            <w:tcBorders>
              <w:top w:val="single" w:sz="8" w:color="70AD47"/>
              <w:right w:val="single" w:sz="8" w:color="70AD47"/>
            </w:tcBorders>
          </w:tcPr>
          <w:p>
            <w:pPr>
              <w:spacing w:after="0"/>
              <w:rPr>
                <w:sz w:val="9"/>
                <w:szCs w:val="9"/>
                <w:color w:val="auto"/>
              </w:rPr>
            </w:pPr>
          </w:p>
        </w:tc>
        <w:tc>
          <w:tcPr>
            <w:tcW w:w="1160" w:type="dxa"/>
            <w:vAlign w:val="bottom"/>
            <w:tcBorders>
              <w:top w:val="single" w:sz="8" w:color="70AD47"/>
              <w:right w:val="single" w:sz="8" w:color="70AD47"/>
            </w:tcBorders>
          </w:tcPr>
          <w:p>
            <w:pPr>
              <w:jc w:val="center"/>
              <w:spacing w:after="0" w:line="113" w:lineRule="exact"/>
              <w:rPr>
                <w:sz w:val="20"/>
                <w:szCs w:val="20"/>
                <w:color w:val="auto"/>
              </w:rPr>
            </w:pPr>
            <w:r>
              <w:rPr>
                <w:rFonts w:ascii="Arial" w:cs="Arial" w:eastAsia="Arial" w:hAnsi="Arial"/>
                <w:sz w:val="11"/>
                <w:szCs w:val="11"/>
                <w:b w:val="1"/>
                <w:bCs w:val="1"/>
                <w:color w:val="auto"/>
                <w:w w:val="87"/>
              </w:rPr>
              <w:t>External Services</w:t>
            </w: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840" w:type="dxa"/>
            <w:vAlign w:val="bottom"/>
            <w:tcBorders>
              <w:right w:val="single" w:sz="8" w:color="70AD47"/>
            </w:tcBorders>
          </w:tcPr>
          <w:p>
            <w:pPr>
              <w:spacing w:after="0"/>
              <w:rPr>
                <w:sz w:val="6"/>
                <w:szCs w:val="6"/>
                <w:color w:val="auto"/>
              </w:rPr>
            </w:pPr>
          </w:p>
        </w:tc>
        <w:tc>
          <w:tcPr>
            <w:tcW w:w="1040" w:type="dxa"/>
            <w:vAlign w:val="bottom"/>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1040" w:type="dxa"/>
            <w:vAlign w:val="bottom"/>
            <w:tcBorders>
              <w:right w:val="single" w:sz="8" w:color="70AD47"/>
            </w:tcBorders>
          </w:tcPr>
          <w:p>
            <w:pPr>
              <w:spacing w:after="0"/>
              <w:rPr>
                <w:sz w:val="6"/>
                <w:szCs w:val="6"/>
                <w:color w:val="auto"/>
              </w:rPr>
            </w:pPr>
          </w:p>
        </w:tc>
        <w:tc>
          <w:tcPr>
            <w:tcW w:w="116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1"/>
                <w:szCs w:val="11"/>
                <w:b w:val="1"/>
                <w:bCs w:val="1"/>
                <w:color w:val="auto"/>
                <w:w w:val="84"/>
              </w:rPr>
              <w:t>Business Unit</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8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160" w:type="dxa"/>
            <w:vAlign w:val="bottom"/>
            <w:tcBorders>
              <w:bottom w:val="single" w:sz="8" w:color="70AD47"/>
              <w:right w:val="single" w:sz="8" w:color="70AD47"/>
            </w:tcBorders>
            <w:vMerge w:val="continue"/>
          </w:tcPr>
          <w:p>
            <w:pPr>
              <w:spacing w:after="0"/>
              <w:rPr>
                <w:sz w:val="4"/>
                <w:szCs w:val="4"/>
                <w:color w:val="auto"/>
              </w:rPr>
            </w:pPr>
          </w:p>
        </w:tc>
        <w:tc>
          <w:tcPr>
            <w:tcW w:w="1040" w:type="dxa"/>
            <w:vAlign w:val="bottom"/>
            <w:tcBorders>
              <w:bottom w:val="single" w:sz="8" w:color="70AD47"/>
            </w:tcBorders>
          </w:tcPr>
          <w:p>
            <w:pPr>
              <w:spacing w:after="0"/>
              <w:rPr>
                <w:sz w:val="4"/>
                <w:szCs w:val="4"/>
                <w:color w:val="auto"/>
              </w:rPr>
            </w:pPr>
          </w:p>
        </w:tc>
        <w:tc>
          <w:tcPr>
            <w:tcW w:w="1060" w:type="dxa"/>
            <w:vAlign w:val="bottom"/>
            <w:tcBorders>
              <w:bottom w:val="single" w:sz="8" w:color="70AD47"/>
            </w:tcBorders>
          </w:tcPr>
          <w:p>
            <w:pPr>
              <w:spacing w:after="0"/>
              <w:rPr>
                <w:sz w:val="4"/>
                <w:szCs w:val="4"/>
                <w:color w:val="auto"/>
              </w:rPr>
            </w:pPr>
          </w:p>
        </w:tc>
        <w:tc>
          <w:tcPr>
            <w:tcW w:w="1020" w:type="dxa"/>
            <w:vAlign w:val="bottom"/>
            <w:tcBorders>
              <w:bottom w:val="single" w:sz="8" w:color="70AD47"/>
            </w:tcBorders>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840" w:type="dxa"/>
            <w:vAlign w:val="bottom"/>
            <w:tcBorders>
              <w:right w:val="single" w:sz="8" w:color="70AD47"/>
            </w:tcBorders>
            <w:vMerge w:val="restart"/>
          </w:tcPr>
          <w:p>
            <w:pPr>
              <w:spacing w:after="0"/>
              <w:rPr>
                <w:sz w:val="20"/>
                <w:szCs w:val="20"/>
                <w:color w:val="auto"/>
              </w:rPr>
            </w:pPr>
            <w:r>
              <w:rPr>
                <w:rFonts w:ascii="Arial" w:cs="Arial" w:eastAsia="Arial" w:hAnsi="Arial"/>
                <w:sz w:val="11"/>
                <w:szCs w:val="11"/>
                <w:i w:val="1"/>
                <w:iCs w:val="1"/>
                <w:color w:val="auto"/>
              </w:rPr>
              <w:t>(in thousands)</w:t>
            </w:r>
          </w:p>
        </w:tc>
        <w:tc>
          <w:tcPr>
            <w:tcW w:w="1040" w:type="dxa"/>
            <w:vAlign w:val="bottom"/>
            <w:tcBorders>
              <w:right w:val="single" w:sz="8" w:color="70AD47"/>
            </w:tcBorders>
            <w:vMerge w:val="restart"/>
          </w:tcPr>
          <w:p>
            <w:pPr>
              <w:jc w:val="right"/>
              <w:ind w:right="307"/>
              <w:spacing w:after="0"/>
              <w:rPr>
                <w:sz w:val="20"/>
                <w:szCs w:val="20"/>
                <w:color w:val="auto"/>
              </w:rPr>
            </w:pPr>
            <w:r>
              <w:rPr>
                <w:rFonts w:ascii="Arial" w:cs="Arial" w:eastAsia="Arial" w:hAnsi="Arial"/>
                <w:sz w:val="11"/>
                <w:szCs w:val="11"/>
                <w:b w:val="1"/>
                <w:bCs w:val="1"/>
                <w:color w:val="auto"/>
              </w:rPr>
              <w:t>Clinical</w:t>
            </w:r>
          </w:p>
        </w:tc>
        <w:tc>
          <w:tcPr>
            <w:tcW w:w="1040" w:type="dxa"/>
            <w:vAlign w:val="bottom"/>
            <w:tcBorders>
              <w:right w:val="single" w:sz="8" w:color="70AD47"/>
            </w:tcBorders>
          </w:tcPr>
          <w:p>
            <w:pPr>
              <w:jc w:val="right"/>
              <w:ind w:right="227"/>
              <w:spacing w:after="0" w:line="93" w:lineRule="exact"/>
              <w:rPr>
                <w:sz w:val="20"/>
                <w:szCs w:val="20"/>
                <w:color w:val="auto"/>
              </w:rPr>
            </w:pPr>
            <w:r>
              <w:rPr>
                <w:rFonts w:ascii="Arial" w:cs="Arial" w:eastAsia="Arial" w:hAnsi="Arial"/>
                <w:sz w:val="10"/>
                <w:szCs w:val="10"/>
                <w:b w:val="1"/>
                <w:bCs w:val="1"/>
                <w:color w:val="auto"/>
              </w:rPr>
              <w:t>Technology</w:t>
            </w:r>
          </w:p>
        </w:tc>
        <w:tc>
          <w:tcPr>
            <w:tcW w:w="1040" w:type="dxa"/>
            <w:vAlign w:val="bottom"/>
            <w:tcBorders>
              <w:right w:val="single" w:sz="8" w:color="70AD47"/>
            </w:tcBorders>
            <w:vMerge w:val="restart"/>
          </w:tcPr>
          <w:p>
            <w:pPr>
              <w:jc w:val="right"/>
              <w:ind w:right="127"/>
              <w:spacing w:after="0"/>
              <w:rPr>
                <w:sz w:val="20"/>
                <w:szCs w:val="20"/>
                <w:color w:val="auto"/>
              </w:rPr>
            </w:pPr>
            <w:r>
              <w:rPr>
                <w:rFonts w:ascii="Arial" w:cs="Arial" w:eastAsia="Arial" w:hAnsi="Arial"/>
                <w:sz w:val="11"/>
                <w:szCs w:val="11"/>
                <w:b w:val="1"/>
                <w:bCs w:val="1"/>
                <w:color w:val="auto"/>
              </w:rPr>
              <w:t>Manufacturing</w:t>
            </w:r>
          </w:p>
        </w:tc>
        <w:tc>
          <w:tcPr>
            <w:tcW w:w="1040" w:type="dxa"/>
            <w:vAlign w:val="bottom"/>
            <w:tcBorders>
              <w:right w:val="single" w:sz="8" w:color="70AD47"/>
            </w:tcBorders>
            <w:vMerge w:val="restart"/>
          </w:tcPr>
          <w:p>
            <w:pPr>
              <w:jc w:val="right"/>
              <w:ind w:right="107"/>
              <w:spacing w:after="0"/>
              <w:rPr>
                <w:sz w:val="20"/>
                <w:szCs w:val="20"/>
                <w:color w:val="auto"/>
              </w:rPr>
            </w:pPr>
            <w:r>
              <w:rPr>
                <w:rFonts w:ascii="Arial" w:cs="Arial" w:eastAsia="Arial" w:hAnsi="Arial"/>
                <w:sz w:val="11"/>
                <w:szCs w:val="11"/>
                <w:b w:val="1"/>
                <w:bCs w:val="1"/>
                <w:color w:val="auto"/>
                <w:w w:val="94"/>
              </w:rPr>
              <w:t>Business Service</w:t>
            </w:r>
          </w:p>
        </w:tc>
        <w:tc>
          <w:tcPr>
            <w:tcW w:w="1160" w:type="dxa"/>
            <w:vAlign w:val="bottom"/>
            <w:tcBorders>
              <w:right w:val="single" w:sz="8" w:color="70AD47"/>
            </w:tcBorders>
          </w:tcPr>
          <w:p>
            <w:pPr>
              <w:jc w:val="center"/>
              <w:spacing w:after="0" w:line="93" w:lineRule="exact"/>
              <w:rPr>
                <w:sz w:val="20"/>
                <w:szCs w:val="20"/>
                <w:color w:val="auto"/>
              </w:rPr>
            </w:pPr>
            <w:r>
              <w:rPr>
                <w:rFonts w:ascii="Arial" w:cs="Arial" w:eastAsia="Arial" w:hAnsi="Arial"/>
                <w:sz w:val="10"/>
                <w:szCs w:val="10"/>
                <w:b w:val="1"/>
                <w:bCs w:val="1"/>
                <w:color w:val="auto"/>
                <w:w w:val="96"/>
              </w:rPr>
              <w:t>Product Sales &amp;</w:t>
            </w:r>
          </w:p>
        </w:tc>
        <w:tc>
          <w:tcPr>
            <w:tcW w:w="1040" w:type="dxa"/>
            <w:vAlign w:val="bottom"/>
            <w:tcBorders>
              <w:right w:val="single" w:sz="8" w:color="70AD47"/>
            </w:tcBorders>
            <w:vMerge w:val="restart"/>
          </w:tcPr>
          <w:p>
            <w:pPr>
              <w:jc w:val="right"/>
              <w:ind w:right="367"/>
              <w:spacing w:after="0"/>
              <w:rPr>
                <w:sz w:val="20"/>
                <w:szCs w:val="20"/>
                <w:color w:val="auto"/>
              </w:rPr>
            </w:pPr>
            <w:r>
              <w:rPr>
                <w:rFonts w:ascii="Arial" w:cs="Arial" w:eastAsia="Arial" w:hAnsi="Arial"/>
                <w:sz w:val="11"/>
                <w:szCs w:val="11"/>
                <w:b w:val="1"/>
                <w:bCs w:val="1"/>
                <w:color w:val="auto"/>
              </w:rPr>
              <w:t>Total</w:t>
            </w:r>
          </w:p>
        </w:tc>
        <w:tc>
          <w:tcPr>
            <w:tcW w:w="1060" w:type="dxa"/>
            <w:vAlign w:val="bottom"/>
            <w:tcBorders>
              <w:right w:val="single" w:sz="8" w:color="70AD47"/>
            </w:tcBorders>
            <w:vMerge w:val="restart"/>
          </w:tcPr>
          <w:p>
            <w:pPr>
              <w:jc w:val="right"/>
              <w:ind w:right="207"/>
              <w:spacing w:after="0"/>
              <w:rPr>
                <w:sz w:val="20"/>
                <w:szCs w:val="20"/>
                <w:color w:val="auto"/>
              </w:rPr>
            </w:pPr>
            <w:r>
              <w:rPr>
                <w:rFonts w:ascii="Arial" w:cs="Arial" w:eastAsia="Arial" w:hAnsi="Arial"/>
                <w:sz w:val="11"/>
                <w:szCs w:val="11"/>
                <w:b w:val="1"/>
                <w:bCs w:val="1"/>
                <w:color w:val="auto"/>
              </w:rPr>
              <w:t>Adjustments</w:t>
            </w:r>
          </w:p>
        </w:tc>
        <w:tc>
          <w:tcPr>
            <w:tcW w:w="1020" w:type="dxa"/>
            <w:vAlign w:val="bottom"/>
            <w:vMerge w:val="restart"/>
          </w:tcPr>
          <w:p>
            <w:pPr>
              <w:jc w:val="right"/>
              <w:ind w:right="307"/>
              <w:spacing w:after="0"/>
              <w:rPr>
                <w:sz w:val="20"/>
                <w:szCs w:val="20"/>
                <w:color w:val="auto"/>
              </w:rPr>
            </w:pPr>
            <w:r>
              <w:rPr>
                <w:rFonts w:ascii="Arial" w:cs="Arial" w:eastAsia="Arial" w:hAnsi="Arial"/>
                <w:sz w:val="11"/>
                <w:szCs w:val="11"/>
                <w:b w:val="1"/>
                <w:bCs w:val="1"/>
                <w:color w:val="auto"/>
              </w:rPr>
              <w:t>Group</w:t>
            </w:r>
          </w:p>
        </w:tc>
        <w:tc>
          <w:tcPr>
            <w:tcW w:w="0" w:type="dxa"/>
            <w:vAlign w:val="bottom"/>
          </w:tcPr>
          <w:p>
            <w:pPr>
              <w:spacing w:after="0"/>
              <w:rPr>
                <w:sz w:val="1"/>
                <w:szCs w:val="1"/>
                <w:color w:val="auto"/>
              </w:rPr>
            </w:pPr>
          </w:p>
        </w:tc>
      </w:tr>
      <w:tr>
        <w:trPr>
          <w:trHeight w:val="79"/>
        </w:trPr>
        <w:tc>
          <w:tcPr>
            <w:tcW w:w="2840" w:type="dxa"/>
            <w:vAlign w:val="bottom"/>
            <w:tcBorders>
              <w:right w:val="single" w:sz="8" w:color="70AD47"/>
            </w:tcBorders>
            <w:vMerge w:val="continue"/>
          </w:tcPr>
          <w:p>
            <w:pPr>
              <w:spacing w:after="0"/>
              <w:rPr>
                <w:sz w:val="6"/>
                <w:szCs w:val="6"/>
                <w:color w:val="auto"/>
              </w:rPr>
            </w:pPr>
          </w:p>
        </w:tc>
        <w:tc>
          <w:tcPr>
            <w:tcW w:w="1040" w:type="dxa"/>
            <w:vAlign w:val="bottom"/>
            <w:tcBorders>
              <w:right w:val="single" w:sz="8" w:color="70AD47"/>
            </w:tcBorders>
            <w:vMerge w:val="continue"/>
          </w:tcPr>
          <w:p>
            <w:pPr>
              <w:spacing w:after="0"/>
              <w:rPr>
                <w:sz w:val="6"/>
                <w:szCs w:val="6"/>
                <w:color w:val="auto"/>
              </w:rPr>
            </w:pPr>
          </w:p>
        </w:tc>
        <w:tc>
          <w:tcPr>
            <w:tcW w:w="1040" w:type="dxa"/>
            <w:vAlign w:val="bottom"/>
            <w:tcBorders>
              <w:right w:val="single" w:sz="8" w:color="70AD47"/>
            </w:tcBorders>
            <w:vMerge w:val="restart"/>
          </w:tcPr>
          <w:p>
            <w:pPr>
              <w:jc w:val="right"/>
              <w:ind w:right="267"/>
              <w:spacing w:after="0"/>
              <w:rPr>
                <w:sz w:val="20"/>
                <w:szCs w:val="20"/>
                <w:color w:val="auto"/>
              </w:rPr>
            </w:pPr>
            <w:r>
              <w:rPr>
                <w:rFonts w:ascii="Arial" w:cs="Arial" w:eastAsia="Arial" w:hAnsi="Arial"/>
                <w:sz w:val="11"/>
                <w:szCs w:val="11"/>
                <w:b w:val="1"/>
                <w:bCs w:val="1"/>
                <w:color w:val="auto"/>
              </w:rPr>
              <w:t>Platform</w:t>
            </w:r>
          </w:p>
        </w:tc>
        <w:tc>
          <w:tcPr>
            <w:tcW w:w="1040" w:type="dxa"/>
            <w:vAlign w:val="bottom"/>
            <w:tcBorders>
              <w:right w:val="single" w:sz="8" w:color="70AD47"/>
            </w:tcBorders>
            <w:vMerge w:val="continue"/>
          </w:tcPr>
          <w:p>
            <w:pPr>
              <w:spacing w:after="0"/>
              <w:rPr>
                <w:sz w:val="6"/>
                <w:szCs w:val="6"/>
                <w:color w:val="auto"/>
              </w:rPr>
            </w:pPr>
          </w:p>
        </w:tc>
        <w:tc>
          <w:tcPr>
            <w:tcW w:w="1040" w:type="dxa"/>
            <w:vAlign w:val="bottom"/>
            <w:tcBorders>
              <w:right w:val="single" w:sz="8" w:color="70AD47"/>
            </w:tcBorders>
            <w:vMerge w:val="continue"/>
          </w:tcPr>
          <w:p>
            <w:pPr>
              <w:spacing w:after="0"/>
              <w:rPr>
                <w:sz w:val="6"/>
                <w:szCs w:val="6"/>
                <w:color w:val="auto"/>
              </w:rPr>
            </w:pPr>
          </w:p>
        </w:tc>
        <w:tc>
          <w:tcPr>
            <w:tcW w:w="116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11"/>
                <w:szCs w:val="11"/>
                <w:b w:val="1"/>
                <w:bCs w:val="1"/>
                <w:color w:val="auto"/>
                <w:w w:val="87"/>
              </w:rPr>
              <w:t>External Services</w:t>
            </w:r>
          </w:p>
        </w:tc>
        <w:tc>
          <w:tcPr>
            <w:tcW w:w="1040" w:type="dxa"/>
            <w:vAlign w:val="bottom"/>
            <w:tcBorders>
              <w:right w:val="single" w:sz="8" w:color="70AD47"/>
            </w:tcBorders>
            <w:vMerge w:val="continue"/>
          </w:tcPr>
          <w:p>
            <w:pPr>
              <w:spacing w:after="0"/>
              <w:rPr>
                <w:sz w:val="6"/>
                <w:szCs w:val="6"/>
                <w:color w:val="auto"/>
              </w:rPr>
            </w:pPr>
          </w:p>
        </w:tc>
        <w:tc>
          <w:tcPr>
            <w:tcW w:w="1060" w:type="dxa"/>
            <w:vAlign w:val="bottom"/>
            <w:tcBorders>
              <w:right w:val="single" w:sz="8" w:color="70AD47"/>
            </w:tcBorders>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8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right w:val="single" w:sz="8" w:color="70AD47"/>
            </w:tcBorders>
            <w:vMerge w:val="continue"/>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160" w:type="dxa"/>
            <w:vAlign w:val="bottom"/>
            <w:tcBorders>
              <w:bottom w:val="single" w:sz="8" w:color="70AD47"/>
              <w:right w:val="single" w:sz="8" w:color="70AD47"/>
            </w:tcBorders>
            <w:vMerge w:val="continue"/>
          </w:tcPr>
          <w:p>
            <w:pPr>
              <w:spacing w:after="0"/>
              <w:rPr>
                <w:sz w:val="4"/>
                <w:szCs w:val="4"/>
                <w:color w:val="auto"/>
              </w:rPr>
            </w:pPr>
          </w:p>
        </w:tc>
        <w:tc>
          <w:tcPr>
            <w:tcW w:w="1040" w:type="dxa"/>
            <w:vAlign w:val="bottom"/>
            <w:tcBorders>
              <w:bottom w:val="single" w:sz="8" w:color="70AD47"/>
              <w:right w:val="single" w:sz="8" w:color="70AD47"/>
            </w:tcBorders>
          </w:tcPr>
          <w:p>
            <w:pPr>
              <w:spacing w:after="0"/>
              <w:rPr>
                <w:sz w:val="4"/>
                <w:szCs w:val="4"/>
                <w:color w:val="auto"/>
              </w:rPr>
            </w:pPr>
          </w:p>
        </w:tc>
        <w:tc>
          <w:tcPr>
            <w:tcW w:w="1060" w:type="dxa"/>
            <w:vAlign w:val="bottom"/>
            <w:tcBorders>
              <w:bottom w:val="single" w:sz="8" w:color="70AD47"/>
              <w:right w:val="single" w:sz="8" w:color="70AD47"/>
            </w:tcBorders>
          </w:tcPr>
          <w:p>
            <w:pPr>
              <w:spacing w:after="0"/>
              <w:rPr>
                <w:sz w:val="4"/>
                <w:szCs w:val="4"/>
                <w:color w:val="auto"/>
              </w:rPr>
            </w:pPr>
          </w:p>
        </w:tc>
        <w:tc>
          <w:tcPr>
            <w:tcW w:w="1020" w:type="dxa"/>
            <w:vAlign w:val="bottom"/>
            <w:tcBorders>
              <w:bottom w:val="single" w:sz="8" w:color="70AD47"/>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840" w:type="dxa"/>
            <w:vAlign w:val="bottom"/>
            <w:tcBorders>
              <w:right w:val="single" w:sz="8" w:color="70AD47"/>
            </w:tcBorders>
          </w:tcPr>
          <w:p>
            <w:pPr>
              <w:spacing w:after="0"/>
              <w:rPr>
                <w:sz w:val="20"/>
                <w:szCs w:val="20"/>
                <w:color w:val="auto"/>
              </w:rPr>
            </w:pPr>
            <w:r>
              <w:rPr>
                <w:rFonts w:ascii="Arial" w:cs="Arial" w:eastAsia="Arial" w:hAnsi="Arial"/>
                <w:sz w:val="11"/>
                <w:szCs w:val="11"/>
                <w:b w:val="1"/>
                <w:bCs w:val="1"/>
                <w:color w:val="auto"/>
              </w:rPr>
              <w:t>Year ended December 31, 2017</w:t>
            </w: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16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60" w:type="dxa"/>
            <w:vAlign w:val="bottom"/>
            <w:tcBorders>
              <w:right w:val="single" w:sz="8" w:color="70AD47"/>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b w:val="1"/>
                <w:bCs w:val="1"/>
                <w:color w:val="auto"/>
              </w:rPr>
              <w:t>Revenues</w:t>
            </w:r>
          </w:p>
        </w:tc>
        <w:tc>
          <w:tcPr>
            <w:tcW w:w="1040" w:type="dxa"/>
            <w:vAlign w:val="bottom"/>
            <w:tcBorders>
              <w:right w:val="single" w:sz="8" w:color="70AD47"/>
            </w:tcBorders>
          </w:tcPr>
          <w:p>
            <w:pPr>
              <w:spacing w:after="0"/>
              <w:rPr>
                <w:sz w:val="16"/>
                <w:szCs w:val="16"/>
                <w:color w:val="auto"/>
              </w:rPr>
            </w:pPr>
          </w:p>
        </w:tc>
        <w:tc>
          <w:tcPr>
            <w:tcW w:w="1040" w:type="dxa"/>
            <w:vAlign w:val="bottom"/>
            <w:tcBorders>
              <w:right w:val="single" w:sz="8" w:color="70AD47"/>
            </w:tcBorders>
          </w:tcPr>
          <w:p>
            <w:pPr>
              <w:spacing w:after="0"/>
              <w:rPr>
                <w:sz w:val="16"/>
                <w:szCs w:val="16"/>
                <w:color w:val="auto"/>
              </w:rPr>
            </w:pPr>
          </w:p>
        </w:tc>
        <w:tc>
          <w:tcPr>
            <w:tcW w:w="1040" w:type="dxa"/>
            <w:vAlign w:val="bottom"/>
            <w:tcBorders>
              <w:right w:val="single" w:sz="8" w:color="70AD47"/>
            </w:tcBorders>
          </w:tcPr>
          <w:p>
            <w:pPr>
              <w:spacing w:after="0"/>
              <w:rPr>
                <w:sz w:val="16"/>
                <w:szCs w:val="16"/>
                <w:color w:val="auto"/>
              </w:rPr>
            </w:pPr>
          </w:p>
        </w:tc>
        <w:tc>
          <w:tcPr>
            <w:tcW w:w="1040" w:type="dxa"/>
            <w:vAlign w:val="bottom"/>
            <w:tcBorders>
              <w:right w:val="single" w:sz="8" w:color="70AD47"/>
            </w:tcBorders>
          </w:tcPr>
          <w:p>
            <w:pPr>
              <w:spacing w:after="0"/>
              <w:rPr>
                <w:sz w:val="16"/>
                <w:szCs w:val="16"/>
                <w:color w:val="auto"/>
              </w:rPr>
            </w:pPr>
          </w:p>
        </w:tc>
        <w:tc>
          <w:tcPr>
            <w:tcW w:w="1160" w:type="dxa"/>
            <w:vAlign w:val="bottom"/>
            <w:tcBorders>
              <w:right w:val="single" w:sz="8" w:color="70AD47"/>
            </w:tcBorders>
          </w:tcPr>
          <w:p>
            <w:pPr>
              <w:spacing w:after="0"/>
              <w:rPr>
                <w:sz w:val="16"/>
                <w:szCs w:val="16"/>
                <w:color w:val="auto"/>
              </w:rPr>
            </w:pPr>
          </w:p>
        </w:tc>
        <w:tc>
          <w:tcPr>
            <w:tcW w:w="1040" w:type="dxa"/>
            <w:vAlign w:val="bottom"/>
            <w:tcBorders>
              <w:right w:val="single" w:sz="8" w:color="70AD47"/>
            </w:tcBorders>
          </w:tcPr>
          <w:p>
            <w:pPr>
              <w:spacing w:after="0"/>
              <w:rPr>
                <w:sz w:val="16"/>
                <w:szCs w:val="16"/>
                <w:color w:val="auto"/>
              </w:rPr>
            </w:pPr>
          </w:p>
        </w:tc>
        <w:tc>
          <w:tcPr>
            <w:tcW w:w="1060" w:type="dxa"/>
            <w:vAlign w:val="bottom"/>
            <w:tcBorders>
              <w:right w:val="single" w:sz="8" w:color="70AD47"/>
            </w:tcBorders>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Collaboration Revenues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€25,721</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€14,504</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€2,108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€42,333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€42,333</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Revenues from other sales transactions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324</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18,941</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19,265</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19,265</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Cost of sales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(9,318)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(9,318)</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(9,318)</w:t>
            </w:r>
          </w:p>
        </w:tc>
        <w:tc>
          <w:tcPr>
            <w:tcW w:w="0" w:type="dxa"/>
            <w:vAlign w:val="bottom"/>
          </w:tcPr>
          <w:p>
            <w:pPr>
              <w:spacing w:after="0"/>
              <w:rPr>
                <w:sz w:val="1"/>
                <w:szCs w:val="1"/>
                <w:color w:val="auto"/>
              </w:rPr>
            </w:pPr>
          </w:p>
        </w:tc>
      </w:tr>
      <w:tr>
        <w:trPr>
          <w:trHeight w:val="28"/>
        </w:trPr>
        <w:tc>
          <w:tcPr>
            <w:tcW w:w="28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16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60" w:type="dxa"/>
            <w:vAlign w:val="bottom"/>
            <w:tcBorders>
              <w:bottom w:val="single" w:sz="8" w:color="70AD47"/>
              <w:right w:val="single" w:sz="8" w:color="70AD47"/>
            </w:tcBorders>
          </w:tcPr>
          <w:p>
            <w:pPr>
              <w:spacing w:after="0"/>
              <w:rPr>
                <w:sz w:val="2"/>
                <w:szCs w:val="2"/>
                <w:color w:val="auto"/>
              </w:rPr>
            </w:pPr>
          </w:p>
        </w:tc>
        <w:tc>
          <w:tcPr>
            <w:tcW w:w="10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840" w:type="dxa"/>
            <w:vAlign w:val="bottom"/>
            <w:tcBorders>
              <w:right w:val="single" w:sz="8" w:color="70AD47"/>
            </w:tcBorders>
          </w:tcPr>
          <w:p>
            <w:pPr>
              <w:spacing w:after="0"/>
              <w:rPr>
                <w:sz w:val="20"/>
                <w:szCs w:val="20"/>
                <w:color w:val="auto"/>
              </w:rPr>
            </w:pPr>
            <w:r>
              <w:rPr>
                <w:rFonts w:ascii="Arial" w:cs="Arial" w:eastAsia="Arial" w:hAnsi="Arial"/>
                <w:sz w:val="11"/>
                <w:szCs w:val="11"/>
                <w:b w:val="1"/>
                <w:bCs w:val="1"/>
                <w:color w:val="auto"/>
              </w:rPr>
              <w:t>Gross profit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€25,721</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€14,828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€2,108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€9,623</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€52,280</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€52,280</w:t>
            </w:r>
          </w:p>
        </w:tc>
        <w:tc>
          <w:tcPr>
            <w:tcW w:w="0" w:type="dxa"/>
            <w:vAlign w:val="bottom"/>
          </w:tcPr>
          <w:p>
            <w:pPr>
              <w:spacing w:after="0"/>
              <w:rPr>
                <w:sz w:val="1"/>
                <w:szCs w:val="1"/>
                <w:color w:val="auto"/>
              </w:rPr>
            </w:pPr>
          </w:p>
        </w:tc>
      </w:tr>
      <w:tr>
        <w:trPr>
          <w:trHeight w:val="28"/>
        </w:trPr>
        <w:tc>
          <w:tcPr>
            <w:tcW w:w="28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16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60" w:type="dxa"/>
            <w:vAlign w:val="bottom"/>
            <w:tcBorders>
              <w:bottom w:val="single" w:sz="8" w:color="70AD47"/>
              <w:right w:val="single" w:sz="8" w:color="70AD47"/>
            </w:tcBorders>
          </w:tcPr>
          <w:p>
            <w:pPr>
              <w:spacing w:after="0"/>
              <w:rPr>
                <w:sz w:val="2"/>
                <w:szCs w:val="2"/>
                <w:color w:val="auto"/>
              </w:rPr>
            </w:pPr>
          </w:p>
        </w:tc>
        <w:tc>
          <w:tcPr>
            <w:tcW w:w="10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b w:val="1"/>
                <w:bCs w:val="1"/>
                <w:color w:val="auto"/>
              </w:rPr>
              <w:t>Income / Expenses</w:t>
            </w: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160" w:type="dxa"/>
            <w:vAlign w:val="bottom"/>
            <w:tcBorders>
              <w:right w:val="single" w:sz="8" w:color="70AD47"/>
            </w:tcBorders>
          </w:tcPr>
          <w:p>
            <w:pPr>
              <w:spacing w:after="0"/>
              <w:rPr>
                <w:sz w:val="13"/>
                <w:szCs w:val="13"/>
                <w:color w:val="auto"/>
              </w:rPr>
            </w:pPr>
          </w:p>
        </w:tc>
        <w:tc>
          <w:tcPr>
            <w:tcW w:w="1040" w:type="dxa"/>
            <w:vAlign w:val="bottom"/>
            <w:tcBorders>
              <w:right w:val="single" w:sz="8" w:color="70AD47"/>
            </w:tcBorders>
          </w:tcPr>
          <w:p>
            <w:pPr>
              <w:spacing w:after="0"/>
              <w:rPr>
                <w:sz w:val="13"/>
                <w:szCs w:val="13"/>
                <w:color w:val="auto"/>
              </w:rPr>
            </w:pPr>
          </w:p>
        </w:tc>
        <w:tc>
          <w:tcPr>
            <w:tcW w:w="1060" w:type="dxa"/>
            <w:vAlign w:val="bottom"/>
            <w:tcBorders>
              <w:right w:val="single" w:sz="8" w:color="70AD47"/>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Research and development expenses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(25,099)</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(37,019)</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(14,764)</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(6,701)</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(1,912)</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(85,496)</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(85,496)</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Sales and marketing expenses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(4,904)</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(1,698)</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(6,603)</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(6,603)</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General and administrative expenses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(785)</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(20,309)</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(2,427)</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(23,520)</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(23,520)</w:t>
            </w:r>
          </w:p>
        </w:tc>
        <w:tc>
          <w:tcPr>
            <w:tcW w:w="0" w:type="dxa"/>
            <w:vAlign w:val="bottom"/>
          </w:tcPr>
          <w:p>
            <w:pPr>
              <w:spacing w:after="0"/>
              <w:rPr>
                <w:sz w:val="1"/>
                <w:szCs w:val="1"/>
                <w:color w:val="auto"/>
              </w:rPr>
            </w:pPr>
          </w:p>
        </w:tc>
      </w:tr>
      <w:tr>
        <w:trPr>
          <w:trHeight w:val="190"/>
        </w:trPr>
        <w:tc>
          <w:tcPr>
            <w:tcW w:w="2840" w:type="dxa"/>
            <w:vAlign w:val="bottom"/>
            <w:tcBorders>
              <w:right w:val="single" w:sz="8" w:color="70AD47"/>
            </w:tcBorders>
          </w:tcPr>
          <w:p>
            <w:pPr>
              <w:ind w:left="100"/>
              <w:spacing w:after="0"/>
              <w:rPr>
                <w:sz w:val="20"/>
                <w:szCs w:val="20"/>
                <w:color w:val="auto"/>
              </w:rPr>
            </w:pPr>
            <w:r>
              <w:rPr>
                <w:rFonts w:ascii="Arial" w:cs="Arial" w:eastAsia="Arial" w:hAnsi="Arial"/>
                <w:sz w:val="11"/>
                <w:szCs w:val="11"/>
                <w:color w:val="auto"/>
              </w:rPr>
              <w:t>Other result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777</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820</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463</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2,061</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2,061</w:t>
            </w:r>
          </w:p>
        </w:tc>
        <w:tc>
          <w:tcPr>
            <w:tcW w:w="0" w:type="dxa"/>
            <w:vAlign w:val="bottom"/>
          </w:tcPr>
          <w:p>
            <w:pPr>
              <w:spacing w:after="0"/>
              <w:rPr>
                <w:sz w:val="1"/>
                <w:szCs w:val="1"/>
                <w:color w:val="auto"/>
              </w:rPr>
            </w:pPr>
          </w:p>
        </w:tc>
      </w:tr>
      <w:tr>
        <w:trPr>
          <w:trHeight w:val="28"/>
        </w:trPr>
        <w:tc>
          <w:tcPr>
            <w:tcW w:w="28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16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60" w:type="dxa"/>
            <w:vAlign w:val="bottom"/>
            <w:tcBorders>
              <w:bottom w:val="single" w:sz="8" w:color="70AD47"/>
              <w:right w:val="single" w:sz="8" w:color="70AD47"/>
            </w:tcBorders>
          </w:tcPr>
          <w:p>
            <w:pPr>
              <w:spacing w:after="0"/>
              <w:rPr>
                <w:sz w:val="2"/>
                <w:szCs w:val="2"/>
                <w:color w:val="auto"/>
              </w:rPr>
            </w:pPr>
          </w:p>
        </w:tc>
        <w:tc>
          <w:tcPr>
            <w:tcW w:w="10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840" w:type="dxa"/>
            <w:vAlign w:val="bottom"/>
            <w:tcBorders>
              <w:right w:val="single" w:sz="8" w:color="70AD47"/>
            </w:tcBorders>
          </w:tcPr>
          <w:p>
            <w:pPr>
              <w:spacing w:after="0"/>
              <w:rPr>
                <w:sz w:val="20"/>
                <w:szCs w:val="20"/>
                <w:color w:val="auto"/>
              </w:rPr>
            </w:pPr>
            <w:r>
              <w:rPr>
                <w:rFonts w:ascii="Arial" w:cs="Arial" w:eastAsia="Arial" w:hAnsi="Arial"/>
                <w:sz w:val="11"/>
                <w:szCs w:val="11"/>
                <w:b w:val="1"/>
                <w:bCs w:val="1"/>
                <w:color w:val="auto"/>
              </w:rPr>
              <w:t>Segment operating income / (loss)</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€623</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€(21,414)</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€(13,441)</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€(31,094)</w:t>
            </w:r>
          </w:p>
        </w:tc>
        <w:tc>
          <w:tcPr>
            <w:tcW w:w="116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€4,049</w:t>
            </w:r>
          </w:p>
        </w:tc>
        <w:tc>
          <w:tcPr>
            <w:tcW w:w="104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€(61,277)</w:t>
            </w:r>
          </w:p>
        </w:tc>
        <w:tc>
          <w:tcPr>
            <w:tcW w:w="1060" w:type="dxa"/>
            <w:vAlign w:val="bottom"/>
            <w:tcBorders>
              <w:right w:val="single" w:sz="8" w:color="70AD47"/>
            </w:tcBorders>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€(61,277)</w:t>
            </w:r>
          </w:p>
        </w:tc>
        <w:tc>
          <w:tcPr>
            <w:tcW w:w="0" w:type="dxa"/>
            <w:vAlign w:val="bottom"/>
          </w:tcPr>
          <w:p>
            <w:pPr>
              <w:spacing w:after="0"/>
              <w:rPr>
                <w:sz w:val="1"/>
                <w:szCs w:val="1"/>
                <w:color w:val="auto"/>
              </w:rPr>
            </w:pPr>
          </w:p>
        </w:tc>
      </w:tr>
      <w:tr>
        <w:trPr>
          <w:trHeight w:val="28"/>
        </w:trPr>
        <w:tc>
          <w:tcPr>
            <w:tcW w:w="28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160" w:type="dxa"/>
            <w:vAlign w:val="bottom"/>
            <w:tcBorders>
              <w:bottom w:val="single" w:sz="8" w:color="70AD47"/>
              <w:right w:val="single" w:sz="8" w:color="70AD47"/>
            </w:tcBorders>
          </w:tcPr>
          <w:p>
            <w:pPr>
              <w:spacing w:after="0"/>
              <w:rPr>
                <w:sz w:val="2"/>
                <w:szCs w:val="2"/>
                <w:color w:val="auto"/>
              </w:rPr>
            </w:pPr>
          </w:p>
        </w:tc>
        <w:tc>
          <w:tcPr>
            <w:tcW w:w="1040" w:type="dxa"/>
            <w:vAlign w:val="bottom"/>
            <w:tcBorders>
              <w:bottom w:val="single" w:sz="8" w:color="70AD47"/>
              <w:right w:val="single" w:sz="8" w:color="70AD47"/>
            </w:tcBorders>
          </w:tcPr>
          <w:p>
            <w:pPr>
              <w:spacing w:after="0"/>
              <w:rPr>
                <w:sz w:val="2"/>
                <w:szCs w:val="2"/>
                <w:color w:val="auto"/>
              </w:rPr>
            </w:pPr>
          </w:p>
        </w:tc>
        <w:tc>
          <w:tcPr>
            <w:tcW w:w="1060" w:type="dxa"/>
            <w:vAlign w:val="bottom"/>
            <w:tcBorders>
              <w:bottom w:val="single" w:sz="8" w:color="70AD47"/>
              <w:right w:val="single" w:sz="8" w:color="70AD47"/>
            </w:tcBorders>
          </w:tcPr>
          <w:p>
            <w:pPr>
              <w:spacing w:after="0"/>
              <w:rPr>
                <w:sz w:val="2"/>
                <w:szCs w:val="2"/>
                <w:color w:val="auto"/>
              </w:rPr>
            </w:pPr>
          </w:p>
        </w:tc>
        <w:tc>
          <w:tcPr>
            <w:tcW w:w="10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right="20" w:firstLine="554"/>
        <w:spacing w:after="0" w:line="287" w:lineRule="auto"/>
        <w:rPr>
          <w:sz w:val="20"/>
          <w:szCs w:val="20"/>
          <w:color w:val="auto"/>
        </w:rPr>
      </w:pPr>
      <w:r>
        <w:rPr>
          <w:rFonts w:ascii="Arial" w:cs="Arial" w:eastAsia="Arial" w:hAnsi="Arial"/>
          <w:sz w:val="13"/>
          <w:szCs w:val="13"/>
          <w:color w:val="auto"/>
        </w:rPr>
        <w:t>The segments are managed based on external sales and operating profit/loss, which represents the operating profit earned by each segment. Segment figures are reported consolidated, which reflects the way management steers the business.</w:t>
      </w:r>
    </w:p>
    <w:p>
      <w:pPr>
        <w:spacing w:after="0" w:line="122" w:lineRule="exact"/>
        <w:rPr>
          <w:sz w:val="20"/>
          <w:szCs w:val="20"/>
          <w:color w:val="auto"/>
        </w:rPr>
      </w:pPr>
    </w:p>
    <w:p>
      <w:pPr>
        <w:jc w:val="both"/>
        <w:ind w:right="40" w:firstLine="556"/>
        <w:spacing w:after="0" w:line="267" w:lineRule="auto"/>
        <w:rPr>
          <w:sz w:val="20"/>
          <w:szCs w:val="20"/>
          <w:color w:val="auto"/>
        </w:rPr>
      </w:pPr>
      <w:r>
        <w:rPr>
          <w:rFonts w:ascii="Arial" w:cs="Arial" w:eastAsia="Arial" w:hAnsi="Arial"/>
          <w:sz w:val="13"/>
          <w:szCs w:val="13"/>
          <w:color w:val="auto"/>
        </w:rPr>
        <w:t>BioNTech’s internal reporting is generally in accordance with IFRS and in line with the Group’s accounting policies, except for minor deviations in classification between cost of sales and research and development cost. Whenever revenues are attributable to different segments, these revenues are split based on the incurred cost. Internal overhead costs are allocated to segments based on revenues when they are directly attributable to a service rendered. Sales and marketing expenses, general and administrative expenses and the other result that are not directly attributable to one of the segments are allocated to Business Service.</w:t>
      </w:r>
    </w:p>
    <w:p>
      <w:pPr>
        <w:spacing w:after="0" w:line="135"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To reconcile the segment figures to the Group’s financial statements for the year ended December 31, 2019, the presentation of k439 of research and development cost was adjusted (for the year ended December 31, 2018: k292).</w:t>
      </w:r>
    </w:p>
    <w:p>
      <w:pPr>
        <w:spacing w:after="0" w:line="122" w:lineRule="exact"/>
        <w:rPr>
          <w:sz w:val="20"/>
          <w:szCs w:val="20"/>
          <w:color w:val="auto"/>
        </w:rPr>
      </w:pPr>
    </w:p>
    <w:p>
      <w:pPr>
        <w:ind w:firstLine="556"/>
        <w:spacing w:after="0" w:line="287" w:lineRule="auto"/>
        <w:rPr>
          <w:sz w:val="20"/>
          <w:szCs w:val="20"/>
          <w:color w:val="auto"/>
        </w:rPr>
      </w:pPr>
      <w:r>
        <w:rPr>
          <w:rFonts w:ascii="Arial" w:cs="Arial" w:eastAsia="Arial" w:hAnsi="Arial"/>
          <w:sz w:val="12"/>
          <w:szCs w:val="12"/>
          <w:color w:val="auto"/>
        </w:rPr>
        <w:t>Revenue at BioNTech can be differentiated between revenues resulting from collaboration and license agreements and revenues from other sales. The Company collaborates with reputable pharmaceutical and healthcare companies and several global academic collaborators. During the year ended December 31, 2019, the revenue generated from the Genentech and Pfizer collaboration agreements represent each more than 10% of BioNTech’s overall revenue resulting from collaboration and license agreements. The revenues were partly recorded in the Clinical as well as Manufacturing segment. During the year ended December 31, 2018, the revenue generated from the Genentech and Sanofi collaboration agreements represent each more than 10% of BioNTech’s overall revenue resulting from collaboration and license agreements. The revenues were partly recorded in the Clinical, Technology Platform as well as Manufacturing segment. During the year ended December 31, 2017, the revenue generated from the Genentech, Genmab and Sanofi collaboration agreements represent each more than 10% of BioNTech’s overall revenue resulting from collaboration and license agreements. The revenues were partly recorded in the Clinical, Technology Platform as well as Manufacturing segment. The total amounts of revenues generated with these customers in the periods presented are disclosed in Note 4.</w:t>
      </w:r>
    </w:p>
    <w:p>
      <w:pPr>
        <w:spacing w:after="0" w:line="125" w:lineRule="exact"/>
        <w:rPr>
          <w:sz w:val="20"/>
          <w:szCs w:val="20"/>
          <w:color w:val="auto"/>
        </w:rPr>
      </w:pPr>
    </w:p>
    <w:p>
      <w:pPr>
        <w:ind w:right="80" w:firstLine="556"/>
        <w:spacing w:after="0" w:line="287" w:lineRule="auto"/>
        <w:rPr>
          <w:sz w:val="20"/>
          <w:szCs w:val="20"/>
          <w:color w:val="auto"/>
        </w:rPr>
      </w:pPr>
      <w:r>
        <w:rPr>
          <w:rFonts w:ascii="Arial" w:cs="Arial" w:eastAsia="Arial" w:hAnsi="Arial"/>
          <w:sz w:val="13"/>
          <w:szCs w:val="13"/>
          <w:color w:val="auto"/>
        </w:rPr>
        <w:t>Revenues from other sales result from the sale of medical products (</w:t>
      </w:r>
      <w:r>
        <w:rPr>
          <w:rFonts w:ascii="Arial" w:cs="Arial" w:eastAsia="Arial" w:hAnsi="Arial"/>
          <w:sz w:val="13"/>
          <w:szCs w:val="13"/>
          <w:i w:val="1"/>
          <w:iCs w:val="1"/>
          <w:color w:val="auto"/>
        </w:rPr>
        <w:t>e.g.</w:t>
      </w:r>
      <w:r>
        <w:rPr>
          <w:rFonts w:ascii="Arial" w:cs="Arial" w:eastAsia="Arial" w:hAnsi="Arial"/>
          <w:sz w:val="13"/>
          <w:szCs w:val="13"/>
          <w:color w:val="auto"/>
        </w:rPr>
        <w:t>, peptides and retroviral vectors) for clinical supply. Research and development activities are managed on a worldwide basis but the operative manufacturing facilities and sales offices are located and managed in Germany. External sales are originated in Germany.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20"/>
                <w:szCs w:val="20"/>
                <w:color w:val="auto"/>
              </w:rPr>
            </w:pPr>
            <w:r>
              <w:rPr>
                <w:rFonts w:ascii="Arial" w:cs="Arial" w:eastAsia="Arial" w:hAnsi="Arial"/>
                <w:sz w:val="13"/>
                <w:szCs w:val="13"/>
                <w:b w:val="1"/>
                <w:bCs w:val="1"/>
                <w:color w:val="auto"/>
              </w:rPr>
              <w:t>21</w:t>
            </w:r>
          </w:p>
        </w:tc>
        <w:tc>
          <w:tcPr>
            <w:tcW w:w="2500" w:type="dxa"/>
            <w:vAlign w:val="bottom"/>
          </w:tcPr>
          <w:p>
            <w:pPr>
              <w:ind w:left="280"/>
              <w:spacing w:after="0"/>
              <w:rPr>
                <w:sz w:val="20"/>
                <w:szCs w:val="20"/>
                <w:color w:val="auto"/>
              </w:rPr>
            </w:pPr>
            <w:r>
              <w:rPr>
                <w:rFonts w:ascii="Arial" w:cs="Arial" w:eastAsia="Arial" w:hAnsi="Arial"/>
                <w:sz w:val="13"/>
                <w:szCs w:val="13"/>
                <w:b w:val="1"/>
                <w:bCs w:val="1"/>
                <w:color w:val="auto"/>
              </w:rPr>
              <w:t>Related Party Disclosures</w:t>
            </w:r>
          </w:p>
        </w:tc>
      </w:tr>
      <w:tr>
        <w:trPr>
          <w:trHeight w:val="240"/>
        </w:trPr>
        <w:tc>
          <w:tcPr>
            <w:tcW w:w="520" w:type="dxa"/>
            <w:vAlign w:val="bottom"/>
          </w:tcPr>
          <w:p>
            <w:pPr>
              <w:spacing w:after="0"/>
              <w:rPr>
                <w:sz w:val="20"/>
                <w:szCs w:val="20"/>
                <w:color w:val="auto"/>
              </w:rPr>
            </w:pPr>
            <w:r>
              <w:rPr>
                <w:rFonts w:ascii="Arial" w:cs="Arial" w:eastAsia="Arial" w:hAnsi="Arial"/>
                <w:sz w:val="13"/>
                <w:szCs w:val="13"/>
                <w:b w:val="1"/>
                <w:bCs w:val="1"/>
                <w:color w:val="auto"/>
              </w:rPr>
              <w:t>21.1</w:t>
            </w:r>
          </w:p>
        </w:tc>
        <w:tc>
          <w:tcPr>
            <w:tcW w:w="2500" w:type="dxa"/>
            <w:vAlign w:val="bottom"/>
          </w:tcPr>
          <w:p>
            <w:pPr>
              <w:ind w:left="280"/>
              <w:spacing w:after="0"/>
              <w:rPr>
                <w:sz w:val="20"/>
                <w:szCs w:val="20"/>
                <w:color w:val="auto"/>
              </w:rPr>
            </w:pPr>
            <w:r>
              <w:rPr>
                <w:rFonts w:ascii="Arial" w:cs="Arial" w:eastAsia="Arial" w:hAnsi="Arial"/>
                <w:sz w:val="13"/>
                <w:szCs w:val="13"/>
                <w:b w:val="1"/>
                <w:bCs w:val="1"/>
                <w:color w:val="auto"/>
                <w:w w:val="95"/>
              </w:rPr>
              <w:t>Parent and Ultimate Controlling Party</w:t>
            </w:r>
          </w:p>
        </w:tc>
      </w:tr>
    </w:tbl>
    <w:p>
      <w:pPr>
        <w:spacing w:after="0" w:line="71" w:lineRule="exact"/>
        <w:rPr>
          <w:sz w:val="20"/>
          <w:szCs w:val="20"/>
          <w:color w:val="auto"/>
        </w:rPr>
      </w:pPr>
    </w:p>
    <w:p>
      <w:pPr>
        <w:ind w:right="120" w:firstLine="556"/>
        <w:spacing w:after="0" w:line="287" w:lineRule="auto"/>
        <w:rPr>
          <w:sz w:val="20"/>
          <w:szCs w:val="20"/>
          <w:color w:val="auto"/>
        </w:rPr>
      </w:pPr>
      <w:r>
        <w:rPr>
          <w:rFonts w:ascii="Arial" w:cs="Arial" w:eastAsia="Arial" w:hAnsi="Arial"/>
          <w:sz w:val="13"/>
          <w:szCs w:val="13"/>
          <w:color w:val="auto"/>
        </w:rPr>
        <w:t>ATHOS KG, Holzkirchen, Germany owns 100% of shares in AT Impf GmbH, Munich, Germany and is the beneficiary owner of BioNTech. AT Impf GmbH, Munich, Germany is the parent company of the Group.</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80" w:right="31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73"/>
        </w:trPr>
        <w:tc>
          <w:tcPr>
            <w:tcW w:w="560" w:type="dxa"/>
            <w:vAlign w:val="bottom"/>
          </w:tcPr>
          <w:p>
            <w:pPr>
              <w:spacing w:after="0"/>
              <w:rPr>
                <w:sz w:val="20"/>
                <w:szCs w:val="20"/>
                <w:color w:val="auto"/>
              </w:rPr>
            </w:pPr>
            <w:r>
              <w:rPr>
                <w:rFonts w:ascii="Arial" w:cs="Arial" w:eastAsia="Arial" w:hAnsi="Arial"/>
                <w:sz w:val="13"/>
                <w:szCs w:val="13"/>
                <w:b w:val="1"/>
                <w:bCs w:val="1"/>
                <w:color w:val="auto"/>
              </w:rPr>
              <w:t>21.2</w:t>
            </w:r>
          </w:p>
        </w:tc>
        <w:tc>
          <w:tcPr>
            <w:tcW w:w="5940" w:type="dxa"/>
            <w:vAlign w:val="bottom"/>
          </w:tcPr>
          <w:p>
            <w:pPr>
              <w:ind w:left="240"/>
              <w:spacing w:after="0"/>
              <w:rPr>
                <w:sz w:val="20"/>
                <w:szCs w:val="20"/>
                <w:color w:val="auto"/>
              </w:rPr>
            </w:pPr>
            <w:r>
              <w:rPr>
                <w:rFonts w:ascii="Arial" w:cs="Arial" w:eastAsia="Arial" w:hAnsi="Arial"/>
                <w:sz w:val="13"/>
                <w:szCs w:val="13"/>
                <w:b w:val="1"/>
                <w:bCs w:val="1"/>
                <w:color w:val="auto"/>
              </w:rPr>
              <w:t>Transactions with Key Management Personnel</w:t>
            </w: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500" w:type="dxa"/>
            <w:vAlign w:val="bottom"/>
            <w:gridSpan w:val="2"/>
          </w:tcPr>
          <w:p>
            <w:pPr>
              <w:spacing w:after="0"/>
              <w:rPr>
                <w:sz w:val="20"/>
                <w:szCs w:val="20"/>
                <w:color w:val="auto"/>
              </w:rPr>
            </w:pPr>
            <w:r>
              <w:rPr>
                <w:rFonts w:ascii="Arial" w:cs="Arial" w:eastAsia="Arial" w:hAnsi="Arial"/>
                <w:sz w:val="13"/>
                <w:szCs w:val="13"/>
                <w:b w:val="1"/>
                <w:bCs w:val="1"/>
                <w:color w:val="auto"/>
              </w:rPr>
              <w:t>Key Management Personnel Compensation</w:t>
            </w:r>
          </w:p>
        </w:tc>
        <w:tc>
          <w:tcPr>
            <w:tcW w:w="1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vMerge w:val="restart"/>
          </w:tcPr>
          <w:p>
            <w:pPr>
              <w:spacing w:after="0"/>
              <w:rPr>
                <w:sz w:val="20"/>
                <w:szCs w:val="20"/>
                <w:color w:val="auto"/>
              </w:rPr>
            </w:pPr>
            <w:r>
              <w:rPr>
                <w:rFonts w:ascii="Arial" w:cs="Arial" w:eastAsia="Arial" w:hAnsi="Arial"/>
                <w:sz w:val="13"/>
                <w:szCs w:val="13"/>
                <w:color w:val="auto"/>
                <w:w w:val="99"/>
              </w:rPr>
              <w:t>following:</w:t>
            </w:r>
          </w:p>
        </w:tc>
        <w:tc>
          <w:tcPr>
            <w:tcW w:w="10740" w:type="dxa"/>
            <w:vAlign w:val="bottom"/>
            <w:gridSpan w:val="4"/>
          </w:tcPr>
          <w:p>
            <w:pPr>
              <w:jc w:val="right"/>
              <w:ind w:right="273"/>
              <w:spacing w:after="0"/>
              <w:rPr>
                <w:sz w:val="20"/>
                <w:szCs w:val="20"/>
                <w:color w:val="auto"/>
              </w:rPr>
            </w:pPr>
            <w:r>
              <w:rPr>
                <w:rFonts w:ascii="Arial" w:cs="Arial" w:eastAsia="Arial" w:hAnsi="Arial"/>
                <w:sz w:val="13"/>
                <w:szCs w:val="13"/>
                <w:color w:val="auto"/>
                <w:w w:val="91"/>
              </w:rPr>
              <w:t>Key management personnel at BioNTech has been defined as the members of the Management Board and of the Supervisory Board. Key management personnel compensation is comprised of the</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5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6500" w:type="dxa"/>
            <w:vAlign w:val="bottom"/>
            <w:gridSpan w:val="2"/>
          </w:tcPr>
          <w:p>
            <w:pPr>
              <w:spacing w:after="0"/>
              <w:rPr>
                <w:sz w:val="20"/>
                <w:szCs w:val="20"/>
                <w:color w:val="auto"/>
              </w:rPr>
            </w:pPr>
            <w:r>
              <w:rPr>
                <w:rFonts w:ascii="Arial" w:cs="Arial" w:eastAsia="Arial" w:hAnsi="Arial"/>
                <w:sz w:val="13"/>
                <w:szCs w:val="13"/>
                <w:b w:val="1"/>
                <w:bCs w:val="1"/>
                <w:color w:val="auto"/>
              </w:rPr>
              <w:t>Compensation of key management personnel of the Group</w:t>
            </w:r>
          </w:p>
        </w:tc>
        <w:tc>
          <w:tcPr>
            <w:tcW w:w="1600" w:type="dxa"/>
            <w:vAlign w:val="bottom"/>
          </w:tcPr>
          <w:p>
            <w:pPr>
              <w:spacing w:after="0"/>
              <w:rPr>
                <w:sz w:val="24"/>
                <w:szCs w:val="24"/>
                <w:color w:val="auto"/>
              </w:rPr>
            </w:pPr>
          </w:p>
        </w:tc>
        <w:tc>
          <w:tcPr>
            <w:tcW w:w="1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6500" w:type="dxa"/>
            <w:vAlign w:val="bottom"/>
            <w:tcBorders>
              <w:right w:val="single" w:sz="8" w:color="70AD47"/>
            </w:tcBorders>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162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6500" w:type="dxa"/>
            <w:vAlign w:val="bottom"/>
            <w:tcBorders>
              <w:right w:val="single" w:sz="8" w:color="70AD47"/>
            </w:tcBorders>
            <w:gridSpan w:val="2"/>
            <w:vMerge w:val="continue"/>
          </w:tcPr>
          <w:p>
            <w:pPr>
              <w:spacing w:after="0"/>
              <w:rPr>
                <w:sz w:val="8"/>
                <w:szCs w:val="8"/>
                <w:color w:val="auto"/>
              </w:rPr>
            </w:pP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80"/>
        </w:trPr>
        <w:tc>
          <w:tcPr>
            <w:tcW w:w="560" w:type="dxa"/>
            <w:vAlign w:val="bottom"/>
            <w:tcBorders>
              <w:bottom w:val="single" w:sz="8" w:color="70AD47"/>
            </w:tcBorders>
          </w:tcPr>
          <w:p>
            <w:pPr>
              <w:spacing w:after="0"/>
              <w:rPr>
                <w:sz w:val="6"/>
                <w:szCs w:val="6"/>
                <w:color w:val="auto"/>
              </w:rPr>
            </w:pPr>
          </w:p>
        </w:tc>
        <w:tc>
          <w:tcPr>
            <w:tcW w:w="594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620" w:type="dxa"/>
            <w:vAlign w:val="bottom"/>
            <w:tcBorders>
              <w:bottom w:val="single" w:sz="8" w:color="70AD47"/>
            </w:tcBorders>
            <w:vMerge w:val="continue"/>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50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Short-term employee benefits</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€1,847</w:t>
            </w:r>
          </w:p>
        </w:tc>
        <w:tc>
          <w:tcPr>
            <w:tcW w:w="1620" w:type="dxa"/>
            <w:vAlign w:val="bottom"/>
            <w:tcBorders>
              <w:right w:val="single" w:sz="8" w:color="70AD47"/>
            </w:tcBorders>
          </w:tcPr>
          <w:p>
            <w:pPr>
              <w:jc w:val="right"/>
              <w:spacing w:after="0"/>
              <w:rPr>
                <w:sz w:val="20"/>
                <w:szCs w:val="20"/>
                <w:color w:val="auto"/>
              </w:rPr>
            </w:pPr>
            <w:r>
              <w:rPr>
                <w:rFonts w:ascii="Arial" w:cs="Arial" w:eastAsia="Arial" w:hAnsi="Arial"/>
                <w:sz w:val="13"/>
                <w:szCs w:val="13"/>
                <w:color w:val="auto"/>
              </w:rPr>
              <w:t>€1,161</w:t>
            </w:r>
          </w:p>
        </w:tc>
        <w:tc>
          <w:tcPr>
            <w:tcW w:w="1580" w:type="dxa"/>
            <w:vAlign w:val="bottom"/>
          </w:tcPr>
          <w:p>
            <w:pPr>
              <w:jc w:val="right"/>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170"/>
        </w:trPr>
        <w:tc>
          <w:tcPr>
            <w:tcW w:w="650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Share-based payment transactions</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18,151</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color w:val="auto"/>
              </w:rPr>
              <w:t>6,163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1,855</w:t>
            </w:r>
          </w:p>
        </w:tc>
        <w:tc>
          <w:tcPr>
            <w:tcW w:w="0" w:type="dxa"/>
            <w:vAlign w:val="bottom"/>
          </w:tcPr>
          <w:p>
            <w:pPr>
              <w:spacing w:after="0"/>
              <w:rPr>
                <w:sz w:val="1"/>
                <w:szCs w:val="1"/>
                <w:color w:val="auto"/>
              </w:rPr>
            </w:pPr>
          </w:p>
        </w:tc>
      </w:tr>
      <w:tr>
        <w:trPr>
          <w:trHeight w:val="160"/>
        </w:trPr>
        <w:tc>
          <w:tcPr>
            <w:tcW w:w="650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b w:val="1"/>
                <w:bCs w:val="1"/>
                <w:color w:val="auto"/>
              </w:rPr>
              <w:t>Total compensation paid to key management personnel</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€19,998</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13"/>
                <w:szCs w:val="13"/>
                <w:b w:val="1"/>
                <w:bCs w:val="1"/>
                <w:color w:val="auto"/>
              </w:rPr>
              <w:t>€7,324</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€2,735</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September 2019, BioNTech agreed to grant Prof. Ugur Sahin, M.D., BioNTech’s co-founder and Chief Executive Officer, an option to purchase 4,374,963 ordinary shares (see Note 17).</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Executive officers also participate in the Group’s ESOP and SAR program (see Note 17).</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Management Personnel Transactions</w:t>
      </w:r>
    </w:p>
    <w:p>
      <w:pPr>
        <w:spacing w:after="0" w:line="94" w:lineRule="exact"/>
        <w:rPr>
          <w:sz w:val="20"/>
          <w:szCs w:val="20"/>
          <w:color w:val="auto"/>
        </w:rPr>
      </w:pPr>
    </w:p>
    <w:p>
      <w:pPr>
        <w:ind w:right="100" w:firstLine="556"/>
        <w:spacing w:after="0" w:line="287" w:lineRule="auto"/>
        <w:rPr>
          <w:sz w:val="20"/>
          <w:szCs w:val="20"/>
          <w:color w:val="auto"/>
        </w:rPr>
      </w:pPr>
      <w:r>
        <w:rPr>
          <w:rFonts w:ascii="Arial" w:cs="Arial" w:eastAsia="Arial" w:hAnsi="Arial"/>
          <w:sz w:val="13"/>
          <w:szCs w:val="13"/>
          <w:color w:val="auto"/>
        </w:rPr>
        <w:t>A number of key management personnel, or their related parties, hold positions in other companies that results in them having control or significant influence over these companies. A number of these companies have had transactions with the Group during the year.</w:t>
      </w:r>
    </w:p>
    <w:p>
      <w:pPr>
        <w:spacing w:after="0" w:line="122" w:lineRule="exact"/>
        <w:rPr>
          <w:sz w:val="20"/>
          <w:szCs w:val="20"/>
          <w:color w:val="auto"/>
        </w:rPr>
      </w:pPr>
    </w:p>
    <w:p>
      <w:pPr>
        <w:ind w:right="100" w:firstLine="556"/>
        <w:spacing w:after="0" w:line="267" w:lineRule="auto"/>
        <w:rPr>
          <w:sz w:val="20"/>
          <w:szCs w:val="20"/>
          <w:color w:val="auto"/>
        </w:rPr>
      </w:pPr>
      <w:r>
        <w:rPr>
          <w:rFonts w:ascii="Arial" w:cs="Arial" w:eastAsia="Arial" w:hAnsi="Arial"/>
          <w:sz w:val="13"/>
          <w:szCs w:val="13"/>
          <w:color w:val="auto"/>
        </w:rPr>
        <w:t xml:space="preserve">The Group purchases various goods and services from research institutes where </w:t>
      </w:r>
      <w:r>
        <w:rPr>
          <w:rFonts w:ascii="Arial" w:cs="Arial" w:eastAsia="Arial" w:hAnsi="Arial"/>
          <w:sz w:val="13"/>
          <w:szCs w:val="13"/>
          <w:color w:val="231F20"/>
        </w:rPr>
        <w:t>Prof. Ugur Sahin, M.D., our co-founder and Chief Executive Officer, co-founded TRON and served as Managing</w:t>
      </w:r>
      <w:r>
        <w:rPr>
          <w:rFonts w:ascii="Arial" w:cs="Arial" w:eastAsia="Arial" w:hAnsi="Arial"/>
          <w:sz w:val="13"/>
          <w:szCs w:val="13"/>
          <w:color w:val="auto"/>
        </w:rPr>
        <w:t xml:space="preserve"> </w:t>
      </w:r>
      <w:r>
        <w:rPr>
          <w:rFonts w:ascii="Arial" w:cs="Arial" w:eastAsia="Arial" w:hAnsi="Arial"/>
          <w:sz w:val="13"/>
          <w:szCs w:val="13"/>
          <w:color w:val="231F20"/>
        </w:rPr>
        <w:t>Director at TRON until 2019 and currently serves as a Professor of Medicine at the University of Mainz. Prof. Sahin resigned from this position with TRON, effective September 10, 2019. Additionally, Prof. Christoph Huber, M.D., a member of our Supervisory Board, served on TRON’s supervisory board until his resignation in April 2019. Prof. Ugur Sahin, M.D., our co-founder and Chief Executive Officer, owns a significant amount of shares in TRON.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60" w:type="dxa"/>
            <w:vAlign w:val="bottom"/>
            <w:gridSpan w:val="2"/>
          </w:tcPr>
          <w:p>
            <w:pPr>
              <w:ind w:left="560"/>
              <w:spacing w:after="0"/>
              <w:rPr>
                <w:sz w:val="20"/>
                <w:szCs w:val="20"/>
                <w:color w:val="auto"/>
              </w:rPr>
            </w:pPr>
            <w:r>
              <w:rPr>
                <w:rFonts w:ascii="Arial" w:cs="Arial" w:eastAsia="Arial" w:hAnsi="Arial"/>
                <w:sz w:val="13"/>
                <w:szCs w:val="13"/>
                <w:color w:val="auto"/>
                <w:w w:val="98"/>
              </w:rPr>
              <w:t>The aggregate value of transactions related to key management personnel were as follows for the periods indicated:</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3"/>
                <w:szCs w:val="13"/>
                <w:color w:val="auto"/>
              </w:rPr>
            </w:pPr>
          </w:p>
        </w:tc>
        <w:tc>
          <w:tcPr>
            <w:tcW w:w="40" w:type="dxa"/>
            <w:vAlign w:val="bottom"/>
            <w:vMerge w:val="restart"/>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tcBorders>
              <w:right w:val="single" w:sz="8" w:color="70AD47"/>
            </w:tcBorders>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760" w:type="dxa"/>
            <w:vAlign w:val="bottom"/>
            <w:shd w:val="clear" w:color="auto" w:fill="C6E0B4"/>
          </w:tcPr>
          <w:p>
            <w:pPr>
              <w:spacing w:after="0"/>
              <w:rPr>
                <w:sz w:val="13"/>
                <w:szCs w:val="13"/>
                <w:color w:val="auto"/>
              </w:rPr>
            </w:pPr>
          </w:p>
        </w:tc>
        <w:tc>
          <w:tcPr>
            <w:tcW w:w="8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w w:val="96"/>
              </w:rPr>
              <w:t>December 31,</w:t>
            </w:r>
          </w:p>
        </w:tc>
        <w:tc>
          <w:tcPr>
            <w:tcW w:w="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6400" w:type="dxa"/>
            <w:vAlign w:val="bottom"/>
            <w:tcBorders>
              <w:right w:val="single" w:sz="8" w:color="70AD47"/>
            </w:tcBorders>
            <w:vMerge w:val="continue"/>
          </w:tcPr>
          <w:p>
            <w:pPr>
              <w:spacing w:after="0"/>
              <w:rPr>
                <w:sz w:val="8"/>
                <w:szCs w:val="8"/>
                <w:color w:val="auto"/>
              </w:rPr>
            </w:pPr>
          </w:p>
        </w:tc>
        <w:tc>
          <w:tcPr>
            <w:tcW w:w="760" w:type="dxa"/>
            <w:vAlign w:val="bottom"/>
            <w:shd w:val="clear" w:color="auto" w:fill="C6E0B4"/>
          </w:tcPr>
          <w:p>
            <w:pPr>
              <w:spacing w:after="0"/>
              <w:rPr>
                <w:sz w:val="8"/>
                <w:szCs w:val="8"/>
                <w:color w:val="auto"/>
              </w:rPr>
            </w:pPr>
          </w:p>
        </w:tc>
        <w:tc>
          <w:tcPr>
            <w:tcW w:w="88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6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20" w:type="dxa"/>
            <w:vAlign w:val="bottom"/>
            <w:shd w:val="clear" w:color="auto" w:fill="70AD47"/>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400" w:type="dxa"/>
            <w:vAlign w:val="bottom"/>
            <w:tcBorders>
              <w:bottom w:val="single" w:sz="8" w:color="70AD47"/>
              <w:right w:val="single" w:sz="8" w:color="70AD47"/>
            </w:tcBorders>
          </w:tcPr>
          <w:p>
            <w:pPr>
              <w:spacing w:after="0"/>
              <w:rPr>
                <w:sz w:val="6"/>
                <w:szCs w:val="6"/>
                <w:color w:val="auto"/>
              </w:rPr>
            </w:pPr>
          </w:p>
        </w:tc>
        <w:tc>
          <w:tcPr>
            <w:tcW w:w="760" w:type="dxa"/>
            <w:vAlign w:val="bottom"/>
            <w:tcBorders>
              <w:bottom w:val="single" w:sz="8" w:color="70AD47"/>
            </w:tcBorders>
            <w:shd w:val="clear" w:color="auto" w:fill="C6E0B4"/>
          </w:tcPr>
          <w:p>
            <w:pPr>
              <w:spacing w:after="0"/>
              <w:rPr>
                <w:sz w:val="6"/>
                <w:szCs w:val="6"/>
                <w:color w:val="auto"/>
              </w:rPr>
            </w:pPr>
          </w:p>
        </w:tc>
        <w:tc>
          <w:tcPr>
            <w:tcW w:w="88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600" w:type="dxa"/>
            <w:vAlign w:val="bottom"/>
            <w:tcBorders>
              <w:bottom w:val="single" w:sz="8" w:color="70AD47"/>
            </w:tcBorders>
            <w:gridSpan w:val="2"/>
            <w:vMerge w:val="continue"/>
          </w:tcPr>
          <w:p>
            <w:pPr>
              <w:spacing w:after="0"/>
              <w:rPr>
                <w:sz w:val="6"/>
                <w:szCs w:val="6"/>
                <w:color w:val="auto"/>
              </w:rPr>
            </w:pPr>
          </w:p>
        </w:tc>
        <w:tc>
          <w:tcPr>
            <w:tcW w:w="20" w:type="dxa"/>
            <w:vAlign w:val="bottom"/>
            <w:tcBorders>
              <w:bottom w:val="single" w:sz="8" w:color="70AD47"/>
            </w:tcBorders>
            <w:shd w:val="clear" w:color="auto" w:fill="70AD47"/>
          </w:tcPr>
          <w:p>
            <w:pPr>
              <w:spacing w:after="0"/>
              <w:rPr>
                <w:sz w:val="6"/>
                <w:szCs w:val="6"/>
                <w:color w:val="auto"/>
              </w:rPr>
            </w:pPr>
          </w:p>
        </w:tc>
        <w:tc>
          <w:tcPr>
            <w:tcW w:w="40" w:type="dxa"/>
            <w:vAlign w:val="bottom"/>
            <w:tcBorders>
              <w:bottom w:val="single" w:sz="8" w:color="70AD47"/>
            </w:tcBorders>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400" w:type="dxa"/>
            <w:vAlign w:val="bottom"/>
            <w:tcBorders>
              <w:right w:val="single" w:sz="8" w:color="70AD47"/>
            </w:tcBorders>
          </w:tcPr>
          <w:p>
            <w:pPr>
              <w:spacing w:after="0"/>
              <w:rPr>
                <w:sz w:val="20"/>
                <w:szCs w:val="20"/>
                <w:color w:val="auto"/>
              </w:rPr>
            </w:pPr>
            <w:r>
              <w:rPr>
                <w:rFonts w:ascii="Arial" w:cs="Arial" w:eastAsia="Arial" w:hAnsi="Arial"/>
                <w:sz w:val="13"/>
                <w:szCs w:val="13"/>
                <w:color w:val="auto"/>
              </w:rPr>
              <w:t>Consulting services / patent assignment</w:t>
            </w:r>
          </w:p>
        </w:tc>
        <w:tc>
          <w:tcPr>
            <w:tcW w:w="760" w:type="dxa"/>
            <w:vAlign w:val="bottom"/>
            <w:shd w:val="clear" w:color="auto" w:fill="C6E0B4"/>
          </w:tcPr>
          <w:p>
            <w:pPr>
              <w:spacing w:after="0"/>
              <w:rPr>
                <w:sz w:val="13"/>
                <w:szCs w:val="13"/>
                <w:color w:val="auto"/>
              </w:rPr>
            </w:pPr>
          </w:p>
        </w:tc>
        <w:tc>
          <w:tcPr>
            <w:tcW w:w="8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shd w:val="clear" w:color="auto" w:fill="70AD47"/>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4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color w:val="auto"/>
              </w:rPr>
              <w:t>Purchases of various goods and services from TRON</w:t>
            </w:r>
          </w:p>
        </w:tc>
        <w:tc>
          <w:tcPr>
            <w:tcW w:w="760" w:type="dxa"/>
            <w:vAlign w:val="bottom"/>
            <w:tcBorders>
              <w:bottom w:val="single" w:sz="8" w:color="70AD47"/>
            </w:tcBorders>
            <w:shd w:val="clear" w:color="auto" w:fill="C6E0B4"/>
          </w:tcPr>
          <w:p>
            <w:pPr>
              <w:spacing w:after="0"/>
              <w:rPr>
                <w:sz w:val="14"/>
                <w:szCs w:val="14"/>
                <w:color w:val="auto"/>
              </w:rPr>
            </w:pPr>
          </w:p>
        </w:tc>
        <w:tc>
          <w:tcPr>
            <w:tcW w:w="8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9,968</w:t>
            </w:r>
          </w:p>
        </w:tc>
        <w:tc>
          <w:tcPr>
            <w:tcW w:w="1600" w:type="dxa"/>
            <w:vAlign w:val="bottom"/>
            <w:tcBorders>
              <w:bottom w:val="single" w:sz="8" w:color="70AD47"/>
            </w:tcBorders>
            <w:gridSpan w:val="2"/>
          </w:tcPr>
          <w:p>
            <w:pPr>
              <w:jc w:val="right"/>
              <w:spacing w:after="0"/>
              <w:rPr>
                <w:sz w:val="20"/>
                <w:szCs w:val="20"/>
                <w:color w:val="auto"/>
              </w:rPr>
            </w:pPr>
            <w:r>
              <w:rPr>
                <w:rFonts w:ascii="Arial" w:cs="Arial" w:eastAsia="Arial" w:hAnsi="Arial"/>
                <w:sz w:val="13"/>
                <w:szCs w:val="13"/>
                <w:color w:val="auto"/>
              </w:rPr>
              <w:t>11,160</w:t>
            </w:r>
          </w:p>
        </w:tc>
        <w:tc>
          <w:tcPr>
            <w:tcW w:w="20" w:type="dxa"/>
            <w:vAlign w:val="bottom"/>
            <w:tcBorders>
              <w:bottom w:val="single" w:sz="8" w:color="70AD47"/>
            </w:tcBorders>
            <w:shd w:val="clear" w:color="auto" w:fill="70AD47"/>
          </w:tcPr>
          <w:p>
            <w:pPr>
              <w:spacing w:after="0"/>
              <w:rPr>
                <w:sz w:val="14"/>
                <w:szCs w:val="14"/>
                <w:color w:val="auto"/>
              </w:rPr>
            </w:pPr>
          </w:p>
        </w:tc>
        <w:tc>
          <w:tcPr>
            <w:tcW w:w="40" w:type="dxa"/>
            <w:vAlign w:val="bottom"/>
            <w:tcBorders>
              <w:bottom w:val="single" w:sz="8" w:color="70AD47"/>
            </w:tcBorders>
          </w:tcPr>
          <w:p>
            <w:pPr>
              <w:spacing w:after="0"/>
              <w:rPr>
                <w:sz w:val="14"/>
                <w:szCs w:val="14"/>
                <w:color w:val="auto"/>
              </w:rPr>
            </w:pP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6,553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40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760" w:type="dxa"/>
            <w:vAlign w:val="bottom"/>
            <w:tcBorders>
              <w:bottom w:val="single" w:sz="8" w:color="70AD47"/>
            </w:tcBorders>
            <w:shd w:val="clear" w:color="auto" w:fill="C6E0B4"/>
          </w:tcPr>
          <w:p>
            <w:pPr>
              <w:spacing w:after="0"/>
              <w:rPr>
                <w:sz w:val="13"/>
                <w:szCs w:val="13"/>
                <w:color w:val="auto"/>
              </w:rPr>
            </w:pPr>
          </w:p>
        </w:tc>
        <w:tc>
          <w:tcPr>
            <w:tcW w:w="8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€10,024</w:t>
            </w:r>
          </w:p>
        </w:tc>
        <w:tc>
          <w:tcPr>
            <w:tcW w:w="60" w:type="dxa"/>
            <w:vAlign w:val="bottom"/>
            <w:tcBorders>
              <w:bottom w:val="single" w:sz="8" w:color="70AD47"/>
            </w:tcBorders>
          </w:tcPr>
          <w:p>
            <w:pPr>
              <w:spacing w:after="0"/>
              <w:rPr>
                <w:sz w:val="13"/>
                <w:szCs w:val="13"/>
                <w:color w:val="auto"/>
              </w:rPr>
            </w:pPr>
          </w:p>
        </w:tc>
        <w:tc>
          <w:tcPr>
            <w:tcW w:w="15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€11,185</w:t>
            </w:r>
          </w:p>
        </w:tc>
        <w:tc>
          <w:tcPr>
            <w:tcW w:w="20" w:type="dxa"/>
            <w:vAlign w:val="bottom"/>
            <w:tcBorders>
              <w:bottom w:val="single" w:sz="8" w:color="70AD47"/>
            </w:tcBorders>
            <w:shd w:val="clear" w:color="auto" w:fill="70AD47"/>
          </w:tcPr>
          <w:p>
            <w:pPr>
              <w:spacing w:after="0"/>
              <w:rPr>
                <w:sz w:val="13"/>
                <w:szCs w:val="13"/>
                <w:color w:val="auto"/>
              </w:rPr>
            </w:pPr>
          </w:p>
        </w:tc>
        <w:tc>
          <w:tcPr>
            <w:tcW w:w="40" w:type="dxa"/>
            <w:vAlign w:val="bottom"/>
            <w:tcBorders>
              <w:bottom w:val="single" w:sz="8" w:color="70AD47"/>
            </w:tcBorders>
          </w:tcPr>
          <w:p>
            <w:pPr>
              <w:spacing w:after="0"/>
              <w:rPr>
                <w:sz w:val="13"/>
                <w:szCs w:val="13"/>
                <w:color w:val="auto"/>
              </w:rPr>
            </w:pP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€6,578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0"/>
        </w:trPr>
        <w:tc>
          <w:tcPr>
            <w:tcW w:w="7160" w:type="dxa"/>
            <w:vAlign w:val="bottom"/>
            <w:gridSpan w:val="2"/>
          </w:tcPr>
          <w:p>
            <w:pPr>
              <w:ind w:left="560"/>
              <w:spacing w:after="0"/>
              <w:rPr>
                <w:sz w:val="20"/>
                <w:szCs w:val="20"/>
                <w:color w:val="auto"/>
              </w:rPr>
            </w:pPr>
            <w:r>
              <w:rPr>
                <w:rFonts w:ascii="Arial" w:cs="Arial" w:eastAsia="Arial" w:hAnsi="Arial"/>
                <w:sz w:val="13"/>
                <w:szCs w:val="13"/>
                <w:color w:val="auto"/>
                <w:w w:val="92"/>
              </w:rPr>
              <w:t>The outstanding balances of transactions related to key management personnel were as follows as at the periods indicated:</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3"/>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6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880" w:type="dxa"/>
            <w:vAlign w:val="bottom"/>
          </w:tcPr>
          <w:p>
            <w:pPr>
              <w:spacing w:after="0"/>
              <w:rPr>
                <w:sz w:val="13"/>
                <w:szCs w:val="13"/>
                <w:color w:val="auto"/>
              </w:rPr>
            </w:pPr>
          </w:p>
        </w:tc>
        <w:tc>
          <w:tcPr>
            <w:tcW w:w="60" w:type="dxa"/>
            <w:vAlign w:val="bottom"/>
            <w:tcBorders>
              <w:right w:val="single" w:sz="8" w:color="70AD47"/>
            </w:tcBorders>
          </w:tcPr>
          <w:p>
            <w:pPr>
              <w:spacing w:after="0"/>
              <w:rPr>
                <w:sz w:val="13"/>
                <w:szCs w:val="13"/>
                <w:color w:val="auto"/>
              </w:rPr>
            </w:pPr>
          </w:p>
        </w:tc>
        <w:tc>
          <w:tcPr>
            <w:tcW w:w="1600" w:type="dxa"/>
            <w:vAlign w:val="bottom"/>
            <w:tcBorders>
              <w:right w:val="single" w:sz="8" w:color="70AD47"/>
            </w:tcBorders>
            <w:gridSpan w:val="3"/>
            <w:shd w:val="clear" w:color="auto" w:fill="C6E0B4"/>
          </w:tcPr>
          <w:p>
            <w:pPr>
              <w:jc w:val="right"/>
              <w:ind w:right="40"/>
              <w:spacing w:after="0"/>
              <w:rPr>
                <w:sz w:val="20"/>
                <w:szCs w:val="20"/>
                <w:color w:val="auto"/>
              </w:rPr>
            </w:pPr>
            <w:r>
              <w:rPr>
                <w:rFonts w:ascii="Arial" w:cs="Arial" w:eastAsia="Arial" w:hAnsi="Arial"/>
                <w:sz w:val="13"/>
                <w:szCs w:val="13"/>
                <w:b w:val="1"/>
                <w:bCs w:val="1"/>
                <w:color w:val="auto"/>
              </w:rPr>
              <w:t>December 31,</w:t>
            </w:r>
          </w:p>
        </w:tc>
        <w:tc>
          <w:tcPr>
            <w:tcW w:w="1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716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Borders>
              <w:right w:val="single" w:sz="8" w:color="70AD47"/>
            </w:tcBorders>
          </w:tcPr>
          <w:p>
            <w:pPr>
              <w:spacing w:after="0"/>
              <w:rPr>
                <w:sz w:val="8"/>
                <w:szCs w:val="8"/>
                <w:color w:val="auto"/>
              </w:rPr>
            </w:pPr>
          </w:p>
        </w:tc>
        <w:tc>
          <w:tcPr>
            <w:tcW w:w="1600" w:type="dxa"/>
            <w:vAlign w:val="bottom"/>
            <w:tcBorders>
              <w:right w:val="single" w:sz="8" w:color="70AD47"/>
            </w:tcBorders>
            <w:gridSpan w:val="3"/>
            <w:vMerge w:val="restart"/>
            <w:shd w:val="clear" w:color="auto" w:fill="C6E0B4"/>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400" w:type="dxa"/>
            <w:vAlign w:val="bottom"/>
            <w:tcBorders>
              <w:bottom w:val="single" w:sz="8" w:color="70AD47"/>
            </w:tcBorders>
          </w:tcPr>
          <w:p>
            <w:pPr>
              <w:spacing w:after="0"/>
              <w:rPr>
                <w:sz w:val="6"/>
                <w:szCs w:val="6"/>
                <w:color w:val="auto"/>
              </w:rPr>
            </w:pPr>
          </w:p>
        </w:tc>
        <w:tc>
          <w:tcPr>
            <w:tcW w:w="760" w:type="dxa"/>
            <w:vAlign w:val="bottom"/>
            <w:tcBorders>
              <w:bottom w:val="single" w:sz="8" w:color="70AD47"/>
            </w:tcBorders>
          </w:tcPr>
          <w:p>
            <w:pPr>
              <w:spacing w:after="0"/>
              <w:rPr>
                <w:sz w:val="6"/>
                <w:szCs w:val="6"/>
                <w:color w:val="auto"/>
              </w:rPr>
            </w:pPr>
          </w:p>
        </w:tc>
        <w:tc>
          <w:tcPr>
            <w:tcW w:w="880" w:type="dxa"/>
            <w:vAlign w:val="bottom"/>
            <w:tcBorders>
              <w:bottom w:val="single" w:sz="8" w:color="70AD47"/>
            </w:tcBorders>
          </w:tcPr>
          <w:p>
            <w:pPr>
              <w:spacing w:after="0"/>
              <w:rPr>
                <w:sz w:val="6"/>
                <w:szCs w:val="6"/>
                <w:color w:val="auto"/>
              </w:rPr>
            </w:pPr>
          </w:p>
        </w:tc>
        <w:tc>
          <w:tcPr>
            <w:tcW w:w="60" w:type="dxa"/>
            <w:vAlign w:val="bottom"/>
            <w:tcBorders>
              <w:bottom w:val="single" w:sz="8" w:color="70AD47"/>
              <w:right w:val="single" w:sz="8" w:color="70AD47"/>
            </w:tcBorders>
          </w:tcPr>
          <w:p>
            <w:pPr>
              <w:spacing w:after="0"/>
              <w:rPr>
                <w:sz w:val="6"/>
                <w:szCs w:val="6"/>
                <w:color w:val="auto"/>
              </w:rPr>
            </w:pPr>
          </w:p>
        </w:tc>
        <w:tc>
          <w:tcPr>
            <w:tcW w:w="1600" w:type="dxa"/>
            <w:vAlign w:val="bottom"/>
            <w:tcBorders>
              <w:bottom w:val="single" w:sz="8" w:color="70AD47"/>
              <w:right w:val="single" w:sz="8" w:color="70AD47"/>
            </w:tcBorders>
            <w:gridSpan w:val="3"/>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716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color w:val="auto"/>
              </w:rPr>
              <w:t>TRON</w:t>
            </w:r>
          </w:p>
        </w:tc>
        <w:tc>
          <w:tcPr>
            <w:tcW w:w="880" w:type="dxa"/>
            <w:vAlign w:val="bottom"/>
            <w:tcBorders>
              <w:bottom w:val="single" w:sz="8" w:color="70AD47"/>
            </w:tcBorders>
          </w:tcPr>
          <w:p>
            <w:pPr>
              <w:spacing w:after="0"/>
              <w:rPr>
                <w:sz w:val="13"/>
                <w:szCs w:val="13"/>
                <w:color w:val="auto"/>
              </w:rPr>
            </w:pPr>
          </w:p>
        </w:tc>
        <w:tc>
          <w:tcPr>
            <w:tcW w:w="6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gridSpan w:val="3"/>
            <w:shd w:val="clear" w:color="auto" w:fill="C6E0B4"/>
          </w:tcPr>
          <w:p>
            <w:pPr>
              <w:jc w:val="right"/>
              <w:ind w:right="40"/>
              <w:spacing w:after="0"/>
              <w:rPr>
                <w:sz w:val="20"/>
                <w:szCs w:val="20"/>
                <w:color w:val="auto"/>
              </w:rPr>
            </w:pPr>
            <w:r>
              <w:rPr>
                <w:rFonts w:ascii="Arial" w:cs="Arial" w:eastAsia="Arial" w:hAnsi="Arial"/>
                <w:sz w:val="13"/>
                <w:szCs w:val="13"/>
                <w:color w:val="auto"/>
              </w:rPr>
              <w:t>€1,843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€2,160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60" w:type="dxa"/>
            <w:vAlign w:val="bottom"/>
            <w:tcBorders>
              <w:bottom w:val="single" w:sz="8" w:color="70AD47"/>
            </w:tcBorders>
            <w:gridSpan w:val="2"/>
          </w:tcPr>
          <w:p>
            <w:pPr>
              <w:spacing w:after="0"/>
              <w:rPr>
                <w:sz w:val="20"/>
                <w:szCs w:val="20"/>
                <w:color w:val="auto"/>
              </w:rPr>
            </w:pPr>
            <w:r>
              <w:rPr>
                <w:rFonts w:ascii="Arial" w:cs="Arial" w:eastAsia="Arial" w:hAnsi="Arial"/>
                <w:sz w:val="13"/>
                <w:szCs w:val="13"/>
                <w:b w:val="1"/>
                <w:bCs w:val="1"/>
                <w:color w:val="auto"/>
              </w:rPr>
              <w:t>Total</w:t>
            </w:r>
          </w:p>
        </w:tc>
        <w:tc>
          <w:tcPr>
            <w:tcW w:w="880" w:type="dxa"/>
            <w:vAlign w:val="bottom"/>
            <w:tcBorders>
              <w:bottom w:val="single" w:sz="8" w:color="70AD47"/>
            </w:tcBorders>
          </w:tcPr>
          <w:p>
            <w:pPr>
              <w:spacing w:after="0"/>
              <w:rPr>
                <w:sz w:val="13"/>
                <w:szCs w:val="13"/>
                <w:color w:val="auto"/>
              </w:rPr>
            </w:pPr>
          </w:p>
        </w:tc>
        <w:tc>
          <w:tcPr>
            <w:tcW w:w="60" w:type="dxa"/>
            <w:vAlign w:val="bottom"/>
            <w:tcBorders>
              <w:bottom w:val="single" w:sz="8" w:color="70AD47"/>
              <w:right w:val="single" w:sz="8" w:color="70AD47"/>
            </w:tcBorders>
          </w:tcPr>
          <w:p>
            <w:pPr>
              <w:spacing w:after="0"/>
              <w:rPr>
                <w:sz w:val="13"/>
                <w:szCs w:val="13"/>
                <w:color w:val="auto"/>
              </w:rPr>
            </w:pPr>
          </w:p>
        </w:tc>
        <w:tc>
          <w:tcPr>
            <w:tcW w:w="1600" w:type="dxa"/>
            <w:vAlign w:val="bottom"/>
            <w:tcBorders>
              <w:bottom w:val="single" w:sz="8" w:color="70AD47"/>
              <w:right w:val="single" w:sz="8" w:color="70AD47"/>
            </w:tcBorders>
            <w:gridSpan w:val="3"/>
            <w:shd w:val="clear" w:color="auto" w:fill="C6E0B4"/>
          </w:tcPr>
          <w:p>
            <w:pPr>
              <w:jc w:val="right"/>
              <w:ind w:right="40"/>
              <w:spacing w:after="0"/>
              <w:rPr>
                <w:sz w:val="20"/>
                <w:szCs w:val="20"/>
                <w:color w:val="auto"/>
              </w:rPr>
            </w:pPr>
            <w:r>
              <w:rPr>
                <w:rFonts w:ascii="Arial" w:cs="Arial" w:eastAsia="Arial" w:hAnsi="Arial"/>
                <w:sz w:val="13"/>
                <w:szCs w:val="13"/>
                <w:b w:val="1"/>
                <w:bCs w:val="1"/>
                <w:color w:val="auto"/>
              </w:rPr>
              <w:t>€1,843</w:t>
            </w:r>
          </w:p>
        </w:tc>
        <w:tc>
          <w:tcPr>
            <w:tcW w:w="158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€2,160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0"/>
        </w:trPr>
        <w:tc>
          <w:tcPr>
            <w:tcW w:w="7160" w:type="dxa"/>
            <w:vAlign w:val="bottom"/>
            <w:gridSpan w:val="2"/>
          </w:tcPr>
          <w:p>
            <w:pPr>
              <w:ind w:left="5520"/>
              <w:spacing w:after="0"/>
              <w:rPr>
                <w:sz w:val="20"/>
                <w:szCs w:val="20"/>
                <w:color w:val="auto"/>
              </w:rPr>
            </w:pPr>
            <w:r>
              <w:rPr>
                <w:rFonts w:ascii="Arial" w:cs="Arial" w:eastAsia="Arial" w:hAnsi="Arial"/>
                <w:sz w:val="13"/>
                <w:szCs w:val="13"/>
                <w:color w:val="auto"/>
              </w:rPr>
              <w:t>F-47</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4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20"/>
                <w:szCs w:val="20"/>
                <w:color w:val="auto"/>
              </w:rPr>
            </w:pPr>
            <w:r>
              <w:rPr>
                <w:rFonts w:ascii="Arial" w:cs="Arial" w:eastAsia="Arial" w:hAnsi="Arial"/>
                <w:sz w:val="13"/>
                <w:szCs w:val="13"/>
                <w:b w:val="1"/>
                <w:bCs w:val="1"/>
                <w:color w:val="auto"/>
              </w:rPr>
              <w:t>21.3</w:t>
            </w:r>
          </w:p>
        </w:tc>
        <w:tc>
          <w:tcPr>
            <w:tcW w:w="6480" w:type="dxa"/>
            <w:vAlign w:val="bottom"/>
            <w:gridSpan w:val="2"/>
          </w:tcPr>
          <w:p>
            <w:pPr>
              <w:spacing w:after="0"/>
              <w:rPr>
                <w:sz w:val="20"/>
                <w:szCs w:val="20"/>
                <w:color w:val="auto"/>
              </w:rPr>
            </w:pPr>
            <w:r>
              <w:rPr>
                <w:rFonts w:ascii="Arial" w:cs="Arial" w:eastAsia="Arial" w:hAnsi="Arial"/>
                <w:sz w:val="13"/>
                <w:szCs w:val="13"/>
                <w:b w:val="1"/>
                <w:bCs w:val="1"/>
                <w:color w:val="auto"/>
              </w:rPr>
              <w:t>Other Related Party Transactions</w:t>
            </w:r>
          </w:p>
        </w:tc>
        <w:tc>
          <w:tcPr>
            <w:tcW w:w="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280" w:type="dxa"/>
            <w:vAlign w:val="bottom"/>
            <w:gridSpan w:val="3"/>
          </w:tcPr>
          <w:p>
            <w:pPr>
              <w:ind w:left="560"/>
              <w:spacing w:after="0"/>
              <w:rPr>
                <w:sz w:val="20"/>
                <w:szCs w:val="20"/>
                <w:color w:val="auto"/>
              </w:rPr>
            </w:pPr>
            <w:r>
              <w:rPr>
                <w:rFonts w:ascii="Arial" w:cs="Arial" w:eastAsia="Arial" w:hAnsi="Arial"/>
                <w:sz w:val="13"/>
                <w:szCs w:val="13"/>
                <w:color w:val="auto"/>
                <w:w w:val="97"/>
              </w:rPr>
              <w:t>The total amount of transactions with ATHOS KG or entities controlled by them was as follows for the periods indicated:</w:t>
            </w:r>
          </w:p>
        </w:tc>
        <w:tc>
          <w:tcPr>
            <w:tcW w:w="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0" w:type="dxa"/>
            <w:vAlign w:val="bottom"/>
            <w:gridSpan w:val="2"/>
            <w:vMerge w:val="restart"/>
          </w:tcPr>
          <w:p>
            <w:pPr>
              <w:ind w:left="800"/>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800" w:type="dxa"/>
            <w:vAlign w:val="bottom"/>
            <w:vMerge w:val="restart"/>
          </w:tcPr>
          <w:p>
            <w:pPr>
              <w:spacing w:after="0"/>
              <w:rPr>
                <w:sz w:val="20"/>
                <w:szCs w:val="20"/>
                <w:color w:val="auto"/>
              </w:rPr>
            </w:pPr>
            <w:r>
              <w:rPr>
                <w:rFonts w:ascii="Arial" w:cs="Arial" w:eastAsia="Arial" w:hAnsi="Arial"/>
                <w:sz w:val="13"/>
                <w:szCs w:val="13"/>
                <w:i w:val="1"/>
                <w:iCs w:val="1"/>
                <w:color w:val="auto"/>
                <w:w w:val="94"/>
              </w:rPr>
              <w:t>(in thousands)</w:t>
            </w:r>
          </w:p>
        </w:tc>
        <w:tc>
          <w:tcPr>
            <w:tcW w:w="5720" w:type="dxa"/>
            <w:vAlign w:val="bottom"/>
            <w:tcBorders>
              <w:right w:val="single" w:sz="8" w:color="70AD47"/>
            </w:tcBorders>
          </w:tcPr>
          <w:p>
            <w:pPr>
              <w:spacing w:after="0"/>
              <w:rPr>
                <w:sz w:val="13"/>
                <w:szCs w:val="13"/>
                <w:color w:val="auto"/>
              </w:rPr>
            </w:pPr>
          </w:p>
        </w:tc>
        <w:tc>
          <w:tcPr>
            <w:tcW w:w="760" w:type="dxa"/>
            <w:vAlign w:val="bottom"/>
            <w:shd w:val="clear" w:color="auto" w:fill="C6E0B4"/>
          </w:tcPr>
          <w:p>
            <w:pPr>
              <w:spacing w:after="0"/>
              <w:rPr>
                <w:sz w:val="13"/>
                <w:szCs w:val="13"/>
                <w:color w:val="auto"/>
              </w:rPr>
            </w:pPr>
          </w:p>
        </w:tc>
        <w:tc>
          <w:tcPr>
            <w:tcW w:w="8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w w:val="94"/>
              </w:rPr>
              <w:t>December 31,</w:t>
            </w:r>
          </w:p>
        </w:tc>
        <w:tc>
          <w:tcPr>
            <w:tcW w:w="1600" w:type="dxa"/>
            <w:vAlign w:val="bottom"/>
            <w:gridSpan w:val="2"/>
            <w:vMerge w:val="continue"/>
          </w:tcPr>
          <w:p>
            <w:pPr>
              <w:spacing w:after="0"/>
              <w:rPr>
                <w:sz w:val="13"/>
                <w:szCs w:val="13"/>
                <w:color w:val="auto"/>
              </w:rPr>
            </w:pPr>
          </w:p>
        </w:tc>
        <w:tc>
          <w:tcPr>
            <w:tcW w:w="20" w:type="dxa"/>
            <w:vAlign w:val="bottom"/>
            <w:shd w:val="clear" w:color="auto" w:fill="70AD47"/>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800" w:type="dxa"/>
            <w:vAlign w:val="bottom"/>
            <w:vMerge w:val="continue"/>
          </w:tcPr>
          <w:p>
            <w:pPr>
              <w:spacing w:after="0"/>
              <w:rPr>
                <w:sz w:val="8"/>
                <w:szCs w:val="8"/>
                <w:color w:val="auto"/>
              </w:rPr>
            </w:pPr>
          </w:p>
        </w:tc>
        <w:tc>
          <w:tcPr>
            <w:tcW w:w="5720" w:type="dxa"/>
            <w:vAlign w:val="bottom"/>
            <w:tcBorders>
              <w:right w:val="single" w:sz="8" w:color="70AD47"/>
            </w:tcBorders>
          </w:tcPr>
          <w:p>
            <w:pPr>
              <w:spacing w:after="0"/>
              <w:rPr>
                <w:sz w:val="8"/>
                <w:szCs w:val="8"/>
                <w:color w:val="auto"/>
              </w:rPr>
            </w:pPr>
          </w:p>
        </w:tc>
        <w:tc>
          <w:tcPr>
            <w:tcW w:w="760" w:type="dxa"/>
            <w:vAlign w:val="bottom"/>
            <w:shd w:val="clear" w:color="auto" w:fill="C6E0B4"/>
          </w:tcPr>
          <w:p>
            <w:pPr>
              <w:spacing w:after="0"/>
              <w:rPr>
                <w:sz w:val="8"/>
                <w:szCs w:val="8"/>
                <w:color w:val="auto"/>
              </w:rPr>
            </w:pPr>
          </w:p>
        </w:tc>
        <w:tc>
          <w:tcPr>
            <w:tcW w:w="84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80"/>
        </w:trPr>
        <w:tc>
          <w:tcPr>
            <w:tcW w:w="800" w:type="dxa"/>
            <w:vAlign w:val="bottom"/>
            <w:tcBorders>
              <w:bottom w:val="single" w:sz="8" w:color="70AD47"/>
            </w:tcBorders>
          </w:tcPr>
          <w:p>
            <w:pPr>
              <w:spacing w:after="0"/>
              <w:rPr>
                <w:sz w:val="6"/>
                <w:szCs w:val="6"/>
                <w:color w:val="auto"/>
              </w:rPr>
            </w:pPr>
          </w:p>
        </w:tc>
        <w:tc>
          <w:tcPr>
            <w:tcW w:w="5720" w:type="dxa"/>
            <w:vAlign w:val="bottom"/>
            <w:tcBorders>
              <w:bottom w:val="single" w:sz="8" w:color="70AD47"/>
              <w:right w:val="single" w:sz="8" w:color="70AD47"/>
            </w:tcBorders>
          </w:tcPr>
          <w:p>
            <w:pPr>
              <w:spacing w:after="0"/>
              <w:rPr>
                <w:sz w:val="6"/>
                <w:szCs w:val="6"/>
                <w:color w:val="auto"/>
              </w:rPr>
            </w:pPr>
          </w:p>
        </w:tc>
        <w:tc>
          <w:tcPr>
            <w:tcW w:w="760" w:type="dxa"/>
            <w:vAlign w:val="bottom"/>
            <w:tcBorders>
              <w:bottom w:val="single" w:sz="8" w:color="70AD47"/>
            </w:tcBorders>
            <w:shd w:val="clear" w:color="auto" w:fill="C6E0B4"/>
          </w:tcPr>
          <w:p>
            <w:pPr>
              <w:spacing w:after="0"/>
              <w:rPr>
                <w:sz w:val="6"/>
                <w:szCs w:val="6"/>
                <w:color w:val="auto"/>
              </w:rPr>
            </w:pPr>
          </w:p>
        </w:tc>
        <w:tc>
          <w:tcPr>
            <w:tcW w:w="84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1580" w:type="dxa"/>
            <w:vAlign w:val="bottom"/>
            <w:tcBorders>
              <w:bottom w:val="single" w:sz="8" w:color="70AD47"/>
            </w:tcBorders>
            <w:vMerge w:val="continue"/>
          </w:tcPr>
          <w:p>
            <w:pPr>
              <w:spacing w:after="0"/>
              <w:rPr>
                <w:sz w:val="6"/>
                <w:szCs w:val="6"/>
                <w:color w:val="auto"/>
              </w:rPr>
            </w:pPr>
          </w:p>
        </w:tc>
        <w:tc>
          <w:tcPr>
            <w:tcW w:w="20" w:type="dxa"/>
            <w:vAlign w:val="bottom"/>
            <w:tcBorders>
              <w:bottom w:val="single" w:sz="8" w:color="70AD47"/>
            </w:tcBorders>
          </w:tcPr>
          <w:p>
            <w:pPr>
              <w:spacing w:after="0"/>
              <w:rPr>
                <w:sz w:val="6"/>
                <w:szCs w:val="6"/>
                <w:color w:val="auto"/>
              </w:rPr>
            </w:pPr>
          </w:p>
        </w:tc>
        <w:tc>
          <w:tcPr>
            <w:tcW w:w="20" w:type="dxa"/>
            <w:vAlign w:val="bottom"/>
            <w:tcBorders>
              <w:bottom w:val="single" w:sz="8" w:color="70AD47"/>
            </w:tcBorders>
            <w:shd w:val="clear" w:color="auto" w:fill="70AD47"/>
          </w:tcPr>
          <w:p>
            <w:pPr>
              <w:spacing w:after="0"/>
              <w:rPr>
                <w:sz w:val="6"/>
                <w:szCs w:val="6"/>
                <w:color w:val="auto"/>
              </w:rPr>
            </w:pPr>
          </w:p>
        </w:tc>
        <w:tc>
          <w:tcPr>
            <w:tcW w:w="1540" w:type="dxa"/>
            <w:vAlign w:val="bottom"/>
            <w:tcBorders>
              <w:bottom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520" w:type="dxa"/>
            <w:vAlign w:val="bottom"/>
            <w:tcBorders>
              <w:right w:val="single" w:sz="8" w:color="70AD47"/>
            </w:tcBorders>
            <w:gridSpan w:val="2"/>
          </w:tcPr>
          <w:p>
            <w:pPr>
              <w:spacing w:after="0"/>
              <w:rPr>
                <w:sz w:val="20"/>
                <w:szCs w:val="20"/>
                <w:color w:val="auto"/>
              </w:rPr>
            </w:pPr>
            <w:r>
              <w:rPr>
                <w:rFonts w:ascii="Arial" w:cs="Arial" w:eastAsia="Arial" w:hAnsi="Arial"/>
                <w:sz w:val="13"/>
                <w:szCs w:val="13"/>
                <w:color w:val="auto"/>
              </w:rPr>
              <w:t>Purchases of various goods and services from entities controlled by ATHOS KG</w:t>
            </w:r>
          </w:p>
        </w:tc>
        <w:tc>
          <w:tcPr>
            <w:tcW w:w="760" w:type="dxa"/>
            <w:vAlign w:val="bottom"/>
            <w:shd w:val="clear" w:color="auto" w:fill="C6E0B4"/>
          </w:tcPr>
          <w:p>
            <w:pPr>
              <w:spacing w:after="0"/>
              <w:rPr>
                <w:sz w:val="13"/>
                <w:szCs w:val="13"/>
                <w:color w:val="auto"/>
              </w:rPr>
            </w:pPr>
          </w:p>
        </w:tc>
        <w:tc>
          <w:tcPr>
            <w:tcW w:w="8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€2,071</w:t>
            </w:r>
          </w:p>
        </w:tc>
        <w:tc>
          <w:tcPr>
            <w:tcW w:w="1600" w:type="dxa"/>
            <w:vAlign w:val="bottom"/>
            <w:gridSpan w:val="2"/>
          </w:tcPr>
          <w:p>
            <w:pPr>
              <w:jc w:val="right"/>
              <w:ind w:right="20"/>
              <w:spacing w:after="0"/>
              <w:rPr>
                <w:sz w:val="20"/>
                <w:szCs w:val="20"/>
                <w:color w:val="auto"/>
              </w:rPr>
            </w:pPr>
            <w:r>
              <w:rPr>
                <w:rFonts w:ascii="Arial" w:cs="Arial" w:eastAsia="Arial" w:hAnsi="Arial"/>
                <w:sz w:val="13"/>
                <w:szCs w:val="13"/>
                <w:color w:val="auto"/>
              </w:rPr>
              <w:t>€2,431</w:t>
            </w:r>
          </w:p>
        </w:tc>
        <w:tc>
          <w:tcPr>
            <w:tcW w:w="20" w:type="dxa"/>
            <w:vAlign w:val="bottom"/>
            <w:shd w:val="clear" w:color="auto" w:fill="70AD47"/>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70"/>
        </w:trPr>
        <w:tc>
          <w:tcPr>
            <w:tcW w:w="6520" w:type="dxa"/>
            <w:vAlign w:val="bottom"/>
            <w:tcBorders>
              <w:bottom w:val="single" w:sz="8" w:color="70AD47"/>
              <w:right w:val="single" w:sz="8" w:color="70AD47"/>
            </w:tcBorders>
            <w:gridSpan w:val="2"/>
          </w:tcPr>
          <w:p>
            <w:pPr>
              <w:spacing w:after="0"/>
              <w:rPr>
                <w:sz w:val="20"/>
                <w:szCs w:val="20"/>
                <w:color w:val="auto"/>
              </w:rPr>
            </w:pPr>
            <w:r>
              <w:rPr>
                <w:rFonts w:ascii="Arial" w:cs="Arial" w:eastAsia="Arial" w:hAnsi="Arial"/>
                <w:sz w:val="13"/>
                <w:szCs w:val="13"/>
                <w:color w:val="auto"/>
              </w:rPr>
              <w:t>Purchases of property and other assets from entities controlled by ATHOS KG</w:t>
            </w:r>
          </w:p>
        </w:tc>
        <w:tc>
          <w:tcPr>
            <w:tcW w:w="760" w:type="dxa"/>
            <w:vAlign w:val="bottom"/>
            <w:tcBorders>
              <w:bottom w:val="single" w:sz="8" w:color="70AD47"/>
            </w:tcBorders>
            <w:shd w:val="clear" w:color="auto" w:fill="C6E0B4"/>
          </w:tcPr>
          <w:p>
            <w:pPr>
              <w:spacing w:after="0"/>
              <w:rPr>
                <w:sz w:val="14"/>
                <w:szCs w:val="14"/>
                <w:color w:val="auto"/>
              </w:rPr>
            </w:pPr>
          </w:p>
        </w:tc>
        <w:tc>
          <w:tcPr>
            <w:tcW w:w="8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color w:val="auto"/>
              </w:rPr>
              <w:t>4,748</w:t>
            </w:r>
          </w:p>
        </w:tc>
        <w:tc>
          <w:tcPr>
            <w:tcW w:w="20" w:type="dxa"/>
            <w:vAlign w:val="bottom"/>
            <w:tcBorders>
              <w:bottom w:val="single" w:sz="8" w:color="70AD47"/>
            </w:tcBorders>
            <w:shd w:val="clear" w:color="auto" w:fill="70AD47"/>
          </w:tcPr>
          <w:p>
            <w:pPr>
              <w:spacing w:after="0"/>
              <w:rPr>
                <w:sz w:val="14"/>
                <w:szCs w:val="14"/>
                <w:color w:val="auto"/>
              </w:rPr>
            </w:pPr>
          </w:p>
        </w:tc>
        <w:tc>
          <w:tcPr>
            <w:tcW w:w="15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80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5720" w:type="dxa"/>
            <w:vAlign w:val="bottom"/>
            <w:tcBorders>
              <w:bottom w:val="single" w:sz="8" w:color="70AD47"/>
              <w:right w:val="single" w:sz="8" w:color="70AD47"/>
            </w:tcBorders>
          </w:tcPr>
          <w:p>
            <w:pPr>
              <w:spacing w:after="0"/>
              <w:rPr>
                <w:sz w:val="13"/>
                <w:szCs w:val="13"/>
                <w:color w:val="auto"/>
              </w:rPr>
            </w:pPr>
          </w:p>
        </w:tc>
        <w:tc>
          <w:tcPr>
            <w:tcW w:w="760" w:type="dxa"/>
            <w:vAlign w:val="bottom"/>
            <w:tcBorders>
              <w:bottom w:val="single" w:sz="8" w:color="70AD47"/>
            </w:tcBorders>
            <w:shd w:val="clear" w:color="auto" w:fill="C6E0B4"/>
          </w:tcPr>
          <w:p>
            <w:pPr>
              <w:spacing w:after="0"/>
              <w:rPr>
                <w:sz w:val="13"/>
                <w:szCs w:val="13"/>
                <w:color w:val="auto"/>
              </w:rPr>
            </w:pPr>
          </w:p>
        </w:tc>
        <w:tc>
          <w:tcPr>
            <w:tcW w:w="8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€2,071</w:t>
            </w:r>
          </w:p>
        </w:tc>
        <w:tc>
          <w:tcPr>
            <w:tcW w:w="1600" w:type="dxa"/>
            <w:vAlign w:val="bottom"/>
            <w:tcBorders>
              <w:bottom w:val="single" w:sz="8" w:color="70AD47"/>
            </w:tcBorders>
            <w:gridSpan w:val="2"/>
          </w:tcPr>
          <w:p>
            <w:pPr>
              <w:jc w:val="right"/>
              <w:ind w:right="20"/>
              <w:spacing w:after="0"/>
              <w:rPr>
                <w:sz w:val="20"/>
                <w:szCs w:val="20"/>
                <w:color w:val="auto"/>
              </w:rPr>
            </w:pPr>
            <w:r>
              <w:rPr>
                <w:rFonts w:ascii="Arial" w:cs="Arial" w:eastAsia="Arial" w:hAnsi="Arial"/>
                <w:sz w:val="13"/>
                <w:szCs w:val="13"/>
                <w:b w:val="1"/>
                <w:bCs w:val="1"/>
                <w:color w:val="auto"/>
              </w:rPr>
              <w:t>€7,179</w:t>
            </w:r>
          </w:p>
        </w:tc>
        <w:tc>
          <w:tcPr>
            <w:tcW w:w="20" w:type="dxa"/>
            <w:vAlign w:val="bottom"/>
            <w:tcBorders>
              <w:bottom w:val="single" w:sz="8" w:color="70AD47"/>
            </w:tcBorders>
            <w:shd w:val="clear" w:color="auto" w:fill="70AD47"/>
          </w:tcPr>
          <w:p>
            <w:pPr>
              <w:spacing w:after="0"/>
              <w:rPr>
                <w:sz w:val="13"/>
                <w:szCs w:val="13"/>
                <w:color w:val="auto"/>
              </w:rPr>
            </w:pPr>
          </w:p>
        </w:tc>
        <w:tc>
          <w:tcPr>
            <w:tcW w:w="15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€1,240</w:t>
            </w:r>
          </w:p>
        </w:tc>
        <w:tc>
          <w:tcPr>
            <w:tcW w:w="0" w:type="dxa"/>
            <w:vAlign w:val="bottom"/>
          </w:tcPr>
          <w:p>
            <w:pPr>
              <w:spacing w:after="0"/>
              <w:rPr>
                <w:sz w:val="1"/>
                <w:szCs w:val="1"/>
                <w:color w:val="auto"/>
              </w:rPr>
            </w:pPr>
          </w:p>
        </w:tc>
      </w:tr>
      <w:tr>
        <w:trPr>
          <w:trHeight w:val="390"/>
        </w:trPr>
        <w:tc>
          <w:tcPr>
            <w:tcW w:w="8120" w:type="dxa"/>
            <w:vAlign w:val="bottom"/>
            <w:gridSpan w:val="4"/>
          </w:tcPr>
          <w:p>
            <w:pPr>
              <w:ind w:left="560"/>
              <w:spacing w:after="0"/>
              <w:rPr>
                <w:sz w:val="20"/>
                <w:szCs w:val="20"/>
                <w:color w:val="auto"/>
              </w:rPr>
            </w:pPr>
            <w:r>
              <w:rPr>
                <w:rFonts w:ascii="Arial" w:cs="Arial" w:eastAsia="Arial" w:hAnsi="Arial"/>
                <w:sz w:val="13"/>
                <w:szCs w:val="13"/>
                <w:color w:val="auto"/>
                <w:w w:val="99"/>
              </w:rPr>
              <w:t>The outstanding balances of transactions with ATHOS KG or entities controlled by them were as follows as at the periods indicated:</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800" w:type="dxa"/>
            <w:vAlign w:val="bottom"/>
            <w:vMerge w:val="restart"/>
          </w:tcPr>
          <w:p>
            <w:pPr>
              <w:spacing w:after="0"/>
              <w:rPr>
                <w:sz w:val="20"/>
                <w:szCs w:val="20"/>
                <w:color w:val="auto"/>
              </w:rPr>
            </w:pPr>
            <w:r>
              <w:rPr>
                <w:rFonts w:ascii="Arial" w:cs="Arial" w:eastAsia="Arial" w:hAnsi="Arial"/>
                <w:sz w:val="13"/>
                <w:szCs w:val="13"/>
                <w:i w:val="1"/>
                <w:iCs w:val="1"/>
                <w:color w:val="auto"/>
                <w:w w:val="94"/>
              </w:rPr>
              <w:t>(in thousands)</w:t>
            </w:r>
          </w:p>
        </w:tc>
        <w:tc>
          <w:tcPr>
            <w:tcW w:w="5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Borders>
              <w:right w:val="single" w:sz="8" w:color="70AD47"/>
            </w:tcBorders>
          </w:tcPr>
          <w:p>
            <w:pPr>
              <w:spacing w:after="0"/>
              <w:rPr>
                <w:sz w:val="13"/>
                <w:szCs w:val="13"/>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December 31,</w:t>
            </w:r>
          </w:p>
        </w:tc>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800" w:type="dxa"/>
            <w:vAlign w:val="bottom"/>
            <w:vMerge w:val="continue"/>
          </w:tcPr>
          <w:p>
            <w:pPr>
              <w:spacing w:after="0"/>
              <w:rPr>
                <w:sz w:val="8"/>
                <w:szCs w:val="8"/>
                <w:color w:val="auto"/>
              </w:rPr>
            </w:pPr>
          </w:p>
        </w:tc>
        <w:tc>
          <w:tcPr>
            <w:tcW w:w="5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Borders>
              <w:right w:val="single" w:sz="8" w:color="70AD47"/>
            </w:tcBorders>
          </w:tcPr>
          <w:p>
            <w:pPr>
              <w:spacing w:after="0"/>
              <w:rPr>
                <w:sz w:val="8"/>
                <w:szCs w:val="8"/>
                <w:color w:val="auto"/>
              </w:rPr>
            </w:pP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8"/>
                <w:szCs w:val="8"/>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80"/>
        </w:trPr>
        <w:tc>
          <w:tcPr>
            <w:tcW w:w="800" w:type="dxa"/>
            <w:vAlign w:val="bottom"/>
            <w:tcBorders>
              <w:bottom w:val="single" w:sz="8" w:color="70AD47"/>
            </w:tcBorders>
          </w:tcPr>
          <w:p>
            <w:pPr>
              <w:spacing w:after="0"/>
              <w:rPr>
                <w:sz w:val="6"/>
                <w:szCs w:val="6"/>
                <w:color w:val="auto"/>
              </w:rPr>
            </w:pPr>
          </w:p>
        </w:tc>
        <w:tc>
          <w:tcPr>
            <w:tcW w:w="5720" w:type="dxa"/>
            <w:vAlign w:val="bottom"/>
            <w:tcBorders>
              <w:bottom w:val="single" w:sz="8" w:color="70AD47"/>
            </w:tcBorders>
          </w:tcPr>
          <w:p>
            <w:pPr>
              <w:spacing w:after="0"/>
              <w:rPr>
                <w:sz w:val="6"/>
                <w:szCs w:val="6"/>
                <w:color w:val="auto"/>
              </w:rPr>
            </w:pPr>
          </w:p>
        </w:tc>
        <w:tc>
          <w:tcPr>
            <w:tcW w:w="760" w:type="dxa"/>
            <w:vAlign w:val="bottom"/>
            <w:tcBorders>
              <w:bottom w:val="single" w:sz="8" w:color="70AD47"/>
            </w:tcBorders>
          </w:tcPr>
          <w:p>
            <w:pPr>
              <w:spacing w:after="0"/>
              <w:rPr>
                <w:sz w:val="6"/>
                <w:szCs w:val="6"/>
                <w:color w:val="auto"/>
              </w:rPr>
            </w:pPr>
          </w:p>
        </w:tc>
        <w:tc>
          <w:tcPr>
            <w:tcW w:w="840" w:type="dxa"/>
            <w:vAlign w:val="bottom"/>
            <w:tcBorders>
              <w:bottom w:val="single" w:sz="8" w:color="70AD47"/>
              <w:right w:val="single" w:sz="8" w:color="70AD47"/>
            </w:tcBorders>
          </w:tcPr>
          <w:p>
            <w:pPr>
              <w:spacing w:after="0"/>
              <w:rPr>
                <w:sz w:val="6"/>
                <w:szCs w:val="6"/>
                <w:color w:val="auto"/>
              </w:rPr>
            </w:pPr>
          </w:p>
        </w:tc>
        <w:tc>
          <w:tcPr>
            <w:tcW w:w="1580" w:type="dxa"/>
            <w:vAlign w:val="bottom"/>
            <w:tcBorders>
              <w:bottom w:val="single" w:sz="8" w:color="70AD47"/>
              <w:right w:val="single" w:sz="8" w:color="70AD47"/>
            </w:tcBorders>
            <w:vMerge w:val="continue"/>
            <w:shd w:val="clear" w:color="auto" w:fill="C6E0B4"/>
          </w:tcPr>
          <w:p>
            <w:pPr>
              <w:spacing w:after="0"/>
              <w:rPr>
                <w:sz w:val="6"/>
                <w:szCs w:val="6"/>
                <w:color w:val="auto"/>
              </w:rPr>
            </w:pPr>
          </w:p>
        </w:tc>
        <w:tc>
          <w:tcPr>
            <w:tcW w:w="20" w:type="dxa"/>
            <w:vAlign w:val="bottom"/>
            <w:tcBorders>
              <w:bottom w:val="single" w:sz="8" w:color="70AD47"/>
            </w:tcBorders>
          </w:tcPr>
          <w:p>
            <w:pPr>
              <w:spacing w:after="0"/>
              <w:rPr>
                <w:sz w:val="6"/>
                <w:szCs w:val="6"/>
                <w:color w:val="auto"/>
              </w:rPr>
            </w:pPr>
          </w:p>
        </w:tc>
        <w:tc>
          <w:tcPr>
            <w:tcW w:w="1560" w:type="dxa"/>
            <w:vAlign w:val="bottom"/>
            <w:tcBorders>
              <w:bottom w:val="single" w:sz="8" w:color="70AD47"/>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800" w:type="dxa"/>
            <w:vAlign w:val="bottom"/>
            <w:tcBorders>
              <w:bottom w:val="single" w:sz="8" w:color="70AD47"/>
            </w:tcBorders>
          </w:tcPr>
          <w:p>
            <w:pPr>
              <w:spacing w:after="0"/>
              <w:rPr>
                <w:sz w:val="20"/>
                <w:szCs w:val="20"/>
                <w:color w:val="auto"/>
              </w:rPr>
            </w:pPr>
            <w:r>
              <w:rPr>
                <w:rFonts w:ascii="Arial" w:cs="Arial" w:eastAsia="Arial" w:hAnsi="Arial"/>
                <w:sz w:val="13"/>
                <w:szCs w:val="13"/>
                <w:color w:val="auto"/>
              </w:rPr>
              <w:t>ATHOS KG</w:t>
            </w:r>
          </w:p>
        </w:tc>
        <w:tc>
          <w:tcPr>
            <w:tcW w:w="5720" w:type="dxa"/>
            <w:vAlign w:val="bottom"/>
            <w:tcBorders>
              <w:bottom w:val="single" w:sz="8" w:color="70AD47"/>
            </w:tcBorders>
          </w:tcPr>
          <w:p>
            <w:pPr>
              <w:spacing w:after="0"/>
              <w:rPr>
                <w:sz w:val="13"/>
                <w:szCs w:val="13"/>
                <w:color w:val="auto"/>
              </w:rPr>
            </w:pPr>
          </w:p>
        </w:tc>
        <w:tc>
          <w:tcPr>
            <w:tcW w:w="760" w:type="dxa"/>
            <w:vAlign w:val="bottom"/>
            <w:tcBorders>
              <w:bottom w:val="single" w:sz="8" w:color="70AD47"/>
            </w:tcBorders>
          </w:tcPr>
          <w:p>
            <w:pPr>
              <w:spacing w:after="0"/>
              <w:rPr>
                <w:sz w:val="13"/>
                <w:szCs w:val="13"/>
                <w:color w:val="auto"/>
              </w:rPr>
            </w:pPr>
          </w:p>
        </w:tc>
        <w:tc>
          <w:tcPr>
            <w:tcW w:w="840" w:type="dxa"/>
            <w:vAlign w:val="bottom"/>
            <w:tcBorders>
              <w:bottom w:val="single" w:sz="8" w:color="70AD47"/>
              <w:right w:val="single" w:sz="8" w:color="70AD47"/>
            </w:tcBorders>
          </w:tcPr>
          <w:p>
            <w:pPr>
              <w:spacing w:after="0"/>
              <w:rPr>
                <w:sz w:val="13"/>
                <w:szCs w:val="13"/>
                <w:color w:val="auto"/>
              </w:rPr>
            </w:pP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color w:val="auto"/>
              </w:rPr>
              <w:t>€51</w:t>
            </w:r>
          </w:p>
        </w:tc>
        <w:tc>
          <w:tcPr>
            <w:tcW w:w="20" w:type="dxa"/>
            <w:vAlign w:val="bottom"/>
            <w:tcBorders>
              <w:bottom w:val="single" w:sz="8" w:color="70AD47"/>
            </w:tcBorders>
          </w:tcPr>
          <w:p>
            <w:pPr>
              <w:spacing w:after="0"/>
              <w:rPr>
                <w:sz w:val="13"/>
                <w:szCs w:val="13"/>
                <w:color w:val="auto"/>
              </w:rPr>
            </w:pPr>
          </w:p>
        </w:tc>
        <w:tc>
          <w:tcPr>
            <w:tcW w:w="20" w:type="dxa"/>
            <w:vAlign w:val="bottom"/>
            <w:tcBorders>
              <w:bottom w:val="single" w:sz="8" w:color="70AD47"/>
            </w:tcBorders>
          </w:tcPr>
          <w:p>
            <w:pPr>
              <w:spacing w:after="0"/>
              <w:rPr>
                <w:sz w:val="13"/>
                <w:szCs w:val="13"/>
                <w:color w:val="auto"/>
              </w:rPr>
            </w:pPr>
          </w:p>
        </w:tc>
        <w:tc>
          <w:tcPr>
            <w:tcW w:w="1540" w:type="dxa"/>
            <w:vAlign w:val="bottom"/>
            <w:tcBorders>
              <w:bottom w:val="single" w:sz="8" w:color="70AD47"/>
            </w:tcBorders>
          </w:tcPr>
          <w:p>
            <w:pPr>
              <w:jc w:val="right"/>
              <w:spacing w:after="0"/>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160"/>
        </w:trPr>
        <w:tc>
          <w:tcPr>
            <w:tcW w:w="800" w:type="dxa"/>
            <w:vAlign w:val="bottom"/>
            <w:tcBorders>
              <w:bottom w:val="single" w:sz="8" w:color="70AD47"/>
            </w:tcBorders>
          </w:tcPr>
          <w:p>
            <w:pPr>
              <w:spacing w:after="0"/>
              <w:rPr>
                <w:sz w:val="20"/>
                <w:szCs w:val="20"/>
                <w:color w:val="auto"/>
              </w:rPr>
            </w:pPr>
            <w:r>
              <w:rPr>
                <w:rFonts w:ascii="Arial" w:cs="Arial" w:eastAsia="Arial" w:hAnsi="Arial"/>
                <w:sz w:val="13"/>
                <w:szCs w:val="13"/>
                <w:b w:val="1"/>
                <w:bCs w:val="1"/>
                <w:color w:val="auto"/>
              </w:rPr>
              <w:t>Total</w:t>
            </w:r>
          </w:p>
        </w:tc>
        <w:tc>
          <w:tcPr>
            <w:tcW w:w="5720" w:type="dxa"/>
            <w:vAlign w:val="bottom"/>
            <w:tcBorders>
              <w:bottom w:val="single" w:sz="8" w:color="70AD47"/>
            </w:tcBorders>
          </w:tcPr>
          <w:p>
            <w:pPr>
              <w:spacing w:after="0"/>
              <w:rPr>
                <w:sz w:val="13"/>
                <w:szCs w:val="13"/>
                <w:color w:val="auto"/>
              </w:rPr>
            </w:pPr>
          </w:p>
        </w:tc>
        <w:tc>
          <w:tcPr>
            <w:tcW w:w="760" w:type="dxa"/>
            <w:vAlign w:val="bottom"/>
            <w:tcBorders>
              <w:bottom w:val="single" w:sz="8" w:color="70AD47"/>
            </w:tcBorders>
          </w:tcPr>
          <w:p>
            <w:pPr>
              <w:spacing w:after="0"/>
              <w:rPr>
                <w:sz w:val="13"/>
                <w:szCs w:val="13"/>
                <w:color w:val="auto"/>
              </w:rPr>
            </w:pPr>
          </w:p>
        </w:tc>
        <w:tc>
          <w:tcPr>
            <w:tcW w:w="840" w:type="dxa"/>
            <w:vAlign w:val="bottom"/>
            <w:tcBorders>
              <w:bottom w:val="single" w:sz="8" w:color="70AD47"/>
              <w:right w:val="single" w:sz="8" w:color="70AD47"/>
            </w:tcBorders>
          </w:tcPr>
          <w:p>
            <w:pPr>
              <w:spacing w:after="0"/>
              <w:rPr>
                <w:sz w:val="13"/>
                <w:szCs w:val="13"/>
                <w:color w:val="auto"/>
              </w:rPr>
            </w:pP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Arial" w:cs="Arial" w:eastAsia="Arial" w:hAnsi="Arial"/>
                <w:sz w:val="13"/>
                <w:szCs w:val="13"/>
                <w:b w:val="1"/>
                <w:bCs w:val="1"/>
                <w:color w:val="auto"/>
              </w:rPr>
              <w:t>€51</w:t>
            </w:r>
          </w:p>
        </w:tc>
        <w:tc>
          <w:tcPr>
            <w:tcW w:w="20" w:type="dxa"/>
            <w:vAlign w:val="bottom"/>
            <w:tcBorders>
              <w:bottom w:val="single" w:sz="8" w:color="70AD47"/>
            </w:tcBorders>
          </w:tcPr>
          <w:p>
            <w:pPr>
              <w:spacing w:after="0"/>
              <w:rPr>
                <w:sz w:val="13"/>
                <w:szCs w:val="13"/>
                <w:color w:val="auto"/>
              </w:rPr>
            </w:pPr>
          </w:p>
        </w:tc>
        <w:tc>
          <w:tcPr>
            <w:tcW w:w="20" w:type="dxa"/>
            <w:vAlign w:val="bottom"/>
            <w:tcBorders>
              <w:bottom w:val="single" w:sz="8" w:color="70AD47"/>
            </w:tcBorders>
          </w:tcPr>
          <w:p>
            <w:pPr>
              <w:spacing w:after="0"/>
              <w:rPr>
                <w:sz w:val="13"/>
                <w:szCs w:val="13"/>
                <w:color w:val="auto"/>
              </w:rPr>
            </w:pPr>
          </w:p>
        </w:tc>
        <w:tc>
          <w:tcPr>
            <w:tcW w:w="1540" w:type="dxa"/>
            <w:vAlign w:val="bottom"/>
            <w:tcBorders>
              <w:bottom w:val="single" w:sz="8" w:color="70AD47"/>
            </w:tcBorders>
          </w:tcPr>
          <w:p>
            <w:pPr>
              <w:jc w:val="right"/>
              <w:spacing w:after="0"/>
              <w:rPr>
                <w:sz w:val="20"/>
                <w:szCs w:val="20"/>
                <w:color w:val="auto"/>
              </w:rPr>
            </w:pPr>
            <w:r>
              <w:rPr>
                <w:rFonts w:ascii="Arial" w:cs="Arial" w:eastAsia="Arial" w:hAnsi="Arial"/>
                <w:sz w:val="13"/>
                <w:szCs w:val="13"/>
                <w:b w:val="1"/>
                <w:bCs w:val="1"/>
                <w:color w:val="auto"/>
              </w:rPr>
              <w:t>€587</w:t>
            </w:r>
          </w:p>
        </w:tc>
        <w:tc>
          <w:tcPr>
            <w:tcW w:w="0" w:type="dxa"/>
            <w:vAlign w:val="bottom"/>
          </w:tcPr>
          <w:p>
            <w:pPr>
              <w:spacing w:after="0"/>
              <w:rPr>
                <w:sz w:val="1"/>
                <w:szCs w:val="1"/>
                <w:color w:val="auto"/>
              </w:rPr>
            </w:pPr>
          </w:p>
        </w:tc>
      </w:tr>
      <w:tr>
        <w:trPr>
          <w:trHeight w:val="390"/>
        </w:trPr>
        <w:tc>
          <w:tcPr>
            <w:tcW w:w="7280" w:type="dxa"/>
            <w:vAlign w:val="bottom"/>
            <w:gridSpan w:val="3"/>
          </w:tcPr>
          <w:p>
            <w:pPr>
              <w:ind w:left="560"/>
              <w:spacing w:after="0"/>
              <w:rPr>
                <w:sz w:val="20"/>
                <w:szCs w:val="20"/>
                <w:color w:val="auto"/>
              </w:rPr>
            </w:pPr>
            <w:r>
              <w:rPr>
                <w:rFonts w:ascii="Arial" w:cs="Arial" w:eastAsia="Arial" w:hAnsi="Arial"/>
                <w:sz w:val="13"/>
                <w:szCs w:val="13"/>
                <w:color w:val="auto"/>
                <w:w w:val="90"/>
              </w:rPr>
              <w:t>None of the balances are secured and no bad debt expense has been recognized in respect of amounts owed by related parties.</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00" w:type="dxa"/>
            <w:vAlign w:val="bottom"/>
          </w:tcPr>
          <w:p>
            <w:pPr>
              <w:spacing w:after="0"/>
              <w:rPr>
                <w:sz w:val="20"/>
                <w:szCs w:val="20"/>
                <w:color w:val="auto"/>
              </w:rPr>
            </w:pPr>
            <w:r>
              <w:rPr>
                <w:rFonts w:ascii="Arial" w:cs="Arial" w:eastAsia="Arial" w:hAnsi="Arial"/>
                <w:sz w:val="13"/>
                <w:szCs w:val="13"/>
                <w:b w:val="1"/>
                <w:bCs w:val="1"/>
                <w:color w:val="auto"/>
              </w:rPr>
              <w:t>22</w:t>
            </w:r>
          </w:p>
        </w:tc>
        <w:tc>
          <w:tcPr>
            <w:tcW w:w="6480" w:type="dxa"/>
            <w:vAlign w:val="bottom"/>
            <w:gridSpan w:val="2"/>
          </w:tcPr>
          <w:p>
            <w:pPr>
              <w:spacing w:after="0"/>
              <w:rPr>
                <w:sz w:val="20"/>
                <w:szCs w:val="20"/>
                <w:color w:val="auto"/>
              </w:rPr>
            </w:pPr>
            <w:r>
              <w:rPr>
                <w:rFonts w:ascii="Arial" w:cs="Arial" w:eastAsia="Arial" w:hAnsi="Arial"/>
                <w:sz w:val="13"/>
                <w:szCs w:val="13"/>
                <w:b w:val="1"/>
                <w:bCs w:val="1"/>
                <w:color w:val="auto"/>
              </w:rPr>
              <w:t>Events After the Reporting Period</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0" w:type="dxa"/>
            <w:vAlign w:val="bottom"/>
          </w:tcPr>
          <w:p>
            <w:pPr>
              <w:ind w:left="540"/>
              <w:spacing w:after="0"/>
              <w:rPr>
                <w:sz w:val="20"/>
                <w:szCs w:val="20"/>
                <w:color w:val="auto"/>
              </w:rPr>
            </w:pPr>
            <w:r>
              <w:rPr>
                <w:rFonts w:ascii="Arial" w:cs="Arial" w:eastAsia="Arial" w:hAnsi="Arial"/>
                <w:sz w:val="13"/>
                <w:szCs w:val="13"/>
                <w:color w:val="auto"/>
                <w:w w:val="94"/>
              </w:rPr>
              <w:t>22.1</w:t>
            </w: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5"/>
              </w:rPr>
              <w:t>In December 2019, BioNTech Delivery Technologies GmbH (previously BioNTech Protein Therapeutics GmbH; also referred to as “BioNTech Delivery Technologies”), a wholly owned</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8"/>
              </w:rPr>
              <w:t>subsidiary of BioNTech SE, entered into an agreement to acquire all assets, employees and proprietary know-how of Lipocalyx GmbH and its related parties (also referred to as</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4"/>
              </w:rPr>
              <w:t>“Lipocalyx”) in exchange for a total consideration of cash at an amount of k€6,516 and additional contingent consideration provisionally estimated at an amount of k€572. Current assets</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7"/>
              </w:rPr>
              <w:t>and non-current assets before purchase price allocation accounted for in accordance with German GAAP at an amount of k€139 and k€77 (unaudited amounts) were acquired. No</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4"/>
              </w:rPr>
              <w:t>liabilities were assumed as part of this asset deal. The operational drug delivery business of Lipocalyx is based in Halle (Saale), Germany. The employees of Lipocalyx were transferred</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7320" w:type="dxa"/>
            <w:vAlign w:val="bottom"/>
            <w:gridSpan w:val="3"/>
          </w:tcPr>
          <w:p>
            <w:pPr>
              <w:ind w:left="480"/>
              <w:spacing w:after="0"/>
              <w:rPr>
                <w:sz w:val="20"/>
                <w:szCs w:val="20"/>
                <w:color w:val="auto"/>
              </w:rPr>
            </w:pPr>
            <w:r>
              <w:rPr>
                <w:rFonts w:ascii="Arial" w:cs="Arial" w:eastAsia="Arial" w:hAnsi="Arial"/>
                <w:sz w:val="13"/>
                <w:szCs w:val="13"/>
                <w:color w:val="auto"/>
                <w:w w:val="93"/>
              </w:rPr>
              <w:t>automatically to BioNTech Delivery Technologies with effect as of the closing date. The acquisition closed on January 6, 2020.</w:t>
            </w: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800" w:type="dxa"/>
            <w:vAlign w:val="bottom"/>
          </w:tcPr>
          <w:p>
            <w:pPr>
              <w:ind w:left="540"/>
              <w:spacing w:after="0"/>
              <w:rPr>
                <w:sz w:val="20"/>
                <w:szCs w:val="20"/>
                <w:color w:val="auto"/>
              </w:rPr>
            </w:pPr>
            <w:r>
              <w:rPr>
                <w:rFonts w:ascii="Arial" w:cs="Arial" w:eastAsia="Arial" w:hAnsi="Arial"/>
                <w:sz w:val="13"/>
                <w:szCs w:val="13"/>
                <w:color w:val="auto"/>
                <w:w w:val="94"/>
              </w:rPr>
              <w:t>22.2</w:t>
            </w: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4"/>
              </w:rPr>
              <w:t>On January 12, 2020, BioNTech’s Supervisory Board appointed Ryan Richardson to the Management Board as Chief Strategy Officer (CSO) and Managing Director. In his new role he</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5"/>
              </w:rPr>
              <w:t>will support and contribute to the creation and implementation of the Company’s long-term growth strategy in collaboration with the management team. Ryan has previously served as</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6480" w:type="dxa"/>
            <w:vAlign w:val="bottom"/>
            <w:gridSpan w:val="2"/>
          </w:tcPr>
          <w:p>
            <w:pPr>
              <w:ind w:left="480"/>
              <w:spacing w:after="0"/>
              <w:rPr>
                <w:sz w:val="20"/>
                <w:szCs w:val="20"/>
                <w:color w:val="auto"/>
              </w:rPr>
            </w:pPr>
            <w:r>
              <w:rPr>
                <w:rFonts w:ascii="Arial" w:cs="Arial" w:eastAsia="Arial" w:hAnsi="Arial"/>
                <w:sz w:val="13"/>
                <w:szCs w:val="13"/>
                <w:color w:val="auto"/>
              </w:rPr>
              <w:t>Senior Vice President, Corporate Development &amp; Strategy after joining the Company in 2018.</w:t>
            </w:r>
          </w:p>
        </w:tc>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800" w:type="dxa"/>
            <w:vAlign w:val="bottom"/>
          </w:tcPr>
          <w:p>
            <w:pPr>
              <w:ind w:left="540"/>
              <w:spacing w:after="0"/>
              <w:rPr>
                <w:sz w:val="20"/>
                <w:szCs w:val="20"/>
                <w:color w:val="auto"/>
              </w:rPr>
            </w:pPr>
            <w:r>
              <w:rPr>
                <w:rFonts w:ascii="Arial" w:cs="Arial" w:eastAsia="Arial" w:hAnsi="Arial"/>
                <w:sz w:val="13"/>
                <w:szCs w:val="13"/>
                <w:color w:val="auto"/>
                <w:w w:val="94"/>
              </w:rPr>
              <w:t>22.3</w:t>
            </w: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4"/>
              </w:rPr>
              <w:t>On January 16, 2020, BioNTech and Neon Therapeutics, Inc. (listed on the Nasdaq) have entered into a definitive merger agreement, under which BioNTech will acquire Neon in an all-</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9"/>
              </w:rPr>
              <w:t>stock transaction initially valued at approximately $67.0 million, based on the closing price of BioNTech’s ADSs of $34.55 on Wednesday, January 15, 2020 (also referred to as</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3"/>
              </w:rPr>
              <w:t>“Merger”). At closing, BioNTech will issue, and Neon shareholders will receive, 0.063 of BioNTech’s American Depositary Shares, or ADSs, in exchange for each of their shares of Neon.</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480" w:type="dxa"/>
            <w:vAlign w:val="bottom"/>
            <w:gridSpan w:val="7"/>
          </w:tcPr>
          <w:p>
            <w:pPr>
              <w:ind w:left="480"/>
              <w:spacing w:after="0"/>
              <w:rPr>
                <w:sz w:val="20"/>
                <w:szCs w:val="20"/>
                <w:color w:val="auto"/>
              </w:rPr>
            </w:pPr>
            <w:r>
              <w:rPr>
                <w:rFonts w:ascii="Arial" w:cs="Arial" w:eastAsia="Arial" w:hAnsi="Arial"/>
                <w:sz w:val="13"/>
                <w:szCs w:val="13"/>
                <w:color w:val="auto"/>
                <w:w w:val="93"/>
              </w:rPr>
              <w:t>This exchange ratio will not be adjusted for changes in the market price of either our ADSs or Neon common stock between the date the Merger Agreement was signed and completion of</w:t>
            </w:r>
          </w:p>
        </w:tc>
        <w:tc>
          <w:tcPr>
            <w:tcW w:w="0" w:type="dxa"/>
            <w:vAlign w:val="bottom"/>
          </w:tcPr>
          <w:p>
            <w:pPr>
              <w:spacing w:after="0"/>
              <w:rPr>
                <w:sz w:val="1"/>
                <w:szCs w:val="1"/>
                <w:color w:val="auto"/>
              </w:rPr>
            </w:pPr>
          </w:p>
        </w:tc>
      </w:tr>
    </w:tbl>
    <w:p>
      <w:pPr>
        <w:ind w:left="1280" w:right="80"/>
        <w:spacing w:after="0" w:line="262" w:lineRule="auto"/>
        <w:rPr>
          <w:sz w:val="20"/>
          <w:szCs w:val="20"/>
          <w:color w:val="auto"/>
        </w:rPr>
      </w:pPr>
      <w:r>
        <w:rPr>
          <w:rFonts w:ascii="Arial" w:cs="Arial" w:eastAsia="Arial" w:hAnsi="Arial"/>
          <w:sz w:val="13"/>
          <w:szCs w:val="13"/>
          <w:color w:val="auto"/>
        </w:rPr>
        <w:t>the Merger. As a result, changes in the price of our ADSs prior to the completion of the Merger will affect the value of our ADSs delivered upon completion of the Merger. Neon is a biotechnology company developing novel neoantigen-based T cell therapies. The transaction will combine two organizations with a common culture of pioneering translational science and a shared vision for the future of cancer immunotherapy. The Merger is conditioned upon, among other things, the approval of the Merger Agreement by the shareholders of Neon and other customary closing conditions.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80580" cy="127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527" w:right="31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160"/>
        </w:trPr>
        <w:tc>
          <w:tcPr>
            <w:tcW w:w="500" w:type="dxa"/>
            <w:vAlign w:val="bottom"/>
          </w:tcPr>
          <w:p>
            <w:pPr>
              <w:jc w:val="right"/>
              <w:ind w:right="193"/>
              <w:spacing w:after="0"/>
              <w:rPr>
                <w:sz w:val="20"/>
                <w:szCs w:val="20"/>
                <w:color w:val="auto"/>
              </w:rPr>
            </w:pPr>
            <w:r>
              <w:rPr>
                <w:rFonts w:ascii="Arial" w:cs="Arial" w:eastAsia="Arial" w:hAnsi="Arial"/>
                <w:sz w:val="13"/>
                <w:szCs w:val="13"/>
                <w:color w:val="auto"/>
                <w:w w:val="86"/>
              </w:rPr>
              <w:t>22.4</w:t>
            </w:r>
          </w:p>
        </w:tc>
        <w:tc>
          <w:tcPr>
            <w:tcW w:w="1300" w:type="dxa"/>
            <w:vAlign w:val="bottom"/>
          </w:tcPr>
          <w:p>
            <w:pPr>
              <w:ind w:left="240"/>
              <w:spacing w:after="0"/>
              <w:rPr>
                <w:sz w:val="20"/>
                <w:szCs w:val="20"/>
                <w:color w:val="auto"/>
              </w:rPr>
            </w:pPr>
            <w:r>
              <w:rPr>
                <w:rFonts w:ascii="Arial" w:cs="Arial" w:eastAsia="Arial" w:hAnsi="Arial"/>
                <w:sz w:val="13"/>
                <w:szCs w:val="13"/>
                <w:color w:val="auto"/>
                <w:w w:val="93"/>
              </w:rPr>
              <w:t>On March 16, 2020</w:t>
            </w:r>
          </w:p>
        </w:tc>
        <w:tc>
          <w:tcPr>
            <w:tcW w:w="8880" w:type="dxa"/>
            <w:vAlign w:val="bottom"/>
          </w:tcPr>
          <w:p>
            <w:pPr>
              <w:ind w:left="20"/>
              <w:spacing w:after="0"/>
              <w:rPr>
                <w:sz w:val="20"/>
                <w:szCs w:val="20"/>
                <w:color w:val="auto"/>
              </w:rPr>
            </w:pPr>
            <w:r>
              <w:rPr>
                <w:rFonts w:ascii="Arial" w:cs="Arial" w:eastAsia="Arial" w:hAnsi="Arial"/>
                <w:sz w:val="13"/>
                <w:szCs w:val="13"/>
                <w:color w:val="auto"/>
                <w:w w:val="95"/>
              </w:rPr>
              <w:t>BioNTech announced further details on the Company’s R&amp;D effort, “Project Lightspeed”, to develop a potential vaccine to induce immunity and prevent COVID-19</w:t>
            </w:r>
          </w:p>
        </w:tc>
      </w:tr>
      <w:tr>
        <w:trPr>
          <w:trHeight w:val="160"/>
        </w:trPr>
        <w:tc>
          <w:tcPr>
            <w:tcW w:w="500" w:type="dxa"/>
            <w:vAlign w:val="bottom"/>
          </w:tcPr>
          <w:p>
            <w:pPr>
              <w:spacing w:after="0"/>
              <w:rPr>
                <w:sz w:val="13"/>
                <w:szCs w:val="13"/>
                <w:color w:val="auto"/>
              </w:rPr>
            </w:pPr>
          </w:p>
        </w:tc>
        <w:tc>
          <w:tcPr>
            <w:tcW w:w="10180" w:type="dxa"/>
            <w:vAlign w:val="bottom"/>
            <w:gridSpan w:val="2"/>
          </w:tcPr>
          <w:p>
            <w:pPr>
              <w:ind w:left="240"/>
              <w:spacing w:after="0"/>
              <w:rPr>
                <w:sz w:val="20"/>
                <w:szCs w:val="20"/>
                <w:color w:val="auto"/>
              </w:rPr>
            </w:pPr>
            <w:r>
              <w:rPr>
                <w:rFonts w:ascii="Arial" w:cs="Arial" w:eastAsia="Arial" w:hAnsi="Arial"/>
                <w:sz w:val="13"/>
                <w:szCs w:val="13"/>
                <w:color w:val="auto"/>
                <w:w w:val="94"/>
              </w:rPr>
              <w:t>infection in response to the growing global health threat posed by the disease. BioNTech’s product candidate, BNT162, is a potential first-in-class mRNA vaccine in the worldwide effort</w:t>
            </w:r>
          </w:p>
        </w:tc>
      </w:tr>
      <w:tr>
        <w:trPr>
          <w:trHeight w:val="160"/>
        </w:trPr>
        <w:tc>
          <w:tcPr>
            <w:tcW w:w="500" w:type="dxa"/>
            <w:vAlign w:val="bottom"/>
          </w:tcPr>
          <w:p>
            <w:pPr>
              <w:spacing w:after="0"/>
              <w:rPr>
                <w:sz w:val="13"/>
                <w:szCs w:val="13"/>
                <w:color w:val="auto"/>
              </w:rPr>
            </w:pPr>
          </w:p>
        </w:tc>
        <w:tc>
          <w:tcPr>
            <w:tcW w:w="1300" w:type="dxa"/>
            <w:vAlign w:val="bottom"/>
          </w:tcPr>
          <w:p>
            <w:pPr>
              <w:ind w:left="240"/>
              <w:spacing w:after="0"/>
              <w:rPr>
                <w:sz w:val="20"/>
                <w:szCs w:val="20"/>
                <w:color w:val="auto"/>
              </w:rPr>
            </w:pPr>
            <w:r>
              <w:rPr>
                <w:rFonts w:ascii="Arial" w:cs="Arial" w:eastAsia="Arial" w:hAnsi="Arial"/>
                <w:sz w:val="13"/>
                <w:szCs w:val="13"/>
                <w:color w:val="auto"/>
                <w:w w:val="95"/>
              </w:rPr>
              <w:t>against COVID-19.</w:t>
            </w:r>
          </w:p>
        </w:tc>
        <w:tc>
          <w:tcPr>
            <w:tcW w:w="8880" w:type="dxa"/>
            <w:vAlign w:val="bottom"/>
          </w:tcPr>
          <w:p>
            <w:pPr>
              <w:ind w:left="20"/>
              <w:spacing w:after="0"/>
              <w:rPr>
                <w:sz w:val="20"/>
                <w:szCs w:val="20"/>
                <w:color w:val="auto"/>
              </w:rPr>
            </w:pPr>
            <w:r>
              <w:rPr>
                <w:rFonts w:ascii="Arial" w:cs="Arial" w:eastAsia="Arial" w:hAnsi="Arial"/>
                <w:sz w:val="13"/>
                <w:szCs w:val="13"/>
                <w:color w:val="auto"/>
                <w:w w:val="94"/>
              </w:rPr>
              <w:t>BioNTech intends to initiate clinical testing for BNT162 in late April 2020, subject to regulatory approval, as part of a global clinical development program in Europe</w:t>
            </w:r>
          </w:p>
        </w:tc>
      </w:tr>
      <w:tr>
        <w:trPr>
          <w:trHeight w:val="160"/>
        </w:trPr>
        <w:tc>
          <w:tcPr>
            <w:tcW w:w="500" w:type="dxa"/>
            <w:vAlign w:val="bottom"/>
          </w:tcPr>
          <w:p>
            <w:pPr>
              <w:spacing w:after="0"/>
              <w:rPr>
                <w:sz w:val="13"/>
                <w:szCs w:val="13"/>
                <w:color w:val="auto"/>
              </w:rPr>
            </w:pPr>
          </w:p>
        </w:tc>
        <w:tc>
          <w:tcPr>
            <w:tcW w:w="10180" w:type="dxa"/>
            <w:vAlign w:val="bottom"/>
            <w:gridSpan w:val="2"/>
          </w:tcPr>
          <w:p>
            <w:pPr>
              <w:ind w:left="240"/>
              <w:spacing w:after="0"/>
              <w:rPr>
                <w:sz w:val="20"/>
                <w:szCs w:val="20"/>
                <w:color w:val="auto"/>
              </w:rPr>
            </w:pPr>
            <w:r>
              <w:rPr>
                <w:rFonts w:ascii="Arial" w:cs="Arial" w:eastAsia="Arial" w:hAnsi="Arial"/>
                <w:sz w:val="13"/>
                <w:szCs w:val="13"/>
                <w:color w:val="auto"/>
                <w:w w:val="93"/>
              </w:rPr>
              <w:t>(commencing in Germany), the United States and China. The Company has been in close contact with regulatory and scientific authorities around the world and is in ongoing discussions</w:t>
            </w:r>
          </w:p>
        </w:tc>
      </w:tr>
      <w:tr>
        <w:trPr>
          <w:trHeight w:val="169"/>
        </w:trPr>
        <w:tc>
          <w:tcPr>
            <w:tcW w:w="500" w:type="dxa"/>
            <w:vAlign w:val="bottom"/>
          </w:tcPr>
          <w:p>
            <w:pPr>
              <w:spacing w:after="0"/>
              <w:rPr>
                <w:sz w:val="14"/>
                <w:szCs w:val="14"/>
                <w:color w:val="auto"/>
              </w:rPr>
            </w:pPr>
          </w:p>
        </w:tc>
        <w:tc>
          <w:tcPr>
            <w:tcW w:w="10180" w:type="dxa"/>
            <w:vAlign w:val="bottom"/>
            <w:gridSpan w:val="2"/>
          </w:tcPr>
          <w:p>
            <w:pPr>
              <w:ind w:left="240"/>
              <w:spacing w:after="0"/>
              <w:rPr>
                <w:sz w:val="20"/>
                <w:szCs w:val="20"/>
                <w:color w:val="auto"/>
              </w:rPr>
            </w:pPr>
            <w:r>
              <w:rPr>
                <w:rFonts w:ascii="Arial" w:cs="Arial" w:eastAsia="Arial" w:hAnsi="Arial"/>
                <w:sz w:val="13"/>
                <w:szCs w:val="13"/>
                <w:color w:val="auto"/>
              </w:rPr>
              <w:t>with research organizations to make a vaccine available to the public as quickly as possible worldwide.</w:t>
            </w:r>
          </w:p>
        </w:tc>
      </w:tr>
    </w:tbl>
    <w:p>
      <w:pPr>
        <w:spacing w:after="0" w:line="151" w:lineRule="exact"/>
        <w:rPr>
          <w:sz w:val="20"/>
          <w:szCs w:val="20"/>
          <w:color w:val="auto"/>
        </w:rPr>
      </w:pPr>
    </w:p>
    <w:p>
      <w:pPr>
        <w:ind w:left="740"/>
        <w:spacing w:after="0" w:line="288" w:lineRule="auto"/>
        <w:rPr>
          <w:sz w:val="20"/>
          <w:szCs w:val="20"/>
          <w:color w:val="auto"/>
        </w:rPr>
      </w:pPr>
      <w:r>
        <w:rPr>
          <w:rFonts w:ascii="Arial" w:cs="Arial" w:eastAsia="Arial" w:hAnsi="Arial"/>
          <w:sz w:val="12"/>
          <w:szCs w:val="12"/>
          <w:color w:val="auto"/>
        </w:rPr>
        <w:t>As part of its global development program, BioNTech announced a strategic alliance with Shanghai Fosun Pharmaceutical (Group) Co., Ltd (“Fosun Pharma”; Stock Symbol: 600196.SH, 02196.HK) to jointly develop its COVID-19 vaccine in China. Under the agreement, both companies will collaborate to conduct clinical trials in China, leveraging Fosun Pharma’s clinical development, regulatory, and commercial capabilities in the country. Upon regulatory approval, Fosun Pharma will commercialize the vaccine in China, while BioNTech retains the full rights to develop and commercialize the vaccine in the rest of the world. Fosun Pharma will pay BioNTech up to $135 million (€120 million) in upfront and potential future investment and milestone payments, including an equity investment of $50 million (€44 million) for 1,580,777 ordinary shares in BioNTech, subject to execution of share subscription documentation and approval from regulatory authorities in China. Future gross profits from the sale of the vaccine in China will be shared by the two companies.</w:t>
      </w:r>
    </w:p>
    <w:p>
      <w:pPr>
        <w:spacing w:after="0" w:line="126" w:lineRule="exact"/>
        <w:rPr>
          <w:sz w:val="20"/>
          <w:szCs w:val="20"/>
          <w:color w:val="auto"/>
        </w:rPr>
      </w:pPr>
    </w:p>
    <w:p>
      <w:pPr>
        <w:jc w:val="both"/>
        <w:ind w:left="740" w:right="400"/>
        <w:spacing w:after="0" w:line="272" w:lineRule="auto"/>
        <w:rPr>
          <w:sz w:val="20"/>
          <w:szCs w:val="20"/>
          <w:color w:val="auto"/>
        </w:rPr>
      </w:pPr>
      <w:r>
        <w:rPr>
          <w:rFonts w:ascii="Arial" w:cs="Arial" w:eastAsia="Arial" w:hAnsi="Arial"/>
          <w:sz w:val="13"/>
          <w:szCs w:val="13"/>
          <w:color w:val="auto"/>
        </w:rPr>
        <w:t>On March 17, 2020 BioNTech and Pfizer Inc. (NYSE: PFE, “Pfizer”) announced that the companies have agreed to a letter of intent regarding the co-development and distribution (excluding China) of a potential mRNA-based coronavirus vaccine aimed at preventing COVID-19 infection. The companies have executed a Material Transfer and Collaboration Agreement to enable the parties to immediately start working together.</w:t>
      </w:r>
    </w:p>
    <w:p>
      <w:pPr>
        <w:spacing w:after="0" w:line="292" w:lineRule="exact"/>
        <w:rPr>
          <w:sz w:val="20"/>
          <w:szCs w:val="20"/>
          <w:color w:val="auto"/>
        </w:rPr>
      </w:pPr>
    </w:p>
    <w:p>
      <w:pPr>
        <w:jc w:val="center"/>
        <w:ind w:right="500"/>
        <w:spacing w:after="0"/>
        <w:rPr>
          <w:sz w:val="20"/>
          <w:szCs w:val="20"/>
          <w:color w:val="auto"/>
        </w:rPr>
      </w:pPr>
      <w:r>
        <w:rPr>
          <w:rFonts w:ascii="Arial" w:cs="Arial" w:eastAsia="Arial" w:hAnsi="Arial"/>
          <w:sz w:val="13"/>
          <w:szCs w:val="13"/>
          <w:color w:val="auto"/>
        </w:rPr>
        <w:t>F-49</w:t>
      </w:r>
    </w:p>
    <w:p>
      <w:pPr>
        <w:sectPr>
          <w:pgSz w:w="11900" w:h="16838" w:orient="portrait"/>
          <w:cols w:equalWidth="0" w:num="1">
            <w:col w:w="10700"/>
          </w:cols>
          <w:pgMar w:left="840" w:top="451" w:right="359" w:bottom="1440" w:gutter="0" w:footer="0" w:header="0"/>
        </w:sectPr>
      </w:pPr>
    </w:p>
    <w:bookmarkStart w:id="313" w:name="page314"/>
    <w:bookmarkEnd w:id="313"/>
    <w:p>
      <w:pPr>
        <w:jc w:val="right"/>
        <w:spacing w:after="0"/>
        <w:rPr>
          <w:sz w:val="20"/>
          <w:szCs w:val="20"/>
          <w:color w:val="auto"/>
        </w:rPr>
      </w:pPr>
      <w:r>
        <w:rPr>
          <w:rFonts w:ascii="Arial" w:cs="Arial" w:eastAsia="Arial" w:hAnsi="Arial"/>
          <w:sz w:val="13"/>
          <w:szCs w:val="13"/>
          <w:b w:val="1"/>
          <w:bCs w:val="1"/>
          <w:color w:val="auto"/>
        </w:rPr>
        <w:t>Exhibit 1.1</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1"/>
          <w:szCs w:val="11"/>
          <w:i w:val="1"/>
          <w:iCs w:val="1"/>
          <w:u w:val="single" w:color="auto"/>
          <w:color w:val="auto"/>
        </w:rPr>
        <w:t>Convenience Translation. The German version is authoritative</w:t>
      </w:r>
    </w:p>
    <w:p>
      <w:pPr>
        <w:spacing w:after="0" w:line="188"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ARTICLES OF ASSOCIATION OF BIONTECH SE</w:t>
      </w:r>
    </w:p>
    <w:p>
      <w:pPr>
        <w:spacing w:after="0" w:line="196" w:lineRule="exact"/>
        <w:rPr>
          <w:sz w:val="20"/>
          <w:szCs w:val="20"/>
          <w:color w:val="auto"/>
        </w:rPr>
      </w:pPr>
    </w:p>
    <w:p>
      <w:pPr>
        <w:ind w:left="960" w:hanging="960"/>
        <w:spacing w:after="0"/>
        <w:tabs>
          <w:tab w:leader="none" w:pos="96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General provisions</w:t>
      </w: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1</w:t>
      </w:r>
      <w:r>
        <w:rPr>
          <w:sz w:val="20"/>
          <w:szCs w:val="20"/>
          <w:color w:val="auto"/>
        </w:rPr>
        <w:tab/>
      </w:r>
      <w:r>
        <w:rPr>
          <w:rFonts w:ascii="Arial" w:cs="Arial" w:eastAsia="Arial" w:hAnsi="Arial"/>
          <w:sz w:val="14"/>
          <w:szCs w:val="14"/>
          <w:b w:val="1"/>
          <w:bCs w:val="1"/>
          <w:color w:val="auto"/>
        </w:rPr>
        <w:t>Company name, registered office and financial year</w:t>
      </w:r>
    </w:p>
    <w:p>
      <w:pPr>
        <w:spacing w:after="0" w:line="280" w:lineRule="exact"/>
        <w:rPr>
          <w:sz w:val="20"/>
          <w:szCs w:val="20"/>
          <w:color w:val="auto"/>
        </w:rPr>
      </w:pPr>
    </w:p>
    <w:p>
      <w:pPr>
        <w:ind w:left="1920" w:hanging="960"/>
        <w:spacing w:after="0"/>
        <w:tabs>
          <w:tab w:leader="none" w:pos="19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name of the company is “BioNTech SE”.</w:t>
      </w:r>
    </w:p>
    <w:p>
      <w:pPr>
        <w:spacing w:after="0" w:line="275" w:lineRule="exact"/>
        <w:rPr>
          <w:rFonts w:ascii="Arial" w:cs="Arial" w:eastAsia="Arial" w:hAnsi="Arial"/>
          <w:sz w:val="16"/>
          <w:szCs w:val="16"/>
          <w:color w:val="auto"/>
        </w:rPr>
      </w:pPr>
    </w:p>
    <w:p>
      <w:pPr>
        <w:ind w:left="1920" w:hanging="960"/>
        <w:spacing w:after="0"/>
        <w:tabs>
          <w:tab w:leader="none" w:pos="19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company has its seat in Mainz, Germany.</w:t>
      </w:r>
    </w:p>
    <w:p>
      <w:pPr>
        <w:spacing w:after="0" w:line="275" w:lineRule="exact"/>
        <w:rPr>
          <w:rFonts w:ascii="Arial" w:cs="Arial" w:eastAsia="Arial" w:hAnsi="Arial"/>
          <w:sz w:val="16"/>
          <w:szCs w:val="16"/>
          <w:color w:val="auto"/>
        </w:rPr>
      </w:pPr>
    </w:p>
    <w:p>
      <w:pPr>
        <w:ind w:left="1920" w:hanging="960"/>
        <w:spacing w:after="0"/>
        <w:tabs>
          <w:tab w:leader="none" w:pos="19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financial year is the calendar year.</w:t>
      </w:r>
    </w:p>
    <w:p>
      <w:pPr>
        <w:spacing w:after="0" w:line="27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2</w:t>
      </w:r>
      <w:r>
        <w:rPr>
          <w:sz w:val="20"/>
          <w:szCs w:val="20"/>
          <w:color w:val="auto"/>
        </w:rPr>
        <w:tab/>
      </w:r>
      <w:r>
        <w:rPr>
          <w:rFonts w:ascii="Arial" w:cs="Arial" w:eastAsia="Arial" w:hAnsi="Arial"/>
          <w:sz w:val="14"/>
          <w:szCs w:val="14"/>
          <w:b w:val="1"/>
          <w:bCs w:val="1"/>
          <w:color w:val="auto"/>
        </w:rPr>
        <w:t>Purpose of enterprise</w:t>
      </w:r>
    </w:p>
    <w:p>
      <w:pPr>
        <w:spacing w:after="0" w:line="280" w:lineRule="exact"/>
        <w:rPr>
          <w:sz w:val="20"/>
          <w:szCs w:val="20"/>
          <w:color w:val="auto"/>
        </w:rPr>
      </w:pPr>
    </w:p>
    <w:p>
      <w:pPr>
        <w:ind w:left="1920" w:hanging="960"/>
        <w:spacing w:after="0" w:line="261" w:lineRule="auto"/>
        <w:tabs>
          <w:tab w:leader="none" w:pos="192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purpose of the company is to research and develop, as well as to manufacture and market immunological and RNA-based drugs and test methods for the diagnosis, prevention and treatment of cancer, infectious diseases and other serious diseases.</w:t>
      </w:r>
    </w:p>
    <w:p>
      <w:pPr>
        <w:spacing w:after="0" w:line="239" w:lineRule="exact"/>
        <w:rPr>
          <w:rFonts w:ascii="Arial" w:cs="Arial" w:eastAsia="Arial" w:hAnsi="Arial"/>
          <w:sz w:val="16"/>
          <w:szCs w:val="16"/>
          <w:color w:val="auto"/>
        </w:rPr>
      </w:pPr>
    </w:p>
    <w:p>
      <w:pPr>
        <w:jc w:val="both"/>
        <w:ind w:left="1920" w:hanging="960"/>
        <w:spacing w:after="0" w:line="248" w:lineRule="auto"/>
        <w:tabs>
          <w:tab w:leader="none" w:pos="192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company may undertake all transactions and actions that are expedient for serving the company’s purpose. It is also entitled to establish and acquire other companies and to invest in other companies, as well as to manage such companies or to limit itself to the administration of the investment.</w:t>
      </w:r>
    </w:p>
    <w:p>
      <w:pPr>
        <w:spacing w:after="0" w:line="24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3</w:t>
      </w:r>
      <w:r>
        <w:rPr>
          <w:sz w:val="20"/>
          <w:szCs w:val="20"/>
          <w:color w:val="auto"/>
        </w:rPr>
        <w:tab/>
      </w:r>
      <w:r>
        <w:rPr>
          <w:rFonts w:ascii="Arial" w:cs="Arial" w:eastAsia="Arial" w:hAnsi="Arial"/>
          <w:sz w:val="14"/>
          <w:szCs w:val="14"/>
          <w:b w:val="1"/>
          <w:bCs w:val="1"/>
          <w:color w:val="auto"/>
        </w:rPr>
        <w:t>Announcements</w:t>
      </w:r>
    </w:p>
    <w:p>
      <w:pPr>
        <w:spacing w:after="0" w:line="28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All of the company's announcements shall be made exclusively in the German Federal Gazette (Bundesanzeiger).</w:t>
      </w:r>
    </w:p>
    <w:p>
      <w:pPr>
        <w:spacing w:after="0" w:line="272" w:lineRule="exact"/>
        <w:rPr>
          <w:sz w:val="20"/>
          <w:szCs w:val="20"/>
          <w:color w:val="auto"/>
        </w:rPr>
      </w:pPr>
    </w:p>
    <w:p>
      <w:pPr>
        <w:ind w:left="960" w:hanging="960"/>
        <w:spacing w:after="0"/>
        <w:tabs>
          <w:tab w:leader="none" w:pos="960" w:val="left"/>
        </w:tabs>
        <w:numPr>
          <w:ilvl w:val="0"/>
          <w:numId w:val="331"/>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 and shares</w:t>
      </w: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4</w:t>
      </w:r>
      <w:r>
        <w:rPr>
          <w:sz w:val="20"/>
          <w:szCs w:val="20"/>
          <w:color w:val="auto"/>
        </w:rPr>
        <w:tab/>
      </w:r>
      <w:r>
        <w:rPr>
          <w:rFonts w:ascii="Arial" w:cs="Arial" w:eastAsia="Arial" w:hAnsi="Arial"/>
          <w:sz w:val="14"/>
          <w:szCs w:val="14"/>
          <w:b w:val="1"/>
          <w:bCs w:val="1"/>
          <w:color w:val="auto"/>
        </w:rPr>
        <w:t>Amount and division of share capital; deviating profit participation</w:t>
      </w:r>
    </w:p>
    <w:p>
      <w:pPr>
        <w:spacing w:after="0" w:line="280" w:lineRule="exact"/>
        <w:rPr>
          <w:sz w:val="20"/>
          <w:szCs w:val="20"/>
          <w:color w:val="auto"/>
        </w:rPr>
      </w:pPr>
    </w:p>
    <w:p>
      <w:pPr>
        <w:ind w:left="1920" w:hanging="960"/>
        <w:spacing w:after="0"/>
        <w:tabs>
          <w:tab w:leader="none" w:pos="19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company's share capital totals EUR 232,304,250.00 and is divided across 232,304,250 no-par value shares.</w:t>
      </w:r>
    </w:p>
    <w:p>
      <w:pPr>
        <w:spacing w:after="0" w:line="275" w:lineRule="exact"/>
        <w:rPr>
          <w:rFonts w:ascii="Arial" w:cs="Arial" w:eastAsia="Arial" w:hAnsi="Arial"/>
          <w:sz w:val="16"/>
          <w:szCs w:val="16"/>
          <w:color w:val="auto"/>
        </w:rPr>
      </w:pPr>
    </w:p>
    <w:p>
      <w:pPr>
        <w:jc w:val="both"/>
        <w:ind w:left="1920" w:hanging="960"/>
        <w:spacing w:after="0" w:line="272" w:lineRule="auto"/>
        <w:tabs>
          <w:tab w:leader="none" w:pos="192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Any entitlement of shareholders to the right of issuance of share certificates is excluded, to the extent permitted by law or unless certification is required under the rules applicable at a stock exchange where the shares or rights or certificates representing them are admitted for trading. Global certificates for shares may be issued. Form and content of these certificates shall be determined by the Management Board.</w:t>
      </w:r>
    </w:p>
    <w:p>
      <w:pPr>
        <w:spacing w:after="0" w:line="233" w:lineRule="exact"/>
        <w:rPr>
          <w:rFonts w:ascii="Arial" w:cs="Arial" w:eastAsia="Arial" w:hAnsi="Arial"/>
          <w:sz w:val="15"/>
          <w:szCs w:val="15"/>
          <w:color w:val="auto"/>
        </w:rPr>
      </w:pPr>
    </w:p>
    <w:p>
      <w:pPr>
        <w:ind w:left="1920" w:hanging="960"/>
        <w:spacing w:after="0"/>
        <w:tabs>
          <w:tab w:leader="none" w:pos="19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shares are registered shares.</w:t>
      </w:r>
    </w:p>
    <w:p>
      <w:pPr>
        <w:spacing w:after="0" w:line="275"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In the event of a capital increase, the profit sharing of new shares may be determined in deviation from Section 60(2) Sentence 3 German Stock Corporation Act (</w:t>
      </w:r>
      <w:r>
        <w:rPr>
          <w:rFonts w:ascii="Arial" w:cs="Arial" w:eastAsia="Arial" w:hAnsi="Arial"/>
          <w:sz w:val="16"/>
          <w:szCs w:val="16"/>
          <w:i w:val="1"/>
          <w:iCs w:val="1"/>
          <w:color w:val="auto"/>
        </w:rPr>
        <w:t>AktG</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7180580" cy="127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14" w:name="page315"/>
    <w:bookmarkEnd w:id="314"/>
    <w:p>
      <w:pPr>
        <w:jc w:val="both"/>
        <w:ind w:left="960" w:hanging="960"/>
        <w:spacing w:after="0" w:line="238" w:lineRule="auto"/>
        <w:tabs>
          <w:tab w:leader="none" w:pos="96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Management Board is authorized, subject to the consent of the Supervisory Board, to increase the company’s share capital in the period up to 18 August 2024 on one occasion or on multiple occasions by up to a total of EUR 105,818,002.00 by issuing up to 105,818,002 new, no-par value registered shares against contributions in cash or in kind (Authorized Capital). In principle, the shareholders are to be granted a right of subscription. The shares may also be assumed by one or more banking institution(s) or one or more companies operating according to Section 53(1) sentence 1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 xml:space="preserve">; </w:t>
      </w:r>
      <w:r>
        <w:rPr>
          <w:rFonts w:ascii="Arial" w:cs="Arial" w:eastAsia="Arial" w:hAnsi="Arial"/>
          <w:sz w:val="16"/>
          <w:szCs w:val="16"/>
          <w:i w:val="1"/>
          <w:iCs w:val="1"/>
          <w:color w:val="auto"/>
        </w:rPr>
        <w:t>KWG</w:t>
      </w:r>
      <w:r>
        <w:rPr>
          <w:rFonts w:ascii="Arial" w:cs="Arial" w:eastAsia="Arial" w:hAnsi="Arial"/>
          <w:sz w:val="16"/>
          <w:szCs w:val="16"/>
          <w:color w:val="auto"/>
        </w:rPr>
        <w:t>) or Section 53b(1) sentence 1 or (7) KWG with the requirement that the shares are offered to the company's shareholders for purchase (so-called indirect right to subscription). The Management Board is authorized to exclude the subscription right of shareholders in one or more instance(s) of a capital increase as part of the Authorized Capital, subject to Supervisory Board approval,</w:t>
      </w:r>
    </w:p>
    <w:p>
      <w:pPr>
        <w:spacing w:after="0" w:line="100" w:lineRule="exact"/>
        <w:rPr>
          <w:rFonts w:ascii="Arial" w:cs="Arial" w:eastAsia="Arial" w:hAnsi="Arial"/>
          <w:sz w:val="16"/>
          <w:szCs w:val="16"/>
          <w:color w:val="auto"/>
        </w:rPr>
      </w:pPr>
    </w:p>
    <w:p>
      <w:pPr>
        <w:ind w:left="1960" w:hanging="970"/>
        <w:spacing w:after="0"/>
        <w:tabs>
          <w:tab w:leader="none" w:pos="196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to exclude fractional amounts from the subscription right,</w:t>
      </w:r>
    </w:p>
    <w:p>
      <w:pPr>
        <w:spacing w:after="0" w:line="115" w:lineRule="exact"/>
        <w:rPr>
          <w:rFonts w:ascii="Arial" w:cs="Arial" w:eastAsia="Arial" w:hAnsi="Arial"/>
          <w:sz w:val="16"/>
          <w:szCs w:val="16"/>
          <w:color w:val="auto"/>
        </w:rPr>
      </w:pPr>
    </w:p>
    <w:p>
      <w:pPr>
        <w:jc w:val="both"/>
        <w:ind w:left="1960" w:hanging="970"/>
        <w:spacing w:after="0" w:line="274" w:lineRule="auto"/>
        <w:tabs>
          <w:tab w:leader="none" w:pos="196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 if this amount is lower -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77" w:lineRule="exact"/>
        <w:rPr>
          <w:rFonts w:ascii="Arial" w:cs="Arial" w:eastAsia="Arial" w:hAnsi="Arial"/>
          <w:sz w:val="14"/>
          <w:szCs w:val="14"/>
          <w:color w:val="auto"/>
        </w:rPr>
      </w:pPr>
    </w:p>
    <w:p>
      <w:pPr>
        <w:ind w:left="1960" w:hanging="970"/>
        <w:spacing w:after="0" w:line="333" w:lineRule="auto"/>
        <w:tabs>
          <w:tab w:leader="none" w:pos="196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33" w:lineRule="exact"/>
        <w:rPr>
          <w:rFonts w:ascii="Arial" w:cs="Arial" w:eastAsia="Arial" w:hAnsi="Arial"/>
          <w:sz w:val="14"/>
          <w:szCs w:val="14"/>
          <w:color w:val="auto"/>
        </w:rPr>
      </w:pPr>
    </w:p>
    <w:p>
      <w:pPr>
        <w:ind w:left="1960" w:hanging="970"/>
        <w:spacing w:after="0" w:line="261" w:lineRule="auto"/>
        <w:tabs>
          <w:tab w:leader="none" w:pos="196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in order to grant subscription rights to new shares to holders of conversion or option rights in respect of bonds issued by the company or its subordinated domestic or foreign Group</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54610</wp:posOffset>
            </wp:positionV>
            <wp:extent cx="7180580" cy="127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320"/>
          </w:cols>
          <w:pgMar w:left="1260" w:top="393" w:right="319" w:bottom="1440" w:gutter="0" w:footer="0" w:header="0"/>
        </w:sectPr>
      </w:pPr>
    </w:p>
    <w:bookmarkStart w:id="315" w:name="page316"/>
    <w:bookmarkEnd w:id="315"/>
    <w:p>
      <w:pPr>
        <w:ind w:left="1780"/>
        <w:spacing w:after="0" w:line="261" w:lineRule="auto"/>
        <w:rPr>
          <w:sz w:val="20"/>
          <w:szCs w:val="20"/>
          <w:color w:val="auto"/>
        </w:rPr>
      </w:pPr>
      <w:r>
        <w:rPr>
          <w:rFonts w:ascii="Arial" w:cs="Arial" w:eastAsia="Arial" w:hAnsi="Arial"/>
          <w:sz w:val="16"/>
          <w:szCs w:val="16"/>
          <w:color w:val="auto"/>
        </w:rPr>
        <w:t>companies, to the extent to which they would be entitled after exercising their conversion or option rights or after fulfilling an agreed conversion obligation;</w:t>
      </w:r>
    </w:p>
    <w:p>
      <w:pPr>
        <w:spacing w:after="0" w:line="80" w:lineRule="exact"/>
        <w:rPr>
          <w:sz w:val="20"/>
          <w:szCs w:val="20"/>
          <w:color w:val="auto"/>
        </w:rPr>
      </w:pPr>
    </w:p>
    <w:p>
      <w:pPr>
        <w:jc w:val="both"/>
        <w:ind w:left="1780" w:hanging="970"/>
        <w:spacing w:after="0" w:line="248" w:lineRule="auto"/>
        <w:tabs>
          <w:tab w:leader="none" w:pos="17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to implement an election dividend (</w:t>
      </w:r>
      <w:r>
        <w:rPr>
          <w:rFonts w:ascii="Arial" w:cs="Arial" w:eastAsia="Arial" w:hAnsi="Arial"/>
          <w:sz w:val="16"/>
          <w:szCs w:val="16"/>
          <w:i w:val="1"/>
          <w:iCs w:val="1"/>
          <w:color w:val="auto"/>
        </w:rPr>
        <w:t>scrip dividend</w:t>
      </w:r>
      <w:r>
        <w:rPr>
          <w:rFonts w:ascii="Arial" w:cs="Arial" w:eastAsia="Arial" w:hAnsi="Arial"/>
          <w:sz w:val="16"/>
          <w:szCs w:val="16"/>
          <w:color w:val="auto"/>
        </w:rPr>
        <w:t>/share dividend) by which shareholders are given the option to contribute their dividend entitlements to the company (either in whole or part) as a contribution in kind against issuance of new shares in the company;</w:t>
      </w:r>
    </w:p>
    <w:p>
      <w:pPr>
        <w:spacing w:after="0" w:line="89" w:lineRule="exact"/>
        <w:rPr>
          <w:rFonts w:ascii="Arial" w:cs="Arial" w:eastAsia="Arial" w:hAnsi="Arial"/>
          <w:sz w:val="16"/>
          <w:szCs w:val="16"/>
          <w:color w:val="auto"/>
        </w:rPr>
      </w:pPr>
    </w:p>
    <w:p>
      <w:pPr>
        <w:jc w:val="both"/>
        <w:ind w:left="1780" w:hanging="970"/>
        <w:spacing w:after="0" w:line="239" w:lineRule="auto"/>
        <w:tabs>
          <w:tab w:leader="none" w:pos="17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if shares are issued to one or more investors on one or more occasions or in connection therewith to shareholders by way of co-investments (within the meaning of the </w:t>
      </w:r>
      <w:r>
        <w:rPr>
          <w:rFonts w:ascii="Arial" w:cs="Arial" w:eastAsia="Arial" w:hAnsi="Arial"/>
          <w:sz w:val="16"/>
          <w:szCs w:val="16"/>
          <w:b w:val="1"/>
          <w:bCs w:val="1"/>
          <w:u w:val="single" w:color="auto"/>
          <w:color w:val="auto"/>
        </w:rPr>
        <w:t>Annex to Section 4(5)</w:t>
      </w:r>
      <w:r>
        <w:rPr>
          <w:rFonts w:ascii="Arial" w:cs="Arial" w:eastAsia="Arial" w:hAnsi="Arial"/>
          <w:sz w:val="16"/>
          <w:szCs w:val="16"/>
          <w:u w:val="single" w:color="auto"/>
          <w:color w:val="auto"/>
        </w:rPr>
        <w:t>)</w:t>
      </w:r>
      <w:r>
        <w:rPr>
          <w:rFonts w:ascii="Arial" w:cs="Arial" w:eastAsia="Arial" w:hAnsi="Arial"/>
          <w:sz w:val="16"/>
          <w:szCs w:val="16"/>
          <w:color w:val="auto"/>
        </w:rPr>
        <w:t xml:space="preserve"> on the basis of agreements concluded by 30 June 2020 at an issue price (including any further payment agreed under the law of obligations) of at least USD 18.10 (to this extent, the more detailed provisions of the Annex to Section 4(5) shall apply) and, in doing so, the provisions of the Annex to Section 4(5) are complied with. However, this authority to exclude the subscription right pursuant to this letter f) shall lapse if the shares of the Company or the rights or certificates representing them have been admitted to trading on a stock exchange or any other multilateral trading system,</w:t>
      </w:r>
    </w:p>
    <w:p>
      <w:pPr>
        <w:spacing w:after="0" w:line="97" w:lineRule="exact"/>
        <w:rPr>
          <w:rFonts w:ascii="Arial" w:cs="Arial" w:eastAsia="Arial" w:hAnsi="Arial"/>
          <w:sz w:val="16"/>
          <w:szCs w:val="16"/>
          <w:color w:val="auto"/>
        </w:rPr>
      </w:pPr>
    </w:p>
    <w:p>
      <w:pPr>
        <w:jc w:val="both"/>
        <w:ind w:left="1780" w:hanging="970"/>
        <w:spacing w:after="0" w:line="241" w:lineRule="auto"/>
        <w:tabs>
          <w:tab w:leader="none" w:pos="17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in case shares are to be issued to a member of the Management Board of the Company or to another person who is employed by the company or one of its affiliates and a minimum holding period of at least one year and the obligation to transfer back the shares in the event that the beneficiary is not employed by the company or one of its affiliated companies for the entire duration of the holding period or any other agreed period is agreed upon. Additional restrictions with regard to the shares issued may be agreed upon,</w:t>
      </w:r>
    </w:p>
    <w:p>
      <w:pPr>
        <w:spacing w:after="0" w:line="96" w:lineRule="exact"/>
        <w:rPr>
          <w:rFonts w:ascii="Arial" w:cs="Arial" w:eastAsia="Arial" w:hAnsi="Arial"/>
          <w:sz w:val="16"/>
          <w:szCs w:val="16"/>
          <w:color w:val="auto"/>
        </w:rPr>
      </w:pPr>
    </w:p>
    <w:p>
      <w:pPr>
        <w:jc w:val="both"/>
        <w:ind w:left="1780" w:hanging="970"/>
        <w:spacing w:after="0"/>
        <w:tabs>
          <w:tab w:leader="none" w:pos="17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in a capital increase effected after introduction of the Company’s shares or certificates representing them to trading on a stock exchange or a multilateral trading system, if excluding subscription rights, according to the written declaration of an internationally renowned investment bank, is expedient to the shares’ successful placement in view of the requirements of eligible investors and if the discount by which the issue price of the shares may be below the current stock exchange price at the time the Management Board adopts the resolution on using authorised capital, according to such declaration, does not exceed the extent necessary for a successful placement, and</w:t>
      </w:r>
    </w:p>
    <w:p>
      <w:pPr>
        <w:spacing w:after="0" w:line="95" w:lineRule="exact"/>
        <w:rPr>
          <w:rFonts w:ascii="Arial" w:cs="Arial" w:eastAsia="Arial" w:hAnsi="Arial"/>
          <w:sz w:val="16"/>
          <w:szCs w:val="16"/>
          <w:color w:val="auto"/>
        </w:rPr>
      </w:pPr>
    </w:p>
    <w:p>
      <w:pPr>
        <w:ind w:left="1780" w:hanging="970"/>
        <w:spacing w:after="0" w:line="295" w:lineRule="auto"/>
        <w:tabs>
          <w:tab w:leader="none" w:pos="178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in order to be able to satisfy an option to acquire additional shares or American Depositary Shares that has been agreed with the issuing banks in connection with a public offering of shares in the Company in the form of American Depositary Shares.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54610</wp:posOffset>
            </wp:positionV>
            <wp:extent cx="7180580" cy="127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40"/>
          </w:cols>
          <w:pgMar w:left="1440" w:top="232" w:right="319" w:bottom="1440" w:gutter="0" w:footer="0" w:header="0"/>
        </w:sectPr>
      </w:pPr>
    </w:p>
    <w:bookmarkStart w:id="316" w:name="page317"/>
    <w:bookmarkEnd w:id="316"/>
    <w:p>
      <w:pPr>
        <w:jc w:val="both"/>
        <w:ind w:left="1000"/>
        <w:spacing w:after="0" w:line="239" w:lineRule="auto"/>
        <w:rPr>
          <w:sz w:val="20"/>
          <w:szCs w:val="20"/>
          <w:color w:val="auto"/>
        </w:rPr>
      </w:pPr>
      <w:r>
        <w:rPr>
          <w:rFonts w:ascii="Arial" w:cs="Arial" w:eastAsia="Arial" w:hAnsi="Arial"/>
          <w:sz w:val="16"/>
          <w:szCs w:val="16"/>
          <w:color w:val="auto"/>
        </w:rPr>
        <w:t>The total number of new shares issued from the Authorized Capital and under exclusion of subscription rights pursuant to sentence 4 lit. a) to c) and h) above may not exceed 20% of the share capital, either at the time this authorization becomes effective or – if lower – at the time it is utilized. To be counted against the aforementioned 20%-limit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(ii) treasury shares that have been disposed under exclusion of subscription rights during the term of this authorization (except in the case of lit. b) para (v), (vi) or (vii) of the resolution to item no. 8 of the General Meeting of 19 August 2019).</w:t>
      </w:r>
    </w:p>
    <w:p>
      <w:pPr>
        <w:spacing w:after="0" w:line="137" w:lineRule="exact"/>
        <w:rPr>
          <w:sz w:val="20"/>
          <w:szCs w:val="20"/>
          <w:color w:val="auto"/>
        </w:rPr>
      </w:pPr>
    </w:p>
    <w:p>
      <w:pPr>
        <w:jc w:val="both"/>
        <w:ind w:left="980"/>
        <w:spacing w:after="0" w:line="272" w:lineRule="auto"/>
        <w:rPr>
          <w:sz w:val="20"/>
          <w:szCs w:val="20"/>
          <w:color w:val="auto"/>
        </w:rPr>
      </w:pPr>
      <w:r>
        <w:rPr>
          <w:rFonts w:ascii="Arial" w:cs="Arial" w:eastAsia="Arial" w:hAnsi="Arial"/>
          <w:sz w:val="15"/>
          <w:szCs w:val="15"/>
          <w:color w:val="auto"/>
        </w:rPr>
        <w:t>The new shares participate in the profits as of the beginning of the first fiscal year for which the annual financial statements have not yet been submitted to the General Meeting at the time of registration of the implementation of the capital increase. The Management Board shall be authorized, with the consent of the Supervisory Board, to determine further details of the capital increase and its implementation.</w:t>
      </w:r>
    </w:p>
    <w:p>
      <w:pPr>
        <w:spacing w:after="0" w:line="233" w:lineRule="exact"/>
        <w:rPr>
          <w:sz w:val="20"/>
          <w:szCs w:val="20"/>
          <w:color w:val="auto"/>
        </w:rPr>
      </w:pPr>
    </w:p>
    <w:p>
      <w:pPr>
        <w:jc w:val="both"/>
        <w:ind w:left="960" w:hanging="960"/>
        <w:spacing w:after="0" w:line="254" w:lineRule="auto"/>
        <w:tabs>
          <w:tab w:leader="none" w:pos="96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The share capital is conditionally increased by up to EUR 21,874,806.00 by issuing up to 21,874,806 new registered no-par value shares each representing a notional value of EUR 1.00 of the share capital (Conditional Capital ESOP 2017/2019). The sole purpose of the Conditional Capital ESOP 2017/2019 is the grant of rights to holders of stock options issued by the Company under the authorisation granted by the General Meeting of 18 August 2017 under agenda item5.a), also in the version of such authorisation as amended by resolution of the General Meeting of 19 August 2019 on agenda item 6.a) (together the “Authorisation 2017/2019”). The shares shall be issued at the strike price determined in accordance with the provisions of the Authorisation 2017/2019 in the version applicable at the time of its exercise. The conditional capital increase shall only be implemented to the extent that the holders of the stock options issued by the Company under the Authorisation 2017/2019 exercise their subscription rights and the Company does not service the stock options by delivering treasury shares or by a cash payment. The new shares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251" w:lineRule="exact"/>
        <w:rPr>
          <w:rFonts w:ascii="Arial" w:cs="Arial" w:eastAsia="Arial" w:hAnsi="Arial"/>
          <w:sz w:val="15"/>
          <w:szCs w:val="15"/>
          <w:color w:val="auto"/>
        </w:rPr>
      </w:pPr>
    </w:p>
    <w:p>
      <w:pPr>
        <w:jc w:val="both"/>
        <w:ind w:left="960" w:hanging="960"/>
        <w:spacing w:after="0" w:line="248" w:lineRule="auto"/>
        <w:tabs>
          <w:tab w:leader="none" w:pos="9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share capital is conditionally increased by up to EUR 87,499,260.00 by issuing up to 87,499,260 new registered no-par value shares, each representing a notional value of EUR 1.00 of the share capital (Conditional Capital WSV 2019). The conditional capital increase shall only be carried out to the extent that the holders or creditors of option rights or conversion rights or those under an</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54610</wp:posOffset>
            </wp:positionV>
            <wp:extent cx="7180580" cy="127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320"/>
          </w:cols>
          <w:pgMar w:left="1260" w:top="393" w:right="319" w:bottom="1440" w:gutter="0" w:footer="0" w:header="0"/>
        </w:sectPr>
      </w:pPr>
    </w:p>
    <w:bookmarkStart w:id="317" w:name="page318"/>
    <w:bookmarkEnd w:id="317"/>
    <w:p>
      <w:pPr>
        <w:jc w:val="both"/>
        <w:ind w:left="1920" w:right="20"/>
        <w:spacing w:after="0" w:line="254" w:lineRule="auto"/>
        <w:rPr>
          <w:sz w:val="20"/>
          <w:szCs w:val="20"/>
          <w:color w:val="auto"/>
        </w:rPr>
      </w:pPr>
      <w:r>
        <w:rPr>
          <w:rFonts w:ascii="Arial" w:cs="Arial" w:eastAsia="Arial" w:hAnsi="Arial"/>
          <w:sz w:val="15"/>
          <w:szCs w:val="15"/>
          <w:color w:val="auto"/>
        </w:rPr>
        <w:t>obligation to convert under warrant-linked or convertible bonds issued in return for cash contributions and issued or guaranteed by the Company or by a subordinate Company group entity up to, and including, 18 August 2024 based on Management Board authorisation as per the shareholder resolution conferring said authorisation passed at the General Meeting of 19 August 2019 avail of their option rights or conversion rights or where they are under an obligation to convert, to the extent they satisfy their obligation to convert, or to the extent that the Company exercises a right to choose to grant Company shares, in whole or in part instead of paying a monetary amount due, and to the extent cash compensation is not granted in each relevant case or treasury shares or shares of another stock-listed company are not utilised for servicing. The new shares are issued at the warrant exercise price or conversion price to be determined in each case in accordance with the aforementioned resolution granting authorisation. The new shares shall carry an entitlement to dividends from the beginning of the financial year in which they are created; as far as the law permits, the Management Board can confer dividend rights for new shares in derogation of the foregoing and of section 60(2) AktG and also for a financial year that has already ended. The Management Board shall be authorised, subject to Supervisory Board approval, to determine the remaining details for implementing the conditional capital increase.</w:t>
      </w:r>
    </w:p>
    <w:p>
      <w:pPr>
        <w:spacing w:after="0" w:line="252" w:lineRule="exact"/>
        <w:rPr>
          <w:sz w:val="20"/>
          <w:szCs w:val="20"/>
          <w:color w:val="auto"/>
        </w:rPr>
      </w:pPr>
    </w:p>
    <w:p>
      <w:pPr>
        <w:jc w:val="both"/>
        <w:ind w:left="1920" w:right="20" w:hanging="960"/>
        <w:spacing w:after="0" w:line="248" w:lineRule="auto"/>
        <w:tabs>
          <w:tab w:leader="none" w:pos="192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To the extent that the above paragraphs provide for authorized or conditional capital, the Supervisory Board is authorized to amend the wording of the Articles of Association after expiry of the period for utilization of the authorized capital and in accordance with the extent of capital increases carried out on the basis thereof.</w:t>
      </w:r>
    </w:p>
    <w:p>
      <w:pPr>
        <w:spacing w:after="0" w:line="245" w:lineRule="exact"/>
        <w:rPr>
          <w:rFonts w:ascii="Arial" w:cs="Arial" w:eastAsia="Arial" w:hAnsi="Arial"/>
          <w:sz w:val="16"/>
          <w:szCs w:val="16"/>
          <w:color w:val="auto"/>
        </w:rPr>
      </w:pPr>
    </w:p>
    <w:p>
      <w:pPr>
        <w:ind w:left="960" w:hanging="960"/>
        <w:spacing w:after="0"/>
        <w:tabs>
          <w:tab w:leader="none" w:pos="96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The executive bodies of the company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Pr>
          <w:p>
            <w:pPr>
              <w:spacing w:after="0"/>
              <w:rPr>
                <w:sz w:val="20"/>
                <w:szCs w:val="20"/>
                <w:color w:val="auto"/>
              </w:rPr>
            </w:pPr>
            <w:r>
              <w:rPr>
                <w:rFonts w:ascii="Arial" w:cs="Arial" w:eastAsia="Arial" w:hAnsi="Arial"/>
                <w:sz w:val="16"/>
                <w:szCs w:val="16"/>
                <w:b w:val="1"/>
                <w:bCs w:val="1"/>
                <w:color w:val="auto"/>
              </w:rPr>
              <w:t>§ 5</w:t>
            </w:r>
          </w:p>
        </w:tc>
        <w:tc>
          <w:tcPr>
            <w:tcW w:w="10720" w:type="dxa"/>
            <w:vAlign w:val="bottom"/>
            <w:gridSpan w:val="2"/>
          </w:tcPr>
          <w:p>
            <w:pPr>
              <w:ind w:left="380"/>
              <w:spacing w:after="0"/>
              <w:rPr>
                <w:sz w:val="20"/>
                <w:szCs w:val="20"/>
                <w:color w:val="auto"/>
              </w:rPr>
            </w:pPr>
            <w:r>
              <w:rPr>
                <w:rFonts w:ascii="Arial" w:cs="Arial" w:eastAsia="Arial" w:hAnsi="Arial"/>
                <w:sz w:val="16"/>
                <w:szCs w:val="16"/>
                <w:b w:val="1"/>
                <w:bCs w:val="1"/>
                <w:color w:val="auto"/>
              </w:rPr>
              <w:t>Two-tier system</w:t>
            </w:r>
          </w:p>
        </w:tc>
      </w:tr>
      <w:tr>
        <w:trPr>
          <w:trHeight w:val="435"/>
        </w:trPr>
        <w:tc>
          <w:tcPr>
            <w:tcW w:w="58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Arial" w:cs="Arial" w:eastAsia="Arial" w:hAnsi="Arial"/>
                <w:sz w:val="16"/>
                <w:szCs w:val="16"/>
                <w:color w:val="auto"/>
              </w:rPr>
              <w:t>(1)</w:t>
            </w:r>
          </w:p>
        </w:tc>
        <w:tc>
          <w:tcPr>
            <w:tcW w:w="9420" w:type="dxa"/>
            <w:vAlign w:val="bottom"/>
          </w:tcPr>
          <w:p>
            <w:pPr>
              <w:ind w:left="40"/>
              <w:spacing w:after="0"/>
              <w:rPr>
                <w:sz w:val="20"/>
                <w:szCs w:val="20"/>
                <w:color w:val="auto"/>
              </w:rPr>
            </w:pPr>
            <w:r>
              <w:rPr>
                <w:rFonts w:ascii="Arial" w:cs="Arial" w:eastAsia="Arial" w:hAnsi="Arial"/>
                <w:sz w:val="16"/>
                <w:szCs w:val="16"/>
                <w:color w:val="auto"/>
                <w:w w:val="90"/>
              </w:rPr>
              <w:t>The company has a two-tier management and supervisory system consisting of a management body (Management Board) and a supervisory body</w:t>
            </w:r>
          </w:p>
        </w:tc>
      </w:tr>
      <w:tr>
        <w:trPr>
          <w:trHeight w:val="205"/>
        </w:trPr>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20" w:type="dxa"/>
            <w:vAlign w:val="bottom"/>
          </w:tcPr>
          <w:p>
            <w:pPr>
              <w:ind w:left="40"/>
              <w:spacing w:after="0"/>
              <w:rPr>
                <w:sz w:val="20"/>
                <w:szCs w:val="20"/>
                <w:color w:val="auto"/>
              </w:rPr>
            </w:pPr>
            <w:r>
              <w:rPr>
                <w:rFonts w:ascii="Arial" w:cs="Arial" w:eastAsia="Arial" w:hAnsi="Arial"/>
                <w:sz w:val="16"/>
                <w:szCs w:val="16"/>
                <w:color w:val="auto"/>
              </w:rPr>
              <w:t>(Supervisory Board).</w:t>
            </w:r>
          </w:p>
        </w:tc>
      </w:tr>
      <w:tr>
        <w:trPr>
          <w:trHeight w:val="460"/>
        </w:trPr>
        <w:tc>
          <w:tcPr>
            <w:tcW w:w="58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Arial" w:cs="Arial" w:eastAsia="Arial" w:hAnsi="Arial"/>
                <w:sz w:val="16"/>
                <w:szCs w:val="16"/>
                <w:color w:val="auto"/>
              </w:rPr>
              <w:t>(2)</w:t>
            </w:r>
          </w:p>
        </w:tc>
        <w:tc>
          <w:tcPr>
            <w:tcW w:w="9420" w:type="dxa"/>
            <w:vAlign w:val="bottom"/>
          </w:tcPr>
          <w:p>
            <w:pPr>
              <w:ind w:left="40"/>
              <w:spacing w:after="0"/>
              <w:rPr>
                <w:sz w:val="20"/>
                <w:szCs w:val="20"/>
                <w:color w:val="auto"/>
              </w:rPr>
            </w:pPr>
            <w:r>
              <w:rPr>
                <w:rFonts w:ascii="Arial" w:cs="Arial" w:eastAsia="Arial" w:hAnsi="Arial"/>
                <w:sz w:val="16"/>
                <w:szCs w:val="16"/>
                <w:color w:val="auto"/>
              </w:rPr>
              <w:t>The company's executive bodies are the Management Board, the Supervisory Board and the General Meeting.</w:t>
            </w:r>
          </w:p>
        </w:tc>
      </w:tr>
      <w:tr>
        <w:trPr>
          <w:trHeight w:val="460"/>
        </w:trPr>
        <w:tc>
          <w:tcPr>
            <w:tcW w:w="580" w:type="dxa"/>
            <w:vAlign w:val="bottom"/>
          </w:tcPr>
          <w:p>
            <w:pPr>
              <w:spacing w:after="0"/>
              <w:rPr>
                <w:sz w:val="20"/>
                <w:szCs w:val="20"/>
                <w:color w:val="auto"/>
              </w:rPr>
            </w:pPr>
            <w:r>
              <w:rPr>
                <w:rFonts w:ascii="Arial" w:cs="Arial" w:eastAsia="Arial" w:hAnsi="Arial"/>
                <w:sz w:val="16"/>
                <w:szCs w:val="16"/>
                <w:b w:val="1"/>
                <w:bCs w:val="1"/>
                <w:color w:val="auto"/>
              </w:rPr>
              <w:t>IV.</w:t>
            </w:r>
          </w:p>
        </w:tc>
        <w:tc>
          <w:tcPr>
            <w:tcW w:w="10720" w:type="dxa"/>
            <w:vAlign w:val="bottom"/>
            <w:gridSpan w:val="2"/>
          </w:tcPr>
          <w:p>
            <w:pPr>
              <w:ind w:left="380"/>
              <w:spacing w:after="0"/>
              <w:rPr>
                <w:sz w:val="20"/>
                <w:szCs w:val="20"/>
                <w:color w:val="auto"/>
              </w:rPr>
            </w:pPr>
            <w:r>
              <w:rPr>
                <w:rFonts w:ascii="Arial" w:cs="Arial" w:eastAsia="Arial" w:hAnsi="Arial"/>
                <w:sz w:val="16"/>
                <w:szCs w:val="16"/>
                <w:b w:val="1"/>
                <w:bCs w:val="1"/>
                <w:color w:val="auto"/>
              </w:rPr>
              <w:t>Management Board</w:t>
            </w:r>
          </w:p>
        </w:tc>
      </w:tr>
      <w:tr>
        <w:trPr>
          <w:trHeight w:val="460"/>
        </w:trPr>
        <w:tc>
          <w:tcPr>
            <w:tcW w:w="580" w:type="dxa"/>
            <w:vAlign w:val="bottom"/>
          </w:tcPr>
          <w:p>
            <w:pPr>
              <w:spacing w:after="0"/>
              <w:rPr>
                <w:sz w:val="20"/>
                <w:szCs w:val="20"/>
                <w:color w:val="auto"/>
              </w:rPr>
            </w:pPr>
            <w:r>
              <w:rPr>
                <w:rFonts w:ascii="Arial" w:cs="Arial" w:eastAsia="Arial" w:hAnsi="Arial"/>
                <w:sz w:val="16"/>
                <w:szCs w:val="16"/>
                <w:b w:val="1"/>
                <w:bCs w:val="1"/>
                <w:color w:val="auto"/>
              </w:rPr>
              <w:t>§ 6</w:t>
            </w:r>
          </w:p>
        </w:tc>
        <w:tc>
          <w:tcPr>
            <w:tcW w:w="1300" w:type="dxa"/>
            <w:vAlign w:val="bottom"/>
          </w:tcPr>
          <w:p>
            <w:pPr>
              <w:ind w:left="380"/>
              <w:spacing w:after="0"/>
              <w:rPr>
                <w:sz w:val="20"/>
                <w:szCs w:val="20"/>
                <w:color w:val="auto"/>
              </w:rPr>
            </w:pPr>
            <w:r>
              <w:rPr>
                <w:rFonts w:ascii="Arial" w:cs="Arial" w:eastAsia="Arial" w:hAnsi="Arial"/>
                <w:sz w:val="16"/>
                <w:szCs w:val="16"/>
                <w:b w:val="1"/>
                <w:bCs w:val="1"/>
                <w:color w:val="auto"/>
                <w:w w:val="91"/>
              </w:rPr>
              <w:t>Composition</w:t>
            </w:r>
          </w:p>
        </w:tc>
        <w:tc>
          <w:tcPr>
            <w:tcW w:w="9420" w:type="dxa"/>
            <w:vAlign w:val="bottom"/>
          </w:tcPr>
          <w:p>
            <w:pPr>
              <w:spacing w:after="0"/>
              <w:rPr>
                <w:sz w:val="24"/>
                <w:szCs w:val="24"/>
                <w:color w:val="auto"/>
              </w:rPr>
            </w:pPr>
          </w:p>
        </w:tc>
      </w:tr>
      <w:tr>
        <w:trPr>
          <w:trHeight w:val="435"/>
        </w:trPr>
        <w:tc>
          <w:tcPr>
            <w:tcW w:w="58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Arial" w:cs="Arial" w:eastAsia="Arial" w:hAnsi="Arial"/>
                <w:sz w:val="16"/>
                <w:szCs w:val="16"/>
                <w:color w:val="auto"/>
              </w:rPr>
              <w:t>(1)</w:t>
            </w:r>
          </w:p>
        </w:tc>
        <w:tc>
          <w:tcPr>
            <w:tcW w:w="9420" w:type="dxa"/>
            <w:vAlign w:val="bottom"/>
          </w:tcPr>
          <w:p>
            <w:pPr>
              <w:ind w:left="40"/>
              <w:spacing w:after="0"/>
              <w:rPr>
                <w:sz w:val="20"/>
                <w:szCs w:val="20"/>
                <w:color w:val="auto"/>
              </w:rPr>
            </w:pPr>
            <w:r>
              <w:rPr>
                <w:rFonts w:ascii="Arial" w:cs="Arial" w:eastAsia="Arial" w:hAnsi="Arial"/>
                <w:sz w:val="16"/>
                <w:szCs w:val="16"/>
                <w:color w:val="auto"/>
                <w:w w:val="91"/>
              </w:rPr>
              <w:t>The Management Board shall consist of at least two persons. The members of the Management Board are appointed for a maximum term of five</w:t>
            </w:r>
          </w:p>
        </w:tc>
      </w:tr>
      <w:tr>
        <w:trPr>
          <w:trHeight w:val="205"/>
        </w:trPr>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20" w:type="dxa"/>
            <w:vAlign w:val="bottom"/>
          </w:tcPr>
          <w:p>
            <w:pPr>
              <w:ind w:left="40"/>
              <w:spacing w:after="0"/>
              <w:rPr>
                <w:sz w:val="20"/>
                <w:szCs w:val="20"/>
                <w:color w:val="auto"/>
              </w:rPr>
            </w:pPr>
            <w:r>
              <w:rPr>
                <w:rFonts w:ascii="Arial" w:cs="Arial" w:eastAsia="Arial" w:hAnsi="Arial"/>
                <w:sz w:val="16"/>
                <w:szCs w:val="16"/>
                <w:color w:val="auto"/>
              </w:rPr>
              <w:t>years. Reappointments are permitted.</w:t>
            </w:r>
          </w:p>
        </w:tc>
      </w:tr>
      <w:tr>
        <w:trPr>
          <w:trHeight w:val="460"/>
        </w:trPr>
        <w:tc>
          <w:tcPr>
            <w:tcW w:w="58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Arial" w:cs="Arial" w:eastAsia="Arial" w:hAnsi="Arial"/>
                <w:sz w:val="16"/>
                <w:szCs w:val="16"/>
                <w:color w:val="auto"/>
              </w:rPr>
              <w:t>(2)</w:t>
            </w:r>
          </w:p>
        </w:tc>
        <w:tc>
          <w:tcPr>
            <w:tcW w:w="9420" w:type="dxa"/>
            <w:vAlign w:val="bottom"/>
          </w:tcPr>
          <w:p>
            <w:pPr>
              <w:ind w:left="40"/>
              <w:spacing w:after="0"/>
              <w:rPr>
                <w:sz w:val="20"/>
                <w:szCs w:val="20"/>
                <w:color w:val="auto"/>
              </w:rPr>
            </w:pPr>
            <w:r>
              <w:rPr>
                <w:rFonts w:ascii="Arial" w:cs="Arial" w:eastAsia="Arial" w:hAnsi="Arial"/>
                <w:sz w:val="16"/>
                <w:szCs w:val="16"/>
                <w:color w:val="auto"/>
              </w:rPr>
              <w:t>The number of members of the Management Board is otherwise determined by the Supervisory Board.</w:t>
            </w:r>
          </w:p>
        </w:tc>
      </w:tr>
      <w:tr>
        <w:trPr>
          <w:trHeight w:val="394"/>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20" w:type="dxa"/>
            <w:vAlign w:val="bottom"/>
          </w:tcPr>
          <w:p>
            <w:pPr>
              <w:ind w:left="9180"/>
              <w:spacing w:after="0"/>
              <w:rPr>
                <w:sz w:val="20"/>
                <w:szCs w:val="20"/>
                <w:color w:val="auto"/>
              </w:rPr>
            </w:pPr>
            <w:r>
              <w:rPr>
                <w:rFonts w:ascii="Arial" w:cs="Arial" w:eastAsia="Arial" w:hAnsi="Arial"/>
                <w:sz w:val="11"/>
                <w:szCs w:val="11"/>
                <w:color w:val="auto"/>
              </w:rPr>
              <w:t>5|14</w:t>
            </w:r>
          </w:p>
        </w:tc>
      </w:tr>
      <w:tr>
        <w:trPr>
          <w:trHeight w:val="78"/>
        </w:trPr>
        <w:tc>
          <w:tcPr>
            <w:tcW w:w="5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94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392" w:right="299" w:bottom="1440" w:gutter="0" w:footer="0" w:header="0"/>
        </w:sectPr>
      </w:pPr>
    </w:p>
    <w:bookmarkStart w:id="318" w:name="page319"/>
    <w:bookmarkEnd w:id="318"/>
    <w:p>
      <w:pPr>
        <w:ind w:left="1920" w:hanging="960"/>
        <w:spacing w:after="0"/>
        <w:tabs>
          <w:tab w:leader="none" w:pos="19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appointment of deputy members of the Management Board is permissible.</w:t>
      </w:r>
    </w:p>
    <w:p>
      <w:pPr>
        <w:spacing w:after="0" w:line="27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7</w:t>
      </w:r>
      <w:r>
        <w:rPr>
          <w:sz w:val="20"/>
          <w:szCs w:val="20"/>
          <w:color w:val="auto"/>
        </w:rPr>
        <w:tab/>
      </w:r>
      <w:r>
        <w:rPr>
          <w:rFonts w:ascii="Arial" w:cs="Arial" w:eastAsia="Arial" w:hAnsi="Arial"/>
          <w:sz w:val="14"/>
          <w:szCs w:val="14"/>
          <w:b w:val="1"/>
          <w:bCs w:val="1"/>
          <w:color w:val="auto"/>
        </w:rPr>
        <w:t>Management, representation</w:t>
      </w:r>
    </w:p>
    <w:p>
      <w:pPr>
        <w:spacing w:after="0" w:line="280" w:lineRule="exact"/>
        <w:rPr>
          <w:sz w:val="20"/>
          <w:szCs w:val="20"/>
          <w:color w:val="auto"/>
        </w:rPr>
      </w:pPr>
    </w:p>
    <w:p>
      <w:pPr>
        <w:ind w:left="1920" w:hanging="960"/>
        <w:spacing w:after="0" w:line="261" w:lineRule="auto"/>
        <w:tabs>
          <w:tab w:leader="none" w:pos="19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members of the Management Board shall conduct the business of the company in accordance with the law, the Articles of Association and the Rules of Procedure issued by the Supervisory Board.</w:t>
      </w:r>
    </w:p>
    <w:p>
      <w:pPr>
        <w:spacing w:after="0" w:line="239" w:lineRule="exact"/>
        <w:rPr>
          <w:rFonts w:ascii="Arial" w:cs="Arial" w:eastAsia="Arial" w:hAnsi="Arial"/>
          <w:sz w:val="16"/>
          <w:szCs w:val="16"/>
          <w:color w:val="auto"/>
        </w:rPr>
      </w:pPr>
    </w:p>
    <w:p>
      <w:pPr>
        <w:jc w:val="both"/>
        <w:ind w:left="1920" w:hanging="960"/>
        <w:spacing w:after="0" w:line="243" w:lineRule="auto"/>
        <w:tabs>
          <w:tab w:leader="none" w:pos="19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company shall be represented by two members of the Management Board or by one member of the Management Board jointly with one holder of a general commercial power of representation (</w:t>
      </w:r>
      <w:r>
        <w:rPr>
          <w:rFonts w:ascii="Arial" w:cs="Arial" w:eastAsia="Arial" w:hAnsi="Arial"/>
          <w:sz w:val="16"/>
          <w:szCs w:val="16"/>
          <w:i w:val="1"/>
          <w:iCs w:val="1"/>
          <w:color w:val="auto"/>
        </w:rPr>
        <w:t>Prokurist</w:t>
      </w:r>
      <w:r>
        <w:rPr>
          <w:rFonts w:ascii="Arial" w:cs="Arial" w:eastAsia="Arial" w:hAnsi="Arial"/>
          <w:sz w:val="16"/>
          <w:szCs w:val="16"/>
          <w:color w:val="auto"/>
        </w:rPr>
        <w:t>). If only one member of the Management Board is appointed, the company will be represented by this individual alone. The Supervisory Board may grant one, several or all members of the Management Board sole power of representation.</w:t>
      </w:r>
    </w:p>
    <w:p>
      <w:pPr>
        <w:spacing w:after="0" w:line="254" w:lineRule="exact"/>
        <w:rPr>
          <w:rFonts w:ascii="Arial" w:cs="Arial" w:eastAsia="Arial" w:hAnsi="Arial"/>
          <w:sz w:val="16"/>
          <w:szCs w:val="16"/>
          <w:color w:val="auto"/>
        </w:rPr>
      </w:pPr>
    </w:p>
    <w:p>
      <w:pPr>
        <w:jc w:val="both"/>
        <w:ind w:left="1920" w:hanging="960"/>
        <w:spacing w:after="0" w:line="272" w:lineRule="auto"/>
        <w:tabs>
          <w:tab w:leader="none" w:pos="1920" w:val="left"/>
        </w:tabs>
        <w:numPr>
          <w:ilvl w:val="0"/>
          <w:numId w:val="339"/>
        </w:numPr>
        <w:rPr>
          <w:rFonts w:ascii="Arial" w:cs="Arial" w:eastAsia="Arial" w:hAnsi="Arial"/>
          <w:sz w:val="15"/>
          <w:szCs w:val="15"/>
          <w:color w:val="auto"/>
        </w:rPr>
      </w:pPr>
      <w:r>
        <w:rPr>
          <w:rFonts w:ascii="Arial" w:cs="Arial" w:eastAsia="Arial" w:hAnsi="Arial"/>
          <w:sz w:val="15"/>
          <w:szCs w:val="15"/>
          <w:color w:val="auto"/>
        </w:rPr>
        <w:t>The Supervisory Board may, by resolution, authorize members of the Management Board in general or in individual cases to conclude legal transactions simultaneously for the company and as representatives of a company affiliated with the company within the meaning of Section 15 AktG as well as in individual cases simultaneously for the company and as representatives of a third party.</w:t>
      </w:r>
    </w:p>
    <w:p>
      <w:pPr>
        <w:spacing w:after="0" w:line="233" w:lineRule="exact"/>
        <w:rPr>
          <w:rFonts w:ascii="Arial" w:cs="Arial" w:eastAsia="Arial" w:hAnsi="Arial"/>
          <w:sz w:val="15"/>
          <w:szCs w:val="15"/>
          <w:color w:val="auto"/>
        </w:rPr>
      </w:pPr>
    </w:p>
    <w:p>
      <w:pPr>
        <w:ind w:left="1920" w:hanging="960"/>
        <w:spacing w:after="0"/>
        <w:tabs>
          <w:tab w:leader="none" w:pos="19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Supervisory Board may appoint a spokesman or a chairperson of the Management Board</w:t>
      </w:r>
    </w:p>
    <w:p>
      <w:pPr>
        <w:spacing w:after="0" w:line="275"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Furthermore, the Supervisory Board shall issue rules of procedure for the Management Board and shall determine in particular which types of business may only be transacted with its consent.</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8</w:t>
      </w:r>
      <w:r>
        <w:rPr>
          <w:sz w:val="20"/>
          <w:szCs w:val="20"/>
          <w:color w:val="auto"/>
        </w:rPr>
        <w:tab/>
      </w:r>
      <w:r>
        <w:rPr>
          <w:rFonts w:ascii="Arial" w:cs="Arial" w:eastAsia="Arial" w:hAnsi="Arial"/>
          <w:sz w:val="13"/>
          <w:szCs w:val="13"/>
          <w:b w:val="1"/>
          <w:bCs w:val="1"/>
          <w:color w:val="auto"/>
        </w:rPr>
        <w:t>Passing of Resolutions</w:t>
      </w:r>
    </w:p>
    <w:p>
      <w:pPr>
        <w:spacing w:after="0" w:line="280" w:lineRule="exact"/>
        <w:rPr>
          <w:sz w:val="20"/>
          <w:szCs w:val="20"/>
          <w:color w:val="auto"/>
        </w:rPr>
      </w:pPr>
    </w:p>
    <w:p>
      <w:pPr>
        <w:jc w:val="both"/>
        <w:ind w:left="1920" w:hanging="960"/>
        <w:spacing w:after="0" w:line="248" w:lineRule="auto"/>
        <w:tabs>
          <w:tab w:leader="none" w:pos="1920"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Management Board has a quorum if all members of the Management Board are invited and at least half of its members participate in the adoption of the resolution , unless otherwise required by mandatory law. Members of the Management Board may cast their vote in writing, by telephone, by telefax or by means of electronic media.</w:t>
      </w:r>
    </w:p>
    <w:p>
      <w:pPr>
        <w:spacing w:after="0" w:line="249" w:lineRule="exact"/>
        <w:rPr>
          <w:rFonts w:ascii="Arial" w:cs="Arial" w:eastAsia="Arial" w:hAnsi="Arial"/>
          <w:sz w:val="16"/>
          <w:szCs w:val="16"/>
          <w:color w:val="auto"/>
        </w:rPr>
      </w:pPr>
    </w:p>
    <w:p>
      <w:pPr>
        <w:jc w:val="both"/>
        <w:ind w:left="1920" w:hanging="960"/>
        <w:spacing w:after="0" w:line="248" w:lineRule="auto"/>
        <w:tabs>
          <w:tab w:leader="none" w:pos="1920"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resolutions of the Management Board are passed by a majority of the votes cast, unless otherwise stipulated by mandatory law with abstentions not to be taken into account. In the event of a tie the chairperson shall have a casting vote, if such person has been appointed. This does not apply to a spokesman of the Management Board who may have been appointed.</w:t>
      </w:r>
    </w:p>
    <w:p>
      <w:pPr>
        <w:spacing w:after="0" w:line="245" w:lineRule="exact"/>
        <w:rPr>
          <w:rFonts w:ascii="Arial" w:cs="Arial" w:eastAsia="Arial" w:hAnsi="Arial"/>
          <w:sz w:val="16"/>
          <w:szCs w:val="16"/>
          <w:color w:val="auto"/>
        </w:rPr>
      </w:pPr>
    </w:p>
    <w:p>
      <w:pPr>
        <w:ind w:left="960" w:hanging="960"/>
        <w:spacing w:after="0"/>
        <w:tabs>
          <w:tab w:leader="none" w:pos="960" w:val="left"/>
        </w:tabs>
        <w:numPr>
          <w:ilvl w:val="0"/>
          <w:numId w:val="341"/>
        </w:numPr>
        <w:rPr>
          <w:rFonts w:ascii="Arial" w:cs="Arial" w:eastAsia="Arial" w:hAnsi="Arial"/>
          <w:sz w:val="16"/>
          <w:szCs w:val="16"/>
          <w:b w:val="1"/>
          <w:bCs w:val="1"/>
          <w:color w:val="auto"/>
        </w:rPr>
      </w:pPr>
      <w:r>
        <w:rPr>
          <w:rFonts w:ascii="Arial" w:cs="Arial" w:eastAsia="Arial" w:hAnsi="Arial"/>
          <w:sz w:val="16"/>
          <w:szCs w:val="16"/>
          <w:b w:val="1"/>
          <w:bCs w:val="1"/>
          <w:color w:val="auto"/>
        </w:rPr>
        <w:t>Supervisory Board</w:t>
      </w: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9</w:t>
      </w:r>
      <w:r>
        <w:rPr>
          <w:sz w:val="20"/>
          <w:szCs w:val="20"/>
          <w:color w:val="auto"/>
        </w:rPr>
        <w:tab/>
      </w:r>
      <w:r>
        <w:rPr>
          <w:rFonts w:ascii="Arial" w:cs="Arial" w:eastAsia="Arial" w:hAnsi="Arial"/>
          <w:sz w:val="14"/>
          <w:szCs w:val="14"/>
          <w:b w:val="1"/>
          <w:bCs w:val="1"/>
          <w:color w:val="auto"/>
        </w:rPr>
        <w:t>Composition, term of office and remuneration</w:t>
      </w:r>
    </w:p>
    <w:p>
      <w:pPr>
        <w:spacing w:after="0" w:line="280" w:lineRule="exact"/>
        <w:rPr>
          <w:sz w:val="20"/>
          <w:szCs w:val="20"/>
          <w:color w:val="auto"/>
        </w:rPr>
      </w:pPr>
    </w:p>
    <w:p>
      <w:pPr>
        <w:ind w:left="1920" w:hanging="960"/>
        <w:spacing w:after="0"/>
        <w:tabs>
          <w:tab w:leader="none" w:pos="192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Supervisory Board shall comprise of four members.</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80580" cy="127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93" w:right="319" w:bottom="1440" w:gutter="0" w:footer="0" w:header="0"/>
        </w:sectPr>
      </w:pPr>
    </w:p>
    <w:bookmarkStart w:id="319" w:name="page320"/>
    <w:bookmarkEnd w:id="319"/>
    <w:p>
      <w:pPr>
        <w:jc w:val="both"/>
        <w:ind w:left="1920" w:hanging="960"/>
        <w:spacing w:after="0" w:line="243" w:lineRule="auto"/>
        <w:tabs>
          <w:tab w:leader="none" w:pos="19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Unless the General Meeting resolves on a shorter period when electing individual Supervisory Board members to be elected by it or for the full Supervisory Board, the Supervisory Board members shall be elected at the longest until the end of the General Meeting which resolves on the discharge for the fourth financial year after the election. The fiscal year in which the term of office begins is not included in this calculation. Re-election is possible.</w:t>
      </w:r>
    </w:p>
    <w:p>
      <w:pPr>
        <w:spacing w:after="0" w:line="254"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successor to a member who leaves the Supervisory Board before the end of his or her term of office shall only be elected for the remainder of the term of office of the member who has left the Supervisory Board.</w:t>
      </w:r>
    </w:p>
    <w:p>
      <w:pPr>
        <w:spacing w:after="0" w:line="239" w:lineRule="exact"/>
        <w:rPr>
          <w:rFonts w:ascii="Arial" w:cs="Arial" w:eastAsia="Arial" w:hAnsi="Arial"/>
          <w:sz w:val="16"/>
          <w:szCs w:val="16"/>
          <w:color w:val="auto"/>
        </w:rPr>
      </w:pPr>
    </w:p>
    <w:p>
      <w:pPr>
        <w:jc w:val="both"/>
        <w:ind w:left="1920" w:hanging="960"/>
        <w:spacing w:after="0" w:line="272" w:lineRule="auto"/>
        <w:tabs>
          <w:tab w:leader="none" w:pos="192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When electing Supervisory Board members, the General Meeting may for the same period elect a substitute member for several or all Supervisory Board members or as many substitute members as Supervisory Board members and determine the order in which they shall replace the Supervisory Board members who leave the Supervisory Board during their term of office for the remaining term of office.</w:t>
      </w:r>
    </w:p>
    <w:p>
      <w:pPr>
        <w:spacing w:after="0" w:line="233" w:lineRule="exact"/>
        <w:rPr>
          <w:rFonts w:ascii="Arial" w:cs="Arial" w:eastAsia="Arial" w:hAnsi="Arial"/>
          <w:sz w:val="15"/>
          <w:szCs w:val="15"/>
          <w:color w:val="auto"/>
        </w:rPr>
      </w:pPr>
    </w:p>
    <w:p>
      <w:pPr>
        <w:ind w:left="1920" w:hanging="960"/>
        <w:spacing w:after="0" w:line="261" w:lineRule="auto"/>
        <w:tabs>
          <w:tab w:leader="none" w:pos="19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Each member of the Supervisory Board may resign from office by submitting a written declaration to the Management Board. A period of one month must be observed.</w:t>
      </w:r>
    </w:p>
    <w:p>
      <w:pPr>
        <w:spacing w:after="0" w:line="239" w:lineRule="exact"/>
        <w:rPr>
          <w:rFonts w:ascii="Arial" w:cs="Arial" w:eastAsia="Arial" w:hAnsi="Arial"/>
          <w:sz w:val="16"/>
          <w:szCs w:val="16"/>
          <w:color w:val="auto"/>
        </w:rPr>
      </w:pPr>
    </w:p>
    <w:p>
      <w:pPr>
        <w:jc w:val="both"/>
        <w:ind w:left="1920" w:hanging="960"/>
        <w:spacing w:after="0" w:line="281" w:lineRule="auto"/>
        <w:tabs>
          <w:tab w:leader="none" w:pos="192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In addition to reimbursement of their expenses, the members of the Supervisory Board receive an annual remuneration of EUR 50,000, the chairperson three times this amount and the deputy chairperson one and a half times this amount. The chairperson of the Audit Committee receives an additional annual remuneration of EUR 20,000. The members of the Supervisory Board who are only members of the Supervisory Board for part of the fiscal year or who chair or deputy chair the Supervisory Board or the Audit Committee receive the respective remuneration pro rata temporis. The same shall apply if this provision or a specific version of this provision is only in force for part of the financial year. If the reimbursement of out-of-pocket expenses or the remuneration is subject to value-added tax, value-added tax shall be payable in addition.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10</w:t>
      </w:r>
      <w:r>
        <w:rPr>
          <w:sz w:val="20"/>
          <w:szCs w:val="20"/>
          <w:color w:val="auto"/>
        </w:rPr>
        <w:tab/>
      </w:r>
      <w:r>
        <w:rPr>
          <w:rFonts w:ascii="Arial" w:cs="Arial" w:eastAsia="Arial" w:hAnsi="Arial"/>
          <w:sz w:val="14"/>
          <w:szCs w:val="14"/>
          <w:b w:val="1"/>
          <w:bCs w:val="1"/>
          <w:color w:val="auto"/>
        </w:rPr>
        <w:t>Chairperson and deputy</w:t>
      </w:r>
    </w:p>
    <w:p>
      <w:pPr>
        <w:spacing w:after="0" w:line="280" w:lineRule="exact"/>
        <w:rPr>
          <w:sz w:val="20"/>
          <w:szCs w:val="20"/>
          <w:color w:val="auto"/>
        </w:rPr>
      </w:pPr>
    </w:p>
    <w:p>
      <w:pPr>
        <w:jc w:val="both"/>
        <w:ind w:left="1920" w:hanging="960"/>
        <w:spacing w:after="0" w:line="248" w:lineRule="auto"/>
        <w:tabs>
          <w:tab w:leader="none" w:pos="192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Supervisory Board shall elect a chairperson and a deputy chairperson from among its members for the duration of its term of office. In these elections the oldest member of the Supervisory Board in terms of age is the chairperson. The deputy shall have the rights of the chairperson if the latter is prevented from attending or delegates his or her representation to him or her.</w:t>
      </w:r>
    </w:p>
    <w:p>
      <w:pPr>
        <w:spacing w:after="0" w:line="249"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If the chairperson or his/her deputy departs prematurely from their office, then the Supervisory Board shall immediately hold a new election to cover the remaining term of office.</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80580" cy="12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93" w:right="319" w:bottom="1440" w:gutter="0" w:footer="0" w:header="0"/>
        </w:sectPr>
      </w:pPr>
    </w:p>
    <w:bookmarkStart w:id="320" w:name="page321"/>
    <w:bookmarkEnd w:id="320"/>
    <w:p>
      <w:pPr>
        <w:spacing w:after="0"/>
        <w:tabs>
          <w:tab w:leader="none" w:pos="940" w:val="left"/>
        </w:tabs>
        <w:rPr>
          <w:sz w:val="20"/>
          <w:szCs w:val="20"/>
          <w:color w:val="auto"/>
        </w:rPr>
      </w:pPr>
      <w:r>
        <w:rPr>
          <w:rFonts w:ascii="Arial" w:cs="Arial" w:eastAsia="Arial" w:hAnsi="Arial"/>
          <w:sz w:val="16"/>
          <w:szCs w:val="16"/>
          <w:b w:val="1"/>
          <w:bCs w:val="1"/>
          <w:color w:val="auto"/>
        </w:rPr>
        <w:t>§ 11</w:t>
      </w:r>
      <w:r>
        <w:rPr>
          <w:sz w:val="20"/>
          <w:szCs w:val="20"/>
          <w:color w:val="auto"/>
        </w:rPr>
        <w:tab/>
      </w:r>
      <w:r>
        <w:rPr>
          <w:rFonts w:ascii="Arial" w:cs="Arial" w:eastAsia="Arial" w:hAnsi="Arial"/>
          <w:sz w:val="14"/>
          <w:szCs w:val="14"/>
          <w:b w:val="1"/>
          <w:bCs w:val="1"/>
          <w:color w:val="auto"/>
        </w:rPr>
        <w:t>Convening and passing resolutions</w:t>
      </w:r>
    </w:p>
    <w:p>
      <w:pPr>
        <w:spacing w:after="0" w:line="280" w:lineRule="exact"/>
        <w:rPr>
          <w:sz w:val="20"/>
          <w:szCs w:val="20"/>
          <w:color w:val="auto"/>
        </w:rPr>
      </w:pPr>
    </w:p>
    <w:p>
      <w:pPr>
        <w:ind w:left="1920" w:hanging="960"/>
        <w:spacing w:after="0"/>
        <w:tabs>
          <w:tab w:leader="none" w:pos="192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As far as possible, the Supervisory Board shall be convened in each calendar quarter. It must be convened twice every calendar half-year.</w:t>
      </w:r>
    </w:p>
    <w:p>
      <w:pPr>
        <w:spacing w:after="0" w:line="287" w:lineRule="exact"/>
        <w:rPr>
          <w:rFonts w:ascii="Arial" w:cs="Arial" w:eastAsia="Arial" w:hAnsi="Arial"/>
          <w:sz w:val="15"/>
          <w:szCs w:val="15"/>
          <w:color w:val="auto"/>
        </w:rPr>
      </w:pPr>
    </w:p>
    <w:p>
      <w:pPr>
        <w:ind w:left="1920" w:hanging="960"/>
        <w:spacing w:after="0" w:line="261" w:lineRule="auto"/>
        <w:tabs>
          <w:tab w:leader="none" w:pos="192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meetings of the Supervisory Board shall be convened by the chairperson verbally, by telephone, in writing, by fax or by email, stating the agenda.</w:t>
      </w:r>
    </w:p>
    <w:p>
      <w:pPr>
        <w:spacing w:after="0" w:line="239"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Supervisory Board constitutes a quorum if at least three members participate in the adoption of the resolution. A member shall also participate in the adoption of a resolution if he or she abstains from voting.</w:t>
      </w:r>
    </w:p>
    <w:p>
      <w:pPr>
        <w:spacing w:after="0" w:line="239" w:lineRule="exact"/>
        <w:rPr>
          <w:rFonts w:ascii="Arial" w:cs="Arial" w:eastAsia="Arial" w:hAnsi="Arial"/>
          <w:sz w:val="16"/>
          <w:szCs w:val="16"/>
          <w:color w:val="auto"/>
        </w:rPr>
      </w:pPr>
    </w:p>
    <w:p>
      <w:pPr>
        <w:jc w:val="both"/>
        <w:ind w:left="1920" w:hanging="960"/>
        <w:spacing w:after="0" w:line="248" w:lineRule="auto"/>
        <w:tabs>
          <w:tab w:leader="none" w:pos="192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Resolutions require a majority of the votes cast by the members of the Supervisory Board not taking into account any abstentions. In the case of a tie, the votes of the chairperson of the Supervisory Board or, if he does not participate in the passing of the resolution, the vote of the deputy chairman of the Supervisory Board shall be the casting vote.</w:t>
      </w:r>
    </w:p>
    <w:p>
      <w:pPr>
        <w:spacing w:after="0" w:line="249" w:lineRule="exact"/>
        <w:rPr>
          <w:rFonts w:ascii="Arial" w:cs="Arial" w:eastAsia="Arial" w:hAnsi="Arial"/>
          <w:sz w:val="16"/>
          <w:szCs w:val="16"/>
          <w:color w:val="auto"/>
        </w:rPr>
      </w:pPr>
    </w:p>
    <w:p>
      <w:pPr>
        <w:jc w:val="both"/>
        <w:ind w:left="1920" w:hanging="960"/>
        <w:spacing w:after="0" w:line="257" w:lineRule="auto"/>
        <w:tabs>
          <w:tab w:leader="none" w:pos="192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Resolutions of the Supervisory Board are in principle passed at meetings with personal attendance of the members of the Supervisory Board. Absent members of the Supervisory Board may submit their written vote through another member of the Supervisory Board. Unless the chairperson of the Supervisory Board states otherwise in the invitation due to special circumstances of the individual case, it is permissible for Supervisory Board members to participate and cast their vote in a face-to-face meeting by telephone. The Supervisory Board may also vote without convening a meeting by doing so in writing, by telephone, fax, video conference or email, or in a combined resolution. The chairperson shall decide on the form in which resolutions are to be passed. The Rules of Procedure for the Supervisory Board may stipulate that resolutions are to be postponed in individual cases to be specified in more detail.</w:t>
      </w:r>
    </w:p>
    <w:p>
      <w:pPr>
        <w:spacing w:after="0" w:line="246" w:lineRule="exact"/>
        <w:rPr>
          <w:rFonts w:ascii="Arial" w:cs="Arial" w:eastAsia="Arial" w:hAnsi="Arial"/>
          <w:sz w:val="15"/>
          <w:szCs w:val="15"/>
          <w:color w:val="auto"/>
        </w:rPr>
      </w:pPr>
    </w:p>
    <w:p>
      <w:pPr>
        <w:ind w:left="1920" w:hanging="960"/>
        <w:spacing w:after="0" w:line="295" w:lineRule="auto"/>
        <w:tabs>
          <w:tab w:leader="none" w:pos="192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Minutes shall be taken of the meetings of the Supervisory Board and signed by the chairperson of the meeting. If resolutions are passed outside meetings, the minutes must be signed by the chairperson of the Supervisory Board and forwarded to all members without delay.</w:t>
      </w:r>
    </w:p>
    <w:p>
      <w:pPr>
        <w:spacing w:after="0" w:line="215" w:lineRule="exact"/>
        <w:rPr>
          <w:rFonts w:ascii="Arial" w:cs="Arial" w:eastAsia="Arial" w:hAnsi="Arial"/>
          <w:sz w:val="15"/>
          <w:szCs w:val="15"/>
          <w:color w:val="auto"/>
        </w:rPr>
      </w:pPr>
    </w:p>
    <w:p>
      <w:pPr>
        <w:ind w:left="1920" w:hanging="960"/>
        <w:spacing w:after="0" w:line="261" w:lineRule="auto"/>
        <w:tabs>
          <w:tab w:leader="none" w:pos="192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chairperson is authorized to on behalf of the Supervisory Board make the declarations required to implement the resolutions and to receive the declarations addressed to the Supervisory Board.</w:t>
      </w:r>
    </w:p>
    <w:p>
      <w:pPr>
        <w:spacing w:after="0" w:line="239"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Supervisory Board is empowered to resolve upon changes and amendments to the Articles of Association as long as such changes only affect the wording.</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12</w:t>
      </w:r>
      <w:r>
        <w:rPr>
          <w:sz w:val="20"/>
          <w:szCs w:val="20"/>
          <w:color w:val="auto"/>
        </w:rPr>
        <w:tab/>
      </w:r>
      <w:r>
        <w:rPr>
          <w:rFonts w:ascii="Arial" w:cs="Arial" w:eastAsia="Arial" w:hAnsi="Arial"/>
          <w:sz w:val="14"/>
          <w:szCs w:val="14"/>
          <w:b w:val="1"/>
          <w:bCs w:val="1"/>
          <w:color w:val="auto"/>
        </w:rPr>
        <w:t>Rules of Procedure</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80580" cy="127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89" w:right="319" w:bottom="1440" w:gutter="0" w:footer="0" w:header="0"/>
        </w:sectPr>
      </w:pPr>
    </w:p>
    <w:bookmarkStart w:id="321" w:name="page322"/>
    <w:bookmarkEnd w:id="321"/>
    <w:p>
      <w:pPr>
        <w:ind w:left="980" w:right="20"/>
        <w:spacing w:after="0" w:line="261" w:lineRule="auto"/>
        <w:rPr>
          <w:sz w:val="20"/>
          <w:szCs w:val="20"/>
          <w:color w:val="auto"/>
        </w:rPr>
      </w:pPr>
      <w:r>
        <w:rPr>
          <w:rFonts w:ascii="Arial" w:cs="Arial" w:eastAsia="Arial" w:hAnsi="Arial"/>
          <w:sz w:val="16"/>
          <w:szCs w:val="16"/>
          <w:color w:val="auto"/>
        </w:rPr>
        <w:t>The Supervisory Board may issue Rules of Procedure for itself within the framework of the statutory provisions and the provisions of these Articles of Association.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 w:type="dxa"/>
            <w:vAlign w:val="bottom"/>
          </w:tcPr>
          <w:p>
            <w:pPr>
              <w:spacing w:after="0"/>
              <w:rPr>
                <w:sz w:val="20"/>
                <w:szCs w:val="20"/>
                <w:color w:val="auto"/>
              </w:rPr>
            </w:pPr>
            <w:r>
              <w:rPr>
                <w:rFonts w:ascii="Arial" w:cs="Arial" w:eastAsia="Arial" w:hAnsi="Arial"/>
                <w:sz w:val="16"/>
                <w:szCs w:val="16"/>
                <w:b w:val="1"/>
                <w:bCs w:val="1"/>
                <w:color w:val="auto"/>
              </w:rPr>
              <w:t>§ 13</w:t>
            </w:r>
          </w:p>
        </w:tc>
        <w:tc>
          <w:tcPr>
            <w:tcW w:w="1240" w:type="dxa"/>
            <w:vAlign w:val="bottom"/>
          </w:tcPr>
          <w:p>
            <w:pPr>
              <w:ind w:left="340"/>
              <w:spacing w:after="0"/>
              <w:rPr>
                <w:sz w:val="20"/>
                <w:szCs w:val="20"/>
                <w:color w:val="auto"/>
              </w:rPr>
            </w:pPr>
            <w:r>
              <w:rPr>
                <w:rFonts w:ascii="Arial" w:cs="Arial" w:eastAsia="Arial" w:hAnsi="Arial"/>
                <w:sz w:val="16"/>
                <w:szCs w:val="16"/>
                <w:b w:val="1"/>
                <w:bCs w:val="1"/>
                <w:color w:val="auto"/>
                <w:w w:val="96"/>
              </w:rPr>
              <w:t>Committees</w:t>
            </w:r>
          </w:p>
        </w:tc>
        <w:tc>
          <w:tcPr>
            <w:tcW w:w="9440" w:type="dxa"/>
            <w:vAlign w:val="bottom"/>
          </w:tcPr>
          <w:p>
            <w:pPr>
              <w:spacing w:after="0"/>
              <w:rPr>
                <w:sz w:val="18"/>
                <w:szCs w:val="18"/>
                <w:color w:val="auto"/>
              </w:rPr>
            </w:pPr>
          </w:p>
        </w:tc>
      </w:tr>
      <w:tr>
        <w:trPr>
          <w:trHeight w:val="460"/>
        </w:trPr>
        <w:tc>
          <w:tcPr>
            <w:tcW w:w="620" w:type="dxa"/>
            <w:vAlign w:val="bottom"/>
          </w:tcPr>
          <w:p>
            <w:pPr>
              <w:spacing w:after="0"/>
              <w:rPr>
                <w:sz w:val="24"/>
                <w:szCs w:val="24"/>
                <w:color w:val="auto"/>
              </w:rPr>
            </w:pPr>
          </w:p>
        </w:tc>
        <w:tc>
          <w:tcPr>
            <w:tcW w:w="10680" w:type="dxa"/>
            <w:vAlign w:val="bottom"/>
            <w:gridSpan w:val="2"/>
          </w:tcPr>
          <w:p>
            <w:pPr>
              <w:ind w:left="360"/>
              <w:spacing w:after="0"/>
              <w:rPr>
                <w:sz w:val="20"/>
                <w:szCs w:val="20"/>
                <w:color w:val="auto"/>
              </w:rPr>
            </w:pPr>
            <w:r>
              <w:rPr>
                <w:rFonts w:ascii="Arial" w:cs="Arial" w:eastAsia="Arial" w:hAnsi="Arial"/>
                <w:sz w:val="16"/>
                <w:szCs w:val="16"/>
                <w:color w:val="auto"/>
              </w:rPr>
              <w:t>The Supervisory Board may form committees and may refer items for resolution to these committees within the scope of what is permitted by law.</w:t>
            </w:r>
          </w:p>
        </w:tc>
      </w:tr>
      <w:tr>
        <w:trPr>
          <w:trHeight w:val="460"/>
        </w:trPr>
        <w:tc>
          <w:tcPr>
            <w:tcW w:w="620" w:type="dxa"/>
            <w:vAlign w:val="bottom"/>
          </w:tcPr>
          <w:p>
            <w:pPr>
              <w:spacing w:after="0"/>
              <w:rPr>
                <w:sz w:val="20"/>
                <w:szCs w:val="20"/>
                <w:color w:val="auto"/>
              </w:rPr>
            </w:pPr>
            <w:r>
              <w:rPr>
                <w:rFonts w:ascii="Arial" w:cs="Arial" w:eastAsia="Arial" w:hAnsi="Arial"/>
                <w:sz w:val="16"/>
                <w:szCs w:val="16"/>
                <w:b w:val="1"/>
                <w:bCs w:val="1"/>
                <w:color w:val="auto"/>
              </w:rPr>
              <w:t>VI.</w:t>
            </w:r>
          </w:p>
        </w:tc>
        <w:tc>
          <w:tcPr>
            <w:tcW w:w="10680" w:type="dxa"/>
            <w:vAlign w:val="bottom"/>
            <w:gridSpan w:val="2"/>
          </w:tcPr>
          <w:p>
            <w:pPr>
              <w:ind w:left="340"/>
              <w:spacing w:after="0"/>
              <w:rPr>
                <w:sz w:val="20"/>
                <w:szCs w:val="20"/>
                <w:color w:val="auto"/>
              </w:rPr>
            </w:pPr>
            <w:r>
              <w:rPr>
                <w:rFonts w:ascii="Arial" w:cs="Arial" w:eastAsia="Arial" w:hAnsi="Arial"/>
                <w:sz w:val="16"/>
                <w:szCs w:val="16"/>
                <w:b w:val="1"/>
                <w:bCs w:val="1"/>
                <w:color w:val="auto"/>
              </w:rPr>
              <w:t>General Meeting</w:t>
            </w:r>
          </w:p>
        </w:tc>
      </w:tr>
      <w:tr>
        <w:trPr>
          <w:trHeight w:val="460"/>
        </w:trPr>
        <w:tc>
          <w:tcPr>
            <w:tcW w:w="620" w:type="dxa"/>
            <w:vAlign w:val="bottom"/>
          </w:tcPr>
          <w:p>
            <w:pPr>
              <w:spacing w:after="0"/>
              <w:rPr>
                <w:sz w:val="20"/>
                <w:szCs w:val="20"/>
                <w:color w:val="auto"/>
              </w:rPr>
            </w:pPr>
            <w:r>
              <w:rPr>
                <w:rFonts w:ascii="Arial" w:cs="Arial" w:eastAsia="Arial" w:hAnsi="Arial"/>
                <w:sz w:val="16"/>
                <w:szCs w:val="16"/>
                <w:b w:val="1"/>
                <w:bCs w:val="1"/>
                <w:color w:val="auto"/>
              </w:rPr>
              <w:t>§ 14</w:t>
            </w:r>
          </w:p>
        </w:tc>
        <w:tc>
          <w:tcPr>
            <w:tcW w:w="10680" w:type="dxa"/>
            <w:vAlign w:val="bottom"/>
            <w:gridSpan w:val="2"/>
          </w:tcPr>
          <w:p>
            <w:pPr>
              <w:ind w:left="340"/>
              <w:spacing w:after="0"/>
              <w:rPr>
                <w:sz w:val="20"/>
                <w:szCs w:val="20"/>
                <w:color w:val="auto"/>
              </w:rPr>
            </w:pPr>
            <w:r>
              <w:rPr>
                <w:rFonts w:ascii="Arial" w:cs="Arial" w:eastAsia="Arial" w:hAnsi="Arial"/>
                <w:sz w:val="16"/>
                <w:szCs w:val="16"/>
                <w:b w:val="1"/>
                <w:bCs w:val="1"/>
                <w:color w:val="auto"/>
              </w:rPr>
              <w:t>Venue and convocation</w:t>
            </w:r>
          </w:p>
        </w:tc>
      </w:tr>
      <w:tr>
        <w:trPr>
          <w:trHeight w:val="435"/>
        </w:trPr>
        <w:tc>
          <w:tcPr>
            <w:tcW w:w="62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6"/>
                <w:szCs w:val="16"/>
                <w:color w:val="auto"/>
              </w:rPr>
              <w:t>(1)</w:t>
            </w:r>
          </w:p>
        </w:tc>
        <w:tc>
          <w:tcPr>
            <w:tcW w:w="9440" w:type="dxa"/>
            <w:vAlign w:val="bottom"/>
          </w:tcPr>
          <w:p>
            <w:pPr>
              <w:ind w:left="60"/>
              <w:spacing w:after="0"/>
              <w:rPr>
                <w:sz w:val="20"/>
                <w:szCs w:val="20"/>
                <w:color w:val="auto"/>
              </w:rPr>
            </w:pPr>
            <w:r>
              <w:rPr>
                <w:rFonts w:ascii="Arial" w:cs="Arial" w:eastAsia="Arial" w:hAnsi="Arial"/>
                <w:sz w:val="16"/>
                <w:szCs w:val="16"/>
                <w:color w:val="auto"/>
                <w:w w:val="94"/>
              </w:rPr>
              <w:t>The General Meeting shall take place within the first six months of the expiry of the fiscal year at the registered office of the company or in a</w:t>
            </w:r>
          </w:p>
        </w:tc>
      </w:tr>
      <w:tr>
        <w:trPr>
          <w:trHeight w:val="205"/>
        </w:trPr>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40" w:type="dxa"/>
            <w:vAlign w:val="bottom"/>
          </w:tcPr>
          <w:p>
            <w:pPr>
              <w:ind w:left="60"/>
              <w:spacing w:after="0"/>
              <w:rPr>
                <w:sz w:val="20"/>
                <w:szCs w:val="20"/>
                <w:color w:val="auto"/>
              </w:rPr>
            </w:pPr>
            <w:r>
              <w:rPr>
                <w:rFonts w:ascii="Arial" w:cs="Arial" w:eastAsia="Arial" w:hAnsi="Arial"/>
                <w:sz w:val="16"/>
                <w:szCs w:val="16"/>
                <w:color w:val="auto"/>
              </w:rPr>
              <w:t>German city with at least 500,000 inhabitants.</w:t>
            </w:r>
          </w:p>
        </w:tc>
      </w:tr>
      <w:tr>
        <w:trPr>
          <w:trHeight w:val="460"/>
        </w:trPr>
        <w:tc>
          <w:tcPr>
            <w:tcW w:w="62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6"/>
                <w:szCs w:val="16"/>
                <w:color w:val="auto"/>
              </w:rPr>
              <w:t>(2)</w:t>
            </w:r>
          </w:p>
        </w:tc>
        <w:tc>
          <w:tcPr>
            <w:tcW w:w="9440" w:type="dxa"/>
            <w:vAlign w:val="bottom"/>
          </w:tcPr>
          <w:p>
            <w:pPr>
              <w:ind w:left="60"/>
              <w:spacing w:after="0"/>
              <w:rPr>
                <w:sz w:val="20"/>
                <w:szCs w:val="20"/>
                <w:color w:val="auto"/>
              </w:rPr>
            </w:pPr>
            <w:r>
              <w:rPr>
                <w:rFonts w:ascii="Arial" w:cs="Arial" w:eastAsia="Arial" w:hAnsi="Arial"/>
                <w:sz w:val="16"/>
                <w:szCs w:val="16"/>
                <w:color w:val="auto"/>
              </w:rPr>
              <w:t>The General Meeting shall be convened by the Management Board or by the Supervisory Board.</w:t>
            </w:r>
          </w:p>
        </w:tc>
      </w:tr>
      <w:tr>
        <w:trPr>
          <w:trHeight w:val="460"/>
        </w:trPr>
        <w:tc>
          <w:tcPr>
            <w:tcW w:w="62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6"/>
                <w:szCs w:val="16"/>
                <w:color w:val="auto"/>
              </w:rPr>
              <w:t>(3)</w:t>
            </w:r>
          </w:p>
        </w:tc>
        <w:tc>
          <w:tcPr>
            <w:tcW w:w="9440" w:type="dxa"/>
            <w:vAlign w:val="bottom"/>
          </w:tcPr>
          <w:p>
            <w:pPr>
              <w:ind w:left="60"/>
              <w:spacing w:after="0"/>
              <w:rPr>
                <w:sz w:val="20"/>
                <w:szCs w:val="20"/>
                <w:color w:val="auto"/>
              </w:rPr>
            </w:pPr>
            <w:r>
              <w:rPr>
                <w:rFonts w:ascii="Arial" w:cs="Arial" w:eastAsia="Arial" w:hAnsi="Arial"/>
                <w:sz w:val="16"/>
                <w:szCs w:val="16"/>
                <w:color w:val="auto"/>
              </w:rPr>
              <w:t>Extraordinary General Meetings shall be convened when the best interests of the company so require.</w:t>
            </w:r>
          </w:p>
        </w:tc>
      </w:tr>
      <w:tr>
        <w:trPr>
          <w:trHeight w:val="460"/>
        </w:trPr>
        <w:tc>
          <w:tcPr>
            <w:tcW w:w="620" w:type="dxa"/>
            <w:vAlign w:val="bottom"/>
          </w:tcPr>
          <w:p>
            <w:pPr>
              <w:spacing w:after="0"/>
              <w:rPr>
                <w:sz w:val="20"/>
                <w:szCs w:val="20"/>
                <w:color w:val="auto"/>
              </w:rPr>
            </w:pPr>
            <w:r>
              <w:rPr>
                <w:rFonts w:ascii="Arial" w:cs="Arial" w:eastAsia="Arial" w:hAnsi="Arial"/>
                <w:sz w:val="16"/>
                <w:szCs w:val="16"/>
                <w:b w:val="1"/>
                <w:bCs w:val="1"/>
                <w:color w:val="auto"/>
              </w:rPr>
              <w:t>§ 15</w:t>
            </w:r>
          </w:p>
        </w:tc>
        <w:tc>
          <w:tcPr>
            <w:tcW w:w="10680" w:type="dxa"/>
            <w:vAlign w:val="bottom"/>
            <w:gridSpan w:val="2"/>
          </w:tcPr>
          <w:p>
            <w:pPr>
              <w:ind w:left="340"/>
              <w:spacing w:after="0"/>
              <w:rPr>
                <w:sz w:val="20"/>
                <w:szCs w:val="20"/>
                <w:color w:val="auto"/>
              </w:rPr>
            </w:pPr>
            <w:r>
              <w:rPr>
                <w:rFonts w:ascii="Arial" w:cs="Arial" w:eastAsia="Arial" w:hAnsi="Arial"/>
                <w:sz w:val="16"/>
                <w:szCs w:val="16"/>
                <w:b w:val="1"/>
                <w:bCs w:val="1"/>
                <w:color w:val="auto"/>
              </w:rPr>
              <w:t>Chairing the General Meeting, right to participate, participation of Supervisory Board members</w:t>
            </w:r>
          </w:p>
        </w:tc>
      </w:tr>
      <w:tr>
        <w:trPr>
          <w:trHeight w:val="435"/>
        </w:trPr>
        <w:tc>
          <w:tcPr>
            <w:tcW w:w="62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6"/>
                <w:szCs w:val="16"/>
                <w:color w:val="auto"/>
              </w:rPr>
              <w:t>(1)</w:t>
            </w:r>
          </w:p>
        </w:tc>
        <w:tc>
          <w:tcPr>
            <w:tcW w:w="9440" w:type="dxa"/>
            <w:vAlign w:val="bottom"/>
          </w:tcPr>
          <w:p>
            <w:pPr>
              <w:ind w:left="60"/>
              <w:spacing w:after="0"/>
              <w:rPr>
                <w:sz w:val="20"/>
                <w:szCs w:val="20"/>
                <w:color w:val="auto"/>
              </w:rPr>
            </w:pPr>
            <w:r>
              <w:rPr>
                <w:rFonts w:ascii="Arial" w:cs="Arial" w:eastAsia="Arial" w:hAnsi="Arial"/>
                <w:sz w:val="16"/>
                <w:szCs w:val="16"/>
                <w:color w:val="auto"/>
                <w:w w:val="90"/>
              </w:rPr>
              <w:t>The General Meeting shall be chaired by the chairperson of the Supervisory Board or, in his/her absence, by his/her deputy or, in his/her absence,</w:t>
            </w:r>
          </w:p>
        </w:tc>
      </w:tr>
      <w:tr>
        <w:trPr>
          <w:trHeight w:val="180"/>
        </w:trPr>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40" w:type="dxa"/>
            <w:vAlign w:val="bottom"/>
          </w:tcPr>
          <w:p>
            <w:pPr>
              <w:ind w:left="60"/>
              <w:spacing w:after="0" w:line="180" w:lineRule="exact"/>
              <w:rPr>
                <w:sz w:val="20"/>
                <w:szCs w:val="20"/>
                <w:color w:val="auto"/>
              </w:rPr>
            </w:pPr>
            <w:r>
              <w:rPr>
                <w:rFonts w:ascii="Arial" w:cs="Arial" w:eastAsia="Arial" w:hAnsi="Arial"/>
                <w:sz w:val="16"/>
                <w:szCs w:val="16"/>
                <w:color w:val="auto"/>
                <w:w w:val="90"/>
              </w:rPr>
              <w:t>by another person determined by the Supervisory Board. If no such determination has been made, the chairperson of the meeting shall be elected</w:t>
            </w:r>
          </w:p>
        </w:tc>
      </w:tr>
      <w:tr>
        <w:trPr>
          <w:trHeight w:val="205"/>
        </w:trPr>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40" w:type="dxa"/>
            <w:vAlign w:val="bottom"/>
          </w:tcPr>
          <w:p>
            <w:pPr>
              <w:ind w:left="60"/>
              <w:spacing w:after="0"/>
              <w:rPr>
                <w:sz w:val="20"/>
                <w:szCs w:val="20"/>
                <w:color w:val="auto"/>
              </w:rPr>
            </w:pPr>
            <w:r>
              <w:rPr>
                <w:rFonts w:ascii="Arial" w:cs="Arial" w:eastAsia="Arial" w:hAnsi="Arial"/>
                <w:sz w:val="16"/>
                <w:szCs w:val="16"/>
                <w:color w:val="auto"/>
              </w:rPr>
              <w:t>by the General Meeting.</w:t>
            </w:r>
          </w:p>
        </w:tc>
      </w:tr>
      <w:tr>
        <w:trPr>
          <w:trHeight w:val="435"/>
        </w:trPr>
        <w:tc>
          <w:tcPr>
            <w:tcW w:w="62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6"/>
                <w:szCs w:val="16"/>
                <w:color w:val="auto"/>
              </w:rPr>
              <w:t>(2)</w:t>
            </w:r>
          </w:p>
        </w:tc>
        <w:tc>
          <w:tcPr>
            <w:tcW w:w="9440" w:type="dxa"/>
            <w:vAlign w:val="bottom"/>
          </w:tcPr>
          <w:p>
            <w:pPr>
              <w:ind w:left="60"/>
              <w:spacing w:after="0"/>
              <w:rPr>
                <w:sz w:val="20"/>
                <w:szCs w:val="20"/>
                <w:color w:val="auto"/>
              </w:rPr>
            </w:pPr>
            <w:r>
              <w:rPr>
                <w:rFonts w:ascii="Arial" w:cs="Arial" w:eastAsia="Arial" w:hAnsi="Arial"/>
                <w:sz w:val="16"/>
                <w:szCs w:val="16"/>
                <w:color w:val="auto"/>
                <w:w w:val="91"/>
              </w:rPr>
              <w:t>Shareholders registered in the share registered are entitled to participation and the exercising of their voting rights in the General Meeting if they</w:t>
            </w:r>
          </w:p>
        </w:tc>
      </w:tr>
      <w:tr>
        <w:trPr>
          <w:trHeight w:val="180"/>
        </w:trPr>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40" w:type="dxa"/>
            <w:vAlign w:val="bottom"/>
          </w:tcPr>
          <w:p>
            <w:pPr>
              <w:ind w:left="60"/>
              <w:spacing w:after="0" w:line="180" w:lineRule="exact"/>
              <w:rPr>
                <w:sz w:val="20"/>
                <w:szCs w:val="20"/>
                <w:color w:val="auto"/>
              </w:rPr>
            </w:pPr>
            <w:r>
              <w:rPr>
                <w:rFonts w:ascii="Arial" w:cs="Arial" w:eastAsia="Arial" w:hAnsi="Arial"/>
                <w:sz w:val="16"/>
                <w:szCs w:val="16"/>
                <w:color w:val="auto"/>
                <w:w w:val="91"/>
              </w:rPr>
              <w:t>are registered in good time with the Company for participation. The registration to attend the General Meeting must be in German or English and</w:t>
            </w:r>
          </w:p>
        </w:tc>
      </w:tr>
      <w:tr>
        <w:trPr>
          <w:trHeight w:val="180"/>
        </w:trPr>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40" w:type="dxa"/>
            <w:vAlign w:val="bottom"/>
          </w:tcPr>
          <w:p>
            <w:pPr>
              <w:ind w:left="60"/>
              <w:spacing w:after="0" w:line="180" w:lineRule="exact"/>
              <w:rPr>
                <w:sz w:val="20"/>
                <w:szCs w:val="20"/>
                <w:color w:val="auto"/>
              </w:rPr>
            </w:pPr>
            <w:r>
              <w:rPr>
                <w:rFonts w:ascii="Arial" w:cs="Arial" w:eastAsia="Arial" w:hAnsi="Arial"/>
                <w:sz w:val="16"/>
                <w:szCs w:val="16"/>
                <w:color w:val="auto"/>
                <w:w w:val="90"/>
              </w:rPr>
              <w:t>must be received by the Company at least six days prior to the meeting, unless a shorter period, expressed in days, is provided for in the invitation</w:t>
            </w:r>
          </w:p>
        </w:tc>
      </w:tr>
      <w:tr>
        <w:trPr>
          <w:trHeight w:val="180"/>
        </w:trPr>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40" w:type="dxa"/>
            <w:vAlign w:val="bottom"/>
          </w:tcPr>
          <w:p>
            <w:pPr>
              <w:ind w:left="60"/>
              <w:spacing w:after="0" w:line="180" w:lineRule="exact"/>
              <w:rPr>
                <w:sz w:val="20"/>
                <w:szCs w:val="20"/>
                <w:color w:val="auto"/>
              </w:rPr>
            </w:pPr>
            <w:r>
              <w:rPr>
                <w:rFonts w:ascii="Arial" w:cs="Arial" w:eastAsia="Arial" w:hAnsi="Arial"/>
                <w:sz w:val="16"/>
                <w:szCs w:val="16"/>
                <w:color w:val="auto"/>
                <w:w w:val="92"/>
              </w:rPr>
              <w:t>to the General Meeting, at the address and in the form (written form, text form or another (electronic) form further specified by the Company) as</w:t>
            </w:r>
          </w:p>
        </w:tc>
      </w:tr>
      <w:tr>
        <w:trPr>
          <w:trHeight w:val="205"/>
        </w:trPr>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40" w:type="dxa"/>
            <w:vAlign w:val="bottom"/>
          </w:tcPr>
          <w:p>
            <w:pPr>
              <w:ind w:left="60"/>
              <w:spacing w:after="0"/>
              <w:rPr>
                <w:sz w:val="20"/>
                <w:szCs w:val="20"/>
                <w:color w:val="auto"/>
              </w:rPr>
            </w:pPr>
            <w:r>
              <w:rPr>
                <w:rFonts w:ascii="Arial" w:cs="Arial" w:eastAsia="Arial" w:hAnsi="Arial"/>
                <w:sz w:val="16"/>
                <w:szCs w:val="16"/>
                <w:color w:val="auto"/>
              </w:rPr>
              <w:t>stipulated in the said invitation The day of the General Meeting and the day of receipt shall not be counted.</w:t>
            </w:r>
          </w:p>
        </w:tc>
      </w:tr>
      <w:tr>
        <w:trPr>
          <w:trHeight w:val="435"/>
        </w:trPr>
        <w:tc>
          <w:tcPr>
            <w:tcW w:w="62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6"/>
                <w:szCs w:val="16"/>
                <w:color w:val="auto"/>
              </w:rPr>
              <w:t>(3)</w:t>
            </w:r>
          </w:p>
        </w:tc>
        <w:tc>
          <w:tcPr>
            <w:tcW w:w="9440" w:type="dxa"/>
            <w:vAlign w:val="bottom"/>
          </w:tcPr>
          <w:p>
            <w:pPr>
              <w:ind w:left="60"/>
              <w:spacing w:after="0"/>
              <w:rPr>
                <w:sz w:val="20"/>
                <w:szCs w:val="20"/>
                <w:color w:val="auto"/>
              </w:rPr>
            </w:pPr>
            <w:r>
              <w:rPr>
                <w:rFonts w:ascii="Arial" w:cs="Arial" w:eastAsia="Arial" w:hAnsi="Arial"/>
                <w:sz w:val="16"/>
                <w:szCs w:val="16"/>
                <w:color w:val="auto"/>
                <w:w w:val="95"/>
              </w:rPr>
              <w:t>The chairperson of the meeting shall determine the order of items on the agenda as well as the type and form of voting. The chairperson is</w:t>
            </w:r>
          </w:p>
        </w:tc>
      </w:tr>
      <w:tr>
        <w:trPr>
          <w:trHeight w:val="180"/>
        </w:trPr>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40" w:type="dxa"/>
            <w:vAlign w:val="bottom"/>
          </w:tcPr>
          <w:p>
            <w:pPr>
              <w:ind w:left="60"/>
              <w:spacing w:after="0" w:line="180" w:lineRule="exact"/>
              <w:rPr>
                <w:sz w:val="20"/>
                <w:szCs w:val="20"/>
                <w:color w:val="auto"/>
              </w:rPr>
            </w:pPr>
            <w:r>
              <w:rPr>
                <w:rFonts w:ascii="Arial" w:cs="Arial" w:eastAsia="Arial" w:hAnsi="Arial"/>
                <w:sz w:val="16"/>
                <w:szCs w:val="16"/>
                <w:color w:val="auto"/>
                <w:w w:val="91"/>
              </w:rPr>
              <w:t>authorized to limit the question and speaking rights of the shareholders, as appropriate and to the extent permitted by law. In particular, he/she is</w:t>
            </w:r>
          </w:p>
        </w:tc>
      </w:tr>
      <w:tr>
        <w:trPr>
          <w:trHeight w:val="180"/>
        </w:trPr>
        <w:tc>
          <w:tcPr>
            <w:tcW w:w="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40" w:type="dxa"/>
            <w:vAlign w:val="bottom"/>
          </w:tcPr>
          <w:p>
            <w:pPr>
              <w:ind w:left="60"/>
              <w:spacing w:after="0" w:line="180" w:lineRule="exact"/>
              <w:rPr>
                <w:sz w:val="20"/>
                <w:szCs w:val="20"/>
                <w:color w:val="auto"/>
              </w:rPr>
            </w:pPr>
            <w:r>
              <w:rPr>
                <w:rFonts w:ascii="Arial" w:cs="Arial" w:eastAsia="Arial" w:hAnsi="Arial"/>
                <w:sz w:val="16"/>
                <w:szCs w:val="16"/>
                <w:color w:val="auto"/>
                <w:w w:val="96"/>
              </w:rPr>
              <w:t>authorized, at the beginning or during the course of the General Meeting, to set a reasonable time limit for the entire General Meeting, for</w:t>
            </w:r>
          </w:p>
        </w:tc>
      </w:tr>
      <w:tr>
        <w:trPr>
          <w:trHeight w:val="205"/>
        </w:trPr>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40" w:type="dxa"/>
            <w:vAlign w:val="bottom"/>
          </w:tcPr>
          <w:p>
            <w:pPr>
              <w:ind w:left="60"/>
              <w:spacing w:after="0"/>
              <w:rPr>
                <w:sz w:val="20"/>
                <w:szCs w:val="20"/>
                <w:color w:val="auto"/>
              </w:rPr>
            </w:pPr>
            <w:r>
              <w:rPr>
                <w:rFonts w:ascii="Arial" w:cs="Arial" w:eastAsia="Arial" w:hAnsi="Arial"/>
                <w:sz w:val="16"/>
                <w:szCs w:val="16"/>
                <w:color w:val="auto"/>
              </w:rPr>
              <w:t>discussion of particular items on the agenda, or for any particular speech or question. Furthermore, the chairperson of the General</w:t>
            </w:r>
          </w:p>
        </w:tc>
      </w:tr>
      <w:tr>
        <w:trPr>
          <w:trHeight w:val="394"/>
        </w:trPr>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40" w:type="dxa"/>
            <w:vAlign w:val="bottom"/>
          </w:tcPr>
          <w:p>
            <w:pPr>
              <w:ind w:left="9200"/>
              <w:spacing w:after="0"/>
              <w:rPr>
                <w:sz w:val="20"/>
                <w:szCs w:val="20"/>
                <w:color w:val="auto"/>
              </w:rPr>
            </w:pPr>
            <w:r>
              <w:rPr>
                <w:rFonts w:ascii="Arial" w:cs="Arial" w:eastAsia="Arial" w:hAnsi="Arial"/>
                <w:sz w:val="11"/>
                <w:szCs w:val="11"/>
                <w:color w:val="auto"/>
              </w:rPr>
              <w:t>9|14</w:t>
            </w:r>
          </w:p>
        </w:tc>
      </w:tr>
      <w:tr>
        <w:trPr>
          <w:trHeight w:val="78"/>
        </w:trPr>
        <w:tc>
          <w:tcPr>
            <w:tcW w:w="6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94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393" w:right="299" w:bottom="1440" w:gutter="0" w:footer="0" w:header="0"/>
        </w:sectPr>
      </w:pPr>
    </w:p>
    <w:bookmarkStart w:id="322" w:name="page323"/>
    <w:bookmarkEnd w:id="322"/>
    <w:p>
      <w:pPr>
        <w:ind w:left="1920"/>
        <w:spacing w:after="0" w:line="261" w:lineRule="auto"/>
        <w:rPr>
          <w:sz w:val="20"/>
          <w:szCs w:val="20"/>
          <w:color w:val="auto"/>
        </w:rPr>
      </w:pPr>
      <w:r>
        <w:rPr>
          <w:rFonts w:ascii="Arial" w:cs="Arial" w:eastAsia="Arial" w:hAnsi="Arial"/>
          <w:sz w:val="16"/>
          <w:szCs w:val="16"/>
          <w:color w:val="auto"/>
        </w:rPr>
        <w:t>Meeting may prematurely close the list of requests to speak and close the debate, as far as this is necessary for the proper execution of the General Meeting.</w:t>
      </w:r>
    </w:p>
    <w:p>
      <w:pPr>
        <w:spacing w:after="0" w:line="240" w:lineRule="exact"/>
        <w:rPr>
          <w:sz w:val="20"/>
          <w:szCs w:val="20"/>
          <w:color w:val="auto"/>
        </w:rPr>
      </w:pPr>
    </w:p>
    <w:p>
      <w:pPr>
        <w:ind w:left="1920" w:hanging="960"/>
        <w:spacing w:after="0" w:line="261" w:lineRule="auto"/>
        <w:tabs>
          <w:tab w:leader="none" w:pos="192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chairperson of the General Meeting may permit the video and audio transmission of the General Meeting in whole or in part, including a transmission via the Internet.</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16</w:t>
      </w:r>
      <w:r>
        <w:rPr>
          <w:sz w:val="20"/>
          <w:szCs w:val="20"/>
          <w:color w:val="auto"/>
        </w:rPr>
        <w:tab/>
      </w:r>
      <w:r>
        <w:rPr>
          <w:rFonts w:ascii="Arial" w:cs="Arial" w:eastAsia="Arial" w:hAnsi="Arial"/>
          <w:sz w:val="14"/>
          <w:szCs w:val="14"/>
          <w:b w:val="1"/>
          <w:bCs w:val="1"/>
          <w:color w:val="auto"/>
        </w:rPr>
        <w:t>Procedure, minutes</w:t>
      </w:r>
    </w:p>
    <w:p>
      <w:pPr>
        <w:spacing w:after="0" w:line="280" w:lineRule="exact"/>
        <w:rPr>
          <w:sz w:val="20"/>
          <w:szCs w:val="20"/>
          <w:color w:val="auto"/>
        </w:rPr>
      </w:pPr>
    </w:p>
    <w:p>
      <w:pPr>
        <w:ind w:left="1920" w:hanging="960"/>
        <w:spacing w:after="0"/>
        <w:tabs>
          <w:tab w:leader="none" w:pos="19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Each share carries one vote.</w:t>
      </w:r>
    </w:p>
    <w:p>
      <w:pPr>
        <w:spacing w:after="0" w:line="275"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Voting rights may be exercised by representatives. The power of attorney must be granted in text form by other means. The details shall be determined by the company. They will be announced with the invitation to the General Meeting.</w:t>
      </w:r>
    </w:p>
    <w:p>
      <w:pPr>
        <w:spacing w:after="0" w:line="239" w:lineRule="exact"/>
        <w:rPr>
          <w:rFonts w:ascii="Arial" w:cs="Arial" w:eastAsia="Arial" w:hAnsi="Arial"/>
          <w:sz w:val="16"/>
          <w:szCs w:val="16"/>
          <w:color w:val="auto"/>
        </w:rPr>
      </w:pPr>
    </w:p>
    <w:p>
      <w:pPr>
        <w:jc w:val="both"/>
        <w:ind w:left="1920" w:hanging="960"/>
        <w:spacing w:after="0"/>
        <w:tabs>
          <w:tab w:leader="none" w:pos="19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Management Board is authorized to provide for shareholders to vote without attendance in the General Meeting in written form or by way of electronic communication (postal vote) as well as participate in the General Meeting and exercise all or some of their rights in whole or in part by means of electronic communication without physical participation and without being represented by a proxy (online participation). The Management Board determines the details of the postal vote as well as the scope and procedure of online participation in the invitation to the General Meeting. Minutes shall be kept of the proceedings and shall be signed by the chairperson of the Supervisory Board unless a notarial record is required by law.</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17</w:t>
      </w:r>
      <w:r>
        <w:rPr>
          <w:sz w:val="20"/>
          <w:szCs w:val="20"/>
          <w:color w:val="auto"/>
        </w:rPr>
        <w:tab/>
      </w:r>
      <w:r>
        <w:rPr>
          <w:rFonts w:ascii="Arial" w:cs="Arial" w:eastAsia="Arial" w:hAnsi="Arial"/>
          <w:sz w:val="14"/>
          <w:szCs w:val="14"/>
          <w:b w:val="1"/>
          <w:bCs w:val="1"/>
          <w:color w:val="auto"/>
        </w:rPr>
        <w:t>Resolution</w:t>
      </w:r>
    </w:p>
    <w:p>
      <w:pPr>
        <w:spacing w:after="0" w:line="280" w:lineRule="exact"/>
        <w:rPr>
          <w:sz w:val="20"/>
          <w:szCs w:val="20"/>
          <w:color w:val="auto"/>
        </w:rPr>
      </w:pPr>
    </w:p>
    <w:p>
      <w:pPr>
        <w:jc w:val="both"/>
        <w:ind w:left="1920" w:hanging="960"/>
        <w:spacing w:after="0" w:line="243" w:lineRule="auto"/>
        <w:tabs>
          <w:tab w:leader="none" w:pos="19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Unless a larger majority is required by law or these Articles of Association, resolutions of the General Meeting shall be adopted by a simple majority of the votes cast. To the extent that statutory provisions also require a majority of the share capital present at the time the resolution is adopted, a simple majority of the share capital present shall suffice, unless a larger majority is required by law. In the event of an undecided vote, an agenda item shall be deemed rejected.</w:t>
      </w:r>
    </w:p>
    <w:p>
      <w:pPr>
        <w:spacing w:after="0" w:line="254"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However, unless a larger majority is required by law, resolutions to amend the Articles of Association require a majority of at least two thirds of the votes cast and of the share capital present, except where at least half of the share capital is present.</w:t>
      </w:r>
    </w:p>
    <w:p>
      <w:pPr>
        <w:spacing w:after="0" w:line="239"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Should no majority be obtained in the first ballot in elections, the candidates with the two highest numbers of votes reached shall be put on a shortlist. If the election results in a tie between these two candidates, the decision shall be made by lot.</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VII.</w:t>
      </w:r>
      <w:r>
        <w:rPr>
          <w:sz w:val="20"/>
          <w:szCs w:val="20"/>
          <w:color w:val="auto"/>
        </w:rPr>
        <w:tab/>
      </w:r>
      <w:r>
        <w:rPr>
          <w:rFonts w:ascii="Arial" w:cs="Arial" w:eastAsia="Arial" w:hAnsi="Arial"/>
          <w:sz w:val="16"/>
          <w:szCs w:val="16"/>
          <w:b w:val="1"/>
          <w:bCs w:val="1"/>
          <w:color w:val="auto"/>
        </w:rPr>
        <w:t>Annual Financial Statements, appropriation of profits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80580" cy="127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93" w:right="319" w:bottom="1440" w:gutter="0" w:footer="0" w:header="0"/>
        </w:sectPr>
      </w:pPr>
    </w:p>
    <w:bookmarkStart w:id="323" w:name="page324"/>
    <w:bookmarkEnd w:id="323"/>
    <w:p>
      <w:pPr>
        <w:spacing w:after="0"/>
        <w:tabs>
          <w:tab w:leader="none" w:pos="940" w:val="left"/>
        </w:tabs>
        <w:rPr>
          <w:sz w:val="20"/>
          <w:szCs w:val="20"/>
          <w:color w:val="auto"/>
        </w:rPr>
      </w:pPr>
      <w:r>
        <w:rPr>
          <w:rFonts w:ascii="Arial" w:cs="Arial" w:eastAsia="Arial" w:hAnsi="Arial"/>
          <w:sz w:val="16"/>
          <w:szCs w:val="16"/>
          <w:b w:val="1"/>
          <w:bCs w:val="1"/>
          <w:color w:val="auto"/>
        </w:rPr>
        <w:t>§ 18</w:t>
      </w:r>
      <w:r>
        <w:rPr>
          <w:sz w:val="20"/>
          <w:szCs w:val="20"/>
          <w:color w:val="auto"/>
        </w:rPr>
        <w:tab/>
      </w:r>
      <w:r>
        <w:rPr>
          <w:rFonts w:ascii="Arial" w:cs="Arial" w:eastAsia="Arial" w:hAnsi="Arial"/>
          <w:sz w:val="14"/>
          <w:szCs w:val="14"/>
          <w:b w:val="1"/>
          <w:bCs w:val="1"/>
          <w:color w:val="auto"/>
        </w:rPr>
        <w:t>Annual Financial Statements, Management Report</w:t>
      </w:r>
    </w:p>
    <w:p>
      <w:pPr>
        <w:spacing w:after="0" w:line="280" w:lineRule="exact"/>
        <w:rPr>
          <w:sz w:val="20"/>
          <w:szCs w:val="20"/>
          <w:color w:val="auto"/>
        </w:rPr>
      </w:pPr>
    </w:p>
    <w:p>
      <w:pPr>
        <w:ind w:left="1920" w:hanging="960"/>
        <w:spacing w:after="0" w:line="261" w:lineRule="auto"/>
        <w:tabs>
          <w:tab w:leader="none" w:pos="19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Management Board shall prepare the Annual Financial Statements and any Management Report as well as the Consolidated Financial Statements and any Group Management Report for the past financial year within the statutory period.</w:t>
      </w:r>
    </w:p>
    <w:p>
      <w:pPr>
        <w:spacing w:after="0" w:line="239" w:lineRule="exact"/>
        <w:rPr>
          <w:rFonts w:ascii="Arial" w:cs="Arial" w:eastAsia="Arial" w:hAnsi="Arial"/>
          <w:sz w:val="16"/>
          <w:szCs w:val="16"/>
          <w:color w:val="auto"/>
        </w:rPr>
      </w:pPr>
    </w:p>
    <w:p>
      <w:pPr>
        <w:jc w:val="both"/>
        <w:ind w:left="1920" w:hanging="960"/>
        <w:spacing w:after="0" w:line="248" w:lineRule="auto"/>
        <w:tabs>
          <w:tab w:leader="none" w:pos="19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Management Board shall submit the Annual Financial Statements and any Management Report as well as the Consolidated Financial Statements and any Group Management Report to the Supervisory Board immediately after they have been prepared, together with its proposal to the General Meeting for the appropriation of net profit.</w:t>
      </w:r>
    </w:p>
    <w:p>
      <w:pPr>
        <w:spacing w:after="0" w:line="249" w:lineRule="exact"/>
        <w:rPr>
          <w:rFonts w:ascii="Arial" w:cs="Arial" w:eastAsia="Arial" w:hAnsi="Arial"/>
          <w:sz w:val="16"/>
          <w:szCs w:val="16"/>
          <w:color w:val="auto"/>
        </w:rPr>
      </w:pPr>
    </w:p>
    <w:p>
      <w:pPr>
        <w:jc w:val="both"/>
        <w:ind w:left="1920" w:hanging="960"/>
        <w:spacing w:after="0" w:line="261" w:lineRule="auto"/>
        <w:tabs>
          <w:tab w:leader="none" w:pos="1920" w:val="left"/>
        </w:tabs>
        <w:numPr>
          <w:ilvl w:val="0"/>
          <w:numId w:val="349"/>
        </w:numPr>
        <w:rPr>
          <w:rFonts w:ascii="Arial" w:cs="Arial" w:eastAsia="Arial" w:hAnsi="Arial"/>
          <w:sz w:val="15"/>
          <w:szCs w:val="15"/>
          <w:color w:val="auto"/>
        </w:rPr>
      </w:pPr>
      <w:r>
        <w:rPr>
          <w:rFonts w:ascii="Arial" w:cs="Arial" w:eastAsia="Arial" w:hAnsi="Arial"/>
          <w:sz w:val="15"/>
          <w:szCs w:val="15"/>
          <w:color w:val="auto"/>
        </w:rPr>
        <w:t>The Supervisory Board shall examine the Annual Financial Statements, the potential Management Report of the Management Board, the Consolidated Financial Statements and any Group Management Report and the proposal for the appropriation of net profits and report the results of its examination in writing to the General Meeting. It must forward its report to the Management Board within one month of receipt of the documents. Should the Supervisory Board approve the Annual Financial Statements after examination, they shall be adopted unless the Management Board and Supervisory Board decide to leave the adoption of the Annual Financial Statements to the General Meeting.</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19</w:t>
      </w:r>
      <w:r>
        <w:rPr>
          <w:sz w:val="20"/>
          <w:szCs w:val="20"/>
          <w:color w:val="auto"/>
        </w:rPr>
        <w:tab/>
      </w:r>
      <w:r>
        <w:rPr>
          <w:rFonts w:ascii="Arial" w:cs="Arial" w:eastAsia="Arial" w:hAnsi="Arial"/>
          <w:sz w:val="14"/>
          <w:szCs w:val="14"/>
          <w:b w:val="1"/>
          <w:bCs w:val="1"/>
          <w:color w:val="auto"/>
        </w:rPr>
        <w:t>Retained earnings</w:t>
      </w:r>
    </w:p>
    <w:p>
      <w:pPr>
        <w:spacing w:after="0" w:line="280" w:lineRule="exact"/>
        <w:rPr>
          <w:sz w:val="20"/>
          <w:szCs w:val="20"/>
          <w:color w:val="auto"/>
        </w:rPr>
      </w:pPr>
    </w:p>
    <w:p>
      <w:pPr>
        <w:jc w:val="both"/>
        <w:ind w:left="1920" w:hanging="960"/>
        <w:spacing w:after="0" w:line="243" w:lineRule="auto"/>
        <w:tabs>
          <w:tab w:leader="none" w:pos="192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Should the Management Board and the Supervisory Board adopt the Annual Financial Statements, they may transfer amounts of up to half of the net profit for the year to retained earnings. In addition, they are authorized to transfer amounts to retained earnings of up to a further quarter of the net profit for the year as long as the retained earnings do not exceed half of the share capital or insofar as they would not exceed half of the share capital after the transfer.</w:t>
      </w:r>
    </w:p>
    <w:p>
      <w:pPr>
        <w:spacing w:after="0" w:line="254"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When calculating the portion of the net profit to be transferred to retained earnings in accordance with paragraph (1), allocations to the statutory reserve and accumulated losses carried forward shall be taken into account in advance.</w:t>
      </w:r>
    </w:p>
    <w:p>
      <w:pPr>
        <w:spacing w:after="0" w:line="239" w:lineRule="exact"/>
        <w:rPr>
          <w:rFonts w:ascii="Arial" w:cs="Arial" w:eastAsia="Arial" w:hAnsi="Arial"/>
          <w:sz w:val="16"/>
          <w:szCs w:val="16"/>
          <w:color w:val="auto"/>
        </w:rPr>
      </w:pPr>
    </w:p>
    <w:p>
      <w:pPr>
        <w:jc w:val="both"/>
        <w:ind w:left="1920" w:hanging="960"/>
        <w:spacing w:after="0" w:line="248" w:lineRule="auto"/>
        <w:tabs>
          <w:tab w:leader="none" w:pos="192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General Meeting resolves on the appropriation of profits retained resulting from the adopted Annual Financial Statements. It may allocate further portions of the profits retained to retained earnings, carry these profits forward to a new account – also by way of distribution in kind - or distribute them among the shareholders.</w:t>
      </w:r>
    </w:p>
    <w:p>
      <w:pPr>
        <w:spacing w:after="0" w:line="24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VIII.</w:t>
      </w:r>
      <w:r>
        <w:rPr>
          <w:sz w:val="20"/>
          <w:szCs w:val="20"/>
          <w:color w:val="auto"/>
        </w:rPr>
        <w:tab/>
      </w:r>
      <w:r>
        <w:rPr>
          <w:rFonts w:ascii="Arial" w:cs="Arial" w:eastAsia="Arial" w:hAnsi="Arial"/>
          <w:sz w:val="16"/>
          <w:szCs w:val="16"/>
          <w:b w:val="1"/>
          <w:bCs w:val="1"/>
          <w:color w:val="auto"/>
        </w:rPr>
        <w:t>Legal disputes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80580" cy="127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88" w:right="319" w:bottom="1440" w:gutter="0" w:footer="0" w:header="0"/>
        </w:sectPr>
      </w:pPr>
    </w:p>
    <w:bookmarkStart w:id="324" w:name="page325"/>
    <w:bookmarkEnd w:id="324"/>
    <w:p>
      <w:pPr>
        <w:spacing w:after="0"/>
        <w:tabs>
          <w:tab w:leader="none" w:pos="940" w:val="left"/>
        </w:tabs>
        <w:rPr>
          <w:sz w:val="20"/>
          <w:szCs w:val="20"/>
          <w:color w:val="auto"/>
        </w:rPr>
      </w:pPr>
      <w:r>
        <w:rPr>
          <w:rFonts w:ascii="Arial" w:cs="Arial" w:eastAsia="Arial" w:hAnsi="Arial"/>
          <w:sz w:val="16"/>
          <w:szCs w:val="16"/>
          <w:b w:val="1"/>
          <w:bCs w:val="1"/>
          <w:color w:val="auto"/>
        </w:rPr>
        <w:t>§ 20</w:t>
      </w:r>
      <w:r>
        <w:rPr>
          <w:sz w:val="20"/>
          <w:szCs w:val="20"/>
          <w:color w:val="auto"/>
        </w:rPr>
        <w:tab/>
      </w:r>
      <w:r>
        <w:rPr>
          <w:rFonts w:ascii="Arial" w:cs="Arial" w:eastAsia="Arial" w:hAnsi="Arial"/>
          <w:sz w:val="14"/>
          <w:szCs w:val="14"/>
          <w:b w:val="1"/>
          <w:bCs w:val="1"/>
          <w:color w:val="auto"/>
        </w:rPr>
        <w:t>Jurisdiction of the US Federal Courts</w:t>
      </w:r>
    </w:p>
    <w:p>
      <w:pPr>
        <w:spacing w:after="0" w:line="280" w:lineRule="exact"/>
        <w:rPr>
          <w:sz w:val="20"/>
          <w:szCs w:val="20"/>
          <w:color w:val="auto"/>
        </w:rPr>
      </w:pPr>
    </w:p>
    <w:p>
      <w:pPr>
        <w:jc w:val="both"/>
        <w:ind w:left="980"/>
        <w:spacing w:after="0" w:line="261" w:lineRule="auto"/>
        <w:rPr>
          <w:sz w:val="20"/>
          <w:szCs w:val="20"/>
          <w:color w:val="auto"/>
        </w:rPr>
      </w:pPr>
      <w:r>
        <w:rPr>
          <w:rFonts w:ascii="Arial" w:cs="Arial" w:eastAsia="Arial" w:hAnsi="Arial"/>
          <w:sz w:val="15"/>
          <w:szCs w:val="15"/>
          <w:color w:val="auto"/>
        </w:rPr>
        <w:t>In the case of litigation on the grounds of or in connection with federal or state capital market laws of the United States of America to be settled in front of a federal or state court of the United States of America only the United States District Court for the Southern District of New York or, in the case of it being replaced by any other first-instance Federal Court of the United States of America having judiciary over the borough of Manhattan, such court, shall be the competent court of jurisdiction, in each case insofar as this may be determined by these Articles of Association. This shall leave unaffected any exclusive international jurisdiction under German or European law of the court seated at the venue of the Company’s statutory seat.</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IX.</w:t>
      </w:r>
      <w:r>
        <w:rPr>
          <w:sz w:val="20"/>
          <w:szCs w:val="20"/>
          <w:color w:val="auto"/>
        </w:rPr>
        <w:tab/>
      </w:r>
      <w:r>
        <w:rPr>
          <w:rFonts w:ascii="Arial" w:cs="Arial" w:eastAsia="Arial" w:hAnsi="Arial"/>
          <w:sz w:val="16"/>
          <w:szCs w:val="16"/>
          <w:b w:val="1"/>
          <w:bCs w:val="1"/>
          <w:color w:val="auto"/>
        </w:rPr>
        <w:t>Expenses</w:t>
      </w: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 21</w:t>
      </w:r>
      <w:r>
        <w:rPr>
          <w:sz w:val="20"/>
          <w:szCs w:val="20"/>
          <w:color w:val="auto"/>
        </w:rPr>
        <w:tab/>
      </w:r>
      <w:r>
        <w:rPr>
          <w:rFonts w:ascii="Arial" w:cs="Arial" w:eastAsia="Arial" w:hAnsi="Arial"/>
          <w:sz w:val="14"/>
          <w:szCs w:val="14"/>
          <w:b w:val="1"/>
          <w:bCs w:val="1"/>
          <w:color w:val="auto"/>
        </w:rPr>
        <w:t>Formation expenses</w:t>
      </w:r>
    </w:p>
    <w:p>
      <w:pPr>
        <w:spacing w:after="0" w:line="280" w:lineRule="exact"/>
        <w:rPr>
          <w:sz w:val="20"/>
          <w:szCs w:val="20"/>
          <w:color w:val="auto"/>
        </w:rPr>
      </w:pPr>
    </w:p>
    <w:p>
      <w:pPr>
        <w:ind w:left="1920" w:hanging="960"/>
        <w:spacing w:after="0"/>
        <w:tabs>
          <w:tab w:leader="none" w:pos="19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formation costs of the company shall be borne by FORATIS AG.</w:t>
      </w:r>
    </w:p>
    <w:p>
      <w:pPr>
        <w:spacing w:after="0" w:line="275" w:lineRule="exact"/>
        <w:rPr>
          <w:rFonts w:ascii="Arial" w:cs="Arial" w:eastAsia="Arial" w:hAnsi="Arial"/>
          <w:sz w:val="16"/>
          <w:szCs w:val="16"/>
          <w:color w:val="auto"/>
        </w:rPr>
      </w:pPr>
    </w:p>
    <w:p>
      <w:pPr>
        <w:ind w:left="1920" w:hanging="960"/>
        <w:spacing w:after="0" w:line="261" w:lineRule="auto"/>
        <w:tabs>
          <w:tab w:leader="none" w:pos="19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company shall bear the expenses of the formation of the BioNTech SE by conversion of BioNTech AG into a European company (SE) in the amount of up to EUR 100,000.</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80580" cy="127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389" w:right="319" w:bottom="1440" w:gutter="0" w:footer="0" w:header="0"/>
        </w:sectPr>
      </w:pPr>
    </w:p>
    <w:bookmarkStart w:id="325" w:name="page326"/>
    <w:bookmarkEnd w:id="325"/>
    <w:p>
      <w:pPr>
        <w:spacing w:after="0"/>
        <w:rPr>
          <w:sz w:val="20"/>
          <w:szCs w:val="20"/>
          <w:color w:val="auto"/>
        </w:rPr>
      </w:pPr>
      <w:r>
        <w:rPr>
          <w:rFonts w:ascii="Arial" w:cs="Arial" w:eastAsia="Arial" w:hAnsi="Arial"/>
          <w:sz w:val="16"/>
          <w:szCs w:val="16"/>
          <w:b w:val="1"/>
          <w:bCs w:val="1"/>
          <w:color w:val="auto"/>
        </w:rPr>
        <w:t>Annex to Section 4(5) of the Articles of Association</w:t>
      </w:r>
    </w:p>
    <w:p>
      <w:pPr>
        <w:spacing w:after="0" w:line="116"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Stipulations which are to be fulfilled in the event of an exclusion of the subscription right</w:t>
      </w:r>
    </w:p>
    <w:p>
      <w:pPr>
        <w:spacing w:after="0" w:line="14" w:lineRule="exact"/>
        <w:rPr>
          <w:sz w:val="20"/>
          <w:szCs w:val="20"/>
          <w:color w:val="auto"/>
        </w:rPr>
      </w:pPr>
    </w:p>
    <w:p>
      <w:pPr>
        <w:jc w:val="center"/>
        <w:ind w:left="1940"/>
        <w:spacing w:after="0"/>
        <w:rPr>
          <w:sz w:val="20"/>
          <w:szCs w:val="20"/>
          <w:color w:val="auto"/>
        </w:rPr>
      </w:pPr>
      <w:r>
        <w:rPr>
          <w:rFonts w:ascii="Arial" w:cs="Arial" w:eastAsia="Arial" w:hAnsi="Arial"/>
          <w:sz w:val="16"/>
          <w:szCs w:val="16"/>
          <w:b w:val="1"/>
          <w:bCs w:val="1"/>
          <w:color w:val="auto"/>
        </w:rPr>
        <w:t>pursuant to Section 4(5) Sentence 4 Subsection (f) (the 'new investor clause')</w:t>
      </w:r>
    </w:p>
    <w:p>
      <w:pPr>
        <w:spacing w:after="0" w:line="102" w:lineRule="exact"/>
        <w:rPr>
          <w:sz w:val="20"/>
          <w:szCs w:val="20"/>
          <w:color w:val="auto"/>
        </w:rPr>
      </w:pPr>
    </w:p>
    <w:p>
      <w:pPr>
        <w:jc w:val="both"/>
        <w:ind w:left="2920" w:hanging="480"/>
        <w:spacing w:after="0" w:line="259" w:lineRule="auto"/>
        <w:tabs>
          <w:tab w:leader="none" w:pos="292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The portion of shares issued on the basis of the respective Management Board resolution on the utilization of the authorized capital (including the shares issued to shareholders on the basis of co-investments pursuant to item (iv)) does not exceed one tenth of the share capital existing at the time of the resolution. In the event that shares have already been issued previously using the authorization to exclude subscription rights in accordance with the new investor clause, said tenth shall be replaced by the aforementioned tenth less the fractions which the shares issued in each case represented in relation to the share capital existing at the time of the respective resolution of the Management Board.</w:t>
      </w:r>
    </w:p>
    <w:p>
      <w:pPr>
        <w:spacing w:after="0" w:line="82" w:lineRule="exact"/>
        <w:rPr>
          <w:rFonts w:ascii="Arial" w:cs="Arial" w:eastAsia="Arial" w:hAnsi="Arial"/>
          <w:sz w:val="15"/>
          <w:szCs w:val="15"/>
          <w:color w:val="auto"/>
        </w:rPr>
      </w:pPr>
    </w:p>
    <w:p>
      <w:pPr>
        <w:jc w:val="both"/>
        <w:ind w:left="2920" w:hanging="480"/>
        <w:spacing w:after="0" w:line="243" w:lineRule="auto"/>
        <w:tabs>
          <w:tab w:leader="none" w:pos="292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issue price in US dollars (including any further payment agreed under the law of obligations) shall be converted into euros for the purpose of determining an issue price in euros on the basis of an exchange rate that is determined by the Management Board in its dutiful discretion and that is current at the time of the resolution on the issuance or, in the case of further payments agreed under the law of obligations, at the time of the request for further payment.</w:t>
      </w:r>
    </w:p>
    <w:p>
      <w:pPr>
        <w:spacing w:after="0" w:line="94" w:lineRule="exact"/>
        <w:rPr>
          <w:rFonts w:ascii="Arial" w:cs="Arial" w:eastAsia="Arial" w:hAnsi="Arial"/>
          <w:sz w:val="16"/>
          <w:szCs w:val="16"/>
          <w:color w:val="auto"/>
        </w:rPr>
      </w:pPr>
    </w:p>
    <w:p>
      <w:pPr>
        <w:jc w:val="both"/>
        <w:ind w:left="2920" w:hanging="480"/>
        <w:spacing w:after="0" w:line="265" w:lineRule="auto"/>
        <w:tabs>
          <w:tab w:leader="none" w:pos="292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Shareholders who hold a total of 60 % of the company's shares and among whom are Medine GmbH, the AT Impf GmbH, at least one Fidelity fund and at least one Redmile fund, have approved the issuance of shares by declaration in text form. "Fidelity fund" or "Redmile fund" means any investment fund managed or advised by Fidelity Management &amp; Research Company or any of its affiliates or, respectively, by Redmile Group LLC or any of its affiliates on the basis of a contract.</w:t>
      </w:r>
    </w:p>
    <w:p>
      <w:pPr>
        <w:spacing w:after="0" w:line="78" w:lineRule="exact"/>
        <w:rPr>
          <w:rFonts w:ascii="Arial" w:cs="Arial" w:eastAsia="Arial" w:hAnsi="Arial"/>
          <w:sz w:val="15"/>
          <w:szCs w:val="15"/>
          <w:color w:val="auto"/>
        </w:rPr>
      </w:pPr>
    </w:p>
    <w:p>
      <w:pPr>
        <w:jc w:val="both"/>
        <w:ind w:left="2920" w:hanging="480"/>
        <w:spacing w:after="0" w:line="239" w:lineRule="auto"/>
        <w:tabs>
          <w:tab w:leader="none" w:pos="292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In connection with any capital increase under exclusion of subscription rights pursuant to the new investor clause either (x) no shareholder nor any company affiliated with a shareholder will be given the opportunity to participate in the envisaged share issue, or (y) the company will announce the envisaged share issue to each shareholder by email notifying the number of shares that the respective new investor intends to subscribe for, the issue price per share (including any further payment agreed under the law of obligations) and the total issue price to be paid by the respective investor (including, if applicable, the further payment), will request each shareholder, with a deadline of at least one week, to make a binding declaration in text form as to the extent to which he/she</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80580" cy="127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228" w:right="319" w:bottom="1440" w:gutter="0" w:footer="0" w:header="0"/>
        </w:sectPr>
      </w:pPr>
    </w:p>
    <w:bookmarkStart w:id="326" w:name="page327"/>
    <w:bookmarkEnd w:id="326"/>
    <w:p>
      <w:pPr>
        <w:jc w:val="both"/>
        <w:ind w:left="1780"/>
        <w:spacing w:after="0" w:line="259" w:lineRule="auto"/>
        <w:rPr>
          <w:sz w:val="20"/>
          <w:szCs w:val="20"/>
          <w:color w:val="auto"/>
        </w:rPr>
      </w:pPr>
      <w:r>
        <w:rPr>
          <w:rFonts w:ascii="Arial" w:cs="Arial" w:eastAsia="Arial" w:hAnsi="Arial"/>
          <w:sz w:val="15"/>
          <w:szCs w:val="15"/>
          <w:color w:val="auto"/>
        </w:rPr>
        <w:t>himself/herself wishes to subscribe for shares in the context of the relevant capital increase ("co-investment"), and offer those who have submitted the declaration in due time to conclude a corresponding subscription agreement by submitting a proper draft subscription form. Each shareholder may transfer or assign his or her right to co-invest to companies affiliated with him or, in the case of an investment fund, to another investment fund advised directly or indirectly by the same investment advisor or by an investment advisor affiliated to the same. The invitation and the offer shall be restricted (in the cases set out in letters b and c below in the event that a determination of the relevant content is made) to the extent that;</w:t>
      </w:r>
    </w:p>
    <w:p>
      <w:pPr>
        <w:spacing w:after="0" w:line="83" w:lineRule="exact"/>
        <w:rPr>
          <w:sz w:val="20"/>
          <w:szCs w:val="20"/>
          <w:color w:val="auto"/>
        </w:rPr>
      </w:pPr>
    </w:p>
    <w:p>
      <w:pPr>
        <w:jc w:val="both"/>
        <w:ind w:left="2760" w:hanging="1021"/>
        <w:spacing w:after="0" w:line="265" w:lineRule="auto"/>
        <w:tabs>
          <w:tab w:leader="none" w:pos="276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the pro rata amount of the share capital represented by the total shares to be subscribed for by way of co-investments in the context of the capital increase in question may not exceed the fraction set out in item (i) with the proviso that existing subscription requests are initially taken into account in proportion to the pro rata shareholdings and are otherwise disregarded to the extent that this amount would otherwise be exceeded,</w:t>
      </w:r>
    </w:p>
    <w:p>
      <w:pPr>
        <w:spacing w:after="0" w:line="78" w:lineRule="exact"/>
        <w:rPr>
          <w:rFonts w:ascii="Arial" w:cs="Arial" w:eastAsia="Arial" w:hAnsi="Arial"/>
          <w:sz w:val="15"/>
          <w:szCs w:val="15"/>
          <w:color w:val="auto"/>
        </w:rPr>
      </w:pPr>
    </w:p>
    <w:p>
      <w:pPr>
        <w:jc w:val="both"/>
        <w:ind w:left="2760" w:hanging="1021"/>
        <w:spacing w:after="0" w:line="265" w:lineRule="auto"/>
        <w:tabs>
          <w:tab w:leader="none" w:pos="276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the pro rata amount of the share capital represented by the total number of shares to be subscribed for by way of co-investments within the framework of the capital increase in question may not exceed the amount determined in the invitation and the offer (which amounts to at least half of the total envisaged amount of the capital increase); in such a case, the provisions of letter a shall apply mutatis mutandis, and</w:t>
      </w:r>
    </w:p>
    <w:p>
      <w:pPr>
        <w:spacing w:after="0" w:line="78" w:lineRule="exact"/>
        <w:rPr>
          <w:rFonts w:ascii="Arial" w:cs="Arial" w:eastAsia="Arial" w:hAnsi="Arial"/>
          <w:sz w:val="15"/>
          <w:szCs w:val="15"/>
          <w:color w:val="auto"/>
        </w:rPr>
      </w:pPr>
    </w:p>
    <w:p>
      <w:pPr>
        <w:jc w:val="both"/>
        <w:ind w:left="2760" w:hanging="1021"/>
        <w:spacing w:after="0" w:line="241" w:lineRule="auto"/>
        <w:tabs>
          <w:tab w:leader="none" w:pos="27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co-investment is subject to the condition that, upon penalty of exclusion from the co-investment, within a period of at least five banking days to be determined by the company, starting from the date of availability of the proper draft of the subscription form corresponding to the declaration (x) the company receives the duly signed subscription form in two originals , and (y) that the issue amount (in whole or the part claimed by the company) is fully paid.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14|14</w:t>
      </w:r>
    </w:p>
    <w:p>
      <w:pPr>
        <w:sectPr>
          <w:pgSz w:w="11900" w:h="16838" w:orient="portrait"/>
          <w:cols w:equalWidth="0" w:num="1">
            <w:col w:w="10140"/>
          </w:cols>
          <w:pgMar w:left="1440" w:top="233" w:right="319" w:bottom="1440" w:gutter="0" w:footer="0" w:header="0"/>
        </w:sectPr>
      </w:pPr>
    </w:p>
    <w:bookmarkStart w:id="327" w:name="page328"/>
    <w:bookmarkEnd w:id="327"/>
    <w:p>
      <w:pPr>
        <w:jc w:val="right"/>
        <w:spacing w:after="0"/>
        <w:rPr>
          <w:sz w:val="20"/>
          <w:szCs w:val="20"/>
          <w:color w:val="auto"/>
        </w:rPr>
      </w:pPr>
      <w:r>
        <w:rPr>
          <w:rFonts w:ascii="Arial" w:cs="Arial" w:eastAsia="Arial" w:hAnsi="Arial"/>
          <w:sz w:val="13"/>
          <w:szCs w:val="13"/>
          <w:b w:val="1"/>
          <w:bCs w:val="1"/>
          <w:color w:val="auto"/>
        </w:rPr>
        <w:t>Exhibit 4.15</w:t>
      </w:r>
    </w:p>
    <w:p>
      <w:pPr>
        <w:spacing w:after="0" w:line="200" w:lineRule="exact"/>
        <w:rPr>
          <w:sz w:val="20"/>
          <w:szCs w:val="20"/>
          <w:color w:val="auto"/>
        </w:rPr>
      </w:pPr>
    </w:p>
    <w:p>
      <w:pPr>
        <w:spacing w:after="0" w:line="287" w:lineRule="exact"/>
        <w:rPr>
          <w:sz w:val="20"/>
          <w:szCs w:val="20"/>
          <w:color w:val="auto"/>
        </w:rPr>
      </w:pPr>
    </w:p>
    <w:p>
      <w:pPr>
        <w:jc w:val="center"/>
        <w:ind w:right="1420"/>
        <w:spacing w:after="0" w:line="249" w:lineRule="auto"/>
        <w:rPr>
          <w:sz w:val="20"/>
          <w:szCs w:val="20"/>
          <w:color w:val="auto"/>
        </w:rPr>
      </w:pPr>
      <w:r>
        <w:rPr>
          <w:rFonts w:ascii="Arial" w:cs="Arial" w:eastAsia="Arial" w:hAnsi="Arial"/>
          <w:sz w:val="15"/>
          <w:szCs w:val="15"/>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82828"/>
        </w:rPr>
        <w:t xml:space="preserve">FIRST AMENDMENT TO </w:t>
      </w:r>
      <w:r>
        <w:rPr>
          <w:rFonts w:ascii="Arial" w:cs="Arial" w:eastAsia="Arial" w:hAnsi="Arial"/>
          <w:sz w:val="14"/>
          <w:szCs w:val="14"/>
          <w:b w:val="1"/>
          <w:bCs w:val="1"/>
          <w:color w:val="3D3D3D"/>
        </w:rPr>
        <w:t>THE</w:t>
      </w:r>
      <w:r>
        <w:rPr>
          <w:rFonts w:ascii="Arial" w:cs="Arial" w:eastAsia="Arial" w:hAnsi="Arial"/>
          <w:sz w:val="14"/>
          <w:szCs w:val="14"/>
          <w:b w:val="1"/>
          <w:bCs w:val="1"/>
          <w:color w:val="282828"/>
        </w:rPr>
        <w:t xml:space="preserve"> COLLABORATION AGREEMENT</w:t>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82828"/>
        </w:rPr>
        <w:t>T</w:t>
      </w:r>
      <w:r>
        <w:rPr>
          <w:rFonts w:ascii="Arial" w:cs="Arial" w:eastAsia="Arial" w:hAnsi="Arial"/>
          <w:sz w:val="8"/>
          <w:szCs w:val="8"/>
          <w:b w:val="1"/>
          <w:bCs w:val="1"/>
          <w:color w:val="282828"/>
        </w:rPr>
        <w:t>HIS</w:t>
      </w:r>
      <w:r>
        <w:rPr>
          <w:rFonts w:ascii="Arial" w:cs="Arial" w:eastAsia="Arial" w:hAnsi="Arial"/>
          <w:sz w:val="13"/>
          <w:szCs w:val="13"/>
          <w:b w:val="1"/>
          <w:bCs w:val="1"/>
          <w:color w:val="282828"/>
        </w:rPr>
        <w:t xml:space="preserve"> </w:t>
      </w:r>
      <w:r>
        <w:rPr>
          <w:rFonts w:ascii="Arial" w:cs="Arial" w:eastAsia="Arial" w:hAnsi="Arial"/>
          <w:sz w:val="11"/>
          <w:szCs w:val="11"/>
          <w:b w:val="1"/>
          <w:bCs w:val="1"/>
          <w:color w:val="282828"/>
        </w:rPr>
        <w:t>FIRST</w:t>
      </w:r>
      <w:r>
        <w:rPr>
          <w:rFonts w:ascii="Arial" w:cs="Arial" w:eastAsia="Arial" w:hAnsi="Arial"/>
          <w:sz w:val="13"/>
          <w:szCs w:val="13"/>
          <w:b w:val="1"/>
          <w:bCs w:val="1"/>
          <w:color w:val="282828"/>
        </w:rPr>
        <w:t xml:space="preserve"> </w:t>
      </w:r>
      <w:r>
        <w:rPr>
          <w:rFonts w:ascii="Arial" w:cs="Arial" w:eastAsia="Arial" w:hAnsi="Arial"/>
          <w:sz w:val="11"/>
          <w:szCs w:val="11"/>
          <w:color w:val="282828"/>
        </w:rPr>
        <w:t>AMENDMENT TO THE COLLABORATION AGREEMENT</w:t>
      </w:r>
      <w:r>
        <w:rPr>
          <w:rFonts w:ascii="Arial" w:cs="Arial" w:eastAsia="Arial" w:hAnsi="Arial"/>
          <w:sz w:val="13"/>
          <w:szCs w:val="13"/>
          <w:b w:val="1"/>
          <w:bCs w:val="1"/>
          <w:color w:val="282828"/>
        </w:rPr>
        <w:t xml:space="preserve"> ("First Amendment")</w:t>
      </w:r>
    </w:p>
    <w:p>
      <w:pPr>
        <w:spacing w:after="0" w:line="30" w:lineRule="exact"/>
        <w:rPr>
          <w:sz w:val="20"/>
          <w:szCs w:val="20"/>
          <w:color w:val="auto"/>
        </w:rPr>
      </w:pPr>
    </w:p>
    <w:p>
      <w:pPr>
        <w:jc w:val="both"/>
        <w:ind w:left="100" w:right="1960" w:firstLine="14"/>
        <w:spacing w:after="0" w:line="293" w:lineRule="auto"/>
        <w:rPr>
          <w:sz w:val="20"/>
          <w:szCs w:val="20"/>
          <w:color w:val="auto"/>
        </w:rPr>
      </w:pPr>
      <w:r>
        <w:rPr>
          <w:rFonts w:ascii="Arial" w:cs="Arial" w:eastAsia="Arial" w:hAnsi="Arial"/>
          <w:sz w:val="12"/>
          <w:szCs w:val="12"/>
          <w:color w:val="161616"/>
        </w:rPr>
        <w:t>i</w:t>
      </w:r>
      <w:r>
        <w:rPr>
          <w:rFonts w:ascii="Arial" w:cs="Arial" w:eastAsia="Arial" w:hAnsi="Arial"/>
          <w:sz w:val="12"/>
          <w:szCs w:val="12"/>
          <w:color w:val="3D3D3D"/>
        </w:rPr>
        <w:t>s</w:t>
      </w:r>
      <w:r>
        <w:rPr>
          <w:rFonts w:ascii="Arial" w:cs="Arial" w:eastAsia="Arial" w:hAnsi="Arial"/>
          <w:sz w:val="12"/>
          <w:szCs w:val="12"/>
          <w:color w:val="161616"/>
        </w:rPr>
        <w:t xml:space="preserve"> </w:t>
      </w:r>
      <w:r>
        <w:rPr>
          <w:rFonts w:ascii="Arial" w:cs="Arial" w:eastAsia="Arial" w:hAnsi="Arial"/>
          <w:sz w:val="12"/>
          <w:szCs w:val="12"/>
          <w:color w:val="282828"/>
        </w:rPr>
        <w:t>made and entered</w:t>
      </w:r>
      <w:r>
        <w:rPr>
          <w:rFonts w:ascii="Arial" w:cs="Arial" w:eastAsia="Arial" w:hAnsi="Arial"/>
          <w:sz w:val="12"/>
          <w:szCs w:val="12"/>
          <w:color w:val="161616"/>
        </w:rPr>
        <w:t xml:space="preserve"> into</w:t>
      </w:r>
      <w:r>
        <w:rPr>
          <w:rFonts w:ascii="Arial" w:cs="Arial" w:eastAsia="Arial" w:hAnsi="Arial"/>
          <w:sz w:val="12"/>
          <w:szCs w:val="12"/>
          <w:color w:val="3D3D3D"/>
        </w:rPr>
        <w:t>,</w:t>
      </w:r>
      <w:r>
        <w:rPr>
          <w:rFonts w:ascii="Arial" w:cs="Arial" w:eastAsia="Arial" w:hAnsi="Arial"/>
          <w:sz w:val="12"/>
          <w:szCs w:val="12"/>
          <w:color w:val="161616"/>
        </w:rPr>
        <w:t xml:space="preserve"> </w:t>
      </w:r>
      <w:r>
        <w:rPr>
          <w:rFonts w:ascii="Arial" w:cs="Arial" w:eastAsia="Arial" w:hAnsi="Arial"/>
          <w:sz w:val="12"/>
          <w:szCs w:val="12"/>
          <w:color w:val="282828"/>
        </w:rPr>
        <w:t>effective</w:t>
      </w:r>
      <w:r>
        <w:rPr>
          <w:rFonts w:ascii="Arial" w:cs="Arial" w:eastAsia="Arial" w:hAnsi="Arial"/>
          <w:sz w:val="12"/>
          <w:szCs w:val="12"/>
          <w:color w:val="161616"/>
        </w:rPr>
        <w:t xml:space="preserve"> </w:t>
      </w:r>
      <w:r>
        <w:rPr>
          <w:rFonts w:ascii="Arial" w:cs="Arial" w:eastAsia="Arial" w:hAnsi="Arial"/>
          <w:sz w:val="12"/>
          <w:szCs w:val="12"/>
          <w:color w:val="3D3D3D"/>
        </w:rPr>
        <w:t>as of</w:t>
      </w:r>
      <w:r>
        <w:rPr>
          <w:rFonts w:ascii="Arial" w:cs="Arial" w:eastAsia="Arial" w:hAnsi="Arial"/>
          <w:sz w:val="12"/>
          <w:szCs w:val="12"/>
          <w:color w:val="161616"/>
        </w:rPr>
        <w:t xml:space="preserve"> </w:t>
      </w:r>
      <w:r>
        <w:rPr>
          <w:rFonts w:ascii="Arial" w:cs="Arial" w:eastAsia="Arial" w:hAnsi="Arial"/>
          <w:sz w:val="12"/>
          <w:szCs w:val="12"/>
          <w:color w:val="282828"/>
        </w:rPr>
        <w:t>June</w:t>
      </w:r>
      <w:r>
        <w:rPr>
          <w:rFonts w:ascii="Arial" w:cs="Arial" w:eastAsia="Arial" w:hAnsi="Arial"/>
          <w:sz w:val="12"/>
          <w:szCs w:val="12"/>
          <w:color w:val="161616"/>
        </w:rPr>
        <w:t xml:space="preserve"> 1, </w:t>
      </w:r>
      <w:r>
        <w:rPr>
          <w:rFonts w:ascii="Arial" w:cs="Arial" w:eastAsia="Arial" w:hAnsi="Arial"/>
          <w:sz w:val="12"/>
          <w:szCs w:val="12"/>
          <w:color w:val="282828"/>
        </w:rPr>
        <w:t>2018</w:t>
      </w:r>
      <w:r>
        <w:rPr>
          <w:rFonts w:ascii="Arial" w:cs="Arial" w:eastAsia="Arial" w:hAnsi="Arial"/>
          <w:sz w:val="12"/>
          <w:szCs w:val="12"/>
          <w:color w:val="161616"/>
        </w:rPr>
        <w:t xml:space="preserve"> </w:t>
      </w:r>
      <w:r>
        <w:rPr>
          <w:rFonts w:ascii="Arial" w:cs="Arial" w:eastAsia="Arial" w:hAnsi="Arial"/>
          <w:sz w:val="12"/>
          <w:szCs w:val="12"/>
          <w:b w:val="1"/>
          <w:bCs w:val="1"/>
          <w:color w:val="282828"/>
        </w:rPr>
        <w:t>("Amendment Effective</w:t>
      </w:r>
      <w:r>
        <w:rPr>
          <w:rFonts w:ascii="Arial" w:cs="Arial" w:eastAsia="Arial" w:hAnsi="Arial"/>
          <w:sz w:val="12"/>
          <w:szCs w:val="12"/>
          <w:color w:val="161616"/>
        </w:rPr>
        <w:t xml:space="preserve"> </w:t>
      </w:r>
      <w:r>
        <w:rPr>
          <w:rFonts w:ascii="Arial" w:cs="Arial" w:eastAsia="Arial" w:hAnsi="Arial"/>
          <w:sz w:val="12"/>
          <w:szCs w:val="12"/>
          <w:b w:val="1"/>
          <w:bCs w:val="1"/>
          <w:color w:val="161616"/>
        </w:rPr>
        <w:t>Date"),</w:t>
      </w:r>
      <w:r>
        <w:rPr>
          <w:rFonts w:ascii="Arial" w:cs="Arial" w:eastAsia="Arial" w:hAnsi="Arial"/>
          <w:sz w:val="12"/>
          <w:szCs w:val="12"/>
          <w:color w:val="161616"/>
        </w:rPr>
        <w:t xml:space="preserve"> by </w:t>
      </w:r>
      <w:r>
        <w:rPr>
          <w:rFonts w:ascii="Arial" w:cs="Arial" w:eastAsia="Arial" w:hAnsi="Arial"/>
          <w:sz w:val="12"/>
          <w:szCs w:val="12"/>
          <w:color w:val="282828"/>
        </w:rPr>
        <w:t>and between BioNTech RNA Pharmaceuticals GmbH, a</w:t>
      </w:r>
      <w:r>
        <w:rPr>
          <w:rFonts w:ascii="Arial" w:cs="Arial" w:eastAsia="Arial" w:hAnsi="Arial"/>
          <w:sz w:val="12"/>
          <w:szCs w:val="12"/>
          <w:color w:val="161616"/>
        </w:rPr>
        <w:t xml:space="preserve"> limit</w:t>
      </w:r>
      <w:r>
        <w:rPr>
          <w:rFonts w:ascii="Arial" w:cs="Arial" w:eastAsia="Arial" w:hAnsi="Arial"/>
          <w:sz w:val="12"/>
          <w:szCs w:val="12"/>
          <w:color w:val="3D3D3D"/>
        </w:rPr>
        <w:t>ed</w:t>
      </w:r>
      <w:r>
        <w:rPr>
          <w:rFonts w:ascii="Arial" w:cs="Arial" w:eastAsia="Arial" w:hAnsi="Arial"/>
          <w:sz w:val="12"/>
          <w:szCs w:val="12"/>
          <w:color w:val="161616"/>
        </w:rPr>
        <w:t xml:space="preserve"> </w:t>
      </w:r>
      <w:r>
        <w:rPr>
          <w:rFonts w:ascii="Arial" w:cs="Arial" w:eastAsia="Arial" w:hAnsi="Arial"/>
          <w:sz w:val="12"/>
          <w:szCs w:val="12"/>
          <w:color w:val="282828"/>
        </w:rPr>
        <w:t xml:space="preserve">liability company organized </w:t>
      </w:r>
      <w:r>
        <w:rPr>
          <w:rFonts w:ascii="Arial" w:cs="Arial" w:eastAsia="Arial" w:hAnsi="Arial"/>
          <w:sz w:val="12"/>
          <w:szCs w:val="12"/>
          <w:color w:val="161616"/>
        </w:rPr>
        <w:t>under</w:t>
      </w:r>
      <w:r>
        <w:rPr>
          <w:rFonts w:ascii="Arial" w:cs="Arial" w:eastAsia="Arial" w:hAnsi="Arial"/>
          <w:sz w:val="12"/>
          <w:szCs w:val="12"/>
          <w:color w:val="282828"/>
        </w:rPr>
        <w:t xml:space="preserve"> the </w:t>
      </w:r>
      <w:r>
        <w:rPr>
          <w:rFonts w:ascii="Arial" w:cs="Arial" w:eastAsia="Arial" w:hAnsi="Arial"/>
          <w:sz w:val="12"/>
          <w:szCs w:val="12"/>
          <w:color w:val="161616"/>
        </w:rPr>
        <w:t>laws</w:t>
      </w:r>
      <w:r>
        <w:rPr>
          <w:rFonts w:ascii="Arial" w:cs="Arial" w:eastAsia="Arial" w:hAnsi="Arial"/>
          <w:sz w:val="12"/>
          <w:szCs w:val="12"/>
          <w:color w:val="282828"/>
        </w:rPr>
        <w:t xml:space="preserve"> of Germany </w:t>
      </w:r>
      <w:r>
        <w:rPr>
          <w:rFonts w:ascii="Arial" w:cs="Arial" w:eastAsia="Arial" w:hAnsi="Arial"/>
          <w:sz w:val="12"/>
          <w:szCs w:val="12"/>
          <w:b w:val="1"/>
          <w:bCs w:val="1"/>
          <w:color w:val="282828"/>
        </w:rPr>
        <w:t>("RNP")</w:t>
      </w:r>
      <w:r>
        <w:rPr>
          <w:rFonts w:ascii="Arial" w:cs="Arial" w:eastAsia="Arial" w:hAnsi="Arial"/>
          <w:sz w:val="12"/>
          <w:szCs w:val="12"/>
          <w:color w:val="282828"/>
        </w:rPr>
        <w:t xml:space="preserve"> and BioNTech AG, a </w:t>
      </w:r>
      <w:r>
        <w:rPr>
          <w:rFonts w:ascii="Arial" w:cs="Arial" w:eastAsia="Arial" w:hAnsi="Arial"/>
          <w:sz w:val="12"/>
          <w:szCs w:val="12"/>
          <w:color w:val="3D3D3D"/>
        </w:rPr>
        <w:t>stock</w:t>
      </w:r>
      <w:r>
        <w:rPr>
          <w:rFonts w:ascii="Arial" w:cs="Arial" w:eastAsia="Arial" w:hAnsi="Arial"/>
          <w:sz w:val="12"/>
          <w:szCs w:val="12"/>
          <w:color w:val="282828"/>
        </w:rPr>
        <w:t xml:space="preserve"> corporation organized under the </w:t>
      </w:r>
      <w:r>
        <w:rPr>
          <w:rFonts w:ascii="Arial" w:cs="Arial" w:eastAsia="Arial" w:hAnsi="Arial"/>
          <w:sz w:val="12"/>
          <w:szCs w:val="12"/>
          <w:color w:val="161616"/>
        </w:rPr>
        <w:t>laws</w:t>
      </w:r>
      <w:r>
        <w:rPr>
          <w:rFonts w:ascii="Arial" w:cs="Arial" w:eastAsia="Arial" w:hAnsi="Arial"/>
          <w:sz w:val="12"/>
          <w:szCs w:val="12"/>
          <w:color w:val="282828"/>
        </w:rPr>
        <w:t xml:space="preserve"> of Germany </w:t>
      </w:r>
      <w:r>
        <w:rPr>
          <w:rFonts w:ascii="Arial" w:cs="Arial" w:eastAsia="Arial" w:hAnsi="Arial"/>
          <w:sz w:val="12"/>
          <w:szCs w:val="12"/>
          <w:b w:val="1"/>
          <w:bCs w:val="1"/>
          <w:color w:val="282828"/>
        </w:rPr>
        <w:t>("BNT")</w:t>
      </w:r>
      <w:r>
        <w:rPr>
          <w:rFonts w:ascii="Arial" w:cs="Arial" w:eastAsia="Arial" w:hAnsi="Arial"/>
          <w:sz w:val="12"/>
          <w:szCs w:val="12"/>
          <w:color w:val="282828"/>
        </w:rPr>
        <w:t xml:space="preserve"> (RNP and BNT colle</w:t>
      </w:r>
      <w:r>
        <w:rPr>
          <w:rFonts w:ascii="Arial" w:cs="Arial" w:eastAsia="Arial" w:hAnsi="Arial"/>
          <w:sz w:val="12"/>
          <w:szCs w:val="12"/>
          <w:color w:val="505050"/>
        </w:rPr>
        <w:t>c</w:t>
      </w:r>
      <w:r>
        <w:rPr>
          <w:rFonts w:ascii="Arial" w:cs="Arial" w:eastAsia="Arial" w:hAnsi="Arial"/>
          <w:sz w:val="12"/>
          <w:szCs w:val="12"/>
          <w:color w:val="282828"/>
        </w:rPr>
        <w:t xml:space="preserve">tively, </w:t>
      </w:r>
      <w:r>
        <w:rPr>
          <w:rFonts w:ascii="Arial" w:cs="Arial" w:eastAsia="Arial" w:hAnsi="Arial"/>
          <w:sz w:val="12"/>
          <w:szCs w:val="12"/>
          <w:b w:val="1"/>
          <w:bCs w:val="1"/>
          <w:color w:val="3D3D3D"/>
        </w:rPr>
        <w:t>"</w:t>
      </w:r>
      <w:r>
        <w:rPr>
          <w:rFonts w:ascii="Arial" w:cs="Arial" w:eastAsia="Arial" w:hAnsi="Arial"/>
          <w:sz w:val="12"/>
          <w:szCs w:val="12"/>
          <w:b w:val="1"/>
          <w:bCs w:val="1"/>
          <w:color w:val="161616"/>
        </w:rPr>
        <w:t>BioNTech")</w:t>
      </w:r>
      <w:r>
        <w:rPr>
          <w:rFonts w:ascii="Arial" w:cs="Arial" w:eastAsia="Arial" w:hAnsi="Arial"/>
          <w:sz w:val="12"/>
          <w:szCs w:val="12"/>
          <w:b w:val="1"/>
          <w:bCs w:val="1"/>
          <w:color w:val="3D3D3D"/>
        </w:rPr>
        <w:t>,</w:t>
      </w:r>
      <w:r>
        <w:rPr>
          <w:rFonts w:ascii="Arial" w:cs="Arial" w:eastAsia="Arial" w:hAnsi="Arial"/>
          <w:sz w:val="12"/>
          <w:szCs w:val="12"/>
          <w:color w:val="282828"/>
        </w:rPr>
        <w:t xml:space="preserve"> and Genentech, Inc., a corporation organized under the </w:t>
      </w:r>
      <w:r>
        <w:rPr>
          <w:rFonts w:ascii="Arial" w:cs="Arial" w:eastAsia="Arial" w:hAnsi="Arial"/>
          <w:sz w:val="12"/>
          <w:szCs w:val="12"/>
          <w:color w:val="161616"/>
        </w:rPr>
        <w:t>l</w:t>
      </w:r>
      <w:r>
        <w:rPr>
          <w:rFonts w:ascii="Arial" w:cs="Arial" w:eastAsia="Arial" w:hAnsi="Arial"/>
          <w:sz w:val="12"/>
          <w:szCs w:val="12"/>
          <w:color w:val="3D3D3D"/>
        </w:rPr>
        <w:t>aws</w:t>
      </w:r>
      <w:r>
        <w:rPr>
          <w:rFonts w:ascii="Arial" w:cs="Arial" w:eastAsia="Arial" w:hAnsi="Arial"/>
          <w:sz w:val="12"/>
          <w:szCs w:val="12"/>
          <w:color w:val="282828"/>
        </w:rPr>
        <w:t xml:space="preserve"> of the State of </w:t>
      </w:r>
      <w:r>
        <w:rPr>
          <w:rFonts w:ascii="Arial" w:cs="Arial" w:eastAsia="Arial" w:hAnsi="Arial"/>
          <w:sz w:val="12"/>
          <w:szCs w:val="12"/>
          <w:color w:val="161616"/>
        </w:rPr>
        <w:t>D</w:t>
      </w:r>
      <w:r>
        <w:rPr>
          <w:rFonts w:ascii="Arial" w:cs="Arial" w:eastAsia="Arial" w:hAnsi="Arial"/>
          <w:sz w:val="12"/>
          <w:szCs w:val="12"/>
          <w:color w:val="3D3D3D"/>
        </w:rPr>
        <w:t>e</w:t>
      </w:r>
      <w:r>
        <w:rPr>
          <w:rFonts w:ascii="Arial" w:cs="Arial" w:eastAsia="Arial" w:hAnsi="Arial"/>
          <w:sz w:val="12"/>
          <w:szCs w:val="12"/>
          <w:color w:val="161616"/>
        </w:rPr>
        <w:t>lawar</w:t>
      </w:r>
      <w:r>
        <w:rPr>
          <w:rFonts w:ascii="Arial" w:cs="Arial" w:eastAsia="Arial" w:hAnsi="Arial"/>
          <w:sz w:val="12"/>
          <w:szCs w:val="12"/>
          <w:color w:val="3D3D3D"/>
        </w:rPr>
        <w:t>e</w:t>
      </w:r>
      <w:r>
        <w:rPr>
          <w:rFonts w:ascii="Arial" w:cs="Arial" w:eastAsia="Arial" w:hAnsi="Arial"/>
          <w:sz w:val="12"/>
          <w:szCs w:val="12"/>
          <w:color w:val="282828"/>
        </w:rPr>
        <w:t xml:space="preserve"> </w:t>
      </w:r>
      <w:r>
        <w:rPr>
          <w:rFonts w:ascii="Arial" w:cs="Arial" w:eastAsia="Arial" w:hAnsi="Arial"/>
          <w:sz w:val="12"/>
          <w:szCs w:val="12"/>
          <w:b w:val="1"/>
          <w:bCs w:val="1"/>
          <w:color w:val="282828"/>
        </w:rPr>
        <w:t>("GNE")</w:t>
      </w:r>
      <w:r>
        <w:rPr>
          <w:rFonts w:ascii="Arial" w:cs="Arial" w:eastAsia="Arial" w:hAnsi="Arial"/>
          <w:sz w:val="12"/>
          <w:szCs w:val="12"/>
          <w:color w:val="282828"/>
        </w:rPr>
        <w:t xml:space="preserve"> and F. </w:t>
      </w:r>
      <w:r>
        <w:rPr>
          <w:rFonts w:ascii="Arial" w:cs="Arial" w:eastAsia="Arial" w:hAnsi="Arial"/>
          <w:sz w:val="12"/>
          <w:szCs w:val="12"/>
          <w:color w:val="161616"/>
        </w:rPr>
        <w:t xml:space="preserve">Hoffmann-La </w:t>
      </w:r>
      <w:r>
        <w:rPr>
          <w:rFonts w:ascii="Arial" w:cs="Arial" w:eastAsia="Arial" w:hAnsi="Arial"/>
          <w:sz w:val="12"/>
          <w:szCs w:val="12"/>
          <w:color w:val="282828"/>
        </w:rPr>
        <w:t>Roche</w:t>
      </w:r>
      <w:r>
        <w:rPr>
          <w:rFonts w:ascii="Arial" w:cs="Arial" w:eastAsia="Arial" w:hAnsi="Arial"/>
          <w:sz w:val="12"/>
          <w:szCs w:val="12"/>
          <w:color w:val="161616"/>
        </w:rPr>
        <w:t xml:space="preserve"> Ltd</w:t>
      </w:r>
      <w:r>
        <w:rPr>
          <w:rFonts w:ascii="Arial" w:cs="Arial" w:eastAsia="Arial" w:hAnsi="Arial"/>
          <w:sz w:val="12"/>
          <w:szCs w:val="12"/>
          <w:color w:val="3D3D3D"/>
        </w:rPr>
        <w:t>,</w:t>
      </w:r>
      <w:r>
        <w:rPr>
          <w:rFonts w:ascii="Arial" w:cs="Arial" w:eastAsia="Arial" w:hAnsi="Arial"/>
          <w:sz w:val="12"/>
          <w:szCs w:val="12"/>
          <w:color w:val="161616"/>
        </w:rPr>
        <w:t xml:space="preserve"> </w:t>
      </w:r>
      <w:r>
        <w:rPr>
          <w:rFonts w:ascii="Arial" w:cs="Arial" w:eastAsia="Arial" w:hAnsi="Arial"/>
          <w:sz w:val="12"/>
          <w:szCs w:val="12"/>
          <w:color w:val="282828"/>
        </w:rPr>
        <w:t>a corporation</w:t>
      </w:r>
      <w:r>
        <w:rPr>
          <w:rFonts w:ascii="Arial" w:cs="Arial" w:eastAsia="Arial" w:hAnsi="Arial"/>
          <w:sz w:val="12"/>
          <w:szCs w:val="12"/>
          <w:color w:val="161616"/>
        </w:rPr>
        <w:t xml:space="preserve"> </w:t>
      </w:r>
      <w:r>
        <w:rPr>
          <w:rFonts w:ascii="Arial" w:cs="Arial" w:eastAsia="Arial" w:hAnsi="Arial"/>
          <w:sz w:val="12"/>
          <w:szCs w:val="12"/>
          <w:color w:val="3D3D3D"/>
        </w:rPr>
        <w:t>organized</w:t>
      </w:r>
      <w:r>
        <w:rPr>
          <w:rFonts w:ascii="Arial" w:cs="Arial" w:eastAsia="Arial" w:hAnsi="Arial"/>
          <w:sz w:val="12"/>
          <w:szCs w:val="12"/>
          <w:color w:val="161616"/>
        </w:rPr>
        <w:t xml:space="preserve"> und</w:t>
      </w:r>
      <w:r>
        <w:rPr>
          <w:rFonts w:ascii="Arial" w:cs="Arial" w:eastAsia="Arial" w:hAnsi="Arial"/>
          <w:sz w:val="12"/>
          <w:szCs w:val="12"/>
          <w:color w:val="3D3D3D"/>
        </w:rPr>
        <w:t>e</w:t>
      </w:r>
      <w:r>
        <w:rPr>
          <w:rFonts w:ascii="Arial" w:cs="Arial" w:eastAsia="Arial" w:hAnsi="Arial"/>
          <w:sz w:val="12"/>
          <w:szCs w:val="12"/>
          <w:color w:val="161616"/>
        </w:rPr>
        <w:t xml:space="preserve">r </w:t>
      </w:r>
      <w:r>
        <w:rPr>
          <w:rFonts w:ascii="Arial" w:cs="Arial" w:eastAsia="Arial" w:hAnsi="Arial"/>
          <w:sz w:val="12"/>
          <w:szCs w:val="12"/>
          <w:color w:val="282828"/>
        </w:rPr>
        <w:t>the laws of Switzerland</w:t>
      </w:r>
      <w:r>
        <w:rPr>
          <w:rFonts w:ascii="Arial" w:cs="Arial" w:eastAsia="Arial" w:hAnsi="Arial"/>
          <w:sz w:val="12"/>
          <w:szCs w:val="12"/>
          <w:color w:val="161616"/>
        </w:rPr>
        <w:t xml:space="preserve"> </w:t>
      </w:r>
      <w:r>
        <w:rPr>
          <w:rFonts w:ascii="Arial" w:cs="Arial" w:eastAsia="Arial" w:hAnsi="Arial"/>
          <w:sz w:val="12"/>
          <w:szCs w:val="12"/>
          <w:b w:val="1"/>
          <w:bCs w:val="1"/>
          <w:color w:val="282828"/>
        </w:rPr>
        <w:t>("Roche")</w:t>
      </w:r>
      <w:r>
        <w:rPr>
          <w:rFonts w:ascii="Arial" w:cs="Arial" w:eastAsia="Arial" w:hAnsi="Arial"/>
          <w:sz w:val="12"/>
          <w:szCs w:val="12"/>
          <w:color w:val="161616"/>
        </w:rPr>
        <w:t xml:space="preserve"> </w:t>
      </w:r>
      <w:r>
        <w:rPr>
          <w:rFonts w:ascii="Arial" w:cs="Arial" w:eastAsia="Arial" w:hAnsi="Arial"/>
          <w:sz w:val="12"/>
          <w:szCs w:val="12"/>
          <w:color w:val="282828"/>
        </w:rPr>
        <w:t>(GNE and Roche, collectively</w:t>
      </w:r>
      <w:r>
        <w:rPr>
          <w:rFonts w:ascii="Arial" w:cs="Arial" w:eastAsia="Arial" w:hAnsi="Arial"/>
          <w:sz w:val="12"/>
          <w:szCs w:val="12"/>
          <w:color w:val="505050"/>
        </w:rPr>
        <w:t>,</w:t>
      </w:r>
      <w:r>
        <w:rPr>
          <w:rFonts w:ascii="Arial" w:cs="Arial" w:eastAsia="Arial" w:hAnsi="Arial"/>
          <w:sz w:val="12"/>
          <w:szCs w:val="12"/>
          <w:color w:val="161616"/>
        </w:rPr>
        <w:t xml:space="preserve"> </w:t>
      </w:r>
      <w:r>
        <w:rPr>
          <w:rFonts w:ascii="Arial" w:cs="Arial" w:eastAsia="Arial" w:hAnsi="Arial"/>
          <w:sz w:val="12"/>
          <w:szCs w:val="12"/>
          <w:b w:val="1"/>
          <w:bCs w:val="1"/>
          <w:color w:val="282828"/>
        </w:rPr>
        <w:t>"Genentech").</w:t>
      </w:r>
      <w:r>
        <w:rPr>
          <w:rFonts w:ascii="Arial" w:cs="Arial" w:eastAsia="Arial" w:hAnsi="Arial"/>
          <w:sz w:val="12"/>
          <w:szCs w:val="12"/>
          <w:color w:val="161616"/>
        </w:rPr>
        <w:t xml:space="preserve"> </w:t>
      </w:r>
      <w:r>
        <w:rPr>
          <w:rFonts w:ascii="Arial" w:cs="Arial" w:eastAsia="Arial" w:hAnsi="Arial"/>
          <w:sz w:val="12"/>
          <w:szCs w:val="12"/>
          <w:color w:val="282828"/>
        </w:rPr>
        <w:t>BioNTech and</w:t>
      </w:r>
      <w:r>
        <w:rPr>
          <w:rFonts w:ascii="Arial" w:cs="Arial" w:eastAsia="Arial" w:hAnsi="Arial"/>
          <w:sz w:val="12"/>
          <w:szCs w:val="12"/>
          <w:color w:val="161616"/>
        </w:rPr>
        <w:t xml:space="preserve"> </w:t>
      </w:r>
      <w:r>
        <w:rPr>
          <w:rFonts w:ascii="Arial" w:cs="Arial" w:eastAsia="Arial" w:hAnsi="Arial"/>
          <w:sz w:val="12"/>
          <w:szCs w:val="12"/>
          <w:color w:val="282828"/>
        </w:rPr>
        <w:t xml:space="preserve">Genentech are sometimes </w:t>
      </w:r>
      <w:r>
        <w:rPr>
          <w:rFonts w:ascii="Arial" w:cs="Arial" w:eastAsia="Arial" w:hAnsi="Arial"/>
          <w:sz w:val="12"/>
          <w:szCs w:val="12"/>
          <w:color w:val="161616"/>
        </w:rPr>
        <w:t>r</w:t>
      </w:r>
      <w:r>
        <w:rPr>
          <w:rFonts w:ascii="Arial" w:cs="Arial" w:eastAsia="Arial" w:hAnsi="Arial"/>
          <w:sz w:val="12"/>
          <w:szCs w:val="12"/>
          <w:color w:val="3D3D3D"/>
        </w:rPr>
        <w:t>efe</w:t>
      </w:r>
      <w:r>
        <w:rPr>
          <w:rFonts w:ascii="Arial" w:cs="Arial" w:eastAsia="Arial" w:hAnsi="Arial"/>
          <w:sz w:val="12"/>
          <w:szCs w:val="12"/>
          <w:color w:val="161616"/>
        </w:rPr>
        <w:t>rr</w:t>
      </w:r>
      <w:r>
        <w:rPr>
          <w:rFonts w:ascii="Arial" w:cs="Arial" w:eastAsia="Arial" w:hAnsi="Arial"/>
          <w:sz w:val="12"/>
          <w:szCs w:val="12"/>
          <w:color w:val="3D3D3D"/>
        </w:rPr>
        <w:t>ed</w:t>
      </w:r>
      <w:r>
        <w:rPr>
          <w:rFonts w:ascii="Arial" w:cs="Arial" w:eastAsia="Arial" w:hAnsi="Arial"/>
          <w:sz w:val="12"/>
          <w:szCs w:val="12"/>
          <w:color w:val="282828"/>
        </w:rPr>
        <w:t xml:space="preserve"> </w:t>
      </w:r>
      <w:r>
        <w:rPr>
          <w:rFonts w:ascii="Arial" w:cs="Arial" w:eastAsia="Arial" w:hAnsi="Arial"/>
          <w:sz w:val="12"/>
          <w:szCs w:val="12"/>
          <w:color w:val="161616"/>
        </w:rPr>
        <w:t>to herein</w:t>
      </w:r>
      <w:r>
        <w:rPr>
          <w:rFonts w:ascii="Arial" w:cs="Arial" w:eastAsia="Arial" w:hAnsi="Arial"/>
          <w:sz w:val="12"/>
          <w:szCs w:val="12"/>
          <w:color w:val="282828"/>
        </w:rPr>
        <w:t xml:space="preserve"> individually as </w:t>
      </w:r>
      <w:r>
        <w:rPr>
          <w:rFonts w:ascii="Arial" w:cs="Arial" w:eastAsia="Arial" w:hAnsi="Arial"/>
          <w:sz w:val="12"/>
          <w:szCs w:val="12"/>
          <w:color w:val="3D3D3D"/>
        </w:rPr>
        <w:t>a</w:t>
      </w:r>
      <w:r>
        <w:rPr>
          <w:rFonts w:ascii="Arial" w:cs="Arial" w:eastAsia="Arial" w:hAnsi="Arial"/>
          <w:sz w:val="12"/>
          <w:szCs w:val="12"/>
          <w:color w:val="282828"/>
        </w:rPr>
        <w:t xml:space="preserve"> </w:t>
      </w:r>
      <w:r>
        <w:rPr>
          <w:rFonts w:ascii="Arial" w:cs="Arial" w:eastAsia="Arial" w:hAnsi="Arial"/>
          <w:sz w:val="12"/>
          <w:szCs w:val="12"/>
          <w:b w:val="1"/>
          <w:bCs w:val="1"/>
          <w:color w:val="3D3D3D"/>
        </w:rPr>
        <w:t>"</w:t>
      </w:r>
      <w:r>
        <w:rPr>
          <w:rFonts w:ascii="Arial" w:cs="Arial" w:eastAsia="Arial" w:hAnsi="Arial"/>
          <w:sz w:val="12"/>
          <w:szCs w:val="12"/>
          <w:b w:val="1"/>
          <w:bCs w:val="1"/>
          <w:color w:val="161616"/>
        </w:rPr>
        <w:t>Party</w:t>
      </w:r>
      <w:r>
        <w:rPr>
          <w:rFonts w:ascii="Arial" w:cs="Arial" w:eastAsia="Arial" w:hAnsi="Arial"/>
          <w:sz w:val="12"/>
          <w:szCs w:val="12"/>
          <w:b w:val="1"/>
          <w:bCs w:val="1"/>
          <w:color w:val="505050"/>
        </w:rPr>
        <w:t>"</w:t>
      </w:r>
      <w:r>
        <w:rPr>
          <w:rFonts w:ascii="Arial" w:cs="Arial" w:eastAsia="Arial" w:hAnsi="Arial"/>
          <w:sz w:val="12"/>
          <w:szCs w:val="12"/>
          <w:color w:val="282828"/>
        </w:rPr>
        <w:t xml:space="preserve"> and collectively as </w:t>
      </w:r>
      <w:r>
        <w:rPr>
          <w:rFonts w:ascii="Arial" w:cs="Arial" w:eastAsia="Arial" w:hAnsi="Arial"/>
          <w:sz w:val="12"/>
          <w:szCs w:val="12"/>
          <w:color w:val="161616"/>
        </w:rPr>
        <w:t>th</w:t>
      </w:r>
      <w:r>
        <w:rPr>
          <w:rFonts w:ascii="Arial" w:cs="Arial" w:eastAsia="Arial" w:hAnsi="Arial"/>
          <w:sz w:val="12"/>
          <w:szCs w:val="12"/>
          <w:color w:val="3D3D3D"/>
        </w:rPr>
        <w:t>e</w:t>
      </w:r>
      <w:r>
        <w:rPr>
          <w:rFonts w:ascii="Arial" w:cs="Arial" w:eastAsia="Arial" w:hAnsi="Arial"/>
          <w:sz w:val="12"/>
          <w:szCs w:val="12"/>
          <w:color w:val="282828"/>
        </w:rPr>
        <w:t xml:space="preserve"> </w:t>
      </w:r>
      <w:r>
        <w:rPr>
          <w:rFonts w:ascii="Arial" w:cs="Arial" w:eastAsia="Arial" w:hAnsi="Arial"/>
          <w:sz w:val="12"/>
          <w:szCs w:val="12"/>
          <w:b w:val="1"/>
          <w:bCs w:val="1"/>
          <w:color w:val="3D3D3D"/>
        </w:rPr>
        <w:t>"Part</w:t>
      </w:r>
      <w:r>
        <w:rPr>
          <w:rFonts w:ascii="Arial" w:cs="Arial" w:eastAsia="Arial" w:hAnsi="Arial"/>
          <w:sz w:val="12"/>
          <w:szCs w:val="12"/>
          <w:b w:val="1"/>
          <w:bCs w:val="1"/>
          <w:color w:val="161616"/>
        </w:rPr>
        <w:t>ies ."</w:t>
      </w:r>
    </w:p>
    <w:p>
      <w:pPr>
        <w:spacing w:after="0" w:line="289"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3"/>
          <w:szCs w:val="13"/>
          <w:b w:val="1"/>
          <w:bCs w:val="1"/>
          <w:color w:val="282828"/>
        </w:rPr>
        <w:t>BACKGROUND</w:t>
      </w:r>
    </w:p>
    <w:p>
      <w:pPr>
        <w:spacing w:after="0" w:line="151" w:lineRule="exact"/>
        <w:rPr>
          <w:sz w:val="20"/>
          <w:szCs w:val="20"/>
          <w:color w:val="auto"/>
        </w:rPr>
      </w:pPr>
    </w:p>
    <w:p>
      <w:pPr>
        <w:ind w:left="100" w:right="1940" w:firstLine="12"/>
        <w:spacing w:after="0" w:line="294" w:lineRule="auto"/>
        <w:rPr>
          <w:sz w:val="20"/>
          <w:szCs w:val="20"/>
          <w:color w:val="auto"/>
        </w:rPr>
      </w:pPr>
      <w:r>
        <w:rPr>
          <w:rFonts w:ascii="Arial" w:cs="Arial" w:eastAsia="Arial" w:hAnsi="Arial"/>
          <w:sz w:val="13"/>
          <w:szCs w:val="13"/>
          <w:b w:val="1"/>
          <w:bCs w:val="1"/>
          <w:color w:val="282828"/>
        </w:rPr>
        <w:t xml:space="preserve">WHEREAS, </w:t>
      </w:r>
      <w:r>
        <w:rPr>
          <w:rFonts w:ascii="Arial" w:cs="Arial" w:eastAsia="Arial" w:hAnsi="Arial"/>
          <w:sz w:val="13"/>
          <w:szCs w:val="13"/>
          <w:color w:val="282828"/>
        </w:rPr>
        <w:t>the</w:t>
      </w:r>
      <w:r>
        <w:rPr>
          <w:rFonts w:ascii="Arial" w:cs="Arial" w:eastAsia="Arial" w:hAnsi="Arial"/>
          <w:sz w:val="13"/>
          <w:szCs w:val="13"/>
          <w:b w:val="1"/>
          <w:bCs w:val="1"/>
          <w:color w:val="282828"/>
        </w:rPr>
        <w:t xml:space="preserve"> </w:t>
      </w:r>
      <w:r>
        <w:rPr>
          <w:rFonts w:ascii="Arial" w:cs="Arial" w:eastAsia="Arial" w:hAnsi="Arial"/>
          <w:sz w:val="13"/>
          <w:szCs w:val="13"/>
          <w:color w:val="161616"/>
        </w:rPr>
        <w:t>Parti</w:t>
      </w:r>
      <w:r>
        <w:rPr>
          <w:rFonts w:ascii="Arial" w:cs="Arial" w:eastAsia="Arial" w:hAnsi="Arial"/>
          <w:sz w:val="13"/>
          <w:szCs w:val="13"/>
          <w:color w:val="3D3D3D"/>
        </w:rPr>
        <w:t>es</w:t>
      </w:r>
      <w:r>
        <w:rPr>
          <w:rFonts w:ascii="Arial" w:cs="Arial" w:eastAsia="Arial" w:hAnsi="Arial"/>
          <w:sz w:val="13"/>
          <w:szCs w:val="13"/>
          <w:b w:val="1"/>
          <w:bCs w:val="1"/>
          <w:color w:val="282828"/>
        </w:rPr>
        <w:t xml:space="preserve"> </w:t>
      </w:r>
      <w:r>
        <w:rPr>
          <w:rFonts w:ascii="Arial" w:cs="Arial" w:eastAsia="Arial" w:hAnsi="Arial"/>
          <w:sz w:val="13"/>
          <w:szCs w:val="13"/>
          <w:color w:val="282828"/>
        </w:rPr>
        <w:t>entered</w:t>
      </w:r>
      <w:r>
        <w:rPr>
          <w:rFonts w:ascii="Arial" w:cs="Arial" w:eastAsia="Arial" w:hAnsi="Arial"/>
          <w:sz w:val="13"/>
          <w:szCs w:val="13"/>
          <w:b w:val="1"/>
          <w:bCs w:val="1"/>
          <w:color w:val="282828"/>
        </w:rPr>
        <w:t xml:space="preserve"> </w:t>
      </w:r>
      <w:r>
        <w:rPr>
          <w:rFonts w:ascii="Arial" w:cs="Arial" w:eastAsia="Arial" w:hAnsi="Arial"/>
          <w:sz w:val="13"/>
          <w:szCs w:val="13"/>
          <w:color w:val="161616"/>
        </w:rPr>
        <w:t>into</w:t>
      </w:r>
      <w:r>
        <w:rPr>
          <w:rFonts w:ascii="Arial" w:cs="Arial" w:eastAsia="Arial" w:hAnsi="Arial"/>
          <w:sz w:val="13"/>
          <w:szCs w:val="13"/>
          <w:b w:val="1"/>
          <w:bCs w:val="1"/>
          <w:color w:val="282828"/>
        </w:rPr>
        <w:t xml:space="preserve"> </w:t>
      </w:r>
      <w:r>
        <w:rPr>
          <w:rFonts w:ascii="Arial" w:cs="Arial" w:eastAsia="Arial" w:hAnsi="Arial"/>
          <w:sz w:val="13"/>
          <w:szCs w:val="13"/>
          <w:color w:val="282828"/>
        </w:rPr>
        <w:t>a Collaboration Agreement dated as of September 20, 2016</w:t>
      </w:r>
      <w:r>
        <w:rPr>
          <w:rFonts w:ascii="Arial" w:cs="Arial" w:eastAsia="Arial" w:hAnsi="Arial"/>
          <w:sz w:val="13"/>
          <w:szCs w:val="13"/>
          <w:b w:val="1"/>
          <w:bCs w:val="1"/>
          <w:color w:val="282828"/>
        </w:rPr>
        <w:t xml:space="preserve"> </w:t>
      </w:r>
      <w:r>
        <w:rPr>
          <w:rFonts w:ascii="Arial" w:cs="Arial" w:eastAsia="Arial" w:hAnsi="Arial"/>
          <w:sz w:val="13"/>
          <w:szCs w:val="13"/>
          <w:color w:val="161616"/>
        </w:rPr>
        <w:t>pur</w:t>
      </w:r>
      <w:r>
        <w:rPr>
          <w:rFonts w:ascii="Arial" w:cs="Arial" w:eastAsia="Arial" w:hAnsi="Arial"/>
          <w:sz w:val="13"/>
          <w:szCs w:val="13"/>
          <w:color w:val="3D3D3D"/>
        </w:rPr>
        <w:t>s</w:t>
      </w:r>
      <w:r>
        <w:rPr>
          <w:rFonts w:ascii="Arial" w:cs="Arial" w:eastAsia="Arial" w:hAnsi="Arial"/>
          <w:sz w:val="13"/>
          <w:szCs w:val="13"/>
          <w:color w:val="161616"/>
        </w:rPr>
        <w:t>uant to</w:t>
      </w:r>
      <w:r>
        <w:rPr>
          <w:rFonts w:ascii="Arial" w:cs="Arial" w:eastAsia="Arial" w:hAnsi="Arial"/>
          <w:sz w:val="13"/>
          <w:szCs w:val="13"/>
          <w:b w:val="1"/>
          <w:bCs w:val="1"/>
          <w:color w:val="282828"/>
        </w:rPr>
        <w:t xml:space="preserve"> </w:t>
      </w:r>
      <w:r>
        <w:rPr>
          <w:rFonts w:ascii="Arial" w:cs="Arial" w:eastAsia="Arial" w:hAnsi="Arial"/>
          <w:sz w:val="13"/>
          <w:szCs w:val="13"/>
          <w:color w:val="282828"/>
        </w:rPr>
        <w:t>which</w:t>
      </w:r>
      <w:r>
        <w:rPr>
          <w:rFonts w:ascii="Arial" w:cs="Arial" w:eastAsia="Arial" w:hAnsi="Arial"/>
          <w:sz w:val="13"/>
          <w:szCs w:val="13"/>
          <w:b w:val="1"/>
          <w:bCs w:val="1"/>
          <w:color w:val="282828"/>
        </w:rPr>
        <w:t xml:space="preserve"> </w:t>
      </w:r>
      <w:r>
        <w:rPr>
          <w:rFonts w:ascii="Arial" w:cs="Arial" w:eastAsia="Arial" w:hAnsi="Arial"/>
          <w:sz w:val="13"/>
          <w:szCs w:val="13"/>
          <w:color w:val="161616"/>
        </w:rPr>
        <w:t>BioNTech</w:t>
      </w:r>
      <w:r>
        <w:rPr>
          <w:rFonts w:ascii="Arial" w:cs="Arial" w:eastAsia="Arial" w:hAnsi="Arial"/>
          <w:sz w:val="13"/>
          <w:szCs w:val="13"/>
          <w:b w:val="1"/>
          <w:bCs w:val="1"/>
          <w:color w:val="282828"/>
        </w:rPr>
        <w:t xml:space="preserve"> </w:t>
      </w:r>
      <w:r>
        <w:rPr>
          <w:rFonts w:ascii="Arial" w:cs="Arial" w:eastAsia="Arial" w:hAnsi="Arial"/>
          <w:sz w:val="13"/>
          <w:szCs w:val="13"/>
          <w:color w:val="282828"/>
        </w:rPr>
        <w:t>and Genentech agreed</w:t>
      </w:r>
      <w:r>
        <w:rPr>
          <w:rFonts w:ascii="Arial" w:cs="Arial" w:eastAsia="Arial" w:hAnsi="Arial"/>
          <w:sz w:val="13"/>
          <w:szCs w:val="13"/>
          <w:b w:val="1"/>
          <w:bCs w:val="1"/>
          <w:color w:val="282828"/>
        </w:rPr>
        <w:t xml:space="preserve"> </w:t>
      </w:r>
      <w:r>
        <w:rPr>
          <w:rFonts w:ascii="Arial" w:cs="Arial" w:eastAsia="Arial" w:hAnsi="Arial"/>
          <w:sz w:val="13"/>
          <w:szCs w:val="13"/>
          <w:color w:val="161616"/>
        </w:rPr>
        <w:t>to</w:t>
      </w:r>
      <w:r>
        <w:rPr>
          <w:rFonts w:ascii="Arial" w:cs="Arial" w:eastAsia="Arial" w:hAnsi="Arial"/>
          <w:sz w:val="13"/>
          <w:szCs w:val="13"/>
          <w:b w:val="1"/>
          <w:bCs w:val="1"/>
          <w:color w:val="282828"/>
        </w:rPr>
        <w:t xml:space="preserve"> </w:t>
      </w:r>
      <w:r>
        <w:rPr>
          <w:rFonts w:ascii="Arial" w:cs="Arial" w:eastAsia="Arial" w:hAnsi="Arial"/>
          <w:sz w:val="13"/>
          <w:szCs w:val="13"/>
          <w:color w:val="282828"/>
        </w:rPr>
        <w:t xml:space="preserve">collaborate </w:t>
      </w:r>
      <w:r>
        <w:rPr>
          <w:rFonts w:ascii="Arial" w:cs="Arial" w:eastAsia="Arial" w:hAnsi="Arial"/>
          <w:sz w:val="13"/>
          <w:szCs w:val="13"/>
          <w:color w:val="161616"/>
        </w:rPr>
        <w:t>in</w:t>
      </w:r>
      <w:r>
        <w:rPr>
          <w:rFonts w:ascii="Arial" w:cs="Arial" w:eastAsia="Arial" w:hAnsi="Arial"/>
          <w:sz w:val="13"/>
          <w:szCs w:val="13"/>
          <w:color w:val="282828"/>
        </w:rPr>
        <w:t xml:space="preserve"> </w:t>
      </w:r>
      <w:r>
        <w:rPr>
          <w:rFonts w:ascii="Arial" w:cs="Arial" w:eastAsia="Arial" w:hAnsi="Arial"/>
          <w:sz w:val="13"/>
          <w:szCs w:val="13"/>
          <w:color w:val="3D3D3D"/>
        </w:rPr>
        <w:t>the</w:t>
      </w:r>
      <w:r>
        <w:rPr>
          <w:rFonts w:ascii="Arial" w:cs="Arial" w:eastAsia="Arial" w:hAnsi="Arial"/>
          <w:sz w:val="13"/>
          <w:szCs w:val="13"/>
          <w:color w:val="282828"/>
        </w:rPr>
        <w:t xml:space="preserve"> research, </w:t>
      </w:r>
      <w:r>
        <w:rPr>
          <w:rFonts w:ascii="Arial" w:cs="Arial" w:eastAsia="Arial" w:hAnsi="Arial"/>
          <w:sz w:val="13"/>
          <w:szCs w:val="13"/>
          <w:color w:val="161616"/>
        </w:rPr>
        <w:t>d</w:t>
      </w:r>
      <w:r>
        <w:rPr>
          <w:rFonts w:ascii="Arial" w:cs="Arial" w:eastAsia="Arial" w:hAnsi="Arial"/>
          <w:sz w:val="13"/>
          <w:szCs w:val="13"/>
          <w:color w:val="3D3D3D"/>
        </w:rPr>
        <w:t>evelopmen</w:t>
      </w:r>
      <w:r>
        <w:rPr>
          <w:rFonts w:ascii="Arial" w:cs="Arial" w:eastAsia="Arial" w:hAnsi="Arial"/>
          <w:sz w:val="13"/>
          <w:szCs w:val="13"/>
          <w:color w:val="161616"/>
        </w:rPr>
        <w:t>t,</w:t>
      </w:r>
      <w:r>
        <w:rPr>
          <w:rFonts w:ascii="Arial" w:cs="Arial" w:eastAsia="Arial" w:hAnsi="Arial"/>
          <w:sz w:val="13"/>
          <w:szCs w:val="13"/>
          <w:color w:val="282828"/>
        </w:rPr>
        <w:t xml:space="preserve"> and commercialization of Collaboration Products (the </w:t>
      </w:r>
      <w:r>
        <w:rPr>
          <w:rFonts w:ascii="Arial" w:cs="Arial" w:eastAsia="Arial" w:hAnsi="Arial"/>
          <w:sz w:val="13"/>
          <w:szCs w:val="13"/>
          <w:b w:val="1"/>
          <w:bCs w:val="1"/>
          <w:color w:val="3D3D3D"/>
        </w:rPr>
        <w:t>"Agr</w:t>
      </w:r>
      <w:r>
        <w:rPr>
          <w:rFonts w:ascii="Arial" w:cs="Arial" w:eastAsia="Arial" w:hAnsi="Arial"/>
          <w:sz w:val="13"/>
          <w:szCs w:val="13"/>
          <w:b w:val="1"/>
          <w:bCs w:val="1"/>
          <w:color w:val="161616"/>
        </w:rPr>
        <w:t>eement</w:t>
      </w:r>
      <w:r>
        <w:rPr>
          <w:rFonts w:ascii="Arial" w:cs="Arial" w:eastAsia="Arial" w:hAnsi="Arial"/>
          <w:sz w:val="13"/>
          <w:szCs w:val="13"/>
          <w:b w:val="1"/>
          <w:bCs w:val="1"/>
          <w:color w:val="3D3D3D"/>
        </w:rPr>
        <w:t>");</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82828"/>
        </w:rPr>
        <w:t>WHEREAS</w:t>
      </w:r>
      <w:r>
        <w:rPr>
          <w:rFonts w:ascii="Arial" w:cs="Arial" w:eastAsia="Arial" w:hAnsi="Arial"/>
          <w:sz w:val="13"/>
          <w:szCs w:val="13"/>
          <w:b w:val="1"/>
          <w:bCs w:val="1"/>
          <w:color w:val="505050"/>
        </w:rPr>
        <w:t>,</w:t>
      </w:r>
      <w:r>
        <w:rPr>
          <w:rFonts w:ascii="Arial" w:cs="Arial" w:eastAsia="Arial" w:hAnsi="Arial"/>
          <w:sz w:val="13"/>
          <w:szCs w:val="13"/>
          <w:b w:val="1"/>
          <w:bCs w:val="1"/>
          <w:color w:val="282828"/>
        </w:rPr>
        <w:t xml:space="preserve"> </w:t>
      </w:r>
      <w:r>
        <w:rPr>
          <w:rFonts w:ascii="Arial" w:cs="Arial" w:eastAsia="Arial" w:hAnsi="Arial"/>
          <w:sz w:val="13"/>
          <w:szCs w:val="13"/>
          <w:color w:val="161616"/>
        </w:rPr>
        <w:t>the Partie</w:t>
      </w:r>
      <w:r>
        <w:rPr>
          <w:rFonts w:ascii="Arial" w:cs="Arial" w:eastAsia="Arial" w:hAnsi="Arial"/>
          <w:sz w:val="13"/>
          <w:szCs w:val="13"/>
          <w:color w:val="3D3D3D"/>
        </w:rPr>
        <w:t>s</w:t>
      </w:r>
      <w:r>
        <w:rPr>
          <w:rFonts w:ascii="Arial" w:cs="Arial" w:eastAsia="Arial" w:hAnsi="Arial"/>
          <w:sz w:val="13"/>
          <w:szCs w:val="13"/>
          <w:b w:val="1"/>
          <w:bCs w:val="1"/>
          <w:color w:val="282828"/>
        </w:rPr>
        <w:t xml:space="preserve"> </w:t>
      </w:r>
      <w:r>
        <w:rPr>
          <w:rFonts w:ascii="Arial" w:cs="Arial" w:eastAsia="Arial" w:hAnsi="Arial"/>
          <w:sz w:val="13"/>
          <w:szCs w:val="13"/>
          <w:color w:val="161616"/>
        </w:rPr>
        <w:t>have</w:t>
      </w:r>
      <w:r>
        <w:rPr>
          <w:rFonts w:ascii="Arial" w:cs="Arial" w:eastAsia="Arial" w:hAnsi="Arial"/>
          <w:sz w:val="13"/>
          <w:szCs w:val="13"/>
          <w:b w:val="1"/>
          <w:bCs w:val="1"/>
          <w:color w:val="282828"/>
        </w:rPr>
        <w:t xml:space="preserve"> </w:t>
      </w:r>
      <w:r>
        <w:rPr>
          <w:rFonts w:ascii="Arial" w:cs="Arial" w:eastAsia="Arial" w:hAnsi="Arial"/>
          <w:sz w:val="13"/>
          <w:szCs w:val="13"/>
          <w:color w:val="282828"/>
        </w:rPr>
        <w:t>agreed to amend</w:t>
      </w:r>
      <w:r>
        <w:rPr>
          <w:rFonts w:ascii="Arial" w:cs="Arial" w:eastAsia="Arial" w:hAnsi="Arial"/>
          <w:sz w:val="13"/>
          <w:szCs w:val="13"/>
          <w:b w:val="1"/>
          <w:bCs w:val="1"/>
          <w:color w:val="282828"/>
        </w:rPr>
        <w:t xml:space="preserve"> </w:t>
      </w:r>
      <w:r>
        <w:rPr>
          <w:rFonts w:ascii="Arial" w:cs="Arial" w:eastAsia="Arial" w:hAnsi="Arial"/>
          <w:sz w:val="13"/>
          <w:szCs w:val="13"/>
          <w:color w:val="161616"/>
        </w:rPr>
        <w:t>the</w:t>
      </w:r>
      <w:r>
        <w:rPr>
          <w:rFonts w:ascii="Arial" w:cs="Arial" w:eastAsia="Arial" w:hAnsi="Arial"/>
          <w:sz w:val="13"/>
          <w:szCs w:val="13"/>
          <w:b w:val="1"/>
          <w:bCs w:val="1"/>
          <w:color w:val="282828"/>
        </w:rPr>
        <w:t xml:space="preserve"> </w:t>
      </w:r>
      <w:r>
        <w:rPr>
          <w:rFonts w:ascii="Arial" w:cs="Arial" w:eastAsia="Arial" w:hAnsi="Arial"/>
          <w:sz w:val="13"/>
          <w:szCs w:val="13"/>
          <w:color w:val="282828"/>
        </w:rPr>
        <w:t>Agreement</w:t>
      </w:r>
      <w:r>
        <w:rPr>
          <w:rFonts w:ascii="Arial" w:cs="Arial" w:eastAsia="Arial" w:hAnsi="Arial"/>
          <w:sz w:val="13"/>
          <w:szCs w:val="13"/>
          <w:b w:val="1"/>
          <w:bCs w:val="1"/>
          <w:color w:val="282828"/>
        </w:rPr>
        <w:t xml:space="preserve"> </w:t>
      </w:r>
      <w:r>
        <w:rPr>
          <w:rFonts w:ascii="Arial" w:cs="Arial" w:eastAsia="Arial" w:hAnsi="Arial"/>
          <w:sz w:val="13"/>
          <w:szCs w:val="13"/>
          <w:color w:val="161616"/>
        </w:rPr>
        <w:t>to</w:t>
      </w:r>
      <w:r>
        <w:rPr>
          <w:rFonts w:ascii="Arial" w:cs="Arial" w:eastAsia="Arial" w:hAnsi="Arial"/>
          <w:sz w:val="13"/>
          <w:szCs w:val="13"/>
          <w:b w:val="1"/>
          <w:bCs w:val="1"/>
          <w:color w:val="282828"/>
        </w:rPr>
        <w:t xml:space="preserve"> </w:t>
      </w:r>
      <w:r>
        <w:rPr>
          <w:rFonts w:ascii="Arial" w:cs="Arial" w:eastAsia="Arial" w:hAnsi="Arial"/>
          <w:sz w:val="13"/>
          <w:szCs w:val="13"/>
          <w:color w:val="282828"/>
        </w:rPr>
        <w:t>add</w:t>
      </w:r>
      <w:r>
        <w:rPr>
          <w:rFonts w:ascii="Arial" w:cs="Arial" w:eastAsia="Arial" w:hAnsi="Arial"/>
          <w:sz w:val="13"/>
          <w:szCs w:val="13"/>
          <w:b w:val="1"/>
          <w:bCs w:val="1"/>
          <w:color w:val="282828"/>
        </w:rPr>
        <w:t xml:space="preserve"> </w:t>
      </w:r>
      <w:r>
        <w:rPr>
          <w:rFonts w:ascii="Arial" w:cs="Arial" w:eastAsia="Arial" w:hAnsi="Arial"/>
          <w:sz w:val="13"/>
          <w:szCs w:val="13"/>
          <w:color w:val="3D3D3D"/>
        </w:rPr>
        <w:t>a</w:t>
      </w:r>
      <w:r>
        <w:rPr>
          <w:rFonts w:ascii="Arial" w:cs="Arial" w:eastAsia="Arial" w:hAnsi="Arial"/>
          <w:sz w:val="13"/>
          <w:szCs w:val="13"/>
          <w:b w:val="1"/>
          <w:bCs w:val="1"/>
          <w:color w:val="282828"/>
        </w:rPr>
        <w:t xml:space="preserve"> </w:t>
      </w:r>
      <w:r>
        <w:rPr>
          <w:rFonts w:ascii="Arial" w:cs="Arial" w:eastAsia="Arial" w:hAnsi="Arial"/>
          <w:sz w:val="13"/>
          <w:szCs w:val="13"/>
          <w:color w:val="282828"/>
        </w:rPr>
        <w:t>patent</w:t>
      </w:r>
      <w:r>
        <w:rPr>
          <w:rFonts w:ascii="Arial" w:cs="Arial" w:eastAsia="Arial" w:hAnsi="Arial"/>
          <w:sz w:val="13"/>
          <w:szCs w:val="13"/>
          <w:b w:val="1"/>
          <w:bCs w:val="1"/>
          <w:color w:val="282828"/>
        </w:rPr>
        <w:t xml:space="preserve"> </w:t>
      </w:r>
      <w:r>
        <w:rPr>
          <w:rFonts w:ascii="Arial" w:cs="Arial" w:eastAsia="Arial" w:hAnsi="Arial"/>
          <w:sz w:val="13"/>
          <w:szCs w:val="13"/>
          <w:color w:val="161616"/>
        </w:rPr>
        <w:t>to</w:t>
      </w:r>
      <w:r>
        <w:rPr>
          <w:rFonts w:ascii="Arial" w:cs="Arial" w:eastAsia="Arial" w:hAnsi="Arial"/>
          <w:sz w:val="13"/>
          <w:szCs w:val="13"/>
          <w:b w:val="1"/>
          <w:bCs w:val="1"/>
          <w:color w:val="282828"/>
        </w:rPr>
        <w:t xml:space="preserve"> </w:t>
      </w:r>
      <w:r>
        <w:rPr>
          <w:rFonts w:ascii="Arial" w:cs="Arial" w:eastAsia="Arial" w:hAnsi="Arial"/>
          <w:sz w:val="13"/>
          <w:szCs w:val="13"/>
          <w:color w:val="282828"/>
        </w:rPr>
        <w:t>the</w:t>
      </w:r>
      <w:r>
        <w:rPr>
          <w:rFonts w:ascii="Arial" w:cs="Arial" w:eastAsia="Arial" w:hAnsi="Arial"/>
          <w:sz w:val="13"/>
          <w:szCs w:val="13"/>
          <w:b w:val="1"/>
          <w:bCs w:val="1"/>
          <w:color w:val="282828"/>
        </w:rPr>
        <w:t xml:space="preserve"> </w:t>
      </w:r>
      <w:r>
        <w:rPr>
          <w:rFonts w:ascii="Arial" w:cs="Arial" w:eastAsia="Arial" w:hAnsi="Arial"/>
          <w:sz w:val="13"/>
          <w:szCs w:val="13"/>
          <w:color w:val="161616"/>
        </w:rPr>
        <w:t>li</w:t>
      </w:r>
      <w:r>
        <w:rPr>
          <w:rFonts w:ascii="Arial" w:cs="Arial" w:eastAsia="Arial" w:hAnsi="Arial"/>
          <w:sz w:val="13"/>
          <w:szCs w:val="13"/>
          <w:color w:val="3D3D3D"/>
        </w:rPr>
        <w:t>st</w:t>
      </w:r>
      <w:r>
        <w:rPr>
          <w:rFonts w:ascii="Arial" w:cs="Arial" w:eastAsia="Arial" w:hAnsi="Arial"/>
          <w:sz w:val="13"/>
          <w:szCs w:val="13"/>
          <w:b w:val="1"/>
          <w:bCs w:val="1"/>
          <w:color w:val="282828"/>
        </w:rPr>
        <w:t xml:space="preserve"> </w:t>
      </w:r>
      <w:r>
        <w:rPr>
          <w:rFonts w:ascii="Arial" w:cs="Arial" w:eastAsia="Arial" w:hAnsi="Arial"/>
          <w:sz w:val="13"/>
          <w:szCs w:val="13"/>
          <w:color w:val="282828"/>
        </w:rPr>
        <w:t>of BioNTech Core</w:t>
      </w:r>
      <w:r>
        <w:rPr>
          <w:rFonts w:ascii="Arial" w:cs="Arial" w:eastAsia="Arial" w:hAnsi="Arial"/>
          <w:sz w:val="13"/>
          <w:szCs w:val="13"/>
          <w:b w:val="1"/>
          <w:bCs w:val="1"/>
          <w:color w:val="282828"/>
        </w:rPr>
        <w:t xml:space="preserve"> </w:t>
      </w:r>
      <w:r>
        <w:rPr>
          <w:rFonts w:ascii="Arial" w:cs="Arial" w:eastAsia="Arial" w:hAnsi="Arial"/>
          <w:sz w:val="13"/>
          <w:szCs w:val="13"/>
          <w:color w:val="161616"/>
        </w:rPr>
        <w:t>Patent</w:t>
      </w:r>
      <w:r>
        <w:rPr>
          <w:rFonts w:ascii="Arial" w:cs="Arial" w:eastAsia="Arial" w:hAnsi="Arial"/>
          <w:sz w:val="13"/>
          <w:szCs w:val="13"/>
          <w:color w:val="3D3D3D"/>
        </w:rPr>
        <w:t>s</w:t>
      </w:r>
      <w:r>
        <w:rPr>
          <w:rFonts w:ascii="Arial" w:cs="Arial" w:eastAsia="Arial" w:hAnsi="Arial"/>
          <w:sz w:val="13"/>
          <w:szCs w:val="13"/>
          <w:b w:val="1"/>
          <w:bCs w:val="1"/>
          <w:color w:val="282828"/>
        </w:rPr>
        <w:t xml:space="preserve"> </w:t>
      </w:r>
      <w:r>
        <w:rPr>
          <w:rFonts w:ascii="Arial" w:cs="Arial" w:eastAsia="Arial" w:hAnsi="Arial"/>
          <w:sz w:val="13"/>
          <w:szCs w:val="13"/>
          <w:color w:val="282828"/>
        </w:rPr>
        <w:t>as set forth herein</w:t>
      </w:r>
      <w:r>
        <w:rPr>
          <w:rFonts w:ascii="Arial" w:cs="Arial" w:eastAsia="Arial" w:hAnsi="Arial"/>
          <w:sz w:val="13"/>
          <w:szCs w:val="13"/>
          <w:color w:val="505050"/>
        </w:rPr>
        <w:t>.</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161616"/>
        </w:rPr>
        <w:t xml:space="preserve">NOW </w:t>
      </w:r>
      <w:r>
        <w:rPr>
          <w:rFonts w:ascii="Arial" w:cs="Arial" w:eastAsia="Arial" w:hAnsi="Arial"/>
          <w:sz w:val="13"/>
          <w:szCs w:val="13"/>
          <w:b w:val="1"/>
          <w:bCs w:val="1"/>
          <w:color w:val="282828"/>
        </w:rPr>
        <w:t>THEREFORE,</w:t>
      </w:r>
      <w:r>
        <w:rPr>
          <w:rFonts w:ascii="Arial" w:cs="Arial" w:eastAsia="Arial" w:hAnsi="Arial"/>
          <w:sz w:val="13"/>
          <w:szCs w:val="13"/>
          <w:b w:val="1"/>
          <w:bCs w:val="1"/>
          <w:color w:val="161616"/>
        </w:rPr>
        <w:t xml:space="preserve"> </w:t>
      </w:r>
      <w:r>
        <w:rPr>
          <w:rFonts w:ascii="Arial" w:cs="Arial" w:eastAsia="Arial" w:hAnsi="Arial"/>
          <w:sz w:val="13"/>
          <w:szCs w:val="13"/>
          <w:color w:val="282828"/>
        </w:rPr>
        <w:t>for good and valuable consideration, the</w:t>
      </w:r>
      <w:r>
        <w:rPr>
          <w:rFonts w:ascii="Arial" w:cs="Arial" w:eastAsia="Arial" w:hAnsi="Arial"/>
          <w:sz w:val="13"/>
          <w:szCs w:val="13"/>
          <w:b w:val="1"/>
          <w:bCs w:val="1"/>
          <w:color w:val="161616"/>
        </w:rPr>
        <w:t xml:space="preserve"> </w:t>
      </w:r>
      <w:r>
        <w:rPr>
          <w:rFonts w:ascii="Arial" w:cs="Arial" w:eastAsia="Arial" w:hAnsi="Arial"/>
          <w:sz w:val="13"/>
          <w:szCs w:val="13"/>
          <w:color w:val="161616"/>
        </w:rPr>
        <w:t>r</w:t>
      </w:r>
      <w:r>
        <w:rPr>
          <w:rFonts w:ascii="Arial" w:cs="Arial" w:eastAsia="Arial" w:hAnsi="Arial"/>
          <w:sz w:val="13"/>
          <w:szCs w:val="13"/>
          <w:color w:val="3D3D3D"/>
        </w:rPr>
        <w:t>ece</w:t>
      </w:r>
      <w:r>
        <w:rPr>
          <w:rFonts w:ascii="Arial" w:cs="Arial" w:eastAsia="Arial" w:hAnsi="Arial"/>
          <w:sz w:val="13"/>
          <w:szCs w:val="13"/>
          <w:color w:val="161616"/>
        </w:rPr>
        <w:t>ipt</w:t>
      </w:r>
      <w:r>
        <w:rPr>
          <w:rFonts w:ascii="Arial" w:cs="Arial" w:eastAsia="Arial" w:hAnsi="Arial"/>
          <w:sz w:val="13"/>
          <w:szCs w:val="13"/>
          <w:b w:val="1"/>
          <w:bCs w:val="1"/>
          <w:color w:val="161616"/>
        </w:rPr>
        <w:t xml:space="preserve"> </w:t>
      </w:r>
      <w:r>
        <w:rPr>
          <w:rFonts w:ascii="Arial" w:cs="Arial" w:eastAsia="Arial" w:hAnsi="Arial"/>
          <w:sz w:val="13"/>
          <w:szCs w:val="13"/>
          <w:color w:val="282828"/>
        </w:rPr>
        <w:t>and</w:t>
      </w:r>
      <w:r>
        <w:rPr>
          <w:rFonts w:ascii="Arial" w:cs="Arial" w:eastAsia="Arial" w:hAnsi="Arial"/>
          <w:sz w:val="13"/>
          <w:szCs w:val="13"/>
          <w:b w:val="1"/>
          <w:bCs w:val="1"/>
          <w:color w:val="161616"/>
        </w:rPr>
        <w:t xml:space="preserve"> </w:t>
      </w:r>
      <w:r>
        <w:rPr>
          <w:rFonts w:ascii="Arial" w:cs="Arial" w:eastAsia="Arial" w:hAnsi="Arial"/>
          <w:sz w:val="13"/>
          <w:szCs w:val="13"/>
          <w:color w:val="3D3D3D"/>
        </w:rPr>
        <w:t>sufficiency</w:t>
      </w:r>
      <w:r>
        <w:rPr>
          <w:rFonts w:ascii="Arial" w:cs="Arial" w:eastAsia="Arial" w:hAnsi="Arial"/>
          <w:sz w:val="13"/>
          <w:szCs w:val="13"/>
          <w:b w:val="1"/>
          <w:bCs w:val="1"/>
          <w:color w:val="161616"/>
        </w:rPr>
        <w:t xml:space="preserve"> </w:t>
      </w:r>
      <w:r>
        <w:rPr>
          <w:rFonts w:ascii="Arial" w:cs="Arial" w:eastAsia="Arial" w:hAnsi="Arial"/>
          <w:sz w:val="13"/>
          <w:szCs w:val="13"/>
          <w:color w:val="282828"/>
        </w:rPr>
        <w:t>of which</w:t>
      </w:r>
      <w:r>
        <w:rPr>
          <w:rFonts w:ascii="Arial" w:cs="Arial" w:eastAsia="Arial" w:hAnsi="Arial"/>
          <w:sz w:val="13"/>
          <w:szCs w:val="13"/>
          <w:b w:val="1"/>
          <w:bCs w:val="1"/>
          <w:color w:val="161616"/>
        </w:rPr>
        <w:t xml:space="preserve"> </w:t>
      </w:r>
      <w:r>
        <w:rPr>
          <w:rFonts w:ascii="Arial" w:cs="Arial" w:eastAsia="Arial" w:hAnsi="Arial"/>
          <w:sz w:val="13"/>
          <w:szCs w:val="13"/>
          <w:color w:val="161616"/>
        </w:rPr>
        <w:t>i</w:t>
      </w:r>
      <w:r>
        <w:rPr>
          <w:rFonts w:ascii="Arial" w:cs="Arial" w:eastAsia="Arial" w:hAnsi="Arial"/>
          <w:sz w:val="13"/>
          <w:szCs w:val="13"/>
          <w:color w:val="3D3D3D"/>
        </w:rPr>
        <w:t>s</w:t>
      </w:r>
      <w:r>
        <w:rPr>
          <w:rFonts w:ascii="Arial" w:cs="Arial" w:eastAsia="Arial" w:hAnsi="Arial"/>
          <w:sz w:val="13"/>
          <w:szCs w:val="13"/>
          <w:b w:val="1"/>
          <w:bCs w:val="1"/>
          <w:color w:val="161616"/>
        </w:rPr>
        <w:t xml:space="preserve"> </w:t>
      </w:r>
      <w:r>
        <w:rPr>
          <w:rFonts w:ascii="Arial" w:cs="Arial" w:eastAsia="Arial" w:hAnsi="Arial"/>
          <w:sz w:val="13"/>
          <w:szCs w:val="13"/>
          <w:color w:val="161616"/>
        </w:rPr>
        <w:t>hereby</w:t>
      </w:r>
      <w:r>
        <w:rPr>
          <w:rFonts w:ascii="Arial" w:cs="Arial" w:eastAsia="Arial" w:hAnsi="Arial"/>
          <w:sz w:val="13"/>
          <w:szCs w:val="13"/>
          <w:b w:val="1"/>
          <w:bCs w:val="1"/>
          <w:color w:val="161616"/>
        </w:rPr>
        <w:t xml:space="preserve"> </w:t>
      </w:r>
      <w:r>
        <w:rPr>
          <w:rFonts w:ascii="Arial" w:cs="Arial" w:eastAsia="Arial" w:hAnsi="Arial"/>
          <w:sz w:val="13"/>
          <w:szCs w:val="13"/>
          <w:color w:val="282828"/>
        </w:rPr>
        <w:t>acknowledged,</w:t>
      </w:r>
      <w:r>
        <w:rPr>
          <w:rFonts w:ascii="Arial" w:cs="Arial" w:eastAsia="Arial" w:hAnsi="Arial"/>
          <w:sz w:val="13"/>
          <w:szCs w:val="13"/>
          <w:b w:val="1"/>
          <w:bCs w:val="1"/>
          <w:color w:val="161616"/>
        </w:rPr>
        <w:t xml:space="preserve"> </w:t>
      </w:r>
      <w:r>
        <w:rPr>
          <w:rFonts w:ascii="Arial" w:cs="Arial" w:eastAsia="Arial" w:hAnsi="Arial"/>
          <w:sz w:val="13"/>
          <w:szCs w:val="13"/>
          <w:color w:val="161616"/>
        </w:rPr>
        <w:t>the</w:t>
      </w:r>
      <w:r>
        <w:rPr>
          <w:rFonts w:ascii="Arial" w:cs="Arial" w:eastAsia="Arial" w:hAnsi="Arial"/>
          <w:sz w:val="13"/>
          <w:szCs w:val="13"/>
          <w:b w:val="1"/>
          <w:bCs w:val="1"/>
          <w:color w:val="161616"/>
        </w:rPr>
        <w:t xml:space="preserve"> </w:t>
      </w:r>
      <w:r>
        <w:rPr>
          <w:rFonts w:ascii="Arial" w:cs="Arial" w:eastAsia="Arial" w:hAnsi="Arial"/>
          <w:sz w:val="13"/>
          <w:szCs w:val="13"/>
          <w:color w:val="282828"/>
        </w:rPr>
        <w:t>Parties agree as follows:</w:t>
      </w:r>
    </w:p>
    <w:p>
      <w:pPr>
        <w:spacing w:after="0" w:line="160" w:lineRule="exact"/>
        <w:rPr>
          <w:sz w:val="20"/>
          <w:szCs w:val="20"/>
          <w:color w:val="auto"/>
        </w:rPr>
      </w:pPr>
    </w:p>
    <w:p>
      <w:pPr>
        <w:ind w:left="120" w:right="1960" w:firstLine="20"/>
        <w:spacing w:after="0" w:line="294" w:lineRule="auto"/>
        <w:rPr>
          <w:sz w:val="20"/>
          <w:szCs w:val="20"/>
          <w:color w:val="auto"/>
        </w:rPr>
      </w:pPr>
      <w:r>
        <w:rPr>
          <w:rFonts w:ascii="Arial" w:cs="Arial" w:eastAsia="Arial" w:hAnsi="Arial"/>
          <w:sz w:val="13"/>
          <w:szCs w:val="13"/>
          <w:color w:val="161616"/>
        </w:rPr>
        <w:t xml:space="preserve">I </w:t>
      </w:r>
      <w:r>
        <w:rPr>
          <w:rFonts w:ascii="Arial" w:cs="Arial" w:eastAsia="Arial" w:hAnsi="Arial"/>
          <w:sz w:val="13"/>
          <w:szCs w:val="13"/>
          <w:color w:val="3D3D3D"/>
        </w:rPr>
        <w:t>.</w:t>
      </w:r>
      <w:r>
        <w:rPr>
          <w:rFonts w:ascii="Arial" w:cs="Arial" w:eastAsia="Arial" w:hAnsi="Arial"/>
          <w:sz w:val="13"/>
          <w:szCs w:val="13"/>
          <w:color w:val="161616"/>
        </w:rPr>
        <w:t xml:space="preserve"> </w:t>
      </w:r>
      <w:r>
        <w:rPr>
          <w:rFonts w:ascii="Arial" w:cs="Arial" w:eastAsia="Arial" w:hAnsi="Arial"/>
          <w:sz w:val="13"/>
          <w:szCs w:val="13"/>
          <w:b w:val="1"/>
          <w:bCs w:val="1"/>
          <w:color w:val="282828"/>
        </w:rPr>
        <w:t>Schedule 1</w:t>
      </w:r>
      <w:r>
        <w:rPr>
          <w:rFonts w:ascii="Arial" w:cs="Arial" w:eastAsia="Arial" w:hAnsi="Arial"/>
          <w:sz w:val="13"/>
          <w:szCs w:val="13"/>
          <w:b w:val="1"/>
          <w:bCs w:val="1"/>
          <w:color w:val="505050"/>
        </w:rPr>
        <w:t>.</w:t>
      </w:r>
      <w:r>
        <w:rPr>
          <w:rFonts w:ascii="Arial" w:cs="Arial" w:eastAsia="Arial" w:hAnsi="Arial"/>
          <w:sz w:val="13"/>
          <w:szCs w:val="13"/>
          <w:b w:val="1"/>
          <w:bCs w:val="1"/>
          <w:color w:val="282828"/>
        </w:rPr>
        <w:t>20 BioNTech Core</w:t>
      </w:r>
      <w:r>
        <w:rPr>
          <w:rFonts w:ascii="Arial" w:cs="Arial" w:eastAsia="Arial" w:hAnsi="Arial"/>
          <w:sz w:val="13"/>
          <w:szCs w:val="13"/>
          <w:color w:val="161616"/>
        </w:rPr>
        <w:t xml:space="preserve"> </w:t>
      </w:r>
      <w:r>
        <w:rPr>
          <w:rFonts w:ascii="Arial" w:cs="Arial" w:eastAsia="Arial" w:hAnsi="Arial"/>
          <w:sz w:val="13"/>
          <w:szCs w:val="13"/>
          <w:b w:val="1"/>
          <w:bCs w:val="1"/>
          <w:color w:val="161616"/>
        </w:rPr>
        <w:t>Patents.</w:t>
      </w:r>
      <w:r>
        <w:rPr>
          <w:rFonts w:ascii="Arial" w:cs="Arial" w:eastAsia="Arial" w:hAnsi="Arial"/>
          <w:sz w:val="13"/>
          <w:szCs w:val="13"/>
          <w:color w:val="161616"/>
        </w:rPr>
        <w:t xml:space="preserve"> </w:t>
      </w:r>
      <w:r>
        <w:rPr>
          <w:rFonts w:ascii="Arial" w:cs="Arial" w:eastAsia="Arial" w:hAnsi="Arial"/>
          <w:sz w:val="13"/>
          <w:szCs w:val="13"/>
          <w:color w:val="282828"/>
        </w:rPr>
        <w:t>Schedule</w:t>
      </w:r>
      <w:r>
        <w:rPr>
          <w:rFonts w:ascii="Arial" w:cs="Arial" w:eastAsia="Arial" w:hAnsi="Arial"/>
          <w:sz w:val="13"/>
          <w:szCs w:val="13"/>
          <w:color w:val="161616"/>
        </w:rPr>
        <w:t xml:space="preserve"> 1.20 </w:t>
      </w:r>
      <w:r>
        <w:rPr>
          <w:rFonts w:ascii="Arial" w:cs="Arial" w:eastAsia="Arial" w:hAnsi="Arial"/>
          <w:sz w:val="13"/>
          <w:szCs w:val="13"/>
          <w:color w:val="282828"/>
        </w:rPr>
        <w:t>shall be deleted and replaced</w:t>
      </w:r>
      <w:r>
        <w:rPr>
          <w:rFonts w:ascii="Arial" w:cs="Arial" w:eastAsia="Arial" w:hAnsi="Arial"/>
          <w:sz w:val="13"/>
          <w:szCs w:val="13"/>
          <w:color w:val="161616"/>
        </w:rPr>
        <w:t xml:space="preserve"> in it</w:t>
      </w:r>
      <w:r>
        <w:rPr>
          <w:rFonts w:ascii="Arial" w:cs="Arial" w:eastAsia="Arial" w:hAnsi="Arial"/>
          <w:sz w:val="13"/>
          <w:szCs w:val="13"/>
          <w:color w:val="3D3D3D"/>
        </w:rPr>
        <w:t>s</w:t>
      </w:r>
      <w:r>
        <w:rPr>
          <w:rFonts w:ascii="Arial" w:cs="Arial" w:eastAsia="Arial" w:hAnsi="Arial"/>
          <w:sz w:val="13"/>
          <w:szCs w:val="13"/>
          <w:color w:val="161616"/>
        </w:rPr>
        <w:t xml:space="preserve"> </w:t>
      </w:r>
      <w:r>
        <w:rPr>
          <w:rFonts w:ascii="Arial" w:cs="Arial" w:eastAsia="Arial" w:hAnsi="Arial"/>
          <w:sz w:val="13"/>
          <w:szCs w:val="13"/>
          <w:color w:val="282828"/>
        </w:rPr>
        <w:t>entirety with</w:t>
      </w:r>
      <w:r>
        <w:rPr>
          <w:rFonts w:ascii="Arial" w:cs="Arial" w:eastAsia="Arial" w:hAnsi="Arial"/>
          <w:sz w:val="13"/>
          <w:szCs w:val="13"/>
          <w:color w:val="161616"/>
        </w:rPr>
        <w:t xml:space="preserve"> the revised </w:t>
      </w:r>
      <w:r>
        <w:rPr>
          <w:rFonts w:ascii="Arial" w:cs="Arial" w:eastAsia="Arial" w:hAnsi="Arial"/>
          <w:sz w:val="13"/>
          <w:szCs w:val="13"/>
          <w:color w:val="282828"/>
        </w:rPr>
        <w:t>Schedule</w:t>
      </w:r>
      <w:r>
        <w:rPr>
          <w:rFonts w:ascii="Arial" w:cs="Arial" w:eastAsia="Arial" w:hAnsi="Arial"/>
          <w:sz w:val="13"/>
          <w:szCs w:val="13"/>
          <w:color w:val="161616"/>
        </w:rPr>
        <w:t xml:space="preserve"> 1</w:t>
      </w:r>
      <w:r>
        <w:rPr>
          <w:rFonts w:ascii="Arial" w:cs="Arial" w:eastAsia="Arial" w:hAnsi="Arial"/>
          <w:sz w:val="13"/>
          <w:szCs w:val="13"/>
          <w:color w:val="505050"/>
        </w:rPr>
        <w:t>.</w:t>
      </w:r>
      <w:r>
        <w:rPr>
          <w:rFonts w:ascii="Arial" w:cs="Arial" w:eastAsia="Arial" w:hAnsi="Arial"/>
          <w:sz w:val="13"/>
          <w:szCs w:val="13"/>
          <w:color w:val="282828"/>
        </w:rPr>
        <w:t>20 attached</w:t>
      </w:r>
      <w:r>
        <w:rPr>
          <w:rFonts w:ascii="Arial" w:cs="Arial" w:eastAsia="Arial" w:hAnsi="Arial"/>
          <w:sz w:val="13"/>
          <w:szCs w:val="13"/>
          <w:color w:val="161616"/>
        </w:rPr>
        <w:t xml:space="preserve"> her</w:t>
      </w:r>
      <w:r>
        <w:rPr>
          <w:rFonts w:ascii="Arial" w:cs="Arial" w:eastAsia="Arial" w:hAnsi="Arial"/>
          <w:sz w:val="13"/>
          <w:szCs w:val="13"/>
          <w:color w:val="3D3D3D"/>
        </w:rPr>
        <w:t>e</w:t>
      </w:r>
      <w:r>
        <w:rPr>
          <w:rFonts w:ascii="Arial" w:cs="Arial" w:eastAsia="Arial" w:hAnsi="Arial"/>
          <w:sz w:val="13"/>
          <w:szCs w:val="13"/>
          <w:color w:val="161616"/>
        </w:rPr>
        <w:t>to.</w:t>
      </w:r>
    </w:p>
    <w:p>
      <w:pPr>
        <w:spacing w:after="0" w:line="104" w:lineRule="exact"/>
        <w:rPr>
          <w:sz w:val="20"/>
          <w:szCs w:val="20"/>
          <w:color w:val="auto"/>
        </w:rPr>
      </w:pPr>
    </w:p>
    <w:p>
      <w:pPr>
        <w:jc w:val="both"/>
        <w:ind w:left="100" w:right="1940" w:firstLine="11"/>
        <w:spacing w:after="0" w:line="269" w:lineRule="auto"/>
        <w:tabs>
          <w:tab w:leader="none" w:pos="241" w:val="left"/>
        </w:tabs>
        <w:numPr>
          <w:ilvl w:val="0"/>
          <w:numId w:val="354"/>
        </w:numPr>
        <w:rPr>
          <w:rFonts w:ascii="Arial" w:cs="Arial" w:eastAsia="Arial" w:hAnsi="Arial"/>
          <w:sz w:val="13"/>
          <w:szCs w:val="13"/>
          <w:color w:val="282828"/>
        </w:rPr>
      </w:pPr>
      <w:r>
        <w:rPr>
          <w:rFonts w:ascii="Arial" w:cs="Arial" w:eastAsia="Arial" w:hAnsi="Arial"/>
          <w:sz w:val="13"/>
          <w:szCs w:val="13"/>
          <w:b w:val="1"/>
          <w:bCs w:val="1"/>
          <w:color w:val="282828"/>
        </w:rPr>
        <w:t xml:space="preserve">Survival </w:t>
      </w:r>
      <w:r>
        <w:rPr>
          <w:rFonts w:ascii="Arial" w:cs="Arial" w:eastAsia="Arial" w:hAnsi="Arial"/>
          <w:sz w:val="13"/>
          <w:szCs w:val="13"/>
          <w:b w:val="1"/>
          <w:bCs w:val="1"/>
          <w:color w:val="161616"/>
        </w:rPr>
        <w:t>of</w:t>
      </w:r>
      <w:r>
        <w:rPr>
          <w:rFonts w:ascii="Arial" w:cs="Arial" w:eastAsia="Arial" w:hAnsi="Arial"/>
          <w:sz w:val="13"/>
          <w:szCs w:val="13"/>
          <w:b w:val="1"/>
          <w:bCs w:val="1"/>
          <w:color w:val="282828"/>
        </w:rPr>
        <w:t xml:space="preserve"> Agreement Terms. </w:t>
      </w:r>
      <w:r>
        <w:rPr>
          <w:rFonts w:ascii="Arial" w:cs="Arial" w:eastAsia="Arial" w:hAnsi="Arial"/>
          <w:sz w:val="13"/>
          <w:szCs w:val="13"/>
          <w:color w:val="282828"/>
        </w:rPr>
        <w:t>All terms and conditions of</w:t>
      </w:r>
      <w:r>
        <w:rPr>
          <w:rFonts w:ascii="Arial" w:cs="Arial" w:eastAsia="Arial" w:hAnsi="Arial"/>
          <w:sz w:val="13"/>
          <w:szCs w:val="13"/>
          <w:b w:val="1"/>
          <w:bCs w:val="1"/>
          <w:color w:val="282828"/>
        </w:rPr>
        <w:t xml:space="preserve"> </w:t>
      </w:r>
      <w:r>
        <w:rPr>
          <w:rFonts w:ascii="Arial" w:cs="Arial" w:eastAsia="Arial" w:hAnsi="Arial"/>
          <w:sz w:val="13"/>
          <w:szCs w:val="13"/>
          <w:color w:val="3D3D3D"/>
        </w:rPr>
        <w:t>t</w:t>
      </w:r>
      <w:r>
        <w:rPr>
          <w:rFonts w:ascii="Arial" w:cs="Arial" w:eastAsia="Arial" w:hAnsi="Arial"/>
          <w:sz w:val="13"/>
          <w:szCs w:val="13"/>
          <w:color w:val="161616"/>
        </w:rPr>
        <w:t>he</w:t>
      </w:r>
      <w:r>
        <w:rPr>
          <w:rFonts w:ascii="Arial" w:cs="Arial" w:eastAsia="Arial" w:hAnsi="Arial"/>
          <w:sz w:val="13"/>
          <w:szCs w:val="13"/>
          <w:b w:val="1"/>
          <w:bCs w:val="1"/>
          <w:color w:val="282828"/>
        </w:rPr>
        <w:t xml:space="preserve"> </w:t>
      </w:r>
      <w:r>
        <w:rPr>
          <w:rFonts w:ascii="Arial" w:cs="Arial" w:eastAsia="Arial" w:hAnsi="Arial"/>
          <w:sz w:val="13"/>
          <w:szCs w:val="13"/>
          <w:color w:val="282828"/>
        </w:rPr>
        <w:t>Agreement not modified by this First Amendment shall continue in full force and effect</w:t>
      </w:r>
      <w:r>
        <w:rPr>
          <w:rFonts w:ascii="Arial" w:cs="Arial" w:eastAsia="Arial" w:hAnsi="Arial"/>
          <w:sz w:val="13"/>
          <w:szCs w:val="13"/>
          <w:b w:val="1"/>
          <w:bCs w:val="1"/>
          <w:color w:val="282828"/>
        </w:rPr>
        <w:t xml:space="preserve"> </w:t>
      </w:r>
      <w:r>
        <w:rPr>
          <w:rFonts w:ascii="Arial" w:cs="Arial" w:eastAsia="Arial" w:hAnsi="Arial"/>
          <w:sz w:val="13"/>
          <w:szCs w:val="13"/>
          <w:color w:val="161616"/>
        </w:rPr>
        <w:t xml:space="preserve">in </w:t>
      </w:r>
      <w:r>
        <w:rPr>
          <w:rFonts w:ascii="Arial" w:cs="Arial" w:eastAsia="Arial" w:hAnsi="Arial"/>
          <w:sz w:val="13"/>
          <w:szCs w:val="13"/>
          <w:color w:val="282828"/>
        </w:rPr>
        <w:t>accordance with</w:t>
      </w:r>
      <w:r>
        <w:rPr>
          <w:rFonts w:ascii="Arial" w:cs="Arial" w:eastAsia="Arial" w:hAnsi="Arial"/>
          <w:sz w:val="13"/>
          <w:szCs w:val="13"/>
          <w:color w:val="161616"/>
        </w:rPr>
        <w:t xml:space="preserve"> their terms. </w:t>
      </w:r>
      <w:r>
        <w:rPr>
          <w:rFonts w:ascii="Arial" w:cs="Arial" w:eastAsia="Arial" w:hAnsi="Arial"/>
          <w:sz w:val="13"/>
          <w:szCs w:val="13"/>
          <w:color w:val="282828"/>
        </w:rPr>
        <w:t>All</w:t>
      </w:r>
      <w:r>
        <w:rPr>
          <w:rFonts w:ascii="Arial" w:cs="Arial" w:eastAsia="Arial" w:hAnsi="Arial"/>
          <w:sz w:val="13"/>
          <w:szCs w:val="13"/>
          <w:color w:val="161616"/>
        </w:rPr>
        <w:t xml:space="preserve"> capitalized terms </w:t>
      </w:r>
      <w:r>
        <w:rPr>
          <w:rFonts w:ascii="Arial" w:cs="Arial" w:eastAsia="Arial" w:hAnsi="Arial"/>
          <w:sz w:val="13"/>
          <w:szCs w:val="13"/>
          <w:color w:val="282828"/>
        </w:rPr>
        <w:t>not otherwise</w:t>
      </w:r>
      <w:r>
        <w:rPr>
          <w:rFonts w:ascii="Arial" w:cs="Arial" w:eastAsia="Arial" w:hAnsi="Arial"/>
          <w:sz w:val="13"/>
          <w:szCs w:val="13"/>
          <w:color w:val="161616"/>
        </w:rPr>
        <w:t xml:space="preserve"> defined herein </w:t>
      </w:r>
      <w:r>
        <w:rPr>
          <w:rFonts w:ascii="Arial" w:cs="Arial" w:eastAsia="Arial" w:hAnsi="Arial"/>
          <w:sz w:val="13"/>
          <w:szCs w:val="13"/>
          <w:color w:val="3D3D3D"/>
        </w:rPr>
        <w:t>shall</w:t>
      </w:r>
      <w:r>
        <w:rPr>
          <w:rFonts w:ascii="Arial" w:cs="Arial" w:eastAsia="Arial" w:hAnsi="Arial"/>
          <w:sz w:val="13"/>
          <w:szCs w:val="13"/>
          <w:color w:val="161616"/>
        </w:rPr>
        <w:t xml:space="preserve"> </w:t>
      </w:r>
      <w:r>
        <w:rPr>
          <w:rFonts w:ascii="Arial" w:cs="Arial" w:eastAsia="Arial" w:hAnsi="Arial"/>
          <w:sz w:val="13"/>
          <w:szCs w:val="13"/>
          <w:color w:val="282828"/>
        </w:rPr>
        <w:t>have the same definition as</w:t>
      </w:r>
      <w:r>
        <w:rPr>
          <w:rFonts w:ascii="Arial" w:cs="Arial" w:eastAsia="Arial" w:hAnsi="Arial"/>
          <w:sz w:val="13"/>
          <w:szCs w:val="13"/>
          <w:color w:val="161616"/>
        </w:rPr>
        <w:t xml:space="preserve"> in the </w:t>
      </w:r>
      <w:r>
        <w:rPr>
          <w:rFonts w:ascii="Arial" w:cs="Arial" w:eastAsia="Arial" w:hAnsi="Arial"/>
          <w:sz w:val="13"/>
          <w:szCs w:val="13"/>
          <w:color w:val="282828"/>
        </w:rPr>
        <w:t>Agreement. In the event of any</w:t>
      </w:r>
      <w:r>
        <w:rPr>
          <w:rFonts w:ascii="Arial" w:cs="Arial" w:eastAsia="Arial" w:hAnsi="Arial"/>
          <w:sz w:val="13"/>
          <w:szCs w:val="13"/>
          <w:color w:val="161616"/>
        </w:rPr>
        <w:t xml:space="preserve"> </w:t>
      </w:r>
      <w:r>
        <w:rPr>
          <w:rFonts w:ascii="Arial" w:cs="Arial" w:eastAsia="Arial" w:hAnsi="Arial"/>
          <w:sz w:val="13"/>
          <w:szCs w:val="13"/>
          <w:color w:val="282828"/>
        </w:rPr>
        <w:t xml:space="preserve">conflict between </w:t>
      </w:r>
      <w:r>
        <w:rPr>
          <w:rFonts w:ascii="Arial" w:cs="Arial" w:eastAsia="Arial" w:hAnsi="Arial"/>
          <w:sz w:val="13"/>
          <w:szCs w:val="13"/>
          <w:color w:val="3D3D3D"/>
        </w:rPr>
        <w:t>the</w:t>
      </w:r>
      <w:r>
        <w:rPr>
          <w:rFonts w:ascii="Arial" w:cs="Arial" w:eastAsia="Arial" w:hAnsi="Arial"/>
          <w:sz w:val="13"/>
          <w:szCs w:val="13"/>
          <w:color w:val="282828"/>
        </w:rPr>
        <w:t xml:space="preserve"> terms </w:t>
      </w:r>
      <w:r>
        <w:rPr>
          <w:rFonts w:ascii="Arial" w:cs="Arial" w:eastAsia="Arial" w:hAnsi="Arial"/>
          <w:sz w:val="13"/>
          <w:szCs w:val="13"/>
          <w:color w:val="3D3D3D"/>
        </w:rPr>
        <w:t>a</w:t>
      </w:r>
      <w:r>
        <w:rPr>
          <w:rFonts w:ascii="Arial" w:cs="Arial" w:eastAsia="Arial" w:hAnsi="Arial"/>
          <w:sz w:val="13"/>
          <w:szCs w:val="13"/>
          <w:color w:val="161616"/>
        </w:rPr>
        <w:t>nd</w:t>
      </w:r>
      <w:r>
        <w:rPr>
          <w:rFonts w:ascii="Arial" w:cs="Arial" w:eastAsia="Arial" w:hAnsi="Arial"/>
          <w:sz w:val="13"/>
          <w:szCs w:val="13"/>
          <w:color w:val="282828"/>
        </w:rPr>
        <w:t xml:space="preserve"> conditions of this First Amendment and the Agreement, </w:t>
      </w:r>
      <w:r>
        <w:rPr>
          <w:rFonts w:ascii="Arial" w:cs="Arial" w:eastAsia="Arial" w:hAnsi="Arial"/>
          <w:sz w:val="13"/>
          <w:szCs w:val="13"/>
          <w:color w:val="161616"/>
        </w:rPr>
        <w:t>the</w:t>
      </w:r>
      <w:r>
        <w:rPr>
          <w:rFonts w:ascii="Arial" w:cs="Arial" w:eastAsia="Arial" w:hAnsi="Arial"/>
          <w:sz w:val="13"/>
          <w:szCs w:val="13"/>
          <w:color w:val="282828"/>
        </w:rPr>
        <w:t xml:space="preserve"> terms and conditions </w:t>
      </w:r>
      <w:r>
        <w:rPr>
          <w:rFonts w:ascii="Arial" w:cs="Arial" w:eastAsia="Arial" w:hAnsi="Arial"/>
          <w:sz w:val="13"/>
          <w:szCs w:val="13"/>
          <w:color w:val="3D3D3D"/>
        </w:rPr>
        <w:t>set</w:t>
      </w:r>
      <w:r>
        <w:rPr>
          <w:rFonts w:ascii="Arial" w:cs="Arial" w:eastAsia="Arial" w:hAnsi="Arial"/>
          <w:sz w:val="13"/>
          <w:szCs w:val="13"/>
          <w:color w:val="282828"/>
        </w:rPr>
        <w:t xml:space="preserve"> forth </w:t>
      </w:r>
      <w:r>
        <w:rPr>
          <w:rFonts w:ascii="Arial" w:cs="Arial" w:eastAsia="Arial" w:hAnsi="Arial"/>
          <w:sz w:val="13"/>
          <w:szCs w:val="13"/>
          <w:color w:val="161616"/>
        </w:rPr>
        <w:t>in this</w:t>
      </w:r>
      <w:r>
        <w:rPr>
          <w:rFonts w:ascii="Arial" w:cs="Arial" w:eastAsia="Arial" w:hAnsi="Arial"/>
          <w:sz w:val="13"/>
          <w:szCs w:val="13"/>
          <w:color w:val="282828"/>
        </w:rPr>
        <w:t xml:space="preserve"> First Amendment shall control with respect </w:t>
      </w:r>
      <w:r>
        <w:rPr>
          <w:rFonts w:ascii="Arial" w:cs="Arial" w:eastAsia="Arial" w:hAnsi="Arial"/>
          <w:sz w:val="13"/>
          <w:szCs w:val="13"/>
          <w:color w:val="161616"/>
        </w:rPr>
        <w:t>to the</w:t>
      </w:r>
      <w:r>
        <w:rPr>
          <w:rFonts w:ascii="Arial" w:cs="Arial" w:eastAsia="Arial" w:hAnsi="Arial"/>
          <w:sz w:val="13"/>
          <w:szCs w:val="13"/>
          <w:color w:val="282828"/>
        </w:rPr>
        <w:t xml:space="preserve"> subject matter hereof.</w:t>
      </w:r>
    </w:p>
    <w:p>
      <w:pPr>
        <w:spacing w:after="0" w:line="120" w:lineRule="exact"/>
        <w:rPr>
          <w:sz w:val="20"/>
          <w:szCs w:val="20"/>
          <w:color w:val="auto"/>
        </w:rPr>
      </w:pPr>
    </w:p>
    <w:p>
      <w:pPr>
        <w:ind w:left="2260"/>
        <w:spacing w:after="0"/>
        <w:rPr>
          <w:sz w:val="20"/>
          <w:szCs w:val="20"/>
          <w:color w:val="auto"/>
        </w:rPr>
      </w:pPr>
      <w:r>
        <w:rPr>
          <w:rFonts w:ascii="Arial" w:cs="Arial" w:eastAsia="Arial" w:hAnsi="Arial"/>
          <w:sz w:val="13"/>
          <w:szCs w:val="13"/>
          <w:b w:val="1"/>
          <w:bCs w:val="1"/>
          <w:color w:val="161616"/>
        </w:rPr>
        <w:t xml:space="preserve">[Signature </w:t>
      </w:r>
      <w:r>
        <w:rPr>
          <w:rFonts w:ascii="Arial" w:cs="Arial" w:eastAsia="Arial" w:hAnsi="Arial"/>
          <w:sz w:val="13"/>
          <w:szCs w:val="13"/>
          <w:b w:val="1"/>
          <w:bCs w:val="1"/>
          <w:color w:val="282828"/>
        </w:rPr>
        <w:t>page</w:t>
      </w:r>
      <w:r>
        <w:rPr>
          <w:rFonts w:ascii="Arial" w:cs="Arial" w:eastAsia="Arial" w:hAnsi="Arial"/>
          <w:sz w:val="13"/>
          <w:szCs w:val="13"/>
          <w:b w:val="1"/>
          <w:bCs w:val="1"/>
          <w:color w:val="161616"/>
        </w:rPr>
        <w:t xml:space="preserve"> follows </w:t>
      </w:r>
      <w:r>
        <w:rPr>
          <w:rFonts w:ascii="Arial" w:cs="Arial" w:eastAsia="Arial" w:hAnsi="Arial"/>
          <w:sz w:val="13"/>
          <w:szCs w:val="13"/>
          <w:color w:val="3D3D3D"/>
        </w:rPr>
        <w:t>-</w:t>
      </w:r>
      <w:r>
        <w:rPr>
          <w:rFonts w:ascii="Arial" w:cs="Arial" w:eastAsia="Arial" w:hAnsi="Arial"/>
          <w:sz w:val="13"/>
          <w:szCs w:val="13"/>
          <w:b w:val="1"/>
          <w:bCs w:val="1"/>
          <w:color w:val="161616"/>
        </w:rPr>
        <w:t xml:space="preserve"> the rest of </w:t>
      </w:r>
      <w:r>
        <w:rPr>
          <w:rFonts w:ascii="Arial" w:cs="Arial" w:eastAsia="Arial" w:hAnsi="Arial"/>
          <w:sz w:val="13"/>
          <w:szCs w:val="13"/>
          <w:b w:val="1"/>
          <w:bCs w:val="1"/>
          <w:color w:val="282828"/>
        </w:rPr>
        <w:t>this</w:t>
      </w:r>
      <w:r>
        <w:rPr>
          <w:rFonts w:ascii="Arial" w:cs="Arial" w:eastAsia="Arial" w:hAnsi="Arial"/>
          <w:sz w:val="13"/>
          <w:szCs w:val="13"/>
          <w:b w:val="1"/>
          <w:bCs w:val="1"/>
          <w:color w:val="161616"/>
        </w:rPr>
        <w:t xml:space="preserv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167005</wp:posOffset>
            </wp:positionV>
            <wp:extent cx="7180580" cy="127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360"/>
          </w:cols>
          <w:pgMar w:left="320" w:top="286" w:right="1219" w:bottom="1440" w:gutter="0" w:footer="0" w:header="0"/>
        </w:sectPr>
      </w:pPr>
    </w:p>
    <w:bookmarkStart w:id="328" w:name="page329"/>
    <w:bookmarkEnd w:id="328"/>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right="1839" w:hanging="7"/>
        <w:spacing w:after="0" w:line="274" w:lineRule="auto"/>
        <w:rPr>
          <w:sz w:val="20"/>
          <w:szCs w:val="20"/>
          <w:color w:val="auto"/>
        </w:rPr>
      </w:pPr>
      <w:r>
        <w:rPr>
          <w:rFonts w:ascii="Arial" w:cs="Arial" w:eastAsia="Arial" w:hAnsi="Arial"/>
          <w:sz w:val="13"/>
          <w:szCs w:val="13"/>
          <w:b w:val="1"/>
          <w:bCs w:val="1"/>
          <w:color w:val="1F1F1F"/>
        </w:rPr>
        <w:t>IN WITNES</w:t>
      </w:r>
      <w:r>
        <w:rPr>
          <w:rFonts w:ascii="Arial" w:cs="Arial" w:eastAsia="Arial" w:hAnsi="Arial"/>
          <w:sz w:val="13"/>
          <w:szCs w:val="13"/>
          <w:b w:val="1"/>
          <w:bCs w:val="1"/>
          <w:color w:val="4D4D4D"/>
        </w:rPr>
        <w:t>S</w:t>
      </w:r>
      <w:r>
        <w:rPr>
          <w:rFonts w:ascii="Arial" w:cs="Arial" w:eastAsia="Arial" w:hAnsi="Arial"/>
          <w:sz w:val="13"/>
          <w:szCs w:val="13"/>
          <w:b w:val="1"/>
          <w:bCs w:val="1"/>
          <w:color w:val="1F1F1F"/>
        </w:rPr>
        <w:t xml:space="preserve"> </w:t>
      </w:r>
      <w:r>
        <w:rPr>
          <w:rFonts w:ascii="Arial" w:cs="Arial" w:eastAsia="Arial" w:hAnsi="Arial"/>
          <w:sz w:val="13"/>
          <w:szCs w:val="13"/>
          <w:b w:val="1"/>
          <w:bCs w:val="1"/>
          <w:color w:val="363636"/>
        </w:rPr>
        <w:t>WHEREOF,</w:t>
      </w:r>
      <w:r>
        <w:rPr>
          <w:rFonts w:ascii="Arial" w:cs="Arial" w:eastAsia="Arial" w:hAnsi="Arial"/>
          <w:sz w:val="13"/>
          <w:szCs w:val="13"/>
          <w:b w:val="1"/>
          <w:bCs w:val="1"/>
          <w:color w:val="1F1F1F"/>
        </w:rPr>
        <w:t xml:space="preserve"> </w:t>
      </w:r>
      <w:r>
        <w:rPr>
          <w:rFonts w:ascii="Arial" w:cs="Arial" w:eastAsia="Arial" w:hAnsi="Arial"/>
          <w:sz w:val="12"/>
          <w:szCs w:val="12"/>
          <w:color w:val="1F1F1F"/>
        </w:rPr>
        <w:t>the Pa</w:t>
      </w:r>
      <w:r>
        <w:rPr>
          <w:rFonts w:ascii="Arial" w:cs="Arial" w:eastAsia="Arial" w:hAnsi="Arial"/>
          <w:sz w:val="12"/>
          <w:szCs w:val="12"/>
          <w:color w:val="4D4D4D"/>
        </w:rPr>
        <w:t>r</w:t>
      </w:r>
      <w:r>
        <w:rPr>
          <w:rFonts w:ascii="Arial" w:cs="Arial" w:eastAsia="Arial" w:hAnsi="Arial"/>
          <w:sz w:val="12"/>
          <w:szCs w:val="12"/>
          <w:color w:val="1F1F1F"/>
        </w:rPr>
        <w:t>ties h</w:t>
      </w:r>
      <w:r>
        <w:rPr>
          <w:rFonts w:ascii="Arial" w:cs="Arial" w:eastAsia="Arial" w:hAnsi="Arial"/>
          <w:sz w:val="12"/>
          <w:szCs w:val="12"/>
          <w:color w:val="4D4D4D"/>
        </w:rPr>
        <w:t>ave exec</w:t>
      </w:r>
      <w:r>
        <w:rPr>
          <w:rFonts w:ascii="Arial" w:cs="Arial" w:eastAsia="Arial" w:hAnsi="Arial"/>
          <w:sz w:val="12"/>
          <w:szCs w:val="12"/>
          <w:color w:val="1F1F1F"/>
        </w:rPr>
        <w:t>ut</w:t>
      </w:r>
      <w:r>
        <w:rPr>
          <w:rFonts w:ascii="Arial" w:cs="Arial" w:eastAsia="Arial" w:hAnsi="Arial"/>
          <w:sz w:val="12"/>
          <w:szCs w:val="12"/>
          <w:color w:val="4D4D4D"/>
        </w:rPr>
        <w:t>e</w:t>
      </w:r>
      <w:r>
        <w:rPr>
          <w:rFonts w:ascii="Arial" w:cs="Arial" w:eastAsia="Arial" w:hAnsi="Arial"/>
          <w:sz w:val="12"/>
          <w:szCs w:val="12"/>
          <w:color w:val="1F1F1F"/>
        </w:rPr>
        <w:t>d this First</w:t>
      </w:r>
      <w:r>
        <w:rPr>
          <w:rFonts w:ascii="Arial" w:cs="Arial" w:eastAsia="Arial" w:hAnsi="Arial"/>
          <w:sz w:val="13"/>
          <w:szCs w:val="13"/>
          <w:b w:val="1"/>
          <w:bCs w:val="1"/>
          <w:color w:val="1F1F1F"/>
        </w:rPr>
        <w:t xml:space="preserve"> </w:t>
      </w:r>
      <w:r>
        <w:rPr>
          <w:rFonts w:ascii="Arial" w:cs="Arial" w:eastAsia="Arial" w:hAnsi="Arial"/>
          <w:sz w:val="12"/>
          <w:szCs w:val="12"/>
          <w:color w:val="363636"/>
        </w:rPr>
        <w:t>Amendment by their</w:t>
      </w:r>
      <w:r>
        <w:rPr>
          <w:rFonts w:ascii="Arial" w:cs="Arial" w:eastAsia="Arial" w:hAnsi="Arial"/>
          <w:sz w:val="13"/>
          <w:szCs w:val="13"/>
          <w:b w:val="1"/>
          <w:bCs w:val="1"/>
          <w:color w:val="1F1F1F"/>
        </w:rPr>
        <w:t xml:space="preserve"> </w:t>
      </w:r>
      <w:r>
        <w:rPr>
          <w:rFonts w:ascii="Arial" w:cs="Arial" w:eastAsia="Arial" w:hAnsi="Arial"/>
          <w:sz w:val="12"/>
          <w:szCs w:val="12"/>
          <w:color w:val="1F1F1F"/>
        </w:rPr>
        <w:t>respe</w:t>
      </w:r>
      <w:r>
        <w:rPr>
          <w:rFonts w:ascii="Arial" w:cs="Arial" w:eastAsia="Arial" w:hAnsi="Arial"/>
          <w:sz w:val="12"/>
          <w:szCs w:val="12"/>
          <w:color w:val="4D4D4D"/>
        </w:rPr>
        <w:t>c</w:t>
      </w:r>
      <w:r>
        <w:rPr>
          <w:rFonts w:ascii="Arial" w:cs="Arial" w:eastAsia="Arial" w:hAnsi="Arial"/>
          <w:sz w:val="12"/>
          <w:szCs w:val="12"/>
          <w:color w:val="1F1F1F"/>
        </w:rPr>
        <w:t>tiv</w:t>
      </w:r>
      <w:r>
        <w:rPr>
          <w:rFonts w:ascii="Arial" w:cs="Arial" w:eastAsia="Arial" w:hAnsi="Arial"/>
          <w:sz w:val="12"/>
          <w:szCs w:val="12"/>
          <w:color w:val="4D4D4D"/>
        </w:rPr>
        <w:t>e</w:t>
      </w:r>
      <w:r>
        <w:rPr>
          <w:rFonts w:ascii="Arial" w:cs="Arial" w:eastAsia="Arial" w:hAnsi="Arial"/>
          <w:sz w:val="13"/>
          <w:szCs w:val="13"/>
          <w:b w:val="1"/>
          <w:bCs w:val="1"/>
          <w:color w:val="1F1F1F"/>
        </w:rPr>
        <w:t xml:space="preserve"> </w:t>
      </w:r>
      <w:r>
        <w:rPr>
          <w:rFonts w:ascii="Arial" w:cs="Arial" w:eastAsia="Arial" w:hAnsi="Arial"/>
          <w:sz w:val="12"/>
          <w:szCs w:val="12"/>
          <w:color w:val="363636"/>
        </w:rPr>
        <w:t>officers hereunto duly authorized,</w:t>
      </w:r>
      <w:r>
        <w:rPr>
          <w:rFonts w:ascii="Arial" w:cs="Arial" w:eastAsia="Arial" w:hAnsi="Arial"/>
          <w:sz w:val="13"/>
          <w:szCs w:val="13"/>
          <w:b w:val="1"/>
          <w:bCs w:val="1"/>
          <w:color w:val="1F1F1F"/>
        </w:rPr>
        <w:t xml:space="preserve"> </w:t>
      </w:r>
      <w:r>
        <w:rPr>
          <w:rFonts w:ascii="Arial" w:cs="Arial" w:eastAsia="Arial" w:hAnsi="Arial"/>
          <w:sz w:val="12"/>
          <w:szCs w:val="12"/>
          <w:color w:val="1F1F1F"/>
        </w:rPr>
        <w:t>on the</w:t>
      </w:r>
      <w:r>
        <w:rPr>
          <w:rFonts w:ascii="Arial" w:cs="Arial" w:eastAsia="Arial" w:hAnsi="Arial"/>
          <w:sz w:val="13"/>
          <w:szCs w:val="13"/>
          <w:b w:val="1"/>
          <w:bCs w:val="1"/>
          <w:color w:val="1F1F1F"/>
        </w:rPr>
        <w:t xml:space="preserve"> </w:t>
      </w:r>
      <w:r>
        <w:rPr>
          <w:rFonts w:ascii="Arial" w:cs="Arial" w:eastAsia="Arial" w:hAnsi="Arial"/>
          <w:sz w:val="12"/>
          <w:szCs w:val="12"/>
          <w:color w:val="363636"/>
        </w:rPr>
        <w:t>Amendment</w:t>
      </w:r>
      <w:r>
        <w:rPr>
          <w:rFonts w:ascii="Arial" w:cs="Arial" w:eastAsia="Arial" w:hAnsi="Arial"/>
          <w:sz w:val="13"/>
          <w:szCs w:val="13"/>
          <w:b w:val="1"/>
          <w:bCs w:val="1"/>
          <w:color w:val="1F1F1F"/>
        </w:rPr>
        <w:t xml:space="preserve"> </w:t>
      </w:r>
      <w:r>
        <w:rPr>
          <w:rFonts w:ascii="Arial" w:cs="Arial" w:eastAsia="Arial" w:hAnsi="Arial"/>
          <w:sz w:val="12"/>
          <w:szCs w:val="12"/>
          <w:color w:val="363636"/>
        </w:rPr>
        <w:t>Effective Date.</w:t>
      </w:r>
    </w:p>
    <w:p>
      <w:pPr>
        <w:sectPr>
          <w:pgSz w:w="11900" w:h="16838" w:orient="portrait"/>
          <w:cols w:equalWidth="0" w:num="1">
            <w:col w:w="10159"/>
          </w:cols>
          <w:pgMar w:left="3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GENENTECH,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BIONTECH RNA</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PHARMACEUTICALS GMBH</w:t>
      </w:r>
    </w:p>
    <w:p>
      <w:pPr>
        <w:spacing w:after="0" w:line="142" w:lineRule="exact"/>
        <w:rPr>
          <w:sz w:val="20"/>
          <w:szCs w:val="20"/>
          <w:color w:val="auto"/>
        </w:rPr>
      </w:pPr>
    </w:p>
    <w:p>
      <w:pPr>
        <w:sectPr>
          <w:pgSz w:w="11900" w:h="16838" w:orient="portrait"/>
          <w:cols w:equalWidth="0" w:num="2">
            <w:col w:w="3960" w:space="720"/>
            <w:col w:w="5479"/>
          </w:cols>
          <w:pgMar w:left="300" w:top="1440" w:right="1440" w:bottom="1440" w:gutter="0" w:footer="0" w:header="0"/>
          <w:type w:val="continuous"/>
        </w:sectPr>
      </w:pPr>
    </w:p>
    <w:p>
      <w:pPr>
        <w:spacing w:after="0"/>
        <w:tabs>
          <w:tab w:leader="none" w:pos="1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pacing w:after="0" w:line="156"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Name: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Title:Title:</w:t>
      </w:r>
    </w:p>
    <w:p>
      <w:pPr>
        <w:spacing w:after="0" w:line="200" w:lineRule="exact"/>
        <w:rPr>
          <w:sz w:val="20"/>
          <w:szCs w:val="20"/>
          <w:color w:val="auto"/>
        </w:rPr>
      </w:pPr>
    </w:p>
    <w:p>
      <w:pPr>
        <w:spacing w:after="0" w:line="282" w:lineRule="exact"/>
        <w:rPr>
          <w:sz w:val="20"/>
          <w:szCs w:val="20"/>
          <w:color w:val="auto"/>
        </w:rPr>
      </w:pPr>
    </w:p>
    <w:p>
      <w:pPr>
        <w:spacing w:after="0"/>
        <w:tabs>
          <w:tab w:leader="none" w:pos="4660" w:val="left"/>
        </w:tabs>
        <w:rPr>
          <w:sz w:val="20"/>
          <w:szCs w:val="20"/>
          <w:color w:val="auto"/>
        </w:rPr>
      </w:pPr>
      <w:r>
        <w:rPr>
          <w:rFonts w:ascii="Arial" w:cs="Arial" w:eastAsia="Arial" w:hAnsi="Arial"/>
          <w:sz w:val="16"/>
          <w:szCs w:val="16"/>
          <w:b w:val="1"/>
          <w:bCs w:val="1"/>
          <w:color w:val="auto"/>
        </w:rPr>
        <w:t>F. HOFFMANN-LA ROCHE LTD</w:t>
      </w:r>
      <w:r>
        <w:rPr>
          <w:sz w:val="20"/>
          <w:szCs w:val="20"/>
          <w:color w:val="auto"/>
        </w:rPr>
        <w:tab/>
      </w:r>
      <w:r>
        <w:rPr>
          <w:rFonts w:ascii="Arial" w:cs="Arial" w:eastAsia="Arial" w:hAnsi="Arial"/>
          <w:sz w:val="16"/>
          <w:szCs w:val="16"/>
          <w:b w:val="1"/>
          <w:bCs w:val="1"/>
          <w:color w:val="auto"/>
        </w:rPr>
        <w:t>BIONTECH SE</w:t>
      </w:r>
    </w:p>
    <w:p>
      <w:pPr>
        <w:spacing w:after="0" w:line="16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pacing w:after="0" w:line="156"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Name: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Title:Title: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 HOFFMANN-LA ROCHE LTD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3"/>
          <w:szCs w:val="13"/>
          <w:color w:val="36363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320675</wp:posOffset>
            </wp:positionV>
            <wp:extent cx="7180580" cy="127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type w:val="continuous"/>
        </w:sectPr>
      </w:pPr>
    </w:p>
    <w:bookmarkStart w:id="329" w:name="page330"/>
    <w:bookmarkEnd w:id="329"/>
    <w:p>
      <w:pPr>
        <w:spacing w:after="0" w:line="200" w:lineRule="exact"/>
        <w:rPr>
          <w:sz w:val="20"/>
          <w:szCs w:val="20"/>
          <w:color w:val="auto"/>
        </w:rPr>
      </w:pPr>
    </w:p>
    <w:p>
      <w:pPr>
        <w:spacing w:after="0" w:line="26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2D2D2D"/>
        </w:rPr>
        <w:t>BioNTech Core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136525</wp:posOffset>
            </wp:positionV>
            <wp:extent cx="2914015" cy="400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7">
                      <a:extLst>
                        <a:ext uri="{28A0092B-C50C-407E-A947-70E740481C1C}"/>
                      </a:extLst>
                    </a:blip>
                    <a:srcRect/>
                    <a:stretch>
                      <a:fillRect/>
                    </a:stretch>
                  </pic:blipFill>
                  <pic:spPr bwMode="auto">
                    <a:xfrm>
                      <a:off x="0" y="0"/>
                      <a:ext cx="2914015" cy="400050"/>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161616"/>
        </w:rPr>
        <w:t>No.</w:t>
      </w:r>
    </w:p>
    <w:p>
      <w:pPr>
        <w:spacing w:after="0" w:line="258"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161616"/>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0"/>
        </w:trPr>
        <w:tc>
          <w:tcPr>
            <w:tcW w:w="1820" w:type="dxa"/>
            <w:vAlign w:val="bottom"/>
            <w:tcBorders>
              <w:left w:val="single" w:sz="8" w:color="343434"/>
              <w:right w:val="single" w:sz="8" w:color="030303"/>
            </w:tcBorders>
          </w:tcPr>
          <w:p>
            <w:pPr>
              <w:jc w:val="right"/>
              <w:ind w:right="56"/>
              <w:spacing w:after="0"/>
              <w:rPr>
                <w:sz w:val="20"/>
                <w:szCs w:val="20"/>
                <w:color w:val="auto"/>
              </w:rPr>
            </w:pPr>
            <w:r>
              <w:rPr>
                <w:rFonts w:ascii="Arial" w:cs="Arial" w:eastAsia="Arial" w:hAnsi="Arial"/>
                <w:sz w:val="12"/>
                <w:szCs w:val="12"/>
                <w:color w:val="161616"/>
              </w:rPr>
              <w:t>Sole</w:t>
            </w:r>
            <w:r>
              <w:rPr>
                <w:rFonts w:ascii="Arial" w:cs="Arial" w:eastAsia="Arial" w:hAnsi="Arial"/>
                <w:sz w:val="12"/>
                <w:szCs w:val="12"/>
                <w:color w:val="484848"/>
              </w:rPr>
              <w:t>l</w:t>
            </w:r>
            <w:r>
              <w:rPr>
                <w:rFonts w:ascii="Arial" w:cs="Arial" w:eastAsia="Arial" w:hAnsi="Arial"/>
                <w:sz w:val="12"/>
                <w:szCs w:val="12"/>
                <w:color w:val="161616"/>
              </w:rPr>
              <w:t xml:space="preserve">y </w:t>
            </w:r>
            <w:r>
              <w:rPr>
                <w:rFonts w:ascii="Arial" w:cs="Arial" w:eastAsia="Arial" w:hAnsi="Arial"/>
                <w:sz w:val="12"/>
                <w:szCs w:val="12"/>
                <w:color w:val="2D2D2D"/>
              </w:rPr>
              <w:t>owned</w:t>
            </w:r>
            <w:r>
              <w:rPr>
                <w:rFonts w:ascii="Arial" w:cs="Arial" w:eastAsia="Arial" w:hAnsi="Arial"/>
                <w:sz w:val="12"/>
                <w:szCs w:val="12"/>
                <w:color w:val="161616"/>
              </w:rPr>
              <w:t xml:space="preserve"> BioNTech </w:t>
            </w:r>
            <w:r>
              <w:rPr>
                <w:rFonts w:ascii="Arial" w:cs="Arial" w:eastAsia="Arial" w:hAnsi="Arial"/>
                <w:sz w:val="12"/>
                <w:szCs w:val="12"/>
                <w:color w:val="2D2D2D"/>
              </w:rPr>
              <w:t>Core</w:t>
            </w:r>
          </w:p>
        </w:tc>
        <w:tc>
          <w:tcPr>
            <w:tcW w:w="1940" w:type="dxa"/>
            <w:vAlign w:val="bottom"/>
            <w:tcBorders>
              <w:right w:val="single" w:sz="8" w:color="2B2B2B"/>
            </w:tcBorders>
          </w:tcPr>
          <w:p>
            <w:pPr>
              <w:ind w:left="300"/>
              <w:spacing w:after="0"/>
              <w:rPr>
                <w:sz w:val="20"/>
                <w:szCs w:val="20"/>
                <w:color w:val="auto"/>
              </w:rPr>
            </w:pPr>
            <w:r>
              <w:rPr>
                <w:rFonts w:ascii="Arial" w:cs="Arial" w:eastAsia="Arial" w:hAnsi="Arial"/>
                <w:sz w:val="12"/>
                <w:szCs w:val="12"/>
                <w:color w:val="161616"/>
              </w:rPr>
              <w:t xml:space="preserve">In-Licensed </w:t>
            </w:r>
            <w:r>
              <w:rPr>
                <w:rFonts w:ascii="Arial" w:cs="Arial" w:eastAsia="Arial" w:hAnsi="Arial"/>
                <w:sz w:val="12"/>
                <w:szCs w:val="12"/>
                <w:color w:val="2D2D2D"/>
              </w:rPr>
              <w:t>Bio</w:t>
            </w:r>
            <w:r>
              <w:rPr>
                <w:rFonts w:ascii="Arial" w:cs="Arial" w:eastAsia="Arial" w:hAnsi="Arial"/>
                <w:sz w:val="12"/>
                <w:szCs w:val="12"/>
                <w:color w:val="484848"/>
              </w:rPr>
              <w:t>N</w:t>
            </w:r>
            <w:r>
              <w:rPr>
                <w:rFonts w:ascii="Arial" w:cs="Arial" w:eastAsia="Arial" w:hAnsi="Arial"/>
                <w:sz w:val="12"/>
                <w:szCs w:val="12"/>
                <w:color w:val="2D2D2D"/>
              </w:rPr>
              <w:t>Tech</w:t>
            </w:r>
            <w:r>
              <w:rPr>
                <w:rFonts w:ascii="Arial" w:cs="Arial" w:eastAsia="Arial" w:hAnsi="Arial"/>
                <w:sz w:val="12"/>
                <w:szCs w:val="12"/>
                <w:color w:val="161616"/>
              </w:rPr>
              <w:t xml:space="preserve"> Co</w:t>
            </w:r>
            <w:r>
              <w:rPr>
                <w:rFonts w:ascii="Arial" w:cs="Arial" w:eastAsia="Arial" w:hAnsi="Arial"/>
                <w:sz w:val="12"/>
                <w:szCs w:val="12"/>
                <w:color w:val="484848"/>
              </w:rPr>
              <w:t>r</w:t>
            </w:r>
            <w:r>
              <w:rPr>
                <w:rFonts w:ascii="Arial" w:cs="Arial" w:eastAsia="Arial" w:hAnsi="Arial"/>
                <w:sz w:val="12"/>
                <w:szCs w:val="12"/>
                <w:color w:val="2D2D2D"/>
              </w:rPr>
              <w:t>e</w:t>
            </w:r>
          </w:p>
        </w:tc>
      </w:tr>
      <w:tr>
        <w:trPr>
          <w:trHeight w:val="146"/>
        </w:trPr>
        <w:tc>
          <w:tcPr>
            <w:tcW w:w="1820" w:type="dxa"/>
            <w:vAlign w:val="bottom"/>
            <w:tcBorders>
              <w:top w:val="single" w:sz="8" w:color="2B2B2B"/>
              <w:left w:val="single" w:sz="8" w:color="343434"/>
              <w:right w:val="single" w:sz="8" w:color="2F2F2F"/>
            </w:tcBorders>
          </w:tcPr>
          <w:p>
            <w:pPr>
              <w:jc w:val="right"/>
              <w:ind w:right="396"/>
              <w:spacing w:after="0"/>
              <w:rPr>
                <w:sz w:val="20"/>
                <w:szCs w:val="20"/>
                <w:color w:val="auto"/>
              </w:rPr>
            </w:pPr>
            <w:r>
              <w:rPr>
                <w:rFonts w:ascii="Arial" w:cs="Arial" w:eastAsia="Arial" w:hAnsi="Arial"/>
                <w:sz w:val="12"/>
                <w:szCs w:val="12"/>
                <w:color w:val="161616"/>
              </w:rPr>
              <w:t>Patents</w:t>
            </w:r>
          </w:p>
        </w:tc>
        <w:tc>
          <w:tcPr>
            <w:tcW w:w="1940" w:type="dxa"/>
            <w:vAlign w:val="bottom"/>
            <w:tcBorders>
              <w:top w:val="single" w:sz="8" w:color="030303"/>
              <w:right w:val="single" w:sz="8" w:color="2B2B2B"/>
            </w:tcBorders>
          </w:tcPr>
          <w:p>
            <w:pPr>
              <w:jc w:val="center"/>
              <w:ind w:left="360"/>
              <w:spacing w:after="0"/>
              <w:rPr>
                <w:sz w:val="20"/>
                <w:szCs w:val="20"/>
                <w:color w:val="auto"/>
              </w:rPr>
            </w:pPr>
            <w:r>
              <w:rPr>
                <w:rFonts w:ascii="Arial" w:cs="Arial" w:eastAsia="Arial" w:hAnsi="Arial"/>
                <w:sz w:val="12"/>
                <w:szCs w:val="12"/>
                <w:color w:val="161616"/>
                <w:w w:val="98"/>
              </w:rPr>
              <w:t>Patents</w:t>
            </w:r>
          </w:p>
        </w:tc>
      </w:tr>
      <w:tr>
        <w:trPr>
          <w:trHeight w:val="44"/>
        </w:trPr>
        <w:tc>
          <w:tcPr>
            <w:tcW w:w="1820" w:type="dxa"/>
            <w:vAlign w:val="bottom"/>
            <w:tcBorders>
              <w:left w:val="single" w:sz="8" w:color="343434"/>
              <w:bottom w:val="single" w:sz="8" w:color="383838"/>
              <w:right w:val="single" w:sz="8" w:color="2F2F2F"/>
            </w:tcBorders>
          </w:tcPr>
          <w:p>
            <w:pPr>
              <w:spacing w:after="0"/>
              <w:rPr>
                <w:sz w:val="3"/>
                <w:szCs w:val="3"/>
                <w:color w:val="auto"/>
              </w:rPr>
            </w:pPr>
          </w:p>
        </w:tc>
        <w:tc>
          <w:tcPr>
            <w:tcW w:w="1940" w:type="dxa"/>
            <w:vAlign w:val="bottom"/>
            <w:tcBorders>
              <w:bottom w:val="single" w:sz="8" w:color="383838"/>
              <w:right w:val="single" w:sz="8" w:color="2B2B2B"/>
            </w:tcBorders>
          </w:tcPr>
          <w:p>
            <w:pPr>
              <w:spacing w:after="0"/>
              <w:rPr>
                <w:sz w:val="3"/>
                <w:szCs w:val="3"/>
                <w:color w:val="auto"/>
              </w:rPr>
            </w:pPr>
          </w:p>
        </w:tc>
      </w:tr>
      <w:tr>
        <w:trPr>
          <w:trHeight w:val="167"/>
        </w:trPr>
        <w:tc>
          <w:tcPr>
            <w:tcW w:w="1820" w:type="dxa"/>
            <w:vAlign w:val="bottom"/>
            <w:tcBorders>
              <w:left w:val="single" w:sz="8" w:color="0F0F0F"/>
              <w:right w:val="single" w:sz="8" w:color="2F2F2F"/>
            </w:tcBorders>
          </w:tcPr>
          <w:p>
            <w:pPr>
              <w:jc w:val="right"/>
              <w:ind w:right="1496"/>
              <w:spacing w:after="0" w:line="167" w:lineRule="exact"/>
              <w:rPr>
                <w:sz w:val="20"/>
                <w:szCs w:val="20"/>
                <w:color w:val="auto"/>
              </w:rPr>
            </w:pPr>
            <w:r>
              <w:rPr>
                <w:rFonts w:ascii="Arial" w:cs="Arial" w:eastAsia="Arial" w:hAnsi="Arial"/>
                <w:sz w:val="15"/>
                <w:szCs w:val="15"/>
                <w:color w:val="auto"/>
                <w:w w:val="92"/>
              </w:rPr>
              <w:t>[***]</w:t>
            </w:r>
          </w:p>
        </w:tc>
        <w:tc>
          <w:tcPr>
            <w:tcW w:w="1940" w:type="dxa"/>
            <w:vAlign w:val="bottom"/>
            <w:tcBorders>
              <w:right w:val="single" w:sz="8" w:color="2B2B2B"/>
            </w:tcBorders>
          </w:tcPr>
          <w:p>
            <w:pPr>
              <w:jc w:val="right"/>
              <w:ind w:right="580"/>
              <w:spacing w:after="0"/>
              <w:rPr>
                <w:sz w:val="20"/>
                <w:szCs w:val="20"/>
                <w:color w:val="auto"/>
              </w:rPr>
            </w:pPr>
            <w:r>
              <w:rPr>
                <w:rFonts w:ascii="Arial" w:cs="Arial" w:eastAsia="Arial" w:hAnsi="Arial"/>
                <w:sz w:val="12"/>
                <w:szCs w:val="12"/>
                <w:b w:val="1"/>
                <w:bCs w:val="1"/>
                <w:color w:val="161616"/>
              </w:rPr>
              <w:t>[***]</w:t>
            </w:r>
          </w:p>
        </w:tc>
      </w:tr>
      <w:tr>
        <w:trPr>
          <w:trHeight w:val="23"/>
        </w:trPr>
        <w:tc>
          <w:tcPr>
            <w:tcW w:w="1820" w:type="dxa"/>
            <w:vAlign w:val="bottom"/>
            <w:tcBorders>
              <w:left w:val="single" w:sz="8" w:color="0F0F0F"/>
              <w:bottom w:val="single" w:sz="8" w:color="4B4B4B"/>
              <w:right w:val="single" w:sz="8" w:color="2F2F2F"/>
            </w:tcBorders>
          </w:tcPr>
          <w:p>
            <w:pPr>
              <w:spacing w:after="0"/>
              <w:rPr>
                <w:sz w:val="2"/>
                <w:szCs w:val="2"/>
                <w:color w:val="auto"/>
              </w:rPr>
            </w:pPr>
          </w:p>
        </w:tc>
        <w:tc>
          <w:tcPr>
            <w:tcW w:w="1940" w:type="dxa"/>
            <w:vAlign w:val="bottom"/>
            <w:tcBorders>
              <w:bottom w:val="single" w:sz="8" w:color="4B4B4B"/>
              <w:right w:val="single" w:sz="8" w:color="2B2B2B"/>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101600</wp:posOffset>
            </wp:positionV>
            <wp:extent cx="1270000" cy="3937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1270000" cy="39370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960" w:space="180"/>
            <w:col w:w="8959"/>
          </w:cols>
          <w:pgMar w:left="360" w:top="1440" w:right="1440" w:bottom="1440" w:gutter="0" w:footer="0" w:header="0"/>
          <w:type w:val="continuous"/>
        </w:sectPr>
      </w:pPr>
    </w:p>
    <w:p>
      <w:pPr>
        <w:ind w:left="440"/>
        <w:spacing w:after="0"/>
        <w:rPr>
          <w:sz w:val="20"/>
          <w:szCs w:val="20"/>
          <w:color w:val="auto"/>
        </w:rPr>
      </w:pPr>
      <w:r>
        <w:rPr>
          <w:rFonts w:ascii="Arial" w:cs="Arial" w:eastAsia="Arial" w:hAnsi="Arial"/>
          <w:sz w:val="11"/>
          <w:szCs w:val="11"/>
          <w:u w:val="single" w:color="auto"/>
          <w:color w:val="161616"/>
        </w:rPr>
        <w:t>Neoepitope Prediction Algorithm</w:t>
      </w:r>
    </w:p>
    <w:p>
      <w:pPr>
        <w:sectPr>
          <w:pgSz w:w="11900" w:h="16838" w:orient="portrait"/>
          <w:cols w:equalWidth="0" w:num="1">
            <w:col w:w="10099"/>
          </w:cols>
          <w:pgMar w:left="360" w:top="1440" w:right="1440" w:bottom="1440" w:gutter="0" w:footer="0" w:header="0"/>
          <w:type w:val="continuous"/>
        </w:sect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161616"/>
        </w:rPr>
        <w: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b w:val="1"/>
          <w:bCs w:val="1"/>
          <w:color w:val="161616"/>
        </w:rPr>
        <w:t>[***]</w:t>
      </w:r>
    </w:p>
    <w:p>
      <w:pPr>
        <w:spacing w:after="0" w:line="200" w:lineRule="exact"/>
        <w:rPr>
          <w:sz w:val="20"/>
          <w:szCs w:val="20"/>
          <w:color w:val="auto"/>
        </w:rPr>
      </w:pPr>
    </w:p>
    <w:p>
      <w:pPr>
        <w:sectPr>
          <w:pgSz w:w="11900" w:h="16838" w:orient="portrait"/>
          <w:cols w:equalWidth="0" w:num="2">
            <w:col w:w="1360" w:space="720"/>
            <w:col w:w="8019"/>
          </w:cols>
          <w:pgMar w:left="360" w:top="1440" w:right="1440" w:bottom="1440" w:gutter="0" w:footer="0" w:header="0"/>
          <w:type w:val="continuous"/>
        </w:sectPr>
      </w:pPr>
    </w:p>
    <w:p>
      <w:pPr>
        <w:spacing w:after="0" w:line="178" w:lineRule="exact"/>
        <w:rPr>
          <w:sz w:val="20"/>
          <w:szCs w:val="20"/>
          <w:color w:val="auto"/>
        </w:rPr>
      </w:pPr>
    </w:p>
    <w:p>
      <w:pPr>
        <w:jc w:val="right"/>
        <w:ind w:right="9279"/>
        <w:spacing w:after="0"/>
        <w:rPr>
          <w:sz w:val="20"/>
          <w:szCs w:val="20"/>
          <w:color w:val="auto"/>
        </w:rPr>
      </w:pPr>
      <w:r>
        <w:rPr>
          <w:rFonts w:ascii="Arial" w:cs="Arial" w:eastAsia="Arial" w:hAnsi="Arial"/>
          <w:sz w:val="13"/>
          <w:szCs w:val="13"/>
          <w:b w:val="1"/>
          <w:bCs w:val="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2D2D2D"/>
        </w:rPr>
        <w:t>3</w:t>
      </w:r>
    </w:p>
    <w:p>
      <w:pPr>
        <w:sectPr>
          <w:pgSz w:w="11900" w:h="16838" w:orient="portrait"/>
          <w:cols w:equalWidth="0" w:num="1">
            <w:col w:w="10099"/>
          </w:cols>
          <w:pgMar w:left="360" w:top="1440" w:right="1440" w:bottom="1440" w:gutter="0" w:footer="0" w:header="0"/>
          <w:type w:val="continuous"/>
        </w:sectPr>
      </w:pPr>
    </w:p>
    <w:bookmarkStart w:id="330" w:name="page331"/>
    <w:bookmarkEnd w:id="330"/>
    <w:p>
      <w:pPr>
        <w:ind w:left="10440"/>
        <w:spacing w:after="0"/>
        <w:rPr>
          <w:sz w:val="20"/>
          <w:szCs w:val="20"/>
          <w:color w:val="auto"/>
        </w:rPr>
      </w:pPr>
      <w:r>
        <w:rPr>
          <w:rFonts w:ascii="Arial" w:cs="Arial" w:eastAsia="Arial" w:hAnsi="Arial"/>
          <w:sz w:val="13"/>
          <w:szCs w:val="13"/>
          <w:b w:val="1"/>
          <w:bCs w:val="1"/>
          <w:color w:val="auto"/>
        </w:rPr>
        <w:t>Exhibit 4.16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SYMBOL “[***]” DENOTES PLACES WHERE CERTAIN IDENTIFIED</w:t>
      </w:r>
    </w:p>
    <w:p>
      <w:pPr>
        <w:jc w:val="center"/>
        <w:spacing w:after="0" w:line="236" w:lineRule="auto"/>
        <w:rPr>
          <w:sz w:val="20"/>
          <w:szCs w:val="20"/>
          <w:color w:val="auto"/>
        </w:rPr>
      </w:pPr>
      <w:r>
        <w:rPr>
          <w:rFonts w:ascii="Arial" w:cs="Arial" w:eastAsia="Arial" w:hAnsi="Arial"/>
          <w:sz w:val="15"/>
          <w:szCs w:val="15"/>
          <w:b w:val="1"/>
          <w:bCs w:val="1"/>
          <w:color w:val="auto"/>
        </w:rPr>
        <w:t>INFORMATION HAS BEEN EXCLUDED FROM THE EXHIBIT BECAUSE IT IS BOTH (i) NOT MATERIAL, AND (ii) WOULD LIKELY CAUSE COMPETITIVE HARM</w:t>
      </w:r>
    </w:p>
    <w:p>
      <w:pPr>
        <w:jc w:val="center"/>
        <w:spacing w:after="0"/>
        <w:rPr>
          <w:sz w:val="20"/>
          <w:szCs w:val="20"/>
          <w:color w:val="auto"/>
        </w:rPr>
      </w:pPr>
      <w:r>
        <w:rPr>
          <w:rFonts w:ascii="Arial" w:cs="Arial" w:eastAsia="Arial" w:hAnsi="Arial"/>
          <w:sz w:val="15"/>
          <w:szCs w:val="15"/>
          <w:b w:val="1"/>
          <w:bCs w:val="1"/>
          <w:color w:val="auto"/>
        </w:rPr>
        <w:t>TO THE COMPANY IF PUBLICLY DISCLOSED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COLLABORATION AGREEMENT</w:t>
      </w:r>
    </w:p>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This SECOND AMENDMENT (the “</w:t>
      </w:r>
      <w:r>
        <w:rPr>
          <w:rFonts w:ascii="Arial" w:cs="Arial" w:eastAsia="Arial" w:hAnsi="Arial"/>
          <w:sz w:val="15"/>
          <w:szCs w:val="15"/>
          <w:b w:val="1"/>
          <w:bCs w:val="1"/>
          <w:color w:val="auto"/>
        </w:rPr>
        <w:t>Second Amendment</w:t>
      </w:r>
      <w:r>
        <w:rPr>
          <w:rFonts w:ascii="Arial" w:cs="Arial" w:eastAsia="Arial" w:hAnsi="Arial"/>
          <w:sz w:val="15"/>
          <w:szCs w:val="15"/>
          <w:color w:val="auto"/>
        </w:rPr>
        <w:t>”) is made and entered into, effective as of December 6, 2019 (the “</w:t>
      </w:r>
      <w:r>
        <w:rPr>
          <w:rFonts w:ascii="Arial" w:cs="Arial" w:eastAsia="Arial" w:hAnsi="Arial"/>
          <w:sz w:val="15"/>
          <w:szCs w:val="15"/>
          <w:b w:val="1"/>
          <w:bCs w:val="1"/>
          <w:color w:val="auto"/>
        </w:rPr>
        <w:t>Second Amendment Effective Date</w:t>
      </w:r>
      <w:r>
        <w:rPr>
          <w:rFonts w:ascii="Arial" w:cs="Arial" w:eastAsia="Arial" w:hAnsi="Arial"/>
          <w:sz w:val="15"/>
          <w:szCs w:val="15"/>
          <w:color w:val="auto"/>
        </w:rPr>
        <w:t>”), by and between BioNTech RNA Pharmaceuticals GmbH, a limited liability company organized under the laws of Germany (“</w:t>
      </w:r>
      <w:r>
        <w:rPr>
          <w:rFonts w:ascii="Arial" w:cs="Arial" w:eastAsia="Arial" w:hAnsi="Arial"/>
          <w:sz w:val="15"/>
          <w:szCs w:val="15"/>
          <w:b w:val="1"/>
          <w:bCs w:val="1"/>
          <w:color w:val="auto"/>
        </w:rPr>
        <w:t>RNP</w:t>
      </w:r>
      <w:r>
        <w:rPr>
          <w:rFonts w:ascii="Arial" w:cs="Arial" w:eastAsia="Arial" w:hAnsi="Arial"/>
          <w:sz w:val="15"/>
          <w:szCs w:val="15"/>
          <w:color w:val="auto"/>
        </w:rPr>
        <w:t>”) and BioNTech SE, a European stock corporation (“</w:t>
      </w:r>
      <w:r>
        <w:rPr>
          <w:rFonts w:ascii="Arial" w:cs="Arial" w:eastAsia="Arial" w:hAnsi="Arial"/>
          <w:sz w:val="15"/>
          <w:szCs w:val="15"/>
          <w:b w:val="1"/>
          <w:bCs w:val="1"/>
          <w:color w:val="auto"/>
        </w:rPr>
        <w:t>BNT</w:t>
      </w:r>
      <w:r>
        <w:rPr>
          <w:rFonts w:ascii="Arial" w:cs="Arial" w:eastAsia="Arial" w:hAnsi="Arial"/>
          <w:sz w:val="15"/>
          <w:szCs w:val="15"/>
          <w:color w:val="auto"/>
        </w:rPr>
        <w:t>”) (RNP and BNT collectively, “</w:t>
      </w:r>
      <w:r>
        <w:rPr>
          <w:rFonts w:ascii="Arial" w:cs="Arial" w:eastAsia="Arial" w:hAnsi="Arial"/>
          <w:sz w:val="15"/>
          <w:szCs w:val="15"/>
          <w:b w:val="1"/>
          <w:bCs w:val="1"/>
          <w:color w:val="auto"/>
        </w:rPr>
        <w:t>BioNTech</w:t>
      </w:r>
      <w:r>
        <w:rPr>
          <w:rFonts w:ascii="Arial" w:cs="Arial" w:eastAsia="Arial" w:hAnsi="Arial"/>
          <w:sz w:val="15"/>
          <w:szCs w:val="15"/>
          <w:color w:val="auto"/>
        </w:rPr>
        <w:t>”), and Genentech, Inc., a corporation organized under the laws of the State of Delaware (“</w:t>
      </w:r>
      <w:r>
        <w:rPr>
          <w:rFonts w:ascii="Arial" w:cs="Arial" w:eastAsia="Arial" w:hAnsi="Arial"/>
          <w:sz w:val="15"/>
          <w:szCs w:val="15"/>
          <w:b w:val="1"/>
          <w:bCs w:val="1"/>
          <w:color w:val="auto"/>
        </w:rPr>
        <w:t>GNE</w:t>
      </w:r>
      <w:r>
        <w:rPr>
          <w:rFonts w:ascii="Arial" w:cs="Arial" w:eastAsia="Arial" w:hAnsi="Arial"/>
          <w:sz w:val="15"/>
          <w:szCs w:val="15"/>
          <w:color w:val="auto"/>
        </w:rPr>
        <w:t>”) and F. Hoffmann-La Roche Ltd, a corporation organized under the laws of Switzerland (“</w:t>
      </w:r>
      <w:r>
        <w:rPr>
          <w:rFonts w:ascii="Arial" w:cs="Arial" w:eastAsia="Arial" w:hAnsi="Arial"/>
          <w:sz w:val="15"/>
          <w:szCs w:val="15"/>
          <w:b w:val="1"/>
          <w:bCs w:val="1"/>
          <w:color w:val="auto"/>
        </w:rPr>
        <w:t>Roche</w:t>
      </w:r>
      <w:r>
        <w:rPr>
          <w:rFonts w:ascii="Arial" w:cs="Arial" w:eastAsia="Arial" w:hAnsi="Arial"/>
          <w:sz w:val="15"/>
          <w:szCs w:val="15"/>
          <w:color w:val="auto"/>
        </w:rPr>
        <w:t>”) (GNE and Roche, collectively, “</w:t>
      </w:r>
      <w:r>
        <w:rPr>
          <w:rFonts w:ascii="Arial" w:cs="Arial" w:eastAsia="Arial" w:hAnsi="Arial"/>
          <w:sz w:val="15"/>
          <w:szCs w:val="15"/>
          <w:b w:val="1"/>
          <w:bCs w:val="1"/>
          <w:color w:val="auto"/>
        </w:rPr>
        <w:t>Genentech</w:t>
      </w:r>
      <w:r>
        <w:rPr>
          <w:rFonts w:ascii="Arial" w:cs="Arial" w:eastAsia="Arial" w:hAnsi="Arial"/>
          <w:sz w:val="15"/>
          <w:szCs w:val="15"/>
          <w:color w:val="auto"/>
        </w:rPr>
        <w:t>”).</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WHEREAS, the Parties entered into a Collaboration Agreement, dated as of September 20, 2016, as amended on June 1, 2018, pursuant to which BioNTech and Genentech agreed to collaborate in the research, development, and commercialization of Collaboration Products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WHEREAS, BioNTech and Genentech wish to modify certain terms of the Agreement with respect to [***] (i) certain RNA manufacturing projects within the CMC Development Plan and (ii) development of the commercial upstream manufacturing process.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NOW, THEREFORE, for good and valuable consideration, the receipt and sufficiency of which is hereby acknowledged, the Parties agree as follows:</w:t>
      </w:r>
    </w:p>
    <w:p>
      <w:pPr>
        <w:spacing w:after="0" w:line="152" w:lineRule="exact"/>
        <w:rPr>
          <w:sz w:val="20"/>
          <w:szCs w:val="20"/>
          <w:color w:val="auto"/>
        </w:rPr>
      </w:pPr>
    </w:p>
    <w:p>
      <w:pPr>
        <w:ind w:left="480" w:hanging="480"/>
        <w:spacing w:after="0"/>
        <w:tabs>
          <w:tab w:leader="none" w:pos="480" w:val="left"/>
        </w:tabs>
        <w:numPr>
          <w:ilvl w:val="0"/>
          <w:numId w:val="355"/>
        </w:numPr>
        <w:rPr>
          <w:rFonts w:ascii="Arial" w:cs="Arial" w:eastAsia="Arial" w:hAnsi="Arial"/>
          <w:sz w:val="16"/>
          <w:szCs w:val="16"/>
          <w:color w:val="auto"/>
        </w:rPr>
      </w:pPr>
      <w:r>
        <w:rPr>
          <w:rFonts w:ascii="Arial" w:cs="Arial" w:eastAsia="Arial" w:hAnsi="Arial"/>
          <w:sz w:val="16"/>
          <w:szCs w:val="16"/>
          <w:b w:val="1"/>
          <w:bCs w:val="1"/>
          <w:color w:val="auto"/>
        </w:rPr>
        <w:t>Defined Terms</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left="940" w:hanging="470"/>
        <w:spacing w:after="0"/>
        <w:tabs>
          <w:tab w:leader="none" w:pos="9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Section 1.20 is hereby deleted in its entirety and replaced with the following:</w:t>
      </w:r>
    </w:p>
    <w:p>
      <w:pPr>
        <w:spacing w:after="0" w:line="151"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4"/>
          <w:szCs w:val="14"/>
          <w:color w:val="auto"/>
        </w:rPr>
        <w:t>“‘</w:t>
      </w:r>
      <w:r>
        <w:rPr>
          <w:rFonts w:ascii="Arial" w:cs="Arial" w:eastAsia="Arial" w:hAnsi="Arial"/>
          <w:sz w:val="14"/>
          <w:szCs w:val="14"/>
          <w:b w:val="1"/>
          <w:bCs w:val="1"/>
          <w:color w:val="auto"/>
        </w:rPr>
        <w:t>BioNTech Core Patents</w:t>
      </w:r>
      <w:r>
        <w:rPr>
          <w:rFonts w:ascii="Arial" w:cs="Arial" w:eastAsia="Arial" w:hAnsi="Arial"/>
          <w:sz w:val="14"/>
          <w:szCs w:val="14"/>
          <w:color w:val="auto"/>
        </w:rPr>
        <w:t xml:space="preserve">’ means (a) the Patents listed on </w:t>
      </w:r>
      <w:r>
        <w:rPr>
          <w:rFonts w:ascii="Arial" w:cs="Arial" w:eastAsia="Arial" w:hAnsi="Arial"/>
          <w:sz w:val="14"/>
          <w:szCs w:val="14"/>
          <w:u w:val="single" w:color="auto"/>
          <w:color w:val="auto"/>
        </w:rPr>
        <w:t>Schedule 1.20</w:t>
      </w:r>
      <w:r>
        <w:rPr>
          <w:rFonts w:ascii="Arial" w:cs="Arial" w:eastAsia="Arial" w:hAnsi="Arial"/>
          <w:sz w:val="14"/>
          <w:szCs w:val="14"/>
          <w:color w:val="auto"/>
        </w:rPr>
        <w:t>, (b) [***] and (c) all Patents claiming priority to any of the Patents described in clauses</w:t>
      </w:r>
    </w:p>
    <w:p>
      <w:pPr>
        <w:spacing w:after="0" w:line="36"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(a) or (b), or claiming priority to a priority document thereof.”</w:t>
      </w:r>
    </w:p>
    <w:p>
      <w:pPr>
        <w:spacing w:after="0" w:line="141" w:lineRule="exact"/>
        <w:rPr>
          <w:rFonts w:ascii="Arial" w:cs="Arial" w:eastAsia="Arial" w:hAnsi="Arial"/>
          <w:sz w:val="16"/>
          <w:szCs w:val="16"/>
          <w:color w:val="auto"/>
        </w:rPr>
      </w:pPr>
    </w:p>
    <w:p>
      <w:pPr>
        <w:ind w:left="940" w:right="4500" w:hanging="470"/>
        <w:spacing w:after="0" w:line="443" w:lineRule="auto"/>
        <w:tabs>
          <w:tab w:leader="none" w:pos="9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Section 1.27 is hereby amended by adding the following sentence to the end of the Section: “For clarity, BioNTech Know-How [***].”</w:t>
      </w:r>
    </w:p>
    <w:p>
      <w:pPr>
        <w:ind w:left="940" w:hanging="470"/>
        <w:spacing w:after="0"/>
        <w:tabs>
          <w:tab w:leader="none" w:pos="9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Section 1.59 is hereby amended by adding the following clause to the end of the Section:</w:t>
      </w:r>
    </w:p>
    <w:p>
      <w:pPr>
        <w:spacing w:after="0" w:line="155"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however, that, notwithstanding anything to the contrary in this Agreement or the MDSA, Collaboration Know-How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80580" cy="127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31" w:name="page332"/>
    <w:bookmarkEnd w:id="331"/>
    <w:p>
      <w:pPr>
        <w:ind w:left="940" w:hanging="470"/>
        <w:spacing w:after="0"/>
        <w:tabs>
          <w:tab w:leader="none" w:pos="94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following definition is hereby added to the Agreement as Section 1.331:</w:t>
      </w:r>
    </w:p>
    <w:p>
      <w:pPr>
        <w:spacing w:after="0" w:line="151" w:lineRule="exact"/>
        <w:rPr>
          <w:rFonts w:ascii="Arial" w:cs="Arial" w:eastAsia="Arial" w:hAnsi="Arial"/>
          <w:sz w:val="16"/>
          <w:szCs w:val="16"/>
          <w:color w:val="auto"/>
        </w:rPr>
      </w:pPr>
    </w:p>
    <w:p>
      <w:pPr>
        <w:ind w:left="940"/>
        <w:spacing w:after="0" w:line="266"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External Sequencing Party</w:t>
      </w:r>
      <w:r>
        <w:rPr>
          <w:rFonts w:ascii="Arial" w:cs="Arial" w:eastAsia="Arial" w:hAnsi="Arial"/>
          <w:sz w:val="16"/>
          <w:szCs w:val="16"/>
          <w:color w:val="auto"/>
        </w:rPr>
        <w:t>’ means an entity other than BioNTech or Genentech that is selected by Genentech to conduct some or all of the Sequencing Manufacturing Project.”</w:t>
      </w:r>
    </w:p>
    <w:p>
      <w:pPr>
        <w:spacing w:after="0" w:line="116" w:lineRule="exact"/>
        <w:rPr>
          <w:rFonts w:ascii="Arial" w:cs="Arial" w:eastAsia="Arial" w:hAnsi="Arial"/>
          <w:sz w:val="16"/>
          <w:szCs w:val="16"/>
          <w:color w:val="auto"/>
        </w:rPr>
      </w:pPr>
    </w:p>
    <w:p>
      <w:pPr>
        <w:ind w:left="940" w:hanging="470"/>
        <w:spacing w:after="0"/>
        <w:tabs>
          <w:tab w:leader="none" w:pos="94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following definition is hereby added to the Agreement as Section 1.332:</w:t>
      </w:r>
    </w:p>
    <w:p>
      <w:pPr>
        <w:spacing w:after="0" w:line="151" w:lineRule="exact"/>
        <w:rPr>
          <w:rFonts w:ascii="Arial" w:cs="Arial" w:eastAsia="Arial" w:hAnsi="Arial"/>
          <w:sz w:val="16"/>
          <w:szCs w:val="16"/>
          <w:color w:val="auto"/>
        </w:rPr>
      </w:pPr>
    </w:p>
    <w:p>
      <w:pPr>
        <w:ind w:left="940"/>
        <w:spacing w:after="0" w:line="266"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RNA Manufacturing Know-How</w:t>
      </w:r>
      <w:r>
        <w:rPr>
          <w:rFonts w:ascii="Arial" w:cs="Arial" w:eastAsia="Arial" w:hAnsi="Arial"/>
          <w:sz w:val="16"/>
          <w:szCs w:val="16"/>
          <w:color w:val="auto"/>
        </w:rPr>
        <w:t>’ means all Know-How that is discovered, generated, conceived or reduced to practice by a Party (or any authorized Third Party acting on a Party’s behalf) solely or jointly in the course of conducting the RNA Manufacturing Projects.”</w:t>
      </w:r>
    </w:p>
    <w:p>
      <w:pPr>
        <w:spacing w:after="0" w:line="116" w:lineRule="exact"/>
        <w:rPr>
          <w:rFonts w:ascii="Arial" w:cs="Arial" w:eastAsia="Arial" w:hAnsi="Arial"/>
          <w:sz w:val="16"/>
          <w:szCs w:val="16"/>
          <w:color w:val="auto"/>
        </w:rPr>
      </w:pPr>
    </w:p>
    <w:p>
      <w:pPr>
        <w:ind w:left="940" w:hanging="470"/>
        <w:spacing w:after="0"/>
        <w:tabs>
          <w:tab w:leader="none" w:pos="94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following definition is hereby added to the Agreement as Section 1.333:</w:t>
      </w:r>
    </w:p>
    <w:p>
      <w:pPr>
        <w:spacing w:after="0" w:line="151" w:lineRule="exact"/>
        <w:rPr>
          <w:rFonts w:ascii="Arial" w:cs="Arial" w:eastAsia="Arial" w:hAnsi="Arial"/>
          <w:sz w:val="16"/>
          <w:szCs w:val="16"/>
          <w:color w:val="auto"/>
        </w:rPr>
      </w:pPr>
    </w:p>
    <w:p>
      <w:pPr>
        <w:ind w:left="940"/>
        <w:spacing w:after="0" w:line="266"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RNA Manufacturing Projects</w:t>
      </w:r>
      <w:r>
        <w:rPr>
          <w:rFonts w:ascii="Arial" w:cs="Arial" w:eastAsia="Arial" w:hAnsi="Arial"/>
          <w:sz w:val="16"/>
          <w:szCs w:val="16"/>
          <w:color w:val="auto"/>
        </w:rPr>
        <w:t xml:space="preserve">’ means the work packages for the Collaboration Products concerning RNA manufacturing process, [***] set forth in </w:t>
      </w:r>
      <w:r>
        <w:rPr>
          <w:rFonts w:ascii="Arial" w:cs="Arial" w:eastAsia="Arial" w:hAnsi="Arial"/>
          <w:sz w:val="16"/>
          <w:szCs w:val="16"/>
          <w:u w:val="single" w:color="auto"/>
          <w:color w:val="auto"/>
        </w:rPr>
        <w:t>Schedule 1.333</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ind w:left="940" w:hanging="470"/>
        <w:spacing w:after="0"/>
        <w:tabs>
          <w:tab w:leader="none" w:pos="94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following definition is hereby added to the Agreement as Section 1.334:</w:t>
      </w:r>
    </w:p>
    <w:p>
      <w:pPr>
        <w:spacing w:after="0" w:line="151" w:lineRule="exact"/>
        <w:rPr>
          <w:rFonts w:ascii="Arial" w:cs="Arial" w:eastAsia="Arial" w:hAnsi="Arial"/>
          <w:sz w:val="16"/>
          <w:szCs w:val="16"/>
          <w:color w:val="auto"/>
        </w:rPr>
      </w:pPr>
    </w:p>
    <w:p>
      <w:pPr>
        <w:ind w:left="940"/>
        <w:spacing w:after="0" w:line="266"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Sequencing Manufacturing IP</w:t>
      </w:r>
      <w:r>
        <w:rPr>
          <w:rFonts w:ascii="Arial" w:cs="Arial" w:eastAsia="Arial" w:hAnsi="Arial"/>
          <w:sz w:val="16"/>
          <w:szCs w:val="16"/>
          <w:color w:val="auto"/>
        </w:rPr>
        <w:t>’ means the Sequencing Manufacturing Know-How and all Patents that claim any such Sequencing Manufacturing Know-How.”</w:t>
      </w:r>
    </w:p>
    <w:p>
      <w:pPr>
        <w:spacing w:after="0" w:line="116" w:lineRule="exact"/>
        <w:rPr>
          <w:rFonts w:ascii="Arial" w:cs="Arial" w:eastAsia="Arial" w:hAnsi="Arial"/>
          <w:sz w:val="16"/>
          <w:szCs w:val="16"/>
          <w:color w:val="auto"/>
        </w:rPr>
      </w:pPr>
    </w:p>
    <w:p>
      <w:pPr>
        <w:ind w:left="940" w:hanging="470"/>
        <w:spacing w:after="0"/>
        <w:tabs>
          <w:tab w:leader="none" w:pos="94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following definition is hereby added to the Agreement as Section 1.335:</w:t>
      </w:r>
    </w:p>
    <w:p>
      <w:pPr>
        <w:spacing w:after="0" w:line="151" w:lineRule="exact"/>
        <w:rPr>
          <w:rFonts w:ascii="Arial" w:cs="Arial" w:eastAsia="Arial" w:hAnsi="Arial"/>
          <w:sz w:val="16"/>
          <w:szCs w:val="16"/>
          <w:color w:val="auto"/>
        </w:rPr>
      </w:pPr>
    </w:p>
    <w:p>
      <w:pPr>
        <w:jc w:val="both"/>
        <w:ind w:left="940"/>
        <w:spacing w:after="0" w:line="250"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Sequencing Manufacturing Know-How</w:t>
      </w:r>
      <w:r>
        <w:rPr>
          <w:rFonts w:ascii="Arial" w:cs="Arial" w:eastAsia="Arial" w:hAnsi="Arial"/>
          <w:sz w:val="16"/>
          <w:szCs w:val="16"/>
          <w:color w:val="auto"/>
        </w:rPr>
        <w:t>’ means all Know-How that is discovered, generated, conceived or reduced to practice by Genentech or by the External Sequencing Party on a Party’s behalf (whether solely or jointly with a Party) in the course of conducting any activities in connection with the Sequencing Manufacturing Project.”</w:t>
      </w:r>
    </w:p>
    <w:p>
      <w:pPr>
        <w:spacing w:after="0" w:line="128" w:lineRule="exact"/>
        <w:rPr>
          <w:rFonts w:ascii="Arial" w:cs="Arial" w:eastAsia="Arial" w:hAnsi="Arial"/>
          <w:sz w:val="16"/>
          <w:szCs w:val="16"/>
          <w:color w:val="auto"/>
        </w:rPr>
      </w:pPr>
    </w:p>
    <w:p>
      <w:pPr>
        <w:ind w:left="940" w:hanging="470"/>
        <w:spacing w:after="0"/>
        <w:tabs>
          <w:tab w:leader="none" w:pos="94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following definition is hereby added to the Agreement as Section 1.336:</w:t>
      </w:r>
    </w:p>
    <w:p>
      <w:pPr>
        <w:spacing w:after="0" w:line="151"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5"/>
          <w:szCs w:val="15"/>
          <w:color w:val="auto"/>
        </w:rPr>
        <w:t>“‘</w:t>
      </w:r>
      <w:r>
        <w:rPr>
          <w:rFonts w:ascii="Arial" w:cs="Arial" w:eastAsia="Arial" w:hAnsi="Arial"/>
          <w:sz w:val="15"/>
          <w:szCs w:val="15"/>
          <w:b w:val="1"/>
          <w:bCs w:val="1"/>
          <w:color w:val="auto"/>
        </w:rPr>
        <w:t>Sequencing Manufacturing Project</w:t>
      </w:r>
      <w:r>
        <w:rPr>
          <w:rFonts w:ascii="Arial" w:cs="Arial" w:eastAsia="Arial" w:hAnsi="Arial"/>
          <w:sz w:val="15"/>
          <w:szCs w:val="15"/>
          <w:color w:val="auto"/>
        </w:rPr>
        <w:t>’ means the development of the upstream portion of the Manufacturing Process for Commercial Manufacturing [***].”</w:t>
      </w:r>
    </w:p>
    <w:p>
      <w:pPr>
        <w:spacing w:after="0" w:line="167" w:lineRule="exact"/>
        <w:rPr>
          <w:rFonts w:ascii="Arial" w:cs="Arial" w:eastAsia="Arial" w:hAnsi="Arial"/>
          <w:sz w:val="16"/>
          <w:szCs w:val="16"/>
          <w:color w:val="auto"/>
        </w:rPr>
      </w:pPr>
    </w:p>
    <w:p>
      <w:pPr>
        <w:ind w:left="480" w:hanging="480"/>
        <w:spacing w:after="0"/>
        <w:tabs>
          <w:tab w:leader="none" w:pos="480" w:val="left"/>
        </w:tabs>
        <w:numPr>
          <w:ilvl w:val="0"/>
          <w:numId w:val="357"/>
        </w:numPr>
        <w:rPr>
          <w:rFonts w:ascii="Arial" w:cs="Arial" w:eastAsia="Arial" w:hAnsi="Arial"/>
          <w:sz w:val="16"/>
          <w:szCs w:val="16"/>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 The schedule attached hereto as Exhibit A is hereby incorporated into the Agreement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1.333</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jc w:val="both"/>
        <w:ind w:left="480" w:hanging="480"/>
        <w:spacing w:after="0"/>
        <w:tabs>
          <w:tab w:leader="none" w:pos="480" w:val="left"/>
        </w:tabs>
        <w:numPr>
          <w:ilvl w:val="0"/>
          <w:numId w:val="357"/>
        </w:numPr>
        <w:rPr>
          <w:rFonts w:ascii="Arial" w:cs="Arial" w:eastAsia="Arial" w:hAnsi="Arial"/>
          <w:sz w:val="16"/>
          <w:szCs w:val="16"/>
          <w:color w:val="auto"/>
        </w:rPr>
      </w:pPr>
      <w:r>
        <w:rPr>
          <w:rFonts w:ascii="Arial" w:cs="Arial" w:eastAsia="Arial" w:hAnsi="Arial"/>
          <w:sz w:val="16"/>
          <w:szCs w:val="16"/>
          <w:b w:val="1"/>
          <w:bCs w:val="1"/>
          <w:color w:val="auto"/>
        </w:rPr>
        <w:t>Amendment of the CMC Development Plan</w:t>
      </w:r>
      <w:r>
        <w:rPr>
          <w:rFonts w:ascii="Arial" w:cs="Arial" w:eastAsia="Arial" w:hAnsi="Arial"/>
          <w:sz w:val="16"/>
          <w:szCs w:val="16"/>
          <w:color w:val="auto"/>
        </w:rPr>
        <w:t>. For each RNA Manufacturing Project, the Parties hereby agree that they will (a) agree upon a written project plan for</w:t>
      </w:r>
      <w:r>
        <w:rPr>
          <w:rFonts w:ascii="Arial" w:cs="Arial" w:eastAsia="Arial" w:hAnsi="Arial"/>
          <w:sz w:val="16"/>
          <w:szCs w:val="16"/>
          <w:b w:val="1"/>
          <w:bCs w:val="1"/>
          <w:color w:val="auto"/>
        </w:rPr>
        <w:t xml:space="preserve"> </w:t>
      </w:r>
      <w:r>
        <w:rPr>
          <w:rFonts w:ascii="Arial" w:cs="Arial" w:eastAsia="Arial" w:hAnsi="Arial"/>
          <w:sz w:val="16"/>
          <w:szCs w:val="16"/>
          <w:color w:val="auto"/>
        </w:rPr>
        <w:t>such RNA Manufacturing Project, which will set forth the scope of work to be performed by each Party, deliverables, time schedule and budget (including required FTEs, equipment and other resources), (b) promptly amend the CMC Development Plan to include such agreed-upon project plan for such RNA Manufacturing Project, and (c) conduct such RNA Manufacturing Project in accordance with such project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80580" cy="127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43" w:right="319" w:bottom="1440" w:gutter="0" w:footer="0" w:header="0"/>
        </w:sectPr>
      </w:pPr>
    </w:p>
    <w:bookmarkStart w:id="332" w:name="page333"/>
    <w:bookmarkEnd w:id="332"/>
    <w:p>
      <w:pPr>
        <w:ind w:left="480"/>
        <w:spacing w:after="0"/>
        <w:rPr>
          <w:sz w:val="20"/>
          <w:szCs w:val="20"/>
          <w:color w:val="auto"/>
        </w:rPr>
      </w:pPr>
      <w:r>
        <w:rPr>
          <w:rFonts w:ascii="Arial" w:cs="Arial" w:eastAsia="Arial" w:hAnsi="Arial"/>
          <w:sz w:val="16"/>
          <w:szCs w:val="16"/>
          <w:color w:val="auto"/>
        </w:rPr>
        <w:t>Notwithstanding the foregoing, in the event that the Parties are unable to agree on such written project plan [***].</w:t>
      </w:r>
    </w:p>
    <w:p>
      <w:pPr>
        <w:spacing w:after="0" w:line="152" w:lineRule="exact"/>
        <w:rPr>
          <w:sz w:val="20"/>
          <w:szCs w:val="20"/>
          <w:color w:val="auto"/>
        </w:rPr>
      </w:pPr>
    </w:p>
    <w:p>
      <w:pPr>
        <w:ind w:left="480" w:right="3600" w:hanging="480"/>
        <w:spacing w:after="0" w:line="443" w:lineRule="auto"/>
        <w:tabs>
          <w:tab w:leader="none" w:pos="479" w:val="left"/>
        </w:tabs>
        <w:numPr>
          <w:ilvl w:val="0"/>
          <w:numId w:val="358"/>
        </w:numPr>
        <w:rPr>
          <w:rFonts w:ascii="Arial" w:cs="Arial" w:eastAsia="Arial" w:hAnsi="Arial"/>
          <w:sz w:val="16"/>
          <w:szCs w:val="16"/>
          <w:color w:val="auto"/>
        </w:rPr>
      </w:pPr>
      <w:r>
        <w:rPr>
          <w:rFonts w:ascii="Arial" w:cs="Arial" w:eastAsia="Arial" w:hAnsi="Arial"/>
          <w:sz w:val="16"/>
          <w:szCs w:val="16"/>
          <w:b w:val="1"/>
          <w:bCs w:val="1"/>
          <w:color w:val="auto"/>
        </w:rPr>
        <w:t>Decision-Making</w:t>
      </w:r>
      <w:r>
        <w:rPr>
          <w:rFonts w:ascii="Arial" w:cs="Arial" w:eastAsia="Arial" w:hAnsi="Arial"/>
          <w:sz w:val="16"/>
          <w:szCs w:val="16"/>
          <w:color w:val="auto"/>
        </w:rPr>
        <w:t>. Section 2.8.2(g) is hereby amended by adding the following clause to the end of the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ind w:left="480" w:right="1760" w:hanging="480"/>
        <w:spacing w:after="0" w:line="443" w:lineRule="auto"/>
        <w:tabs>
          <w:tab w:leader="none" w:pos="479" w:val="left"/>
        </w:tabs>
        <w:numPr>
          <w:ilvl w:val="0"/>
          <w:numId w:val="358"/>
        </w:numPr>
        <w:rPr>
          <w:rFonts w:ascii="Arial" w:cs="Arial" w:eastAsia="Arial" w:hAnsi="Arial"/>
          <w:sz w:val="16"/>
          <w:szCs w:val="16"/>
          <w:color w:val="auto"/>
        </w:rPr>
      </w:pPr>
      <w:r>
        <w:rPr>
          <w:rFonts w:ascii="Arial" w:cs="Arial" w:eastAsia="Arial" w:hAnsi="Arial"/>
          <w:sz w:val="16"/>
          <w:szCs w:val="16"/>
          <w:b w:val="1"/>
          <w:bCs w:val="1"/>
          <w:color w:val="auto"/>
        </w:rPr>
        <w:t>Sequencing Manufacturing by the External Sequencing Party</w:t>
      </w:r>
      <w:r>
        <w:rPr>
          <w:rFonts w:ascii="Arial" w:cs="Arial" w:eastAsia="Arial" w:hAnsi="Arial"/>
          <w:sz w:val="16"/>
          <w:szCs w:val="16"/>
          <w:color w:val="auto"/>
        </w:rPr>
        <w:t>. The following provision is hereby added to the Agreement as Section 7.4:</w:t>
      </w:r>
      <w:r>
        <w:rPr>
          <w:rFonts w:ascii="Arial" w:cs="Arial" w:eastAsia="Arial" w:hAnsi="Arial"/>
          <w:sz w:val="16"/>
          <w:szCs w:val="16"/>
          <w:b w:val="1"/>
          <w:bCs w:val="1"/>
          <w:color w:val="auto"/>
        </w:rPr>
        <w:t xml:space="preserve"> “Sequencing Manufacturing by the External Sequencing Party</w:t>
      </w:r>
      <w:r>
        <w:rPr>
          <w:rFonts w:ascii="Arial" w:cs="Arial" w:eastAsia="Arial" w:hAnsi="Arial"/>
          <w:sz w:val="16"/>
          <w:szCs w:val="16"/>
          <w:color w:val="auto"/>
        </w:rPr>
        <w:t>.</w:t>
      </w:r>
    </w:p>
    <w:p>
      <w:pPr>
        <w:spacing w:after="0" w:line="1" w:lineRule="exact"/>
        <w:rPr>
          <w:sz w:val="20"/>
          <w:szCs w:val="20"/>
          <w:color w:val="auto"/>
        </w:rPr>
      </w:pPr>
    </w:p>
    <w:p>
      <w:pPr>
        <w:jc w:val="both"/>
        <w:ind w:left="480" w:firstLine="451"/>
        <w:spacing w:after="0" w:line="245" w:lineRule="auto"/>
        <w:rPr>
          <w:sz w:val="20"/>
          <w:szCs w:val="20"/>
          <w:color w:val="auto"/>
        </w:rPr>
      </w:pPr>
      <w:r>
        <w:rPr>
          <w:rFonts w:ascii="Arial" w:cs="Arial" w:eastAsia="Arial" w:hAnsi="Arial"/>
          <w:sz w:val="16"/>
          <w:szCs w:val="16"/>
          <w:b w:val="1"/>
          <w:bCs w:val="1"/>
          <w:color w:val="auto"/>
        </w:rPr>
        <w:t>7.4.1 Sequencing Manufacturing Project</w:t>
      </w:r>
      <w:r>
        <w:rPr>
          <w:rFonts w:ascii="Arial" w:cs="Arial" w:eastAsia="Arial" w:hAnsi="Arial"/>
          <w:sz w:val="16"/>
          <w:szCs w:val="16"/>
          <w:color w:val="auto"/>
        </w:rPr>
        <w:t>. Notwithstanding anything to the contrary in this Agreement (including Sections 7.1 and 7.2) or the MDSA,</w:t>
      </w:r>
      <w:r>
        <w:rPr>
          <w:rFonts w:ascii="Arial" w:cs="Arial" w:eastAsia="Arial" w:hAnsi="Arial"/>
          <w:sz w:val="16"/>
          <w:szCs w:val="16"/>
          <w:b w:val="1"/>
          <w:bCs w:val="1"/>
          <w:color w:val="auto"/>
        </w:rPr>
        <w:t xml:space="preserve"> </w:t>
      </w:r>
      <w:r>
        <w:rPr>
          <w:rFonts w:ascii="Arial" w:cs="Arial" w:eastAsia="Arial" w:hAnsi="Arial"/>
          <w:sz w:val="16"/>
          <w:szCs w:val="16"/>
          <w:color w:val="auto"/>
        </w:rPr>
        <w:t>Genentech shall have the sole right and responsibility for the performance of the Sequencing Manufacturing Project, at its discretion (subject to Sections 7.4.2 and 10.2.5), and may use the External Sequencing Party to conduct some or all of the Sequencing Manufacturing Project. Genentech shall ensure that the Sequencing Manufacturing Project is designed to deliver, and shall use commercially reasonable efforts to deliver, [***].</w:t>
      </w:r>
    </w:p>
    <w:p>
      <w:pPr>
        <w:spacing w:after="0" w:line="129" w:lineRule="exact"/>
        <w:rPr>
          <w:sz w:val="20"/>
          <w:szCs w:val="20"/>
          <w:color w:val="auto"/>
        </w:rPr>
      </w:pPr>
    </w:p>
    <w:p>
      <w:pPr>
        <w:jc w:val="both"/>
        <w:ind w:left="480" w:firstLine="451"/>
        <w:spacing w:after="0" w:line="267" w:lineRule="auto"/>
        <w:rPr>
          <w:sz w:val="20"/>
          <w:szCs w:val="20"/>
          <w:color w:val="auto"/>
        </w:rPr>
      </w:pPr>
      <w:r>
        <w:rPr>
          <w:rFonts w:ascii="Arial" w:cs="Arial" w:eastAsia="Arial" w:hAnsi="Arial"/>
          <w:sz w:val="15"/>
          <w:szCs w:val="15"/>
          <w:b w:val="1"/>
          <w:bCs w:val="1"/>
          <w:color w:val="auto"/>
        </w:rPr>
        <w:t>7.4.2 Use of External Sequencing Party by BioNTech</w:t>
      </w:r>
      <w:r>
        <w:rPr>
          <w:rFonts w:ascii="Arial" w:cs="Arial" w:eastAsia="Arial" w:hAnsi="Arial"/>
          <w:sz w:val="15"/>
          <w:szCs w:val="15"/>
          <w:color w:val="auto"/>
        </w:rPr>
        <w:t>. If in connection with BioNTech’s Development of a BioNTech Indication or BioNTech’s</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or Commercialization of Reversion Products pursuant to Section 14.5.4, in each case, in accordance with (and subject to the terms and conditions of) this Agreement, BioNTech desires to use the External Sequencing Party that Genentech is using to perform the sequencing for the upstream portion of the Manufacturing Process for Commercial Manufacturing [***], Genentech will [***] in the case of BioNTech Indications, or [***] in the case of Reversion Products.’</w:t>
      </w:r>
    </w:p>
    <w:p>
      <w:pPr>
        <w:spacing w:after="0" w:line="112" w:lineRule="exact"/>
        <w:rPr>
          <w:sz w:val="20"/>
          <w:szCs w:val="20"/>
          <w:color w:val="auto"/>
        </w:rPr>
      </w:pPr>
    </w:p>
    <w:p>
      <w:pPr>
        <w:ind w:left="480" w:hanging="480"/>
        <w:spacing w:after="0"/>
        <w:tabs>
          <w:tab w:leader="none" w:pos="480" w:val="left"/>
        </w:tabs>
        <w:numPr>
          <w:ilvl w:val="0"/>
          <w:numId w:val="359"/>
        </w:numPr>
        <w:rPr>
          <w:rFonts w:ascii="Arial" w:cs="Arial" w:eastAsia="Arial" w:hAnsi="Arial"/>
          <w:sz w:val="16"/>
          <w:szCs w:val="16"/>
          <w:color w:val="auto"/>
        </w:rPr>
      </w:pPr>
      <w:r>
        <w:rPr>
          <w:rFonts w:ascii="Arial" w:cs="Arial" w:eastAsia="Arial" w:hAnsi="Arial"/>
          <w:sz w:val="16"/>
          <w:szCs w:val="16"/>
          <w:b w:val="1"/>
          <w:bCs w:val="1"/>
          <w:color w:val="auto"/>
        </w:rPr>
        <w:t>Costs</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left="940" w:hanging="470"/>
        <w:spacing w:after="0"/>
        <w:tabs>
          <w:tab w:leader="none" w:pos="94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following provision is hereby added to the Agreement as Section 8.2.8:</w:t>
      </w:r>
    </w:p>
    <w:p>
      <w:pPr>
        <w:spacing w:after="0" w:line="151" w:lineRule="exact"/>
        <w:rPr>
          <w:rFonts w:ascii="Arial" w:cs="Arial" w:eastAsia="Arial" w:hAnsi="Arial"/>
          <w:sz w:val="16"/>
          <w:szCs w:val="16"/>
          <w:color w:val="auto"/>
        </w:rPr>
      </w:pPr>
    </w:p>
    <w:p>
      <w:pPr>
        <w:jc w:val="both"/>
        <w:ind w:left="940"/>
        <w:spacing w:after="0" w:line="277" w:lineRule="auto"/>
        <w:rPr>
          <w:rFonts w:ascii="Arial" w:cs="Arial" w:eastAsia="Arial" w:hAnsi="Arial"/>
          <w:sz w:val="16"/>
          <w:szCs w:val="16"/>
          <w:color w:val="auto"/>
        </w:rPr>
      </w:pPr>
      <w:r>
        <w:rPr>
          <w:rFonts w:ascii="Arial" w:cs="Arial" w:eastAsia="Arial" w:hAnsi="Arial"/>
          <w:sz w:val="14"/>
          <w:szCs w:val="14"/>
          <w:color w:val="auto"/>
        </w:rPr>
        <w:t>“</w:t>
      </w:r>
      <w:r>
        <w:rPr>
          <w:rFonts w:ascii="Arial" w:cs="Arial" w:eastAsia="Arial" w:hAnsi="Arial"/>
          <w:sz w:val="14"/>
          <w:szCs w:val="14"/>
          <w:b w:val="1"/>
          <w:bCs w:val="1"/>
          <w:color w:val="auto"/>
        </w:rPr>
        <w:t>RNA Manufacturing Project Costs</w:t>
      </w:r>
      <w:r>
        <w:rPr>
          <w:rFonts w:ascii="Arial" w:cs="Arial" w:eastAsia="Arial" w:hAnsi="Arial"/>
          <w:sz w:val="14"/>
          <w:szCs w:val="14"/>
          <w:color w:val="auto"/>
        </w:rPr>
        <w:t>. BioNTech shall be solely responsible for, and shall bear, all CMC Development Costs incurred by or on behalf of BioNTech or Genentech in the performance of activities pursuant to a RNA Manufacturing Project. In the event that Genentech incurs CMC Development Costs in connection with an RNA Manufacturing Project, such costs shall be reported to, and reimbursed by, BioNTech as part of the reconciliation process set forth in</w:t>
      </w:r>
    </w:p>
    <w:p>
      <w:pPr>
        <w:jc w:val="both"/>
        <w:ind w:left="940"/>
        <w:spacing w:after="0" w:line="234" w:lineRule="auto"/>
        <w:rPr>
          <w:sz w:val="20"/>
          <w:szCs w:val="20"/>
          <w:color w:val="auto"/>
        </w:rPr>
      </w:pPr>
      <w:r>
        <w:rPr>
          <w:rFonts w:ascii="Arial" w:cs="Arial" w:eastAsia="Arial" w:hAnsi="Arial"/>
          <w:sz w:val="16"/>
          <w:szCs w:val="16"/>
          <w:color w:val="auto"/>
        </w:rPr>
        <w:t>Sections 8.2.6 and 8.2.7. Genentech may offset the amounts of any invoices for such reconciled costs not paid in accordance with Section 8.2.7 from any payments due to BioNTech pursuant to Sections 8.4.1 and 8.7. Notwithstanding the foregoing, for any portion of such CMC Development Costs that both (a) are incurred by or on behalf of Genentech in excess of [***] percent ([***]%) of the budget set forth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180580" cy="127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43" w:right="319" w:bottom="1440" w:gutter="0" w:footer="0" w:header="0"/>
        </w:sectPr>
      </w:pPr>
    </w:p>
    <w:bookmarkStart w:id="333" w:name="page334"/>
    <w:bookmarkEnd w:id="333"/>
    <w:p>
      <w:pPr>
        <w:jc w:val="both"/>
        <w:ind w:left="940"/>
        <w:spacing w:after="0" w:line="272" w:lineRule="auto"/>
        <w:rPr>
          <w:sz w:val="20"/>
          <w:szCs w:val="20"/>
          <w:color w:val="auto"/>
        </w:rPr>
      </w:pPr>
      <w:r>
        <w:rPr>
          <w:rFonts w:ascii="Arial" w:cs="Arial" w:eastAsia="Arial" w:hAnsi="Arial"/>
          <w:sz w:val="15"/>
          <w:szCs w:val="15"/>
          <w:color w:val="auto"/>
        </w:rPr>
        <w:t>in the CMC Development Plan for activities allocated to Genentech pursuant to such RNA Manufacturing Project, and (b) have not been approved by BioNTech in advance, Genentech shall bear such portion of the CMC Development Costs. For clarity, the costs of implementing any processes or developments made under an RNA Manufacturing Project into the Manufacturing Process for a Collaboration Product shall be Shared Development Costs.”</w:t>
      </w:r>
    </w:p>
    <w:p>
      <w:pPr>
        <w:spacing w:after="0" w:line="113" w:lineRule="exact"/>
        <w:rPr>
          <w:sz w:val="20"/>
          <w:szCs w:val="20"/>
          <w:color w:val="auto"/>
        </w:rPr>
      </w:pPr>
    </w:p>
    <w:p>
      <w:pPr>
        <w:ind w:left="940" w:hanging="470"/>
        <w:spacing w:after="0"/>
        <w:tabs>
          <w:tab w:leader="none" w:pos="94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 following provision is hereby added to the Agreement as Section 8.2.9:</w:t>
      </w:r>
    </w:p>
    <w:p>
      <w:pPr>
        <w:spacing w:after="0" w:line="151" w:lineRule="exact"/>
        <w:rPr>
          <w:rFonts w:ascii="Arial" w:cs="Arial" w:eastAsia="Arial" w:hAnsi="Arial"/>
          <w:sz w:val="16"/>
          <w:szCs w:val="16"/>
          <w:color w:val="auto"/>
        </w:rPr>
      </w:pPr>
    </w:p>
    <w:p>
      <w:pPr>
        <w:ind w:left="940"/>
        <w:spacing w:after="0" w:line="266"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Sequencing Manufacturing Project</w:t>
      </w:r>
      <w:r>
        <w:rPr>
          <w:rFonts w:ascii="Arial" w:cs="Arial" w:eastAsia="Arial" w:hAnsi="Arial"/>
          <w:sz w:val="16"/>
          <w:szCs w:val="16"/>
          <w:color w:val="auto"/>
        </w:rPr>
        <w:t>. Genentech shall be solely responsible for, and shall bear, all Development Costs incurred by it and its Affiliates for the performance of the Sequencing Manufacturing Project by Genentech, its Affiliates or the External Sequencing Party.”</w:t>
      </w:r>
    </w:p>
    <w:p>
      <w:pPr>
        <w:spacing w:after="0" w:line="112" w:lineRule="exact"/>
        <w:rPr>
          <w:rFonts w:ascii="Arial" w:cs="Arial" w:eastAsia="Arial" w:hAnsi="Arial"/>
          <w:sz w:val="16"/>
          <w:szCs w:val="16"/>
          <w:color w:val="auto"/>
        </w:rPr>
      </w:pPr>
    </w:p>
    <w:p>
      <w:pPr>
        <w:ind w:left="480" w:hanging="480"/>
        <w:spacing w:after="0"/>
        <w:tabs>
          <w:tab w:leader="none" w:pos="480" w:val="left"/>
        </w:tabs>
        <w:numPr>
          <w:ilvl w:val="0"/>
          <w:numId w:val="361"/>
        </w:numPr>
        <w:rPr>
          <w:rFonts w:ascii="Arial" w:cs="Arial" w:eastAsia="Arial" w:hAnsi="Arial"/>
          <w:sz w:val="16"/>
          <w:szCs w:val="16"/>
          <w:color w:val="auto"/>
        </w:rPr>
      </w:pPr>
      <w:r>
        <w:rPr>
          <w:rFonts w:ascii="Arial" w:cs="Arial" w:eastAsia="Arial" w:hAnsi="Arial"/>
          <w:sz w:val="16"/>
          <w:szCs w:val="16"/>
          <w:b w:val="1"/>
          <w:bCs w:val="1"/>
          <w:color w:val="auto"/>
        </w:rPr>
        <w:t>Intellectual Property</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ind w:left="940" w:right="5320" w:hanging="470"/>
        <w:spacing w:after="0" w:line="443" w:lineRule="auto"/>
        <w:tabs>
          <w:tab w:leader="none" w:pos="94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The following is provision is hereby added to Section 10.2.1 as subsection (d): “[***]”</w:t>
      </w:r>
    </w:p>
    <w:p>
      <w:pPr>
        <w:ind w:left="940" w:right="5420" w:hanging="470"/>
        <w:spacing w:after="0" w:line="440" w:lineRule="auto"/>
        <w:tabs>
          <w:tab w:leader="none" w:pos="94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The following provision is hereby added to the Agreement as Section 10.2.5: “[***]”</w:t>
      </w:r>
    </w:p>
    <w:p>
      <w:pPr>
        <w:spacing w:after="0" w:line="1" w:lineRule="exact"/>
        <w:rPr>
          <w:rFonts w:ascii="Arial" w:cs="Arial" w:eastAsia="Arial" w:hAnsi="Arial"/>
          <w:sz w:val="16"/>
          <w:szCs w:val="16"/>
          <w:color w:val="auto"/>
        </w:rPr>
      </w:pPr>
    </w:p>
    <w:p>
      <w:pPr>
        <w:jc w:val="both"/>
        <w:ind w:left="480" w:hanging="480"/>
        <w:spacing w:after="0" w:line="245" w:lineRule="auto"/>
        <w:tabs>
          <w:tab w:leader="none" w:pos="480" w:val="left"/>
        </w:tabs>
        <w:numPr>
          <w:ilvl w:val="0"/>
          <w:numId w:val="361"/>
        </w:numPr>
        <w:rPr>
          <w:rFonts w:ascii="Arial" w:cs="Arial" w:eastAsia="Arial" w:hAnsi="Arial"/>
          <w:sz w:val="16"/>
          <w:szCs w:val="16"/>
          <w:color w:val="auto"/>
        </w:rPr>
      </w:pPr>
      <w:r>
        <w:rPr>
          <w:rFonts w:ascii="Arial" w:cs="Arial" w:eastAsia="Arial" w:hAnsi="Arial"/>
          <w:sz w:val="16"/>
          <w:szCs w:val="16"/>
          <w:b w:val="1"/>
          <w:bCs w:val="1"/>
          <w:color w:val="auto"/>
        </w:rPr>
        <w:t>Survival of Agreement Terms</w:t>
      </w:r>
      <w:r>
        <w:rPr>
          <w:rFonts w:ascii="Arial" w:cs="Arial" w:eastAsia="Arial" w:hAnsi="Arial"/>
          <w:sz w:val="16"/>
          <w:szCs w:val="16"/>
          <w:color w:val="auto"/>
        </w:rPr>
        <w:t>. All terms and conditions of the Agreement not modified by this Second Amendment shall continue in full force and effect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their terms. All capitalized terms not otherwise defined herein shall have the same definition as in the Agreement. In the event of any conflict between the terms and conditions of this Second Amendment and the Agreement, the terms and conditions set forth in this Second Amendment shall control with respect to the subject matter hereof.</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the page intentionally left blank; signature page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180580" cy="127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442" w:right="319" w:bottom="1440" w:gutter="0" w:footer="0" w:header="0"/>
        </w:sectPr>
      </w:pPr>
    </w:p>
    <w:bookmarkStart w:id="334" w:name="page335"/>
    <w:bookmarkEnd w:id="334"/>
    <w:p>
      <w:pPr>
        <w:spacing w:after="0"/>
        <w:rPr>
          <w:sz w:val="20"/>
          <w:szCs w:val="20"/>
          <w:color w:val="auto"/>
        </w:rPr>
      </w:pPr>
      <w:r>
        <w:rPr>
          <w:rFonts w:ascii="Arial" w:cs="Arial" w:eastAsia="Arial" w:hAnsi="Arial"/>
          <w:sz w:val="16"/>
          <w:szCs w:val="16"/>
          <w:color w:val="auto"/>
        </w:rPr>
        <w:t>IN WITNESS WHEREOF, the Parties have each caused this Second Amendment to be executed by their duly authorized representatives.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20"/>
                <w:szCs w:val="20"/>
                <w:color w:val="auto"/>
              </w:rPr>
            </w:pPr>
            <w:r>
              <w:rPr>
                <w:rFonts w:ascii="Arial" w:cs="Arial" w:eastAsia="Arial" w:hAnsi="Arial"/>
                <w:sz w:val="16"/>
                <w:szCs w:val="16"/>
                <w:b w:val="1"/>
                <w:bCs w:val="1"/>
                <w:color w:val="auto"/>
              </w:rPr>
              <w:t>GENENTECH, INC.</w:t>
            </w:r>
          </w:p>
        </w:tc>
        <w:tc>
          <w:tcPr>
            <w:tcW w:w="7320" w:type="dxa"/>
            <w:vAlign w:val="bottom"/>
          </w:tcPr>
          <w:p>
            <w:pPr>
              <w:ind w:left="1660"/>
              <w:spacing w:after="0"/>
              <w:rPr>
                <w:sz w:val="20"/>
                <w:szCs w:val="20"/>
                <w:color w:val="auto"/>
              </w:rPr>
            </w:pPr>
            <w:r>
              <w:rPr>
                <w:rFonts w:ascii="Arial" w:cs="Arial" w:eastAsia="Arial" w:hAnsi="Arial"/>
                <w:sz w:val="16"/>
                <w:szCs w:val="16"/>
                <w:b w:val="1"/>
                <w:bCs w:val="1"/>
                <w:color w:val="auto"/>
              </w:rPr>
              <w:t>BIONTECH RNA</w:t>
            </w:r>
          </w:p>
        </w:tc>
      </w:tr>
      <w:tr>
        <w:trPr>
          <w:trHeight w:val="209"/>
        </w:trPr>
        <w:tc>
          <w:tcPr>
            <w:tcW w:w="3980" w:type="dxa"/>
            <w:vAlign w:val="bottom"/>
          </w:tcPr>
          <w:p>
            <w:pPr>
              <w:spacing w:after="0"/>
              <w:rPr>
                <w:sz w:val="18"/>
                <w:szCs w:val="18"/>
                <w:color w:val="auto"/>
              </w:rPr>
            </w:pPr>
          </w:p>
        </w:tc>
        <w:tc>
          <w:tcPr>
            <w:tcW w:w="7320" w:type="dxa"/>
            <w:vAlign w:val="bottom"/>
          </w:tcPr>
          <w:p>
            <w:pPr>
              <w:ind w:left="1660"/>
              <w:spacing w:after="0"/>
              <w:rPr>
                <w:sz w:val="20"/>
                <w:szCs w:val="20"/>
                <w:color w:val="auto"/>
              </w:rPr>
            </w:pPr>
            <w:r>
              <w:rPr>
                <w:rFonts w:ascii="Arial" w:cs="Arial" w:eastAsia="Arial" w:hAnsi="Arial"/>
                <w:sz w:val="16"/>
                <w:szCs w:val="16"/>
                <w:b w:val="1"/>
                <w:bCs w:val="1"/>
                <w:color w:val="auto"/>
              </w:rPr>
              <w:t>PHARMACEUTICALS GMBH</w:t>
            </w: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By:</w:t>
            </w:r>
          </w:p>
        </w:tc>
        <w:tc>
          <w:tcPr>
            <w:tcW w:w="7320" w:type="dxa"/>
            <w:vAlign w:val="bottom"/>
          </w:tcPr>
          <w:p>
            <w:pPr>
              <w:ind w:left="1660"/>
              <w:spacing w:after="0"/>
              <w:rPr>
                <w:sz w:val="20"/>
                <w:szCs w:val="20"/>
                <w:color w:val="auto"/>
              </w:rPr>
            </w:pPr>
            <w:r>
              <w:rPr>
                <w:rFonts w:ascii="Arial" w:cs="Arial" w:eastAsia="Arial" w:hAnsi="Arial"/>
                <w:sz w:val="16"/>
                <w:szCs w:val="16"/>
                <w:color w:val="auto"/>
              </w:rPr>
              <w:t>By:</w:t>
            </w: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Name:</w:t>
            </w:r>
          </w:p>
        </w:tc>
        <w:tc>
          <w:tcPr>
            <w:tcW w:w="7320" w:type="dxa"/>
            <w:vAlign w:val="bottom"/>
          </w:tcPr>
          <w:p>
            <w:pPr>
              <w:spacing w:after="0"/>
              <w:rPr>
                <w:sz w:val="24"/>
                <w:szCs w:val="24"/>
                <w:color w:val="auto"/>
              </w:rPr>
            </w:pP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Name:Name:</w:t>
            </w:r>
          </w:p>
        </w:tc>
        <w:tc>
          <w:tcPr>
            <w:tcW w:w="7320" w:type="dxa"/>
            <w:vAlign w:val="bottom"/>
          </w:tcPr>
          <w:p>
            <w:pPr>
              <w:spacing w:after="0"/>
              <w:rPr>
                <w:sz w:val="24"/>
                <w:szCs w:val="24"/>
                <w:color w:val="auto"/>
              </w:rPr>
            </w:pP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Title:</w:t>
            </w:r>
          </w:p>
        </w:tc>
        <w:tc>
          <w:tcPr>
            <w:tcW w:w="7320" w:type="dxa"/>
            <w:vAlign w:val="bottom"/>
          </w:tcPr>
          <w:p>
            <w:pPr>
              <w:spacing w:after="0"/>
              <w:rPr>
                <w:sz w:val="24"/>
                <w:szCs w:val="24"/>
                <w:color w:val="auto"/>
              </w:rPr>
            </w:pPr>
          </w:p>
        </w:tc>
      </w:tr>
      <w:tr>
        <w:trPr>
          <w:trHeight w:val="340"/>
        </w:trPr>
        <w:tc>
          <w:tcPr>
            <w:tcW w:w="3980" w:type="dxa"/>
            <w:vAlign w:val="bottom"/>
          </w:tcPr>
          <w:p>
            <w:pPr>
              <w:ind w:left="360"/>
              <w:spacing w:after="0"/>
              <w:rPr>
                <w:sz w:val="20"/>
                <w:szCs w:val="20"/>
                <w:color w:val="auto"/>
              </w:rPr>
            </w:pPr>
            <w:r>
              <w:rPr>
                <w:rFonts w:ascii="Arial" w:cs="Arial" w:eastAsia="Arial" w:hAnsi="Arial"/>
                <w:sz w:val="16"/>
                <w:szCs w:val="16"/>
                <w:color w:val="auto"/>
              </w:rPr>
              <w:t>Title:Title:</w:t>
            </w:r>
          </w:p>
        </w:tc>
        <w:tc>
          <w:tcPr>
            <w:tcW w:w="7320" w:type="dxa"/>
            <w:vAlign w:val="bottom"/>
          </w:tcPr>
          <w:p>
            <w:pPr>
              <w:spacing w:after="0"/>
              <w:rPr>
                <w:sz w:val="24"/>
                <w:szCs w:val="24"/>
                <w:color w:val="auto"/>
              </w:rPr>
            </w:pPr>
          </w:p>
        </w:tc>
      </w:tr>
      <w:tr>
        <w:trPr>
          <w:trHeight w:val="660"/>
        </w:trPr>
        <w:tc>
          <w:tcPr>
            <w:tcW w:w="3980" w:type="dxa"/>
            <w:vAlign w:val="bottom"/>
          </w:tcPr>
          <w:p>
            <w:pPr>
              <w:spacing w:after="0"/>
              <w:rPr>
                <w:sz w:val="20"/>
                <w:szCs w:val="20"/>
                <w:color w:val="auto"/>
              </w:rPr>
            </w:pPr>
            <w:r>
              <w:rPr>
                <w:rFonts w:ascii="Arial" w:cs="Arial" w:eastAsia="Arial" w:hAnsi="Arial"/>
                <w:sz w:val="16"/>
                <w:szCs w:val="16"/>
                <w:b w:val="1"/>
                <w:bCs w:val="1"/>
                <w:color w:val="auto"/>
              </w:rPr>
              <w:t>F. HOFFMANN-LA ROCHE LTD</w:t>
            </w:r>
          </w:p>
        </w:tc>
        <w:tc>
          <w:tcPr>
            <w:tcW w:w="7320" w:type="dxa"/>
            <w:vAlign w:val="bottom"/>
          </w:tcPr>
          <w:p>
            <w:pPr>
              <w:ind w:left="1660"/>
              <w:spacing w:after="0"/>
              <w:rPr>
                <w:sz w:val="20"/>
                <w:szCs w:val="20"/>
                <w:color w:val="auto"/>
              </w:rPr>
            </w:pPr>
            <w:r>
              <w:rPr>
                <w:rFonts w:ascii="Arial" w:cs="Arial" w:eastAsia="Arial" w:hAnsi="Arial"/>
                <w:sz w:val="16"/>
                <w:szCs w:val="16"/>
                <w:b w:val="1"/>
                <w:bCs w:val="1"/>
                <w:color w:val="auto"/>
              </w:rPr>
              <w:t>BIONTECH SE</w:t>
            </w: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By:</w:t>
            </w:r>
          </w:p>
        </w:tc>
        <w:tc>
          <w:tcPr>
            <w:tcW w:w="7320" w:type="dxa"/>
            <w:vAlign w:val="bottom"/>
          </w:tcPr>
          <w:p>
            <w:pPr>
              <w:ind w:left="1660"/>
              <w:spacing w:after="0"/>
              <w:rPr>
                <w:sz w:val="20"/>
                <w:szCs w:val="20"/>
                <w:color w:val="auto"/>
              </w:rPr>
            </w:pPr>
            <w:r>
              <w:rPr>
                <w:rFonts w:ascii="Arial" w:cs="Arial" w:eastAsia="Arial" w:hAnsi="Arial"/>
                <w:sz w:val="16"/>
                <w:szCs w:val="16"/>
                <w:color w:val="auto"/>
              </w:rPr>
              <w:t>By:</w:t>
            </w: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Name:</w:t>
            </w:r>
          </w:p>
        </w:tc>
        <w:tc>
          <w:tcPr>
            <w:tcW w:w="7320" w:type="dxa"/>
            <w:vAlign w:val="bottom"/>
          </w:tcPr>
          <w:p>
            <w:pPr>
              <w:spacing w:after="0"/>
              <w:rPr>
                <w:sz w:val="24"/>
                <w:szCs w:val="24"/>
                <w:color w:val="auto"/>
              </w:rPr>
            </w:pP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Name:Name:</w:t>
            </w:r>
          </w:p>
        </w:tc>
        <w:tc>
          <w:tcPr>
            <w:tcW w:w="7320" w:type="dxa"/>
            <w:vAlign w:val="bottom"/>
          </w:tcPr>
          <w:p>
            <w:pPr>
              <w:spacing w:after="0"/>
              <w:rPr>
                <w:sz w:val="24"/>
                <w:szCs w:val="24"/>
                <w:color w:val="auto"/>
              </w:rPr>
            </w:pP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Title:</w:t>
            </w:r>
          </w:p>
        </w:tc>
        <w:tc>
          <w:tcPr>
            <w:tcW w:w="7320" w:type="dxa"/>
            <w:vAlign w:val="bottom"/>
          </w:tcPr>
          <w:p>
            <w:pPr>
              <w:spacing w:after="0"/>
              <w:rPr>
                <w:sz w:val="24"/>
                <w:szCs w:val="24"/>
                <w:color w:val="auto"/>
              </w:rPr>
            </w:pPr>
          </w:p>
        </w:tc>
      </w:tr>
      <w:tr>
        <w:trPr>
          <w:trHeight w:val="340"/>
        </w:trPr>
        <w:tc>
          <w:tcPr>
            <w:tcW w:w="3980" w:type="dxa"/>
            <w:vAlign w:val="bottom"/>
          </w:tcPr>
          <w:p>
            <w:pPr>
              <w:ind w:left="360"/>
              <w:spacing w:after="0"/>
              <w:rPr>
                <w:sz w:val="20"/>
                <w:szCs w:val="20"/>
                <w:color w:val="auto"/>
              </w:rPr>
            </w:pPr>
            <w:r>
              <w:rPr>
                <w:rFonts w:ascii="Arial" w:cs="Arial" w:eastAsia="Arial" w:hAnsi="Arial"/>
                <w:sz w:val="16"/>
                <w:szCs w:val="16"/>
                <w:color w:val="auto"/>
              </w:rPr>
              <w:t>Title:Title:</w:t>
            </w:r>
          </w:p>
        </w:tc>
        <w:tc>
          <w:tcPr>
            <w:tcW w:w="7320" w:type="dxa"/>
            <w:vAlign w:val="bottom"/>
          </w:tcPr>
          <w:p>
            <w:pPr>
              <w:spacing w:after="0"/>
              <w:rPr>
                <w:sz w:val="24"/>
                <w:szCs w:val="24"/>
                <w:color w:val="auto"/>
              </w:rPr>
            </w:pPr>
          </w:p>
        </w:tc>
      </w:tr>
      <w:tr>
        <w:trPr>
          <w:trHeight w:val="660"/>
        </w:trPr>
        <w:tc>
          <w:tcPr>
            <w:tcW w:w="3980" w:type="dxa"/>
            <w:vAlign w:val="bottom"/>
          </w:tcPr>
          <w:p>
            <w:pPr>
              <w:spacing w:after="0"/>
              <w:rPr>
                <w:sz w:val="20"/>
                <w:szCs w:val="20"/>
                <w:color w:val="auto"/>
              </w:rPr>
            </w:pPr>
            <w:r>
              <w:rPr>
                <w:rFonts w:ascii="Arial" w:cs="Arial" w:eastAsia="Arial" w:hAnsi="Arial"/>
                <w:sz w:val="16"/>
                <w:szCs w:val="16"/>
                <w:b w:val="1"/>
                <w:bCs w:val="1"/>
                <w:color w:val="auto"/>
              </w:rPr>
              <w:t>F. HOFFMANN-LA ROCHE LTD</w:t>
            </w:r>
          </w:p>
        </w:tc>
        <w:tc>
          <w:tcPr>
            <w:tcW w:w="7320" w:type="dxa"/>
            <w:vAlign w:val="bottom"/>
          </w:tcPr>
          <w:p>
            <w:pPr>
              <w:spacing w:after="0"/>
              <w:rPr>
                <w:sz w:val="24"/>
                <w:szCs w:val="24"/>
                <w:color w:val="auto"/>
              </w:rPr>
            </w:pP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By:</w:t>
            </w:r>
          </w:p>
        </w:tc>
        <w:tc>
          <w:tcPr>
            <w:tcW w:w="7320" w:type="dxa"/>
            <w:vAlign w:val="bottom"/>
          </w:tcPr>
          <w:p>
            <w:pPr>
              <w:spacing w:after="0"/>
              <w:rPr>
                <w:sz w:val="24"/>
                <w:szCs w:val="24"/>
                <w:color w:val="auto"/>
              </w:rPr>
            </w:pPr>
          </w:p>
        </w:tc>
      </w:tr>
      <w:tr>
        <w:trPr>
          <w:trHeight w:val="340"/>
        </w:trPr>
        <w:tc>
          <w:tcPr>
            <w:tcW w:w="3980" w:type="dxa"/>
            <w:vAlign w:val="bottom"/>
          </w:tcPr>
          <w:p>
            <w:pPr>
              <w:spacing w:after="0"/>
              <w:rPr>
                <w:sz w:val="20"/>
                <w:szCs w:val="20"/>
                <w:color w:val="auto"/>
              </w:rPr>
            </w:pPr>
            <w:r>
              <w:rPr>
                <w:rFonts w:ascii="Arial" w:cs="Arial" w:eastAsia="Arial" w:hAnsi="Arial"/>
                <w:sz w:val="16"/>
                <w:szCs w:val="16"/>
                <w:color w:val="auto"/>
              </w:rPr>
              <w:t>Name:</w:t>
            </w:r>
          </w:p>
        </w:tc>
        <w:tc>
          <w:tcPr>
            <w:tcW w:w="7320" w:type="dxa"/>
            <w:vAlign w:val="bottom"/>
          </w:tcPr>
          <w:p>
            <w:pPr>
              <w:spacing w:after="0"/>
              <w:rPr>
                <w:sz w:val="24"/>
                <w:szCs w:val="24"/>
                <w:color w:val="auto"/>
              </w:rPr>
            </w:pPr>
          </w:p>
        </w:tc>
      </w:tr>
      <w:tr>
        <w:trPr>
          <w:trHeight w:val="340"/>
        </w:trPr>
        <w:tc>
          <w:tcPr>
            <w:tcW w:w="3980" w:type="dxa"/>
            <w:vAlign w:val="bottom"/>
          </w:tcPr>
          <w:p>
            <w:pPr>
              <w:ind w:left="360"/>
              <w:spacing w:after="0"/>
              <w:rPr>
                <w:sz w:val="20"/>
                <w:szCs w:val="20"/>
                <w:color w:val="auto"/>
              </w:rPr>
            </w:pPr>
            <w:r>
              <w:rPr>
                <w:rFonts w:ascii="Arial" w:cs="Arial" w:eastAsia="Arial" w:hAnsi="Arial"/>
                <w:sz w:val="16"/>
                <w:szCs w:val="16"/>
                <w:color w:val="auto"/>
              </w:rPr>
              <w:t>Title:</w:t>
            </w:r>
          </w:p>
        </w:tc>
        <w:tc>
          <w:tcPr>
            <w:tcW w:w="7320" w:type="dxa"/>
            <w:vAlign w:val="bottom"/>
          </w:tcPr>
          <w:p>
            <w:pPr>
              <w:spacing w:after="0"/>
              <w:rPr>
                <w:sz w:val="24"/>
                <w:szCs w:val="24"/>
                <w:color w:val="auto"/>
              </w:rPr>
            </w:pPr>
          </w:p>
        </w:tc>
      </w:tr>
      <w:tr>
        <w:trPr>
          <w:trHeight w:val="500"/>
        </w:trPr>
        <w:tc>
          <w:tcPr>
            <w:tcW w:w="3980" w:type="dxa"/>
            <w:vAlign w:val="bottom"/>
          </w:tcPr>
          <w:p>
            <w:pPr>
              <w:spacing w:after="0"/>
              <w:rPr>
                <w:sz w:val="24"/>
                <w:szCs w:val="24"/>
                <w:color w:val="auto"/>
              </w:rPr>
            </w:pPr>
          </w:p>
        </w:tc>
        <w:tc>
          <w:tcPr>
            <w:tcW w:w="7320" w:type="dxa"/>
            <w:vAlign w:val="bottom"/>
          </w:tcPr>
          <w:p>
            <w:pPr>
              <w:ind w:left="1620"/>
              <w:spacing w:after="0"/>
              <w:rPr>
                <w:sz w:val="20"/>
                <w:szCs w:val="20"/>
                <w:color w:val="auto"/>
              </w:rPr>
            </w:pPr>
            <w:r>
              <w:rPr>
                <w:rFonts w:ascii="Arial" w:cs="Arial" w:eastAsia="Arial" w:hAnsi="Arial"/>
                <w:sz w:val="16"/>
                <w:szCs w:val="16"/>
                <w:color w:val="auto"/>
              </w:rPr>
              <w:t>5</w:t>
            </w:r>
          </w:p>
        </w:tc>
      </w:tr>
      <w:tr>
        <w:trPr>
          <w:trHeight w:val="232"/>
        </w:trPr>
        <w:tc>
          <w:tcPr>
            <w:tcW w:w="3980" w:type="dxa"/>
            <w:vAlign w:val="bottom"/>
            <w:tcBorders>
              <w:bottom w:val="single" w:sz="8" w:color="9A9A9A"/>
            </w:tcBorders>
          </w:tcPr>
          <w:p>
            <w:pPr>
              <w:spacing w:after="0"/>
              <w:rPr>
                <w:sz w:val="20"/>
                <w:szCs w:val="20"/>
                <w:color w:val="auto"/>
              </w:rPr>
            </w:pPr>
          </w:p>
        </w:tc>
        <w:tc>
          <w:tcPr>
            <w:tcW w:w="73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4">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443" w:right="299" w:bottom="1440" w:gutter="0" w:footer="0" w:header="0"/>
        </w:sectPr>
      </w:pPr>
    </w:p>
    <w:bookmarkStart w:id="335" w:name="page336"/>
    <w:bookmarkEnd w:id="335"/>
    <w:tbl>
      <w:tblPr>
        <w:tblLayout w:type="fixed"/>
        <w:tblInd w:w="1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60" w:type="dxa"/>
            <w:vAlign w:val="bottom"/>
          </w:tcPr>
          <w:p>
            <w:pPr>
              <w:ind w:left="1200"/>
              <w:spacing w:after="0"/>
              <w:rPr>
                <w:sz w:val="20"/>
                <w:szCs w:val="20"/>
                <w:color w:val="auto"/>
              </w:rPr>
            </w:pPr>
            <w:r>
              <w:rPr>
                <w:rFonts w:ascii="Arial" w:cs="Arial" w:eastAsia="Arial" w:hAnsi="Arial"/>
                <w:sz w:val="13"/>
                <w:szCs w:val="13"/>
                <w:b w:val="1"/>
                <w:bCs w:val="1"/>
                <w:color w:val="auto"/>
              </w:rPr>
              <w:t>Exhibit 4.16</w:t>
            </w:r>
          </w:p>
        </w:tc>
      </w:tr>
      <w:tr>
        <w:trPr>
          <w:trHeight w:val="348"/>
        </w:trPr>
        <w:tc>
          <w:tcPr>
            <w:tcW w:w="1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60" w:type="dxa"/>
            <w:vAlign w:val="bottom"/>
            <w:gridSpan w:val="2"/>
          </w:tcPr>
          <w:p>
            <w:pPr>
              <w:ind w:left="300"/>
              <w:spacing w:after="0"/>
              <w:rPr>
                <w:sz w:val="20"/>
                <w:szCs w:val="20"/>
                <w:color w:val="auto"/>
              </w:rPr>
            </w:pPr>
            <w:r>
              <w:rPr>
                <w:rFonts w:ascii="Arial" w:cs="Arial" w:eastAsia="Arial" w:hAnsi="Arial"/>
                <w:sz w:val="16"/>
                <w:szCs w:val="16"/>
                <w:b w:val="1"/>
                <w:bCs w:val="1"/>
                <w:color w:val="auto"/>
              </w:rPr>
              <w:t>Exhibit A</w:t>
            </w: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52"/>
        </w:trPr>
        <w:tc>
          <w:tcPr>
            <w:tcW w:w="14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37"/>
        </w:trPr>
        <w:tc>
          <w:tcPr>
            <w:tcW w:w="1420" w:type="dxa"/>
            <w:vAlign w:val="bottom"/>
            <w:tcBorders>
              <w:left w:val="single" w:sz="8" w:color="auto"/>
              <w:right w:val="single" w:sz="8" w:color="auto"/>
            </w:tcBorders>
            <w:shd w:val="clear" w:color="auto" w:fill="D9EEFF"/>
          </w:tcPr>
          <w:p>
            <w:pPr>
              <w:ind w:left="20"/>
              <w:spacing w:after="0" w:line="138" w:lineRule="exact"/>
              <w:rPr>
                <w:sz w:val="20"/>
                <w:szCs w:val="20"/>
                <w:color w:val="auto"/>
              </w:rPr>
            </w:pPr>
            <w:r>
              <w:rPr>
                <w:rFonts w:ascii="Arial" w:cs="Arial" w:eastAsia="Arial" w:hAnsi="Arial"/>
                <w:sz w:val="13"/>
                <w:szCs w:val="13"/>
                <w:b w:val="1"/>
                <w:bCs w:val="1"/>
                <w:color w:val="auto"/>
              </w:rPr>
              <w:t>Work Package</w:t>
            </w:r>
          </w:p>
        </w:tc>
        <w:tc>
          <w:tcPr>
            <w:tcW w:w="2340" w:type="dxa"/>
            <w:vAlign w:val="bottom"/>
            <w:tcBorders>
              <w:right w:val="single" w:sz="8" w:color="auto"/>
            </w:tcBorders>
            <w:shd w:val="clear" w:color="auto" w:fill="D9EEFF"/>
          </w:tcPr>
          <w:p>
            <w:pPr>
              <w:spacing w:after="0" w:line="138" w:lineRule="exact"/>
              <w:rPr>
                <w:sz w:val="20"/>
                <w:szCs w:val="20"/>
                <w:color w:val="auto"/>
              </w:rPr>
            </w:pPr>
            <w:r>
              <w:rPr>
                <w:rFonts w:ascii="Arial" w:cs="Arial" w:eastAsia="Arial" w:hAnsi="Arial"/>
                <w:sz w:val="13"/>
                <w:szCs w:val="13"/>
                <w:b w:val="1"/>
                <w:bCs w:val="1"/>
                <w:color w:val="auto"/>
              </w:rPr>
              <w:t>Objective</w:t>
            </w:r>
          </w:p>
        </w:tc>
        <w:tc>
          <w:tcPr>
            <w:tcW w:w="1260" w:type="dxa"/>
            <w:vAlign w:val="bottom"/>
            <w:shd w:val="clear" w:color="auto" w:fill="D9EEFF"/>
          </w:tcPr>
          <w:p>
            <w:pPr>
              <w:spacing w:after="0" w:line="138" w:lineRule="exact"/>
              <w:rPr>
                <w:sz w:val="20"/>
                <w:szCs w:val="20"/>
                <w:color w:val="auto"/>
              </w:rPr>
            </w:pPr>
            <w:r>
              <w:rPr>
                <w:rFonts w:ascii="Arial" w:cs="Arial" w:eastAsia="Arial" w:hAnsi="Arial"/>
                <w:sz w:val="13"/>
                <w:szCs w:val="13"/>
                <w:b w:val="1"/>
                <w:bCs w:val="1"/>
                <w:color w:val="auto"/>
              </w:rPr>
              <w:t>Key Deliverables</w:t>
            </w:r>
          </w:p>
        </w:tc>
        <w:tc>
          <w:tcPr>
            <w:tcW w:w="3020" w:type="dxa"/>
            <w:vAlign w:val="bottom"/>
            <w:tcBorders>
              <w:right w:val="single" w:sz="8" w:color="auto"/>
            </w:tcBorders>
            <w:shd w:val="clear" w:color="auto" w:fill="D9EEFF"/>
          </w:tcPr>
          <w:p>
            <w:pPr>
              <w:spacing w:after="0"/>
              <w:rPr>
                <w:sz w:val="11"/>
                <w:szCs w:val="11"/>
                <w:color w:val="auto"/>
              </w:rPr>
            </w:pPr>
          </w:p>
        </w:tc>
        <w:tc>
          <w:tcPr>
            <w:tcW w:w="440" w:type="dxa"/>
            <w:vAlign w:val="bottom"/>
            <w:shd w:val="clear" w:color="auto" w:fill="D9EEFF"/>
          </w:tcPr>
          <w:p>
            <w:pPr>
              <w:spacing w:after="0" w:line="138" w:lineRule="exact"/>
              <w:rPr>
                <w:sz w:val="20"/>
                <w:szCs w:val="20"/>
                <w:color w:val="auto"/>
              </w:rPr>
            </w:pPr>
            <w:r>
              <w:rPr>
                <w:rFonts w:ascii="Arial" w:cs="Arial" w:eastAsia="Arial" w:hAnsi="Arial"/>
                <w:sz w:val="13"/>
                <w:szCs w:val="13"/>
                <w:b w:val="1"/>
                <w:bCs w:val="1"/>
                <w:color w:val="auto"/>
              </w:rPr>
              <w:t>Target</w:t>
            </w:r>
          </w:p>
        </w:tc>
        <w:tc>
          <w:tcPr>
            <w:tcW w:w="760" w:type="dxa"/>
            <w:vAlign w:val="bottom"/>
            <w:tcBorders>
              <w:right w:val="single" w:sz="8" w:color="auto"/>
            </w:tcBorders>
            <w:shd w:val="clear" w:color="auto" w:fill="D9EEFF"/>
          </w:tcPr>
          <w:p>
            <w:pPr>
              <w:ind w:left="80"/>
              <w:spacing w:after="0" w:line="138" w:lineRule="exact"/>
              <w:rPr>
                <w:sz w:val="20"/>
                <w:szCs w:val="20"/>
                <w:color w:val="auto"/>
              </w:rPr>
            </w:pPr>
            <w:r>
              <w:rPr>
                <w:rFonts w:ascii="Arial" w:cs="Arial" w:eastAsia="Arial" w:hAnsi="Arial"/>
                <w:sz w:val="13"/>
                <w:szCs w:val="13"/>
                <w:b w:val="1"/>
                <w:bCs w:val="1"/>
                <w:color w:val="auto"/>
                <w:w w:val="89"/>
              </w:rPr>
              <w:t>Completion</w:t>
            </w:r>
          </w:p>
        </w:tc>
        <w:tc>
          <w:tcPr>
            <w:tcW w:w="2060" w:type="dxa"/>
            <w:vAlign w:val="bottom"/>
            <w:tcBorders>
              <w:right w:val="single" w:sz="8" w:color="auto"/>
            </w:tcBorders>
            <w:shd w:val="clear" w:color="auto" w:fill="D9EEFF"/>
          </w:tcPr>
          <w:p>
            <w:pPr>
              <w:spacing w:after="0" w:line="138" w:lineRule="exact"/>
              <w:rPr>
                <w:sz w:val="20"/>
                <w:szCs w:val="20"/>
                <w:color w:val="auto"/>
              </w:rPr>
            </w:pPr>
            <w:r>
              <w:rPr>
                <w:rFonts w:ascii="Arial" w:cs="Arial" w:eastAsia="Arial" w:hAnsi="Arial"/>
                <w:sz w:val="13"/>
                <w:szCs w:val="13"/>
                <w:b w:val="1"/>
                <w:bCs w:val="1"/>
                <w:color w:val="auto"/>
              </w:rPr>
              <w:t>Target Implementation Date</w:t>
            </w:r>
          </w:p>
        </w:tc>
      </w:tr>
      <w:tr>
        <w:trPr>
          <w:trHeight w:val="173"/>
        </w:trPr>
        <w:tc>
          <w:tcPr>
            <w:tcW w:w="1420" w:type="dxa"/>
            <w:vAlign w:val="bottom"/>
            <w:tcBorders>
              <w:left w:val="single" w:sz="8" w:color="auto"/>
              <w:bottom w:val="single" w:sz="8" w:color="auto"/>
              <w:right w:val="single" w:sz="8" w:color="auto"/>
            </w:tcBorders>
            <w:shd w:val="clear" w:color="auto" w:fill="D9EEFF"/>
          </w:tcPr>
          <w:p>
            <w:pPr>
              <w:spacing w:after="0"/>
              <w:rPr>
                <w:sz w:val="15"/>
                <w:szCs w:val="15"/>
                <w:color w:val="auto"/>
              </w:rPr>
            </w:pPr>
          </w:p>
        </w:tc>
        <w:tc>
          <w:tcPr>
            <w:tcW w:w="2340" w:type="dxa"/>
            <w:vAlign w:val="bottom"/>
            <w:tcBorders>
              <w:bottom w:val="single" w:sz="8" w:color="auto"/>
              <w:right w:val="single" w:sz="8" w:color="auto"/>
            </w:tcBorders>
            <w:shd w:val="clear" w:color="auto" w:fill="D9EEFF"/>
          </w:tcPr>
          <w:p>
            <w:pPr>
              <w:spacing w:after="0"/>
              <w:rPr>
                <w:sz w:val="15"/>
                <w:szCs w:val="15"/>
                <w:color w:val="auto"/>
              </w:rPr>
            </w:pPr>
          </w:p>
        </w:tc>
        <w:tc>
          <w:tcPr>
            <w:tcW w:w="1260" w:type="dxa"/>
            <w:vAlign w:val="bottom"/>
            <w:tcBorders>
              <w:bottom w:val="single" w:sz="8" w:color="auto"/>
            </w:tcBorders>
            <w:shd w:val="clear" w:color="auto" w:fill="D9EEFF"/>
          </w:tcPr>
          <w:p>
            <w:pPr>
              <w:spacing w:after="0"/>
              <w:rPr>
                <w:sz w:val="15"/>
                <w:szCs w:val="15"/>
                <w:color w:val="auto"/>
              </w:rPr>
            </w:pPr>
          </w:p>
        </w:tc>
        <w:tc>
          <w:tcPr>
            <w:tcW w:w="3020" w:type="dxa"/>
            <w:vAlign w:val="bottom"/>
            <w:tcBorders>
              <w:bottom w:val="single" w:sz="8" w:color="auto"/>
              <w:right w:val="single" w:sz="8" w:color="auto"/>
            </w:tcBorders>
            <w:shd w:val="clear" w:color="auto" w:fill="D9EEFF"/>
          </w:tcPr>
          <w:p>
            <w:pPr>
              <w:spacing w:after="0"/>
              <w:rPr>
                <w:sz w:val="15"/>
                <w:szCs w:val="15"/>
                <w:color w:val="auto"/>
              </w:rPr>
            </w:pPr>
          </w:p>
        </w:tc>
        <w:tc>
          <w:tcPr>
            <w:tcW w:w="440" w:type="dxa"/>
            <w:vAlign w:val="bottom"/>
            <w:tcBorders>
              <w:bottom w:val="single" w:sz="8" w:color="auto"/>
            </w:tcBorders>
            <w:shd w:val="clear" w:color="auto" w:fill="D9EEFF"/>
          </w:tcPr>
          <w:p>
            <w:pPr>
              <w:spacing w:after="0"/>
              <w:rPr>
                <w:sz w:val="20"/>
                <w:szCs w:val="20"/>
                <w:color w:val="auto"/>
              </w:rPr>
            </w:pPr>
            <w:r>
              <w:rPr>
                <w:rFonts w:ascii="Arial" w:cs="Arial" w:eastAsia="Arial" w:hAnsi="Arial"/>
                <w:sz w:val="13"/>
                <w:szCs w:val="13"/>
                <w:b w:val="1"/>
                <w:bCs w:val="1"/>
                <w:color w:val="auto"/>
              </w:rPr>
              <w:t>Date</w:t>
            </w:r>
          </w:p>
        </w:tc>
        <w:tc>
          <w:tcPr>
            <w:tcW w:w="760" w:type="dxa"/>
            <w:vAlign w:val="bottom"/>
            <w:tcBorders>
              <w:bottom w:val="single" w:sz="8" w:color="auto"/>
              <w:right w:val="single" w:sz="8" w:color="auto"/>
            </w:tcBorders>
            <w:shd w:val="clear" w:color="auto" w:fill="D9EEFF"/>
          </w:tcPr>
          <w:p>
            <w:pPr>
              <w:spacing w:after="0"/>
              <w:rPr>
                <w:sz w:val="15"/>
                <w:szCs w:val="15"/>
                <w:color w:val="auto"/>
              </w:rPr>
            </w:pPr>
          </w:p>
        </w:tc>
        <w:tc>
          <w:tcPr>
            <w:tcW w:w="2060" w:type="dxa"/>
            <w:vAlign w:val="bottom"/>
            <w:tcBorders>
              <w:bottom w:val="single" w:sz="8" w:color="auto"/>
              <w:right w:val="single" w:sz="8" w:color="auto"/>
            </w:tcBorders>
            <w:shd w:val="clear" w:color="auto" w:fill="D9EEFF"/>
          </w:tcPr>
          <w:p>
            <w:pPr>
              <w:spacing w:after="0"/>
              <w:rPr>
                <w:sz w:val="15"/>
                <w:szCs w:val="15"/>
                <w:color w:val="auto"/>
              </w:rPr>
            </w:pP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r>
        <w:trPr>
          <w:trHeight w:val="170"/>
        </w:trPr>
        <w:tc>
          <w:tcPr>
            <w:tcW w:w="1420" w:type="dxa"/>
            <w:vAlign w:val="bottom"/>
            <w:tcBorders>
              <w:left w:val="single" w:sz="8" w:color="auto"/>
              <w:bottom w:val="single" w:sz="8" w:color="auto"/>
              <w:right w:val="single" w:sz="8" w:color="auto"/>
            </w:tcBorders>
            <w:shd w:val="clear" w:color="auto" w:fill="D9EEFF"/>
          </w:tcPr>
          <w:p>
            <w:pPr>
              <w:ind w:left="20"/>
              <w:spacing w:after="0" w:line="170"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3020" w:type="dxa"/>
            <w:vAlign w:val="bottom"/>
            <w:tcBorders>
              <w:bottom w:val="single" w:sz="8" w:color="auto"/>
              <w:right w:val="single" w:sz="8" w:color="auto"/>
            </w:tcBorders>
            <w:shd w:val="clear" w:color="auto" w:fill="D9EEFF"/>
          </w:tcPr>
          <w:p>
            <w:pPr>
              <w:spacing w:after="0"/>
              <w:rPr>
                <w:sz w:val="14"/>
                <w:szCs w:val="14"/>
                <w:color w:val="auto"/>
              </w:rPr>
            </w:pPr>
          </w:p>
        </w:tc>
        <w:tc>
          <w:tcPr>
            <w:tcW w:w="440" w:type="dxa"/>
            <w:vAlign w:val="bottom"/>
            <w:tcBorders>
              <w:bottom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D9EEFF"/>
          </w:tcPr>
          <w:p>
            <w:pPr>
              <w:spacing w:after="0"/>
              <w:rPr>
                <w:sz w:val="14"/>
                <w:szCs w:val="14"/>
                <w:color w:val="auto"/>
              </w:rPr>
            </w:pPr>
          </w:p>
        </w:tc>
        <w:tc>
          <w:tcPr>
            <w:tcW w:w="2060" w:type="dxa"/>
            <w:vAlign w:val="bottom"/>
            <w:tcBorders>
              <w:bottom w:val="single" w:sz="8" w:color="auto"/>
              <w:right w:val="single" w:sz="8" w:color="auto"/>
            </w:tcBorders>
            <w:shd w:val="clear" w:color="auto" w:fill="D9EEFF"/>
          </w:tcPr>
          <w:p>
            <w:pPr>
              <w:spacing w:after="0" w:line="170" w:lineRule="exact"/>
              <w:rPr>
                <w:sz w:val="20"/>
                <w:szCs w:val="20"/>
                <w:color w:val="auto"/>
              </w:rPr>
            </w:pPr>
            <w:r>
              <w:rPr>
                <w:rFonts w:ascii="Arial" w:cs="Arial" w:eastAsia="Arial" w:hAnsi="Arial"/>
                <w:sz w:val="16"/>
                <w:szCs w:val="16"/>
                <w:color w:val="auto"/>
              </w:rPr>
              <w:t>[***]</w:t>
            </w:r>
          </w:p>
        </w:tc>
      </w:tr>
    </w:tbl>
    <w:p>
      <w:pPr>
        <w:sectPr>
          <w:pgSz w:w="11900" w:h="16838" w:orient="portrait"/>
          <w:cols w:equalWidth="0" w:num="1">
            <w:col w:w="11280"/>
          </w:cols>
          <w:pgMar w:left="300" w:top="126" w:right="319" w:bottom="1440" w:gutter="0" w:footer="0" w:header="0"/>
        </w:sectPr>
      </w:pPr>
    </w:p>
    <w:bookmarkStart w:id="336" w:name="page337"/>
    <w:bookmarkEnd w:id="336"/>
    <w:p>
      <w:pPr>
        <w:ind w:left="10600"/>
        <w:spacing w:after="0"/>
        <w:rPr>
          <w:sz w:val="20"/>
          <w:szCs w:val="20"/>
          <w:color w:val="auto"/>
        </w:rPr>
      </w:pPr>
      <w:r>
        <w:rPr>
          <w:rFonts w:ascii="Arial" w:cs="Arial" w:eastAsia="Arial" w:hAnsi="Arial"/>
          <w:sz w:val="12"/>
          <w:szCs w:val="12"/>
          <w:b w:val="1"/>
          <w:bCs w:val="1"/>
          <w:color w:val="auto"/>
        </w:rPr>
        <w:t>Exhibit 4.35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line="244" w:lineRule="auto"/>
        <w:rPr>
          <w:sz w:val="20"/>
          <w:szCs w:val="20"/>
          <w:color w:val="auto"/>
        </w:rPr>
      </w:pPr>
      <w:r>
        <w:rPr>
          <w:rFonts w:ascii="Arial" w:cs="Arial" w:eastAsia="Arial" w:hAnsi="Arial"/>
          <w:sz w:val="15"/>
          <w:szCs w:val="15"/>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80" w:type="dxa"/>
            <w:vAlign w:val="bottom"/>
          </w:tcPr>
          <w:p>
            <w:pPr>
              <w:ind w:left="280"/>
              <w:spacing w:after="0"/>
              <w:rPr>
                <w:sz w:val="20"/>
                <w:szCs w:val="20"/>
                <w:color w:val="auto"/>
              </w:rPr>
            </w:pPr>
            <w:r>
              <w:rPr>
                <w:rFonts w:ascii="Arial" w:cs="Arial" w:eastAsia="Arial" w:hAnsi="Arial"/>
                <w:sz w:val="13"/>
                <w:szCs w:val="13"/>
                <w:b w:val="1"/>
                <w:bCs w:val="1"/>
                <w:color w:val="auto"/>
                <w:w w:val="90"/>
              </w:rPr>
              <w:t xml:space="preserve">Lease No.: </w:t>
            </w:r>
            <w:r>
              <w:rPr>
                <w:rFonts w:ascii="Arial" w:cs="Arial" w:eastAsia="Arial" w:hAnsi="Arial"/>
                <w:sz w:val="13"/>
                <w:szCs w:val="13"/>
                <w:color w:val="auto"/>
                <w:w w:val="90"/>
              </w:rPr>
              <w:t>1 9 – 0 3 5 1 – 1 – 0 5 7</w:t>
            </w:r>
          </w:p>
        </w:tc>
        <w:tc>
          <w:tcPr>
            <w:tcW w:w="20" w:type="dxa"/>
            <w:vAlign w:val="bottom"/>
          </w:tcPr>
          <w:p>
            <w:pPr>
              <w:spacing w:after="0"/>
              <w:rPr>
                <w:sz w:val="15"/>
                <w:szCs w:val="15"/>
                <w:color w:val="auto"/>
              </w:rPr>
            </w:pPr>
          </w:p>
        </w:tc>
      </w:tr>
      <w:tr>
        <w:trPr>
          <w:trHeight w:val="257"/>
        </w:trPr>
        <w:tc>
          <w:tcPr>
            <w:tcW w:w="4000" w:type="dxa"/>
            <w:vAlign w:val="bottom"/>
            <w:gridSpan w:val="4"/>
          </w:tcPr>
          <w:p>
            <w:pPr>
              <w:spacing w:after="0"/>
              <w:rPr>
                <w:sz w:val="20"/>
                <w:szCs w:val="20"/>
                <w:color w:val="auto"/>
              </w:rPr>
            </w:pPr>
            <w:r>
              <w:rPr>
                <w:rFonts w:ascii="Arial" w:cs="Arial" w:eastAsia="Arial" w:hAnsi="Arial"/>
                <w:sz w:val="13"/>
                <w:szCs w:val="13"/>
                <w:b w:val="1"/>
                <w:bCs w:val="1"/>
                <w:color w:val="auto"/>
              </w:rPr>
              <w:t>21st Amendment to the Lease of 11./12.04.2005</w:t>
            </w:r>
          </w:p>
        </w:tc>
        <w:tc>
          <w:tcPr>
            <w:tcW w:w="15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3"/>
                <w:szCs w:val="13"/>
                <w:color w:val="auto"/>
              </w:rPr>
              <w:t>between</w:t>
            </w:r>
          </w:p>
        </w:tc>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WISTA Management GmbH</w:t>
            </w:r>
          </w:p>
        </w:tc>
        <w:tc>
          <w:tcPr>
            <w:tcW w:w="1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Rudower Chaussee 17</w:t>
            </w:r>
          </w:p>
        </w:tc>
        <w:tc>
          <w:tcPr>
            <w:tcW w:w="1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12489 Berlin</w:t>
            </w:r>
          </w:p>
        </w:tc>
        <w:tc>
          <w:tcPr>
            <w:tcW w:w="15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0"/>
        </w:trPr>
        <w:tc>
          <w:tcPr>
            <w:tcW w:w="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VAT ID No.: [***]</w:t>
            </w:r>
          </w:p>
        </w:tc>
        <w:tc>
          <w:tcPr>
            <w:tcW w:w="15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1920" w:type="dxa"/>
            <w:vAlign w:val="bottom"/>
            <w:gridSpan w:val="2"/>
          </w:tcPr>
          <w:p>
            <w:pPr>
              <w:spacing w:after="0"/>
              <w:rPr>
                <w:sz w:val="20"/>
                <w:szCs w:val="20"/>
                <w:color w:val="auto"/>
              </w:rPr>
            </w:pPr>
            <w:r>
              <w:rPr>
                <w:rFonts w:ascii="Arial" w:cs="Arial" w:eastAsia="Arial" w:hAnsi="Arial"/>
                <w:sz w:val="13"/>
                <w:szCs w:val="13"/>
                <w:color w:val="auto"/>
              </w:rPr>
              <w:t>and</w:t>
            </w:r>
          </w:p>
        </w:tc>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JPT Peptide Technologies GmbH</w:t>
            </w:r>
          </w:p>
        </w:tc>
        <w:tc>
          <w:tcPr>
            <w:tcW w:w="15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0"/>
        </w:trPr>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Volmerstraße 5</w:t>
            </w:r>
          </w:p>
        </w:tc>
        <w:tc>
          <w:tcPr>
            <w:tcW w:w="1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12489 Berlin</w:t>
            </w:r>
          </w:p>
        </w:tc>
        <w:tc>
          <w:tcPr>
            <w:tcW w:w="15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0"/>
        </w:trPr>
        <w:tc>
          <w:tcPr>
            <w:tcW w:w="4000" w:type="dxa"/>
            <w:vAlign w:val="bottom"/>
            <w:gridSpan w:val="4"/>
          </w:tcPr>
          <w:p>
            <w:pPr>
              <w:spacing w:after="0"/>
              <w:rPr>
                <w:sz w:val="20"/>
                <w:szCs w:val="20"/>
                <w:color w:val="auto"/>
              </w:rPr>
            </w:pPr>
            <w:r>
              <w:rPr>
                <w:rFonts w:ascii="Arial" w:cs="Arial" w:eastAsia="Arial" w:hAnsi="Arial"/>
                <w:sz w:val="13"/>
                <w:szCs w:val="13"/>
                <w:color w:val="auto"/>
              </w:rPr>
              <w:t>The Lease is amended from 01.11.2019 as follows:</w:t>
            </w:r>
          </w:p>
        </w:tc>
        <w:tc>
          <w:tcPr>
            <w:tcW w:w="1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1920" w:type="dxa"/>
            <w:vAlign w:val="bottom"/>
            <w:gridSpan w:val="2"/>
          </w:tcPr>
          <w:p>
            <w:pPr>
              <w:spacing w:after="0"/>
              <w:rPr>
                <w:sz w:val="20"/>
                <w:szCs w:val="20"/>
                <w:color w:val="auto"/>
              </w:rPr>
            </w:pPr>
            <w:r>
              <w:rPr>
                <w:rFonts w:ascii="Arial" w:cs="Arial" w:eastAsia="Arial" w:hAnsi="Arial"/>
                <w:sz w:val="13"/>
                <w:szCs w:val="13"/>
                <w:b w:val="1"/>
                <w:bCs w:val="1"/>
                <w:color w:val="auto"/>
              </w:rPr>
              <w:t>Extension</w:t>
            </w:r>
          </w:p>
        </w:tc>
        <w:tc>
          <w:tcPr>
            <w:tcW w:w="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9"/>
        </w:trPr>
        <w:tc>
          <w:tcPr>
            <w:tcW w:w="5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Building:</w:t>
            </w:r>
          </w:p>
        </w:tc>
        <w:tc>
          <w:tcPr>
            <w:tcW w:w="136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03.51, Volmerstraße 5-9</w:t>
            </w:r>
          </w:p>
        </w:tc>
        <w:tc>
          <w:tcPr>
            <w:tcW w:w="1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1920" w:type="dxa"/>
            <w:vAlign w:val="bottom"/>
            <w:gridSpan w:val="2"/>
          </w:tcPr>
          <w:p>
            <w:pPr>
              <w:spacing w:after="0"/>
              <w:rPr>
                <w:sz w:val="20"/>
                <w:szCs w:val="20"/>
                <w:color w:val="auto"/>
              </w:rPr>
            </w:pPr>
            <w:r>
              <w:rPr>
                <w:rFonts w:ascii="Arial" w:cs="Arial" w:eastAsia="Arial" w:hAnsi="Arial"/>
                <w:sz w:val="13"/>
                <w:szCs w:val="13"/>
                <w:color w:val="auto"/>
              </w:rPr>
              <w:t>Premises:</w:t>
            </w:r>
          </w:p>
        </w:tc>
        <w:tc>
          <w:tcPr>
            <w:tcW w:w="2080" w:type="dxa"/>
            <w:vAlign w:val="bottom"/>
            <w:gridSpan w:val="2"/>
          </w:tcPr>
          <w:p>
            <w:pPr>
              <w:spacing w:after="0"/>
              <w:rPr>
                <w:sz w:val="20"/>
                <w:szCs w:val="20"/>
                <w:color w:val="auto"/>
              </w:rPr>
            </w:pPr>
            <w:r>
              <w:rPr>
                <w:rFonts w:ascii="Arial" w:cs="Arial" w:eastAsia="Arial" w:hAnsi="Arial"/>
                <w:sz w:val="13"/>
                <w:szCs w:val="13"/>
                <w:color w:val="auto"/>
              </w:rPr>
              <w:t>Room 3735, office (17.82m</w:t>
            </w:r>
            <w:r>
              <w:rPr>
                <w:rFonts w:ascii="Arial" w:cs="Arial" w:eastAsia="Arial" w:hAnsi="Arial"/>
                <w:sz w:val="11"/>
                <w:szCs w:val="11"/>
                <w:color w:val="auto"/>
              </w:rPr>
              <w:t>2</w:t>
            </w:r>
            <w:r>
              <w:rPr>
                <w:rFonts w:ascii="Arial" w:cs="Arial" w:eastAsia="Arial" w:hAnsi="Arial"/>
                <w:sz w:val="13"/>
                <w:szCs w:val="13"/>
                <w:color w:val="auto"/>
              </w:rPr>
              <w:t>)</w:t>
            </w:r>
          </w:p>
        </w:tc>
        <w:tc>
          <w:tcPr>
            <w:tcW w:w="1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1920" w:type="dxa"/>
            <w:vAlign w:val="bottom"/>
            <w:gridSpan w:val="2"/>
          </w:tcPr>
          <w:p>
            <w:pPr>
              <w:spacing w:after="0"/>
              <w:rPr>
                <w:sz w:val="20"/>
                <w:szCs w:val="20"/>
                <w:color w:val="auto"/>
              </w:rPr>
            </w:pPr>
            <w:r>
              <w:rPr>
                <w:rFonts w:ascii="Arial" w:cs="Arial" w:eastAsia="Arial" w:hAnsi="Arial"/>
                <w:sz w:val="13"/>
                <w:szCs w:val="13"/>
                <w:color w:val="auto"/>
              </w:rPr>
              <w:t>Rent office:</w:t>
            </w:r>
          </w:p>
        </w:tc>
        <w:tc>
          <w:tcPr>
            <w:tcW w:w="2080" w:type="dxa"/>
            <w:vAlign w:val="bottom"/>
            <w:gridSpan w:val="2"/>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5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9"/>
        </w:trPr>
        <w:tc>
          <w:tcPr>
            <w:tcW w:w="1920" w:type="dxa"/>
            <w:vAlign w:val="bottom"/>
            <w:gridSpan w:val="2"/>
          </w:tcPr>
          <w:p>
            <w:pPr>
              <w:spacing w:after="0"/>
              <w:rPr>
                <w:sz w:val="20"/>
                <w:szCs w:val="20"/>
                <w:color w:val="auto"/>
              </w:rPr>
            </w:pPr>
            <w:r>
              <w:rPr>
                <w:rFonts w:ascii="Arial" w:cs="Arial" w:eastAsia="Arial" w:hAnsi="Arial"/>
                <w:sz w:val="12"/>
                <w:szCs w:val="12"/>
                <w:b w:val="1"/>
                <w:bCs w:val="1"/>
                <w:color w:val="auto"/>
              </w:rPr>
              <w:t>Period:</w:t>
            </w: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00" w:type="dxa"/>
            <w:vAlign w:val="bottom"/>
          </w:tcPr>
          <w:p>
            <w:pPr>
              <w:ind w:left="180"/>
              <w:spacing w:after="0"/>
              <w:rPr>
                <w:sz w:val="20"/>
                <w:szCs w:val="20"/>
                <w:color w:val="auto"/>
              </w:rPr>
            </w:pPr>
            <w:r>
              <w:rPr>
                <w:rFonts w:ascii="Arial" w:cs="Arial" w:eastAsia="Arial" w:hAnsi="Arial"/>
                <w:sz w:val="12"/>
                <w:szCs w:val="12"/>
                <w:b w:val="1"/>
                <w:bCs w:val="1"/>
                <w:color w:val="auto"/>
              </w:rPr>
              <w:t>until 31.10.2019</w:t>
            </w:r>
          </w:p>
        </w:tc>
        <w:tc>
          <w:tcPr>
            <w:tcW w:w="1900" w:type="dxa"/>
            <w:vAlign w:val="bottom"/>
          </w:tcPr>
          <w:p>
            <w:pPr>
              <w:ind w:left="480"/>
              <w:spacing w:after="0"/>
              <w:rPr>
                <w:sz w:val="20"/>
                <w:szCs w:val="20"/>
                <w:color w:val="auto"/>
              </w:rPr>
            </w:pPr>
            <w:r>
              <w:rPr>
                <w:rFonts w:ascii="Arial" w:cs="Arial" w:eastAsia="Arial" w:hAnsi="Arial"/>
                <w:sz w:val="12"/>
                <w:szCs w:val="12"/>
                <w:b w:val="1"/>
                <w:bCs w:val="1"/>
                <w:color w:val="auto"/>
              </w:rPr>
              <w:t>from 01.11.2019</w:t>
            </w:r>
          </w:p>
        </w:tc>
        <w:tc>
          <w:tcPr>
            <w:tcW w:w="1700" w:type="dxa"/>
            <w:vAlign w:val="bottom"/>
          </w:tcPr>
          <w:p>
            <w:pPr>
              <w:ind w:left="580"/>
              <w:spacing w:after="0"/>
              <w:rPr>
                <w:sz w:val="20"/>
                <w:szCs w:val="20"/>
                <w:color w:val="auto"/>
              </w:rPr>
            </w:pPr>
            <w:r>
              <w:rPr>
                <w:rFonts w:ascii="Arial" w:cs="Arial" w:eastAsia="Arial" w:hAnsi="Arial"/>
                <w:sz w:val="12"/>
                <w:szCs w:val="12"/>
                <w:b w:val="1"/>
                <w:bCs w:val="1"/>
                <w:color w:val="auto"/>
              </w:rPr>
              <w:t>from 01.11.2019</w:t>
            </w:r>
          </w:p>
        </w:tc>
        <w:tc>
          <w:tcPr>
            <w:tcW w:w="2180" w:type="dxa"/>
            <w:vAlign w:val="bottom"/>
          </w:tcPr>
          <w:p>
            <w:pPr>
              <w:ind w:left="680"/>
              <w:spacing w:after="0"/>
              <w:rPr>
                <w:sz w:val="20"/>
                <w:szCs w:val="20"/>
                <w:color w:val="auto"/>
              </w:rPr>
            </w:pPr>
            <w:r>
              <w:rPr>
                <w:rFonts w:ascii="Arial" w:cs="Arial" w:eastAsia="Arial" w:hAnsi="Arial"/>
                <w:sz w:val="12"/>
                <w:szCs w:val="12"/>
                <w:b w:val="1"/>
                <w:bCs w:val="1"/>
                <w:color w:val="auto"/>
              </w:rPr>
              <w:t>From 1.11.2019</w:t>
            </w:r>
          </w:p>
        </w:tc>
        <w:tc>
          <w:tcPr>
            <w:tcW w:w="20" w:type="dxa"/>
            <w:vAlign w:val="bottom"/>
          </w:tcPr>
          <w:p>
            <w:pPr>
              <w:spacing w:after="0"/>
              <w:rPr>
                <w:sz w:val="21"/>
                <w:szCs w:val="21"/>
                <w:color w:val="auto"/>
              </w:rPr>
            </w:pPr>
          </w:p>
        </w:tc>
      </w:tr>
      <w:tr>
        <w:trPr>
          <w:trHeight w:val="150"/>
        </w:trPr>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00" w:type="dxa"/>
            <w:vAlign w:val="bottom"/>
          </w:tcPr>
          <w:p>
            <w:pPr>
              <w:ind w:left="480"/>
              <w:spacing w:after="0"/>
              <w:rPr>
                <w:sz w:val="20"/>
                <w:szCs w:val="20"/>
                <w:color w:val="auto"/>
              </w:rPr>
            </w:pPr>
            <w:r>
              <w:rPr>
                <w:rFonts w:ascii="Arial" w:cs="Arial" w:eastAsia="Arial" w:hAnsi="Arial"/>
                <w:sz w:val="12"/>
                <w:szCs w:val="12"/>
                <w:b w:val="1"/>
                <w:bCs w:val="1"/>
                <w:color w:val="auto"/>
              </w:rPr>
              <w:t>adjustment of</w:t>
            </w:r>
          </w:p>
        </w:tc>
        <w:tc>
          <w:tcPr>
            <w:tcW w:w="1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prepayment</w:t>
            </w: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extended by</w:t>
            </w:r>
          </w:p>
        </w:tc>
        <w:tc>
          <w:tcPr>
            <w:tcW w:w="2180" w:type="dxa"/>
            <w:vAlign w:val="bottom"/>
            <w:tcBorders>
              <w:bottom w:val="single" w:sz="8" w:color="auto"/>
            </w:tcBorders>
          </w:tcPr>
          <w:p>
            <w:pPr>
              <w:ind w:left="68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3"/>
                <w:szCs w:val="13"/>
                <w:color w:val="auto"/>
              </w:rPr>
            </w:pPr>
          </w:p>
        </w:tc>
      </w:tr>
      <w:tr>
        <w:trPr>
          <w:trHeight w:val="279"/>
        </w:trPr>
        <w:tc>
          <w:tcPr>
            <w:tcW w:w="1920" w:type="dxa"/>
            <w:vAlign w:val="bottom"/>
            <w:gridSpan w:val="2"/>
          </w:tcPr>
          <w:p>
            <w:pPr>
              <w:spacing w:after="0"/>
              <w:rPr>
                <w:sz w:val="20"/>
                <w:szCs w:val="20"/>
                <w:color w:val="auto"/>
              </w:rPr>
            </w:pPr>
            <w:r>
              <w:rPr>
                <w:rFonts w:ascii="Arial" w:cs="Arial" w:eastAsia="Arial" w:hAnsi="Arial"/>
                <w:sz w:val="12"/>
                <w:szCs w:val="12"/>
                <w:color w:val="auto"/>
              </w:rPr>
              <w:t>Rental space</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1,505.05m</w:t>
            </w:r>
            <w:r>
              <w:rPr>
                <w:rFonts w:ascii="Arial" w:cs="Arial" w:eastAsia="Arial" w:hAnsi="Arial"/>
                <w:sz w:val="20"/>
                <w:szCs w:val="20"/>
                <w:color w:val="auto"/>
                <w:vertAlign w:val="superscript"/>
              </w:rPr>
              <w:t>2</w:t>
            </w:r>
          </w:p>
        </w:tc>
        <w:tc>
          <w:tcPr>
            <w:tcW w:w="1900" w:type="dxa"/>
            <w:vAlign w:val="bottom"/>
          </w:tcPr>
          <w:p>
            <w:pPr>
              <w:spacing w:after="0"/>
              <w:rPr>
                <w:sz w:val="24"/>
                <w:szCs w:val="24"/>
                <w:color w:val="auto"/>
              </w:rPr>
            </w:pPr>
          </w:p>
        </w:tc>
        <w:tc>
          <w:tcPr>
            <w:tcW w:w="1700" w:type="dxa"/>
            <w:vAlign w:val="bottom"/>
          </w:tcPr>
          <w:p>
            <w:pPr>
              <w:ind w:left="580"/>
              <w:spacing w:after="0"/>
              <w:rPr>
                <w:sz w:val="20"/>
                <w:szCs w:val="20"/>
                <w:color w:val="auto"/>
              </w:rPr>
            </w:pPr>
            <w:r>
              <w:rPr>
                <w:rFonts w:ascii="Arial" w:cs="Arial" w:eastAsia="Arial" w:hAnsi="Arial"/>
                <w:sz w:val="12"/>
                <w:szCs w:val="12"/>
                <w:color w:val="auto"/>
              </w:rPr>
              <w:t>17.82m</w:t>
            </w:r>
            <w:r>
              <w:rPr>
                <w:rFonts w:ascii="Arial" w:cs="Arial" w:eastAsia="Arial" w:hAnsi="Arial"/>
                <w:sz w:val="20"/>
                <w:szCs w:val="20"/>
                <w:color w:val="auto"/>
                <w:vertAlign w:val="superscript"/>
              </w:rPr>
              <w:t>2</w:t>
            </w:r>
          </w:p>
        </w:tc>
        <w:tc>
          <w:tcPr>
            <w:tcW w:w="2180" w:type="dxa"/>
            <w:vAlign w:val="bottom"/>
          </w:tcPr>
          <w:p>
            <w:pPr>
              <w:ind w:left="680"/>
              <w:spacing w:after="0"/>
              <w:rPr>
                <w:sz w:val="20"/>
                <w:szCs w:val="20"/>
                <w:color w:val="auto"/>
              </w:rPr>
            </w:pPr>
            <w:r>
              <w:rPr>
                <w:rFonts w:ascii="Arial" w:cs="Arial" w:eastAsia="Arial" w:hAnsi="Arial"/>
                <w:sz w:val="12"/>
                <w:szCs w:val="12"/>
                <w:color w:val="auto"/>
              </w:rPr>
              <w:t>1,522.87m</w:t>
            </w:r>
            <w:r>
              <w:rPr>
                <w:rFonts w:ascii="Arial" w:cs="Arial" w:eastAsia="Arial" w:hAnsi="Arial"/>
                <w:sz w:val="20"/>
                <w:szCs w:val="20"/>
                <w:color w:val="auto"/>
                <w:vertAlign w:val="superscript"/>
              </w:rPr>
              <w:t>2</w:t>
            </w:r>
          </w:p>
        </w:tc>
        <w:tc>
          <w:tcPr>
            <w:tcW w:w="20" w:type="dxa"/>
            <w:vAlign w:val="bottom"/>
          </w:tcPr>
          <w:p>
            <w:pPr>
              <w:spacing w:after="0"/>
              <w:rPr>
                <w:sz w:val="24"/>
                <w:szCs w:val="24"/>
                <w:color w:val="auto"/>
              </w:rPr>
            </w:pPr>
          </w:p>
        </w:tc>
      </w:tr>
      <w:tr>
        <w:trPr>
          <w:trHeight w:val="173"/>
        </w:trPr>
        <w:tc>
          <w:tcPr>
            <w:tcW w:w="1920" w:type="dxa"/>
            <w:vAlign w:val="bottom"/>
            <w:gridSpan w:val="2"/>
          </w:tcPr>
          <w:p>
            <w:pPr>
              <w:spacing w:after="0"/>
              <w:rPr>
                <w:sz w:val="20"/>
                <w:szCs w:val="20"/>
                <w:color w:val="auto"/>
              </w:rPr>
            </w:pPr>
            <w:r>
              <w:rPr>
                <w:rFonts w:ascii="Arial" w:cs="Arial" w:eastAsia="Arial" w:hAnsi="Arial"/>
                <w:sz w:val="12"/>
                <w:szCs w:val="12"/>
                <w:color w:val="auto"/>
              </w:rPr>
              <w:t>Rent</w:t>
            </w: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spacing w:after="0"/>
              <w:rPr>
                <w:sz w:val="15"/>
                <w:szCs w:val="15"/>
                <w:color w:val="auto"/>
              </w:rPr>
            </w:pP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5"/>
                <w:szCs w:val="15"/>
                <w:color w:val="auto"/>
              </w:rPr>
            </w:pPr>
          </w:p>
        </w:tc>
      </w:tr>
      <w:tr>
        <w:trPr>
          <w:trHeight w:val="206"/>
        </w:trPr>
        <w:tc>
          <w:tcPr>
            <w:tcW w:w="1920" w:type="dxa"/>
            <w:vAlign w:val="bottom"/>
            <w:gridSpan w:val="2"/>
          </w:tcPr>
          <w:p>
            <w:pPr>
              <w:spacing w:after="0"/>
              <w:rPr>
                <w:sz w:val="20"/>
                <w:szCs w:val="20"/>
                <w:color w:val="auto"/>
              </w:rPr>
            </w:pPr>
            <w:r>
              <w:rPr>
                <w:rFonts w:ascii="Arial" w:cs="Arial" w:eastAsia="Arial" w:hAnsi="Arial"/>
                <w:sz w:val="12"/>
                <w:szCs w:val="12"/>
                <w:color w:val="auto"/>
              </w:rPr>
              <w:t>monthly advances for:</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4000" w:type="dxa"/>
            <w:vAlign w:val="bottom"/>
            <w:gridSpan w:val="4"/>
          </w:tcPr>
          <w:p>
            <w:pPr>
              <w:spacing w:after="0"/>
              <w:rPr>
                <w:sz w:val="20"/>
                <w:szCs w:val="20"/>
                <w:color w:val="auto"/>
              </w:rPr>
            </w:pPr>
            <w:r>
              <w:rPr>
                <w:rFonts w:ascii="Arial" w:cs="Arial" w:eastAsia="Arial" w:hAnsi="Arial"/>
                <w:sz w:val="12"/>
                <w:szCs w:val="12"/>
                <w:color w:val="auto"/>
              </w:rPr>
              <w:t>Building utilities/building operating costs</w:t>
            </w:r>
          </w:p>
        </w:tc>
        <w:tc>
          <w:tcPr>
            <w:tcW w:w="15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 Heat supply</w:t>
            </w:r>
          </w:p>
        </w:tc>
        <w:tc>
          <w:tcPr>
            <w:tcW w:w="8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w w:val="95"/>
              </w:rPr>
              <w:t>- Electricity supply general and aircon</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Electricity supply cold</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4000" w:type="dxa"/>
            <w:vAlign w:val="bottom"/>
            <w:gridSpan w:val="4"/>
          </w:tcPr>
          <w:p>
            <w:pPr>
              <w:spacing w:after="0"/>
              <w:rPr>
                <w:sz w:val="20"/>
                <w:szCs w:val="20"/>
                <w:color w:val="auto"/>
              </w:rPr>
            </w:pPr>
            <w:r>
              <w:rPr>
                <w:rFonts w:ascii="Arial" w:cs="Arial" w:eastAsia="Arial" w:hAnsi="Arial"/>
                <w:sz w:val="12"/>
                <w:szCs w:val="12"/>
                <w:color w:val="auto"/>
              </w:rPr>
              <w:t>- Water supply/sewage disposal/rain water</w:t>
            </w: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Gas supply</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Special media supply</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Cleaning</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Maintenance</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Other</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Infrastructure levy</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Technical building management</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rPr>
              <w:t>- Property tax</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4000" w:type="dxa"/>
            <w:vAlign w:val="bottom"/>
            <w:gridSpan w:val="4"/>
          </w:tcPr>
          <w:p>
            <w:pPr>
              <w:spacing w:after="0"/>
              <w:rPr>
                <w:sz w:val="20"/>
                <w:szCs w:val="20"/>
                <w:color w:val="auto"/>
              </w:rPr>
            </w:pPr>
            <w:r>
              <w:rPr>
                <w:rFonts w:ascii="Arial" w:cs="Arial" w:eastAsia="Arial" w:hAnsi="Arial"/>
                <w:sz w:val="12"/>
                <w:szCs w:val="12"/>
                <w:color w:val="auto"/>
              </w:rPr>
              <w:t>Subtotal advances utilities/operating costs:</w:t>
            </w: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220"/>
        </w:trPr>
        <w:tc>
          <w:tcPr>
            <w:tcW w:w="1920" w:type="dxa"/>
            <w:vAlign w:val="bottom"/>
            <w:gridSpan w:val="2"/>
          </w:tcPr>
          <w:p>
            <w:pPr>
              <w:spacing w:after="0"/>
              <w:rPr>
                <w:sz w:val="20"/>
                <w:szCs w:val="20"/>
                <w:color w:val="auto"/>
              </w:rPr>
            </w:pPr>
            <w:r>
              <w:rPr>
                <w:rFonts w:ascii="Arial" w:cs="Arial" w:eastAsia="Arial" w:hAnsi="Arial"/>
                <w:sz w:val="12"/>
                <w:szCs w:val="12"/>
                <w:color w:val="auto"/>
                <w:w w:val="90"/>
              </w:rPr>
              <w:t>Subtotal rent and advances utilities/OC:</w:t>
            </w: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900" w:type="dxa"/>
            <w:vAlign w:val="bottom"/>
          </w:tcPr>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700" w:type="dxa"/>
            <w:vAlign w:val="bottom"/>
          </w:tcPr>
          <w:p>
            <w:pPr>
              <w:ind w:left="5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180" w:type="dxa"/>
            <w:vAlign w:val="bottom"/>
          </w:tcPr>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r>
      <w:tr>
        <w:trPr>
          <w:trHeight w:val="140"/>
        </w:trPr>
        <w:tc>
          <w:tcPr>
            <w:tcW w:w="5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2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6">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150"/>
        </w:trPr>
        <w:tc>
          <w:tcPr>
            <w:tcW w:w="3080" w:type="dxa"/>
            <w:vAlign w:val="bottom"/>
          </w:tcPr>
          <w:p>
            <w:pPr>
              <w:spacing w:after="0"/>
              <w:rPr>
                <w:sz w:val="20"/>
                <w:szCs w:val="20"/>
                <w:color w:val="auto"/>
              </w:rPr>
            </w:pPr>
            <w:r>
              <w:rPr>
                <w:rFonts w:ascii="Arial" w:cs="Arial" w:eastAsia="Arial" w:hAnsi="Arial"/>
                <w:sz w:val="12"/>
                <w:szCs w:val="12"/>
                <w:color w:val="auto"/>
              </w:rPr>
              <w:t>plus the relevant value-added tax in force</w:t>
            </w:r>
          </w:p>
        </w:tc>
        <w:tc>
          <w:tcPr>
            <w:tcW w:w="2180" w:type="dxa"/>
            <w:vAlign w:val="bottom"/>
            <w:vMerge w:val="restart"/>
          </w:tcPr>
          <w:p>
            <w:pPr>
              <w:ind w:left="1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520" w:type="dxa"/>
            <w:vAlign w:val="bottom"/>
            <w:vMerge w:val="restart"/>
          </w:tcPr>
          <w:p>
            <w:pPr>
              <w:ind w:left="7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580" w:type="dxa"/>
            <w:vAlign w:val="bottom"/>
            <w:vMerge w:val="restart"/>
          </w:tcPr>
          <w:p>
            <w:pPr>
              <w:ind w:left="1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780" w:type="dxa"/>
            <w:vAlign w:val="bottom"/>
            <w:vMerge w:val="restart"/>
          </w:tcPr>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7"/>
        </w:trPr>
        <w:tc>
          <w:tcPr>
            <w:tcW w:w="3080" w:type="dxa"/>
            <w:vAlign w:val="bottom"/>
          </w:tcPr>
          <w:p>
            <w:pPr>
              <w:spacing w:after="0"/>
              <w:rPr>
                <w:sz w:val="20"/>
                <w:szCs w:val="20"/>
                <w:color w:val="auto"/>
              </w:rPr>
            </w:pPr>
            <w:r>
              <w:rPr>
                <w:rFonts w:ascii="Arial" w:cs="Arial" w:eastAsia="Arial" w:hAnsi="Arial"/>
                <w:sz w:val="12"/>
                <w:szCs w:val="12"/>
                <w:color w:val="auto"/>
              </w:rPr>
              <w:t>(currently 19%)</w:t>
            </w:r>
          </w:p>
        </w:tc>
        <w:tc>
          <w:tcPr>
            <w:tcW w:w="218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080" w:type="dxa"/>
            <w:vAlign w:val="bottom"/>
          </w:tcPr>
          <w:p>
            <w:pPr>
              <w:spacing w:after="0"/>
              <w:rPr>
                <w:sz w:val="20"/>
                <w:szCs w:val="20"/>
                <w:color w:val="auto"/>
              </w:rPr>
            </w:pPr>
            <w:r>
              <w:rPr>
                <w:rFonts w:ascii="Arial" w:cs="Arial" w:eastAsia="Arial" w:hAnsi="Arial"/>
                <w:sz w:val="12"/>
                <w:szCs w:val="12"/>
                <w:b w:val="1"/>
                <w:bCs w:val="1"/>
                <w:color w:val="auto"/>
              </w:rPr>
              <w:t>Total amount</w:t>
            </w:r>
          </w:p>
        </w:tc>
        <w:tc>
          <w:tcPr>
            <w:tcW w:w="2180" w:type="dxa"/>
            <w:vAlign w:val="bottom"/>
          </w:tcPr>
          <w:p>
            <w:pPr>
              <w:ind w:left="1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1520" w:type="dxa"/>
            <w:vAlign w:val="bottom"/>
          </w:tcPr>
          <w:p>
            <w:pPr>
              <w:ind w:left="7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2580" w:type="dxa"/>
            <w:vAlign w:val="bottom"/>
          </w:tcPr>
          <w:p>
            <w:pPr>
              <w:ind w:left="1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780" w:type="dxa"/>
            <w:vAlign w:val="bottom"/>
          </w:tcPr>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06"/>
        </w:trPr>
        <w:tc>
          <w:tcPr>
            <w:tcW w:w="3080" w:type="dxa"/>
            <w:vAlign w:val="bottom"/>
          </w:tcPr>
          <w:p>
            <w:pPr>
              <w:spacing w:after="0"/>
              <w:rPr>
                <w:sz w:val="20"/>
                <w:szCs w:val="20"/>
                <w:color w:val="auto"/>
              </w:rPr>
            </w:pPr>
            <w:r>
              <w:rPr>
                <w:rFonts w:ascii="Arial" w:cs="Arial" w:eastAsia="Arial" w:hAnsi="Arial"/>
                <w:sz w:val="12"/>
                <w:szCs w:val="12"/>
                <w:color w:val="auto"/>
              </w:rPr>
              <w:t>Berlin, 24.10.2019</w:t>
            </w: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80" w:type="dxa"/>
            <w:vAlign w:val="bottom"/>
          </w:tcPr>
          <w:p>
            <w:pPr>
              <w:ind w:left="440"/>
              <w:spacing w:after="0"/>
              <w:rPr>
                <w:sz w:val="20"/>
                <w:szCs w:val="20"/>
                <w:color w:val="auto"/>
              </w:rPr>
            </w:pPr>
            <w:r>
              <w:rPr>
                <w:rFonts w:ascii="Arial" w:cs="Arial" w:eastAsia="Arial" w:hAnsi="Arial"/>
                <w:sz w:val="12"/>
                <w:szCs w:val="12"/>
                <w:color w:val="auto"/>
              </w:rPr>
              <w:t>Berlin,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2"/>
                <w:szCs w:val="12"/>
                <w:color w:val="auto"/>
              </w:rPr>
              <w:t>p.p. [signature]</w:t>
            </w:r>
          </w:p>
        </w:tc>
        <w:tc>
          <w:tcPr>
            <w:tcW w:w="2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580" w:type="dxa"/>
            <w:vAlign w:val="bottom"/>
          </w:tcPr>
          <w:p>
            <w:pPr>
              <w:ind w:left="440"/>
              <w:spacing w:after="0"/>
              <w:rPr>
                <w:sz w:val="20"/>
                <w:szCs w:val="20"/>
                <w:color w:val="auto"/>
              </w:rPr>
            </w:pPr>
            <w:r>
              <w:rPr>
                <w:rFonts w:ascii="Arial" w:cs="Arial" w:eastAsia="Arial" w:hAnsi="Arial"/>
                <w:sz w:val="12"/>
                <w:szCs w:val="12"/>
                <w:color w:val="auto"/>
              </w:rPr>
              <w:t>[signature]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2"/>
                <w:szCs w:val="12"/>
                <w:b w:val="1"/>
                <w:bCs w:val="1"/>
                <w:color w:val="auto"/>
              </w:rPr>
              <w:t>WISTA Management GmbH</w:t>
            </w:r>
          </w:p>
        </w:tc>
        <w:tc>
          <w:tcPr>
            <w:tcW w:w="2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580" w:type="dxa"/>
            <w:vAlign w:val="bottom"/>
          </w:tcPr>
          <w:p>
            <w:pPr>
              <w:ind w:left="440"/>
              <w:spacing w:after="0"/>
              <w:rPr>
                <w:sz w:val="20"/>
                <w:szCs w:val="20"/>
                <w:color w:val="auto"/>
              </w:rPr>
            </w:pPr>
            <w:r>
              <w:rPr>
                <w:rFonts w:ascii="Arial" w:cs="Arial" w:eastAsia="Arial" w:hAnsi="Arial"/>
                <w:sz w:val="12"/>
                <w:szCs w:val="12"/>
                <w:b w:val="1"/>
                <w:bCs w:val="1"/>
                <w:color w:val="auto"/>
              </w:rPr>
              <w:t>JPT Peptide Technologies GmbH</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ectPr>
          <w:pgSz w:w="11900" w:h="16838" w:orient="portrait"/>
          <w:cols w:equalWidth="0" w:num="1">
            <w:col w:w="10159"/>
          </w:cols>
          <w:pgMar w:left="300" w:top="132" w:right="1440" w:bottom="1440" w:gutter="0" w:footer="0" w:header="0"/>
        </w:sectPr>
      </w:pPr>
    </w:p>
    <w:p>
      <w:pPr>
        <w:ind w:left="120"/>
        <w:spacing w:after="0"/>
        <w:rPr>
          <w:sz w:val="20"/>
          <w:szCs w:val="20"/>
          <w:color w:val="auto"/>
        </w:rPr>
      </w:pPr>
      <w:r>
        <w:rPr>
          <w:rFonts w:ascii="Arial" w:cs="Arial" w:eastAsia="Arial" w:hAnsi="Arial"/>
          <w:sz w:val="11"/>
          <w:szCs w:val="11"/>
          <w:color w:val="auto"/>
        </w:rPr>
        <w:t>[stamp: [image]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9"/>
          <w:szCs w:val="9"/>
          <w:color w:val="auto"/>
        </w:rPr>
        <w:t>WISTA-Management GmbH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0"/>
          <w:szCs w:val="10"/>
          <w:color w:val="auto"/>
        </w:rPr>
        <w:t>WISTA we get ideas done</w:t>
      </w:r>
    </w:p>
    <w:p>
      <w:pPr>
        <w:ind w:left="120"/>
        <w:spacing w:after="0" w:line="208" w:lineRule="auto"/>
        <w:rPr>
          <w:sz w:val="20"/>
          <w:szCs w:val="20"/>
          <w:color w:val="auto"/>
        </w:rPr>
      </w:pPr>
      <w:r>
        <w:rPr>
          <w:rFonts w:ascii="Arial" w:cs="Arial" w:eastAsia="Arial" w:hAnsi="Arial"/>
          <w:sz w:val="11"/>
          <w:szCs w:val="11"/>
          <w:color w:val="auto"/>
        </w:rPr>
        <w:t>Rudower Chaussee 1</w:t>
      </w:r>
    </w:p>
    <w:p>
      <w:pPr>
        <w:ind w:left="120"/>
        <w:spacing w:after="0" w:line="209" w:lineRule="auto"/>
        <w:rPr>
          <w:sz w:val="20"/>
          <w:szCs w:val="20"/>
          <w:color w:val="auto"/>
        </w:rPr>
      </w:pPr>
      <w:r>
        <w:rPr>
          <w:rFonts w:ascii="Arial" w:cs="Arial" w:eastAsia="Arial" w:hAnsi="Arial"/>
          <w:sz w:val="11"/>
          <w:szCs w:val="11"/>
          <w:color w:val="auto"/>
        </w:rPr>
        <w:t>12489 Berlin</w:t>
      </w:r>
    </w:p>
    <w:p>
      <w:pPr>
        <w:ind w:left="120"/>
        <w:spacing w:after="0" w:line="228" w:lineRule="auto"/>
        <w:rPr>
          <w:sz w:val="20"/>
          <w:szCs w:val="20"/>
          <w:color w:val="auto"/>
        </w:rPr>
      </w:pPr>
      <w:r>
        <w:rPr>
          <w:rFonts w:ascii="Arial" w:cs="Arial" w:eastAsia="Arial" w:hAnsi="Arial"/>
          <w:sz w:val="11"/>
          <w:szCs w:val="11"/>
          <w:color w:val="auto"/>
        </w:rPr>
        <w:t>Tel: +49 30 6392 2200</w:t>
      </w:r>
    </w:p>
    <w:p>
      <w:pPr>
        <w:ind w:left="120"/>
        <w:spacing w:after="0" w:line="208" w:lineRule="auto"/>
        <w:rPr>
          <w:sz w:val="20"/>
          <w:szCs w:val="20"/>
          <w:color w:val="auto"/>
        </w:rPr>
      </w:pPr>
      <w:r>
        <w:rPr>
          <w:rFonts w:ascii="Arial" w:cs="Arial" w:eastAsia="Arial" w:hAnsi="Arial"/>
          <w:sz w:val="11"/>
          <w:szCs w:val="11"/>
          <w:color w:val="auto"/>
        </w:rPr>
        <w:t>Fax: +49 30 6392 2201</w:t>
      </w:r>
    </w:p>
    <w:p>
      <w:pPr>
        <w:ind w:left="120"/>
        <w:spacing w:after="0"/>
        <w:rPr>
          <w:sz w:val="20"/>
          <w:szCs w:val="20"/>
          <w:color w:val="auto"/>
        </w:rPr>
      </w:pPr>
      <w:r>
        <w:rPr>
          <w:rFonts w:ascii="Arial" w:cs="Arial" w:eastAsia="Arial" w:hAnsi="Arial"/>
          <w:sz w:val="11"/>
          <w:szCs w:val="11"/>
          <w:color w:val="auto"/>
        </w:rPr>
        <w:t>wista.de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-110490</wp:posOffset>
            </wp:positionV>
            <wp:extent cx="7167880" cy="787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7">
                      <a:extLst>
                        <a:ext uri="{28A0092B-C50C-407E-A947-70E740481C1C}"/>
                      </a:extLst>
                    </a:blip>
                    <a:srcRect/>
                    <a:stretch>
                      <a:fillRect/>
                    </a:stretch>
                  </pic:blipFill>
                  <pic:spPr bwMode="auto">
                    <a:xfrm>
                      <a:off x="0" y="0"/>
                      <a:ext cx="7167880" cy="7874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9"/>
          <w:szCs w:val="9"/>
          <w:color w:val="auto"/>
        </w:rPr>
        <w:t>JPT Peptide Technologies GmbH</w:t>
      </w:r>
    </w:p>
    <w:p>
      <w:pPr>
        <w:ind w:left="120"/>
        <w:spacing w:after="0" w:line="221" w:lineRule="auto"/>
        <w:rPr>
          <w:sz w:val="20"/>
          <w:szCs w:val="20"/>
          <w:color w:val="auto"/>
        </w:rPr>
      </w:pPr>
      <w:r>
        <w:rPr>
          <w:rFonts w:ascii="Arial" w:cs="Arial" w:eastAsia="Arial" w:hAnsi="Arial"/>
          <w:sz w:val="11"/>
          <w:szCs w:val="11"/>
          <w:color w:val="auto"/>
        </w:rPr>
        <w:t>Volmerstrasse 5</w:t>
      </w:r>
    </w:p>
    <w:p>
      <w:pPr>
        <w:ind w:left="120"/>
        <w:spacing w:after="0"/>
        <w:rPr>
          <w:sz w:val="20"/>
          <w:szCs w:val="20"/>
          <w:color w:val="auto"/>
        </w:rPr>
      </w:pPr>
      <w:r>
        <w:rPr>
          <w:rFonts w:ascii="Arial" w:cs="Arial" w:eastAsia="Arial" w:hAnsi="Arial"/>
          <w:sz w:val="11"/>
          <w:szCs w:val="11"/>
          <w:color w:val="auto"/>
        </w:rPr>
        <w:t>12489 Berlin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1</w:t>
      </w:r>
    </w:p>
    <w:p>
      <w:pPr>
        <w:spacing w:after="0" w:line="200" w:lineRule="exact"/>
        <w:rPr>
          <w:sz w:val="20"/>
          <w:szCs w:val="20"/>
          <w:color w:val="auto"/>
        </w:rPr>
      </w:pPr>
    </w:p>
    <w:p>
      <w:pPr>
        <w:sectPr>
          <w:pgSz w:w="11900" w:h="16838" w:orient="portrait"/>
          <w:cols w:equalWidth="0" w:num="2">
            <w:col w:w="6500" w:space="720"/>
            <w:col w:w="2939"/>
          </w:cols>
          <w:pgMar w:left="300" w:top="132" w:right="1440"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Lessee: </w:t>
      </w:r>
      <w:r>
        <w:rPr>
          <w:rFonts w:ascii="Arial" w:cs="Arial" w:eastAsia="Arial" w:hAnsi="Arial"/>
          <w:sz w:val="13"/>
          <w:szCs w:val="13"/>
          <w:b w:val="1"/>
          <w:bCs w:val="1"/>
          <w:color w:val="auto"/>
        </w:rPr>
        <w:t>JPT Peptide Technologies GmbH, Volmerstraße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4679315</wp:posOffset>
            </wp:positionH>
            <wp:positionV relativeFrom="paragraph">
              <wp:posOffset>14605</wp:posOffset>
            </wp:positionV>
            <wp:extent cx="2488565" cy="19043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8">
                      <a:extLst>
                        <a:ext uri="{28A0092B-C50C-407E-A947-70E740481C1C}"/>
                      </a:extLst>
                    </a:blip>
                    <a:srcRect/>
                    <a:stretch>
                      <a:fillRect/>
                    </a:stretch>
                  </pic:blipFill>
                  <pic:spPr bwMode="auto">
                    <a:xfrm>
                      <a:off x="0" y="0"/>
                      <a:ext cx="2488565" cy="1904365"/>
                    </a:xfrm>
                    <a:prstGeom prst="rect">
                      <a:avLst/>
                    </a:prstGeom>
                    <a:noFill/>
                  </pic:spPr>
                </pic:pic>
              </a:graphicData>
            </a:graphic>
          </wp:anchor>
        </w:drawing>
      </w:r>
    </w:p>
    <w:p>
      <w:pPr>
        <w:spacing w:after="0" w:line="61" w:lineRule="exact"/>
        <w:rPr>
          <w:sz w:val="20"/>
          <w:szCs w:val="20"/>
          <w:color w:val="auto"/>
        </w:rPr>
      </w:pPr>
    </w:p>
    <w:p>
      <w:pPr>
        <w:jc w:val="center"/>
        <w:ind w:left="7360"/>
        <w:spacing w:after="0"/>
        <w:rPr>
          <w:sz w:val="20"/>
          <w:szCs w:val="20"/>
          <w:color w:val="auto"/>
        </w:rPr>
      </w:pPr>
      <w:r>
        <w:rPr>
          <w:rFonts w:ascii="Arial" w:cs="Arial" w:eastAsia="Arial" w:hAnsi="Arial"/>
          <w:sz w:val="14"/>
          <w:szCs w:val="14"/>
          <w:u w:val="single" w:color="auto"/>
          <w:color w:val="auto"/>
        </w:rPr>
        <w:t>Bilingual Key</w:t>
      </w:r>
    </w:p>
    <w:p>
      <w:pPr>
        <w:spacing w:after="0" w:line="119" w:lineRule="exact"/>
        <w:rPr>
          <w:sz w:val="20"/>
          <w:szCs w:val="20"/>
          <w:color w:val="auto"/>
        </w:rPr>
      </w:pPr>
    </w:p>
    <w:p>
      <w:pPr>
        <w:jc w:val="center"/>
        <w:ind w:left="7360"/>
        <w:spacing w:after="0"/>
        <w:rPr>
          <w:sz w:val="20"/>
          <w:szCs w:val="20"/>
          <w:color w:val="auto"/>
        </w:rPr>
      </w:pPr>
      <w:r>
        <w:rPr>
          <w:rFonts w:ascii="Arial" w:cs="Arial" w:eastAsia="Arial" w:hAnsi="Arial"/>
          <w:sz w:val="15"/>
          <w:szCs w:val="15"/>
          <w:u w:val="single" w:color="auto"/>
          <w:color w:val="auto"/>
        </w:rPr>
        <w:t>DE-EN</w:t>
      </w:r>
    </w:p>
    <w:p>
      <w:pPr>
        <w:spacing w:after="0" w:line="97" w:lineRule="exact"/>
        <w:rPr>
          <w:sz w:val="20"/>
          <w:szCs w:val="20"/>
          <w:color w:val="auto"/>
        </w:rPr>
      </w:pPr>
    </w:p>
    <w:p>
      <w:pPr>
        <w:ind w:left="7480"/>
        <w:spacing w:after="0"/>
        <w:rPr>
          <w:sz w:val="20"/>
          <w:szCs w:val="20"/>
          <w:color w:val="auto"/>
        </w:rPr>
      </w:pPr>
      <w:r>
        <w:rPr>
          <w:rFonts w:ascii="Arial" w:cs="Arial" w:eastAsia="Arial" w:hAnsi="Arial"/>
          <w:sz w:val="15"/>
          <w:szCs w:val="15"/>
          <w:color w:val="auto"/>
        </w:rPr>
        <w:t>Geschoss – Floor</w:t>
      </w:r>
    </w:p>
    <w:p>
      <w:pPr>
        <w:spacing w:after="0" w:line="7" w:lineRule="exact"/>
        <w:rPr>
          <w:sz w:val="20"/>
          <w:szCs w:val="20"/>
          <w:color w:val="auto"/>
        </w:rPr>
      </w:pPr>
    </w:p>
    <w:p>
      <w:pPr>
        <w:ind w:left="7480"/>
        <w:spacing w:after="0"/>
        <w:rPr>
          <w:sz w:val="20"/>
          <w:szCs w:val="20"/>
          <w:color w:val="auto"/>
        </w:rPr>
      </w:pPr>
      <w:r>
        <w:rPr>
          <w:rFonts w:ascii="Arial" w:cs="Arial" w:eastAsia="Arial" w:hAnsi="Arial"/>
          <w:sz w:val="15"/>
          <w:szCs w:val="15"/>
          <w:color w:val="auto"/>
        </w:rPr>
        <w:t>Raum-Nr. – Room No.</w:t>
      </w:r>
    </w:p>
    <w:p>
      <w:pPr>
        <w:ind w:left="7480"/>
        <w:spacing w:after="0" w:line="236" w:lineRule="auto"/>
        <w:rPr>
          <w:sz w:val="20"/>
          <w:szCs w:val="20"/>
          <w:color w:val="auto"/>
        </w:rPr>
      </w:pPr>
      <w:r>
        <w:rPr>
          <w:rFonts w:ascii="Arial" w:cs="Arial" w:eastAsia="Arial" w:hAnsi="Arial"/>
          <w:sz w:val="15"/>
          <w:szCs w:val="15"/>
          <w:color w:val="auto"/>
        </w:rPr>
        <w:t>Nutzung – Use</w:t>
      </w:r>
    </w:p>
    <w:p>
      <w:pPr>
        <w:ind w:left="7480"/>
        <w:spacing w:after="0" w:line="237" w:lineRule="auto"/>
        <w:rPr>
          <w:sz w:val="20"/>
          <w:szCs w:val="20"/>
          <w:color w:val="auto"/>
        </w:rPr>
      </w:pPr>
      <w:r>
        <w:rPr>
          <w:rFonts w:ascii="Arial" w:cs="Arial" w:eastAsia="Arial" w:hAnsi="Arial"/>
          <w:sz w:val="15"/>
          <w:szCs w:val="15"/>
          <w:color w:val="auto"/>
        </w:rPr>
        <w:t>Fläche – Surface area</w:t>
      </w:r>
    </w:p>
    <w:p>
      <w:pPr>
        <w:ind w:left="7480"/>
        <w:spacing w:after="0" w:line="236" w:lineRule="auto"/>
        <w:rPr>
          <w:sz w:val="20"/>
          <w:szCs w:val="20"/>
          <w:color w:val="auto"/>
        </w:rPr>
      </w:pPr>
      <w:r>
        <w:rPr>
          <w:rFonts w:ascii="Arial" w:cs="Arial" w:eastAsia="Arial" w:hAnsi="Arial"/>
          <w:sz w:val="15"/>
          <w:szCs w:val="15"/>
          <w:color w:val="auto"/>
        </w:rPr>
        <w:t>1. OG – First floor</w:t>
      </w:r>
    </w:p>
    <w:p>
      <w:pPr>
        <w:ind w:left="7480"/>
        <w:spacing w:after="0" w:line="237" w:lineRule="auto"/>
        <w:rPr>
          <w:sz w:val="20"/>
          <w:szCs w:val="20"/>
          <w:color w:val="auto"/>
        </w:rPr>
      </w:pPr>
      <w:r>
        <w:rPr>
          <w:rFonts w:ascii="Arial" w:cs="Arial" w:eastAsia="Arial" w:hAnsi="Arial"/>
          <w:sz w:val="15"/>
          <w:szCs w:val="15"/>
          <w:color w:val="auto"/>
        </w:rPr>
        <w:t>2. OG – Second floor</w:t>
      </w:r>
    </w:p>
    <w:p>
      <w:pPr>
        <w:ind w:left="7480"/>
        <w:spacing w:after="0" w:line="236" w:lineRule="auto"/>
        <w:rPr>
          <w:sz w:val="20"/>
          <w:szCs w:val="20"/>
          <w:color w:val="auto"/>
        </w:rPr>
      </w:pPr>
      <w:r>
        <w:rPr>
          <w:rFonts w:ascii="Arial" w:cs="Arial" w:eastAsia="Arial" w:hAnsi="Arial"/>
          <w:sz w:val="15"/>
          <w:szCs w:val="15"/>
          <w:color w:val="auto"/>
        </w:rPr>
        <w:t>3. OG – Third floor</w:t>
      </w:r>
    </w:p>
    <w:p>
      <w:pPr>
        <w:ind w:left="7480"/>
        <w:spacing w:after="0" w:line="237" w:lineRule="auto"/>
        <w:rPr>
          <w:sz w:val="20"/>
          <w:szCs w:val="20"/>
          <w:color w:val="auto"/>
        </w:rPr>
      </w:pPr>
      <w:r>
        <w:rPr>
          <w:rFonts w:ascii="Arial" w:cs="Arial" w:eastAsia="Arial" w:hAnsi="Arial"/>
          <w:sz w:val="15"/>
          <w:szCs w:val="15"/>
          <w:color w:val="auto"/>
        </w:rPr>
        <w:t>Büro – Office</w:t>
      </w:r>
    </w:p>
    <w:p>
      <w:pPr>
        <w:ind w:left="7480"/>
        <w:spacing w:after="0" w:line="236" w:lineRule="auto"/>
        <w:rPr>
          <w:sz w:val="20"/>
          <w:szCs w:val="20"/>
          <w:color w:val="auto"/>
        </w:rPr>
      </w:pPr>
      <w:r>
        <w:rPr>
          <w:rFonts w:ascii="Arial" w:cs="Arial" w:eastAsia="Arial" w:hAnsi="Arial"/>
          <w:sz w:val="15"/>
          <w:szCs w:val="15"/>
          <w:color w:val="auto"/>
        </w:rPr>
        <w:t>Labor – Laboratory</w:t>
      </w:r>
    </w:p>
    <w:p>
      <w:pPr>
        <w:ind w:left="7480"/>
        <w:spacing w:after="0" w:line="237" w:lineRule="auto"/>
        <w:rPr>
          <w:sz w:val="20"/>
          <w:szCs w:val="20"/>
          <w:color w:val="auto"/>
        </w:rPr>
      </w:pPr>
      <w:r>
        <w:rPr>
          <w:rFonts w:ascii="Arial" w:cs="Arial" w:eastAsia="Arial" w:hAnsi="Arial"/>
          <w:sz w:val="15"/>
          <w:szCs w:val="15"/>
          <w:color w:val="auto"/>
        </w:rPr>
        <w:t>Lager – Storage area</w:t>
      </w:r>
    </w:p>
    <w:p>
      <w:pPr>
        <w:ind w:left="7480"/>
        <w:spacing w:after="0" w:line="236" w:lineRule="auto"/>
        <w:rPr>
          <w:sz w:val="20"/>
          <w:szCs w:val="20"/>
          <w:color w:val="auto"/>
        </w:rPr>
      </w:pPr>
      <w:r>
        <w:rPr>
          <w:rFonts w:ascii="Arial" w:cs="Arial" w:eastAsia="Arial" w:hAnsi="Arial"/>
          <w:sz w:val="15"/>
          <w:szCs w:val="15"/>
          <w:color w:val="auto"/>
        </w:rPr>
        <w:t>büroähnlich – office-like</w:t>
      </w:r>
    </w:p>
    <w:p>
      <w:pPr>
        <w:ind w:left="7480"/>
        <w:spacing w:after="0" w:line="237" w:lineRule="auto"/>
        <w:rPr>
          <w:sz w:val="20"/>
          <w:szCs w:val="20"/>
          <w:color w:val="auto"/>
        </w:rPr>
      </w:pPr>
      <w:r>
        <w:rPr>
          <w:rFonts w:ascii="Arial" w:cs="Arial" w:eastAsia="Arial" w:hAnsi="Arial"/>
          <w:sz w:val="15"/>
          <w:szCs w:val="15"/>
          <w:color w:val="auto"/>
        </w:rPr>
        <w:t>Summe – Total</w:t>
      </w:r>
    </w:p>
    <w:p>
      <w:pPr>
        <w:ind w:left="7480"/>
        <w:spacing w:after="0"/>
        <w:rPr>
          <w:sz w:val="20"/>
          <w:szCs w:val="20"/>
          <w:color w:val="auto"/>
        </w:rPr>
      </w:pPr>
      <w:r>
        <w:rPr>
          <w:rFonts w:ascii="Arial" w:cs="Arial" w:eastAsia="Arial" w:hAnsi="Arial"/>
          <w:sz w:val="13"/>
          <w:szCs w:val="13"/>
          <w:color w:val="auto"/>
        </w:rPr>
        <w:t>Flächenerweiterung – Area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7180580" cy="127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59"/>
          </w:cols>
          <w:pgMar w:left="300" w:top="132" w:right="1440" w:bottom="1440" w:gutter="0" w:footer="0" w:header="0"/>
          <w:type w:val="continuous"/>
        </w:sectPr>
      </w:pPr>
    </w:p>
    <w:bookmarkStart w:id="338" w:name="page339"/>
    <w:bookmarkEnd w:id="338"/>
    <w:p>
      <w:pPr>
        <w:spacing w:after="0"/>
        <w:rPr>
          <w:sz w:val="20"/>
          <w:szCs w:val="20"/>
          <w:color w:val="auto"/>
        </w:rPr>
      </w:pPr>
      <w:r>
        <w:rPr>
          <w:rFonts w:ascii="Arial" w:cs="Arial" w:eastAsia="Arial" w:hAnsi="Arial"/>
          <w:sz w:val="12"/>
          <w:szCs w:val="12"/>
          <w:b w:val="1"/>
          <w:bCs w:val="1"/>
          <w:color w:val="auto"/>
        </w:rPr>
        <w:t>Aufstellung Mietflächen</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Mieter:</w:t>
      </w:r>
      <w:r>
        <w:rPr>
          <w:sz w:val="20"/>
          <w:szCs w:val="20"/>
          <w:color w:val="auto"/>
        </w:rPr>
        <w:tab/>
      </w:r>
      <w:r>
        <w:rPr>
          <w:rFonts w:ascii="Arial" w:cs="Arial" w:eastAsia="Arial" w:hAnsi="Arial"/>
          <w:sz w:val="12"/>
          <w:szCs w:val="12"/>
          <w:b w:val="1"/>
          <w:bCs w:val="1"/>
          <w:color w:val="auto"/>
        </w:rPr>
        <w:t>JPT Peptide Technologies GmbH, Volmerstraße 5</w:t>
      </w:r>
    </w:p>
    <w:p>
      <w:pPr>
        <w:spacing w:after="0" w:line="73" w:lineRule="exact"/>
        <w:rPr>
          <w:sz w:val="20"/>
          <w:szCs w:val="20"/>
          <w:color w:val="auto"/>
        </w:rPr>
      </w:pPr>
    </w:p>
    <w:tbl>
      <w:tblPr>
        <w:tblLayout w:type="fixed"/>
        <w:tblInd w:w="1730" w:type="dxa"/>
        <w:tblCellMar>
          <w:top w:w="0" w:type="dxa"/>
          <w:left w:w="0" w:type="dxa"/>
          <w:bottom w:w="0" w:type="dxa"/>
          <w:right w:w="0" w:type="dxa"/>
        </w:tblCellMar>
      </w:tblPr>
      <w:tr>
        <w:trPr>
          <w:trHeight w:val="120"/>
        </w:trPr>
        <w:tc>
          <w:tcPr>
            <w:tcW w:w="180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9"/>
                <w:szCs w:val="9"/>
                <w:b w:val="1"/>
                <w:bCs w:val="1"/>
                <w:color w:val="auto"/>
                <w:w w:val="83"/>
              </w:rPr>
              <w:t>Geschoss</w:t>
            </w:r>
          </w:p>
        </w:tc>
        <w:tc>
          <w:tcPr>
            <w:tcW w:w="40" w:type="dxa"/>
            <w:vAlign w:val="bottom"/>
            <w:tcBorders>
              <w:top w:val="single" w:sz="8" w:color="auto"/>
              <w:bottom w:val="single" w:sz="8" w:color="auto"/>
              <w:right w:val="single" w:sz="8" w:color="auto"/>
            </w:tcBorders>
            <w:shd w:val="clear" w:color="auto" w:fill="000000"/>
          </w:tcPr>
          <w:p>
            <w:pPr>
              <w:spacing w:after="0"/>
              <w:rPr>
                <w:sz w:val="10"/>
                <w:szCs w:val="10"/>
                <w:color w:val="auto"/>
              </w:rPr>
            </w:pP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8"/>
              </w:rPr>
              <w:t>Raum-Nr.</w:t>
            </w:r>
          </w:p>
        </w:tc>
        <w:tc>
          <w:tcPr>
            <w:tcW w:w="2460" w:type="dxa"/>
            <w:vAlign w:val="bottom"/>
            <w:tcBorders>
              <w:top w:val="single" w:sz="8" w:color="auto"/>
              <w:bottom w:val="single" w:sz="8" w:color="auto"/>
              <w:right w:val="single" w:sz="8" w:color="auto"/>
            </w:tcBorders>
          </w:tcPr>
          <w:p>
            <w:pPr>
              <w:jc w:val="center"/>
              <w:ind w:right="33"/>
              <w:spacing w:after="0"/>
              <w:rPr>
                <w:sz w:val="20"/>
                <w:szCs w:val="20"/>
                <w:color w:val="auto"/>
              </w:rPr>
            </w:pPr>
            <w:r>
              <w:rPr>
                <w:rFonts w:ascii="Arial" w:cs="Arial" w:eastAsia="Arial" w:hAnsi="Arial"/>
                <w:sz w:val="9"/>
                <w:szCs w:val="9"/>
                <w:b w:val="1"/>
                <w:bCs w:val="1"/>
                <w:color w:val="auto"/>
                <w:w w:val="94"/>
              </w:rPr>
              <w:t>Nutzung</w:t>
            </w:r>
          </w:p>
        </w:tc>
        <w:tc>
          <w:tcPr>
            <w:tcW w:w="1660" w:type="dxa"/>
            <w:vAlign w:val="bottom"/>
            <w:tcBorders>
              <w:top w:val="single" w:sz="8" w:color="auto"/>
              <w:bottom w:val="single" w:sz="8" w:color="auto"/>
              <w:right w:val="single" w:sz="8" w:color="auto"/>
            </w:tcBorders>
          </w:tcPr>
          <w:p>
            <w:pPr>
              <w:jc w:val="right"/>
              <w:ind w:right="1153"/>
              <w:spacing w:after="0"/>
              <w:rPr>
                <w:sz w:val="20"/>
                <w:szCs w:val="20"/>
                <w:color w:val="auto"/>
              </w:rPr>
            </w:pPr>
            <w:r>
              <w:rPr>
                <w:rFonts w:ascii="Arial" w:cs="Arial" w:eastAsia="Arial" w:hAnsi="Arial"/>
                <w:sz w:val="9"/>
                <w:szCs w:val="9"/>
                <w:b w:val="1"/>
                <w:bCs w:val="1"/>
                <w:color w:val="auto"/>
                <w:w w:val="89"/>
              </w:rPr>
              <w:t>Fläche (m</w:t>
            </w:r>
            <w:r>
              <w:rPr>
                <w:rFonts w:ascii="Arial" w:cs="Arial" w:eastAsia="Arial" w:hAnsi="Arial"/>
                <w:sz w:val="7"/>
                <w:szCs w:val="7"/>
                <w:b w:val="1"/>
                <w:bCs w:val="1"/>
                <w:color w:val="auto"/>
                <w:w w:val="89"/>
              </w:rPr>
              <w:t>2</w:t>
            </w:r>
            <w:r>
              <w:rPr>
                <w:rFonts w:ascii="Arial" w:cs="Arial" w:eastAsia="Arial" w:hAnsi="Arial"/>
                <w:sz w:val="9"/>
                <w:szCs w:val="9"/>
                <w:b w:val="1"/>
                <w:bCs w:val="1"/>
                <w:color w:val="auto"/>
                <w:w w:val="89"/>
              </w:rPr>
              <w:t>)</w:t>
            </w:r>
          </w:p>
        </w:tc>
        <w:tc>
          <w:tcPr>
            <w:tcW w:w="0" w:type="dxa"/>
            <w:vAlign w:val="bottom"/>
          </w:tcPr>
          <w:p>
            <w:pPr>
              <w:spacing w:after="0"/>
              <w:rPr>
                <w:sz w:val="1"/>
                <w:szCs w:val="1"/>
                <w:color w:val="auto"/>
              </w:rPr>
            </w:pPr>
          </w:p>
        </w:tc>
      </w:tr>
      <w:tr>
        <w:trPr>
          <w:trHeight w:val="100"/>
        </w:trPr>
        <w:tc>
          <w:tcPr>
            <w:tcW w:w="1840" w:type="dxa"/>
            <w:vAlign w:val="bottom"/>
            <w:tcBorders>
              <w:left w:val="single" w:sz="8" w:color="auto"/>
              <w:bottom w:val="single" w:sz="8" w:color="auto"/>
              <w:right w:val="single" w:sz="8" w:color="auto"/>
            </w:tcBorders>
            <w:gridSpan w:val="2"/>
          </w:tcPr>
          <w:p>
            <w:pPr>
              <w:jc w:val="center"/>
              <w:spacing w:after="0" w:line="10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100" w:lineRule="exact"/>
              <w:rPr>
                <w:sz w:val="20"/>
                <w:szCs w:val="20"/>
                <w:color w:val="auto"/>
              </w:rPr>
            </w:pPr>
            <w:r>
              <w:rPr>
                <w:rFonts w:ascii="Arial" w:cs="Arial" w:eastAsia="Arial" w:hAnsi="Arial"/>
                <w:sz w:val="9"/>
                <w:szCs w:val="9"/>
                <w:color w:val="auto"/>
                <w:w w:val="89"/>
              </w:rPr>
              <w:t>1137</w:t>
            </w:r>
          </w:p>
        </w:tc>
        <w:tc>
          <w:tcPr>
            <w:tcW w:w="2460" w:type="dxa"/>
            <w:vAlign w:val="bottom"/>
            <w:tcBorders>
              <w:bottom w:val="single" w:sz="8" w:color="auto"/>
              <w:right w:val="single" w:sz="8" w:color="auto"/>
            </w:tcBorders>
          </w:tcPr>
          <w:p>
            <w:pPr>
              <w:jc w:val="center"/>
              <w:spacing w:after="0" w:line="10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100" w:lineRule="exact"/>
              <w:rPr>
                <w:sz w:val="20"/>
                <w:szCs w:val="20"/>
                <w:color w:val="auto"/>
              </w:rPr>
            </w:pPr>
            <w:r>
              <w:rPr>
                <w:rFonts w:ascii="Arial" w:cs="Arial" w:eastAsia="Arial" w:hAnsi="Arial"/>
                <w:sz w:val="9"/>
                <w:szCs w:val="9"/>
                <w:color w:val="auto"/>
              </w:rPr>
              <w:t>20,14</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1138</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23,97</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1220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1222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17,78</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1223</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17,98</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1224</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17,78</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1242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28,84</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1239</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29,11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1241</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21,45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1243</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15,05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1320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23,87</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1322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1325</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17,82</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1326</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17,98</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1.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1328</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17,98</w:t>
            </w:r>
          </w:p>
        </w:tc>
        <w:tc>
          <w:tcPr>
            <w:tcW w:w="0" w:type="dxa"/>
            <w:vAlign w:val="bottom"/>
          </w:tcPr>
          <w:p>
            <w:pPr>
              <w:spacing w:after="0"/>
              <w:rPr>
                <w:sz w:val="1"/>
                <w:szCs w:val="1"/>
                <w:color w:val="auto"/>
              </w:rPr>
            </w:pPr>
          </w:p>
        </w:tc>
      </w:tr>
      <w:tr>
        <w:trPr>
          <w:trHeight w:val="50"/>
        </w:trPr>
        <w:tc>
          <w:tcPr>
            <w:tcW w:w="180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16,26</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2121</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Lager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18,20</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17,85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2123</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23,82</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2124</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17,98</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2126</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11,79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2127</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2128</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11,79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2129</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Lager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25,75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2130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14,09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2131</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2132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39,43</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2134</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20,74</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2135</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21,17</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2137</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39,72</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2138</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22,09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2139</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29,00</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2140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17,73</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2141</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23,77</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2142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25,59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2.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2434</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29,11</w:t>
            </w:r>
          </w:p>
        </w:tc>
        <w:tc>
          <w:tcPr>
            <w:tcW w:w="0" w:type="dxa"/>
            <w:vAlign w:val="bottom"/>
          </w:tcPr>
          <w:p>
            <w:pPr>
              <w:spacing w:after="0"/>
              <w:rPr>
                <w:sz w:val="1"/>
                <w:szCs w:val="1"/>
                <w:color w:val="auto"/>
              </w:rPr>
            </w:pPr>
          </w:p>
        </w:tc>
      </w:tr>
      <w:tr>
        <w:trPr>
          <w:trHeight w:val="50"/>
        </w:trPr>
        <w:tc>
          <w:tcPr>
            <w:tcW w:w="180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17,85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3121</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Lager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29,34</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3123</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17,78</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3124</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17,98</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3126</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11,79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3127</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3128</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17,79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3129</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Lager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25,75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3130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14,09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3131</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3132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39,43</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3134</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20,74</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3135</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21,17</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3137</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39,72</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3138</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22,09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3140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29,05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3141</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29,25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3142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28,85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3143</w:t>
            </w:r>
          </w:p>
        </w:tc>
        <w:tc>
          <w:tcPr>
            <w:tcW w:w="2460" w:type="dxa"/>
            <w:vAlign w:val="bottom"/>
            <w:tcBorders>
              <w:bottom w:val="single" w:sz="8" w:color="auto"/>
              <w:right w:val="single" w:sz="8" w:color="auto"/>
            </w:tcBorders>
          </w:tcPr>
          <w:p>
            <w:pPr>
              <w:jc w:val="center"/>
              <w:ind w:right="13"/>
              <w:spacing w:after="0" w:line="90" w:lineRule="exact"/>
              <w:rPr>
                <w:sz w:val="20"/>
                <w:szCs w:val="20"/>
                <w:color w:val="auto"/>
              </w:rPr>
            </w:pPr>
            <w:r>
              <w:rPr>
                <w:rFonts w:ascii="Arial" w:cs="Arial" w:eastAsia="Arial" w:hAnsi="Arial"/>
                <w:sz w:val="9"/>
                <w:szCs w:val="9"/>
                <w:color w:val="auto"/>
                <w:w w:val="96"/>
              </w:rPr>
              <w:t>büroählich</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13,38</w:t>
            </w:r>
          </w:p>
        </w:tc>
        <w:tc>
          <w:tcPr>
            <w:tcW w:w="0" w:type="dxa"/>
            <w:vAlign w:val="bottom"/>
          </w:tcPr>
          <w:p>
            <w:pPr>
              <w:spacing w:after="0"/>
              <w:rPr>
                <w:sz w:val="1"/>
                <w:szCs w:val="1"/>
                <w:color w:val="auto"/>
              </w:rPr>
            </w:pPr>
          </w:p>
        </w:tc>
      </w:tr>
      <w:tr>
        <w:trPr>
          <w:trHeight w:val="50"/>
        </w:trPr>
        <w:tc>
          <w:tcPr>
            <w:tcW w:w="180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3320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3321</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17,82</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3323</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30,06</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3325</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24,10</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3326</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17,75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3327</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17,85</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3328</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23,81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3329</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11,73</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3330</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5"/>
              </w:rPr>
              <w:t>Labor</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23,81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3332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17,69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3333</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17,91</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3335</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15,12</w:t>
            </w:r>
          </w:p>
        </w:tc>
        <w:tc>
          <w:tcPr>
            <w:tcW w:w="0" w:type="dxa"/>
            <w:vAlign w:val="bottom"/>
          </w:tcPr>
          <w:p>
            <w:pPr>
              <w:spacing w:after="0"/>
              <w:rPr>
                <w:sz w:val="1"/>
                <w:szCs w:val="1"/>
                <w:color w:val="auto"/>
              </w:rPr>
            </w:pPr>
          </w:p>
        </w:tc>
      </w:tr>
      <w:tr>
        <w:trPr>
          <w:trHeight w:val="50"/>
        </w:trPr>
        <w:tc>
          <w:tcPr>
            <w:tcW w:w="180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3422</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36,14</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3424</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22,30</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bottom w:val="single" w:sz="8" w:color="auto"/>
              <w:right w:val="single" w:sz="8" w:color="auto"/>
            </w:tcBorders>
            <w:gridSpan w:val="2"/>
          </w:tcPr>
          <w:p>
            <w:pPr>
              <w:jc w:val="center"/>
              <w:spacing w:after="0" w:line="90" w:lineRule="exact"/>
              <w:rPr>
                <w:sz w:val="20"/>
                <w:szCs w:val="20"/>
                <w:color w:val="auto"/>
              </w:rPr>
            </w:pPr>
            <w:r>
              <w:rPr>
                <w:rFonts w:ascii="Arial" w:cs="Arial" w:eastAsia="Arial" w:hAnsi="Arial"/>
                <w:sz w:val="9"/>
                <w:szCs w:val="9"/>
                <w:color w:val="auto"/>
                <w:w w:val="99"/>
              </w:rPr>
              <w:t>3. OG</w:t>
            </w:r>
          </w:p>
        </w:tc>
        <w:tc>
          <w:tcPr>
            <w:tcW w:w="188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89"/>
              </w:rPr>
              <w:t>3735</w:t>
            </w:r>
          </w:p>
        </w:tc>
        <w:tc>
          <w:tcPr>
            <w:tcW w:w="2460" w:type="dxa"/>
            <w:vAlign w:val="bottom"/>
            <w:tcBorders>
              <w:bottom w:val="single" w:sz="8" w:color="auto"/>
              <w:right w:val="single" w:sz="8" w:color="auto"/>
            </w:tcBorders>
          </w:tcPr>
          <w:p>
            <w:pPr>
              <w:jc w:val="center"/>
              <w:spacing w:after="0" w:line="90" w:lineRule="exact"/>
              <w:rPr>
                <w:sz w:val="20"/>
                <w:szCs w:val="20"/>
                <w:color w:val="auto"/>
              </w:rPr>
            </w:pPr>
            <w:r>
              <w:rPr>
                <w:rFonts w:ascii="Arial" w:cs="Arial" w:eastAsia="Arial" w:hAnsi="Arial"/>
                <w:sz w:val="9"/>
                <w:szCs w:val="9"/>
                <w:color w:val="auto"/>
                <w:w w:val="94"/>
              </w:rPr>
              <w:t>Büro</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color w:val="auto"/>
              </w:rPr>
              <w:t>17,82</w:t>
            </w:r>
          </w:p>
        </w:tc>
        <w:tc>
          <w:tcPr>
            <w:tcW w:w="0" w:type="dxa"/>
            <w:vAlign w:val="bottom"/>
          </w:tcPr>
          <w:p>
            <w:pPr>
              <w:spacing w:after="0"/>
              <w:rPr>
                <w:sz w:val="1"/>
                <w:szCs w:val="1"/>
                <w:color w:val="auto"/>
              </w:rPr>
            </w:pPr>
          </w:p>
        </w:tc>
      </w:tr>
      <w:tr>
        <w:trPr>
          <w:trHeight w:val="90"/>
        </w:trPr>
        <w:tc>
          <w:tcPr>
            <w:tcW w:w="1800" w:type="dxa"/>
            <w:vAlign w:val="bottom"/>
            <w:tcBorders>
              <w:left w:val="single" w:sz="8" w:color="auto"/>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00" w:type="dxa"/>
            <w:vAlign w:val="bottom"/>
            <w:tcBorders>
              <w:left w:val="single" w:sz="8" w:color="auto"/>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jc w:val="center"/>
              <w:ind w:right="13"/>
              <w:spacing w:after="0" w:line="90" w:lineRule="exact"/>
              <w:rPr>
                <w:sz w:val="20"/>
                <w:szCs w:val="20"/>
                <w:color w:val="auto"/>
              </w:rPr>
            </w:pPr>
            <w:r>
              <w:rPr>
                <w:rFonts w:ascii="Arial" w:cs="Arial" w:eastAsia="Arial" w:hAnsi="Arial"/>
                <w:sz w:val="9"/>
                <w:szCs w:val="9"/>
                <w:color w:val="auto"/>
                <w:w w:val="90"/>
              </w:rPr>
              <w:t>Summe</w:t>
            </w:r>
          </w:p>
        </w:tc>
        <w:tc>
          <w:tcPr>
            <w:tcW w:w="1660" w:type="dxa"/>
            <w:vAlign w:val="bottom"/>
            <w:tcBorders>
              <w:bottom w:val="single" w:sz="8" w:color="auto"/>
              <w:right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1522,87</w:t>
            </w:r>
          </w:p>
        </w:tc>
        <w:tc>
          <w:tcPr>
            <w:tcW w:w="0" w:type="dxa"/>
            <w:vAlign w:val="bottom"/>
          </w:tcPr>
          <w:p>
            <w:pPr>
              <w:spacing w:after="0"/>
              <w:rPr>
                <w:sz w:val="1"/>
                <w:szCs w:val="1"/>
                <w:color w:val="auto"/>
              </w:rPr>
            </w:pPr>
          </w:p>
        </w:tc>
      </w:tr>
      <w:tr>
        <w:trPr>
          <w:trHeight w:val="100"/>
        </w:trPr>
        <w:tc>
          <w:tcPr>
            <w:tcW w:w="1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80" w:type="dxa"/>
            <w:vAlign w:val="bottom"/>
            <w:vMerge w:val="restart"/>
          </w:tcPr>
          <w:p>
            <w:pPr>
              <w:ind w:left="20"/>
              <w:spacing w:after="0"/>
              <w:rPr>
                <w:sz w:val="20"/>
                <w:szCs w:val="20"/>
                <w:color w:val="auto"/>
              </w:rPr>
            </w:pPr>
            <w:r>
              <w:rPr>
                <w:rFonts w:ascii="Arial" w:cs="Arial" w:eastAsia="Arial" w:hAnsi="Arial"/>
                <w:sz w:val="9"/>
                <w:szCs w:val="9"/>
                <w:color w:val="auto"/>
              </w:rPr>
              <w:t>Flächenerweiterung ab 01.11.2019</w:t>
            </w:r>
          </w:p>
        </w:tc>
        <w:tc>
          <w:tcPr>
            <w:tcW w:w="24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00" w:type="dxa"/>
            <w:vAlign w:val="bottom"/>
            <w:tcBorders>
              <w:left w:val="single" w:sz="8" w:color="auto"/>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88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128" w:right="1440" w:bottom="1440" w:gutter="0" w:footer="0" w:header="0"/>
        </w:sectPr>
      </w:pPr>
    </w:p>
    <w:bookmarkStart w:id="339" w:name="page340"/>
    <w:bookmarkEnd w:id="339"/>
    <w:p>
      <w:pPr>
        <w:jc w:val="right"/>
        <w:spacing w:after="0"/>
        <w:rPr>
          <w:sz w:val="20"/>
          <w:szCs w:val="20"/>
          <w:color w:val="auto"/>
        </w:rPr>
      </w:pPr>
      <w:r>
        <w:rPr>
          <w:rFonts w:ascii="Arial" w:cs="Arial" w:eastAsia="Arial" w:hAnsi="Arial"/>
          <w:sz w:val="13"/>
          <w:szCs w:val="13"/>
          <w:b w:val="1"/>
          <w:bCs w:val="1"/>
          <w:color w:val="auto"/>
        </w:rPr>
        <w:t>Exhibit 4.41</w:t>
      </w:r>
    </w:p>
    <w:p>
      <w:pPr>
        <w:spacing w:after="0" w:line="23" w:lineRule="exact"/>
        <w:rPr>
          <w:sz w:val="20"/>
          <w:szCs w:val="20"/>
          <w:color w:val="auto"/>
        </w:rPr>
      </w:pPr>
    </w:p>
    <w:p>
      <w:pPr>
        <w:jc w:val="center"/>
        <w:ind w:left="1540" w:right="2660"/>
        <w:spacing w:after="0" w:line="238" w:lineRule="auto"/>
        <w:rPr>
          <w:sz w:val="20"/>
          <w:szCs w:val="20"/>
          <w:color w:val="auto"/>
        </w:rPr>
      </w:pPr>
      <w:r>
        <w:rPr>
          <w:rFonts w:ascii="Arial" w:cs="Arial" w:eastAsia="Arial" w:hAnsi="Arial"/>
          <w:sz w:val="15"/>
          <w:szCs w:val="15"/>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306" w:lineRule="exact"/>
        <w:rPr>
          <w:sz w:val="20"/>
          <w:szCs w:val="20"/>
          <w:color w:val="auto"/>
        </w:rPr>
      </w:pPr>
    </w:p>
    <w:p>
      <w:pPr>
        <w:ind w:left="6940"/>
        <w:spacing w:after="0"/>
        <w:rPr>
          <w:sz w:val="20"/>
          <w:szCs w:val="20"/>
          <w:color w:val="auto"/>
        </w:rPr>
      </w:pPr>
      <w:r>
        <w:rPr>
          <w:rFonts w:ascii="Arial" w:cs="Arial" w:eastAsia="Arial" w:hAnsi="Arial"/>
          <w:sz w:val="13"/>
          <w:szCs w:val="13"/>
          <w:color w:val="auto"/>
        </w:rPr>
        <w:t>Contract number (FI No): [***]</w:t>
      </w:r>
    </w:p>
    <w:p>
      <w:pPr>
        <w:spacing w:after="0" w:line="80" w:lineRule="exact"/>
        <w:rPr>
          <w:sz w:val="20"/>
          <w:szCs w:val="20"/>
          <w:color w:val="auto"/>
        </w:rPr>
      </w:pPr>
    </w:p>
    <w:p>
      <w:pPr>
        <w:ind w:left="6940"/>
        <w:spacing w:after="0"/>
        <w:rPr>
          <w:sz w:val="20"/>
          <w:szCs w:val="20"/>
          <w:color w:val="auto"/>
        </w:rPr>
      </w:pPr>
      <w:r>
        <w:rPr>
          <w:rFonts w:ascii="Arial" w:cs="Arial" w:eastAsia="Arial" w:hAnsi="Arial"/>
          <w:sz w:val="13"/>
          <w:szCs w:val="13"/>
          <w:color w:val="auto"/>
        </w:rPr>
        <w:t>Contract number (FI No): [***]</w:t>
      </w:r>
    </w:p>
    <w:p>
      <w:pPr>
        <w:spacing w:after="0" w:line="80" w:lineRule="exact"/>
        <w:rPr>
          <w:sz w:val="20"/>
          <w:szCs w:val="20"/>
          <w:color w:val="auto"/>
        </w:rPr>
      </w:pPr>
    </w:p>
    <w:p>
      <w:pPr>
        <w:ind w:left="7780"/>
        <w:spacing w:after="0"/>
        <w:rPr>
          <w:sz w:val="20"/>
          <w:szCs w:val="20"/>
          <w:color w:val="auto"/>
        </w:rPr>
      </w:pPr>
      <w:r>
        <w:rPr>
          <w:rFonts w:ascii="Arial" w:cs="Arial" w:eastAsia="Arial" w:hAnsi="Arial"/>
          <w:sz w:val="13"/>
          <w:szCs w:val="13"/>
          <w:color w:val="auto"/>
        </w:rPr>
        <w:t>Serapis No: [***]</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320"/>
        <w:spacing w:after="0"/>
        <w:rPr>
          <w:sz w:val="20"/>
          <w:szCs w:val="20"/>
          <w:color w:val="auto"/>
        </w:rPr>
      </w:pPr>
      <w:r>
        <w:rPr>
          <w:rFonts w:ascii="Arial" w:cs="Arial" w:eastAsia="Arial" w:hAnsi="Arial"/>
          <w:sz w:val="21"/>
          <w:szCs w:val="21"/>
          <w:b w:val="1"/>
          <w:bCs w:val="1"/>
          <w:color w:val="auto"/>
        </w:rPr>
        <w:t>Personalised Immunotherapies (EGFF)</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Finance Contract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920"/>
        <w:spacing w:after="0"/>
        <w:rPr>
          <w:sz w:val="20"/>
          <w:szCs w:val="20"/>
          <w:color w:val="auto"/>
        </w:rPr>
      </w:pPr>
      <w:r>
        <w:rPr>
          <w:rFonts w:ascii="Arial" w:cs="Arial" w:eastAsia="Arial" w:hAnsi="Arial"/>
          <w:sz w:val="13"/>
          <w:szCs w:val="13"/>
          <w:i w:val="1"/>
          <w:iCs w:val="1"/>
          <w:color w:val="auto"/>
        </w:rPr>
        <w:t>between the</w:t>
      </w:r>
    </w:p>
    <w:p>
      <w:pPr>
        <w:spacing w:after="0" w:line="200" w:lineRule="exact"/>
        <w:rPr>
          <w:sz w:val="20"/>
          <w:szCs w:val="20"/>
          <w:color w:val="auto"/>
        </w:rPr>
      </w:pPr>
    </w:p>
    <w:p>
      <w:pPr>
        <w:spacing w:after="0" w:line="312"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European Investment Bank</w:t>
      </w:r>
    </w:p>
    <w:p>
      <w:pPr>
        <w:spacing w:after="0" w:line="200" w:lineRule="exact"/>
        <w:rPr>
          <w:sz w:val="20"/>
          <w:szCs w:val="20"/>
          <w:color w:val="auto"/>
        </w:rPr>
      </w:pPr>
    </w:p>
    <w:p>
      <w:pPr>
        <w:spacing w:after="0" w:line="277" w:lineRule="exact"/>
        <w:rPr>
          <w:sz w:val="20"/>
          <w:szCs w:val="20"/>
          <w:color w:val="auto"/>
        </w:rPr>
      </w:pPr>
    </w:p>
    <w:p>
      <w:pPr>
        <w:ind w:left="4160"/>
        <w:spacing w:after="0"/>
        <w:rPr>
          <w:sz w:val="20"/>
          <w:szCs w:val="20"/>
          <w:color w:val="auto"/>
        </w:rPr>
      </w:pPr>
      <w:r>
        <w:rPr>
          <w:rFonts w:ascii="Arial" w:cs="Arial" w:eastAsia="Arial" w:hAnsi="Arial"/>
          <w:sz w:val="13"/>
          <w:szCs w:val="13"/>
          <w:i w:val="1"/>
          <w:iCs w:val="1"/>
          <w:color w:val="auto"/>
        </w:rPr>
        <w:t>and</w:t>
      </w:r>
    </w:p>
    <w:p>
      <w:pPr>
        <w:spacing w:after="0" w:line="200" w:lineRule="exact"/>
        <w:rPr>
          <w:sz w:val="20"/>
          <w:szCs w:val="20"/>
          <w:color w:val="auto"/>
        </w:rPr>
      </w:pPr>
    </w:p>
    <w:p>
      <w:pPr>
        <w:spacing w:after="0" w:line="312" w:lineRule="exact"/>
        <w:rPr>
          <w:sz w:val="20"/>
          <w:szCs w:val="20"/>
          <w:color w:val="auto"/>
        </w:rPr>
      </w:pPr>
    </w:p>
    <w:p>
      <w:pPr>
        <w:ind w:left="3640"/>
        <w:spacing w:after="0"/>
        <w:rPr>
          <w:sz w:val="20"/>
          <w:szCs w:val="20"/>
          <w:color w:val="auto"/>
        </w:rPr>
      </w:pPr>
      <w:r>
        <w:rPr>
          <w:rFonts w:ascii="Arial" w:cs="Arial" w:eastAsia="Arial" w:hAnsi="Arial"/>
          <w:sz w:val="21"/>
          <w:szCs w:val="21"/>
          <w:color w:val="auto"/>
        </w:rPr>
        <w:t>BioNTech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216535</wp:posOffset>
            </wp:positionV>
            <wp:extent cx="7180580" cy="127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340" w:name="page341"/>
    <w:bookmarkEnd w:id="340"/>
    <w:p>
      <w:pPr>
        <w:jc w:val="right"/>
        <w:spacing w:after="0"/>
        <w:rPr>
          <w:sz w:val="20"/>
          <w:szCs w:val="20"/>
          <w:color w:val="auto"/>
        </w:rPr>
      </w:pPr>
      <w:r>
        <w:rPr>
          <w:rFonts w:ascii="Arial" w:cs="Arial" w:eastAsia="Arial" w:hAnsi="Arial"/>
          <w:sz w:val="13"/>
          <w:szCs w:val="13"/>
          <w:b w:val="1"/>
          <w:bCs w:val="1"/>
          <w:color w:val="auto"/>
        </w:rPr>
        <w:t>Exhibit 4.41</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00" w:type="dxa"/>
            <w:vAlign w:val="bottom"/>
            <w:gridSpan w:val="2"/>
          </w:tcPr>
          <w:p>
            <w:pPr>
              <w:spacing w:after="0"/>
              <w:rPr>
                <w:rFonts w:ascii="Arial" w:cs="Arial" w:eastAsia="Arial" w:hAnsi="Arial"/>
                <w:sz w:val="13"/>
                <w:szCs w:val="13"/>
                <w:b w:val="1"/>
                <w:bCs w:val="1"/>
                <w:color w:val="0000EE"/>
              </w:rPr>
            </w:pPr>
            <w:hyperlink w:anchor="page345">
              <w:r>
                <w:rPr>
                  <w:rFonts w:ascii="Arial" w:cs="Arial" w:eastAsia="Arial" w:hAnsi="Arial"/>
                  <w:sz w:val="13"/>
                  <w:szCs w:val="13"/>
                  <w:b w:val="1"/>
                  <w:bCs w:val="1"/>
                  <w:color w:val="0000EE"/>
                </w:rPr>
                <w:t>WHEREAS</w:t>
              </w:r>
            </w:hyperlink>
          </w:p>
        </w:tc>
        <w:tc>
          <w:tcPr>
            <w:tcW w:w="420" w:type="dxa"/>
            <w:vAlign w:val="bottom"/>
            <w:gridSpan w:val="3"/>
          </w:tcPr>
          <w:p>
            <w:pPr>
              <w:ind w:left="260"/>
              <w:spacing w:after="0"/>
              <w:rPr>
                <w:rFonts w:ascii="Arial" w:cs="Arial" w:eastAsia="Arial" w:hAnsi="Arial"/>
                <w:sz w:val="13"/>
                <w:szCs w:val="13"/>
                <w:b w:val="1"/>
                <w:bCs w:val="1"/>
                <w:color w:val="0000EE"/>
              </w:rPr>
            </w:pPr>
            <w:hyperlink w:anchor="page345">
              <w:r>
                <w:rPr>
                  <w:rFonts w:ascii="Arial" w:cs="Arial" w:eastAsia="Arial" w:hAnsi="Arial"/>
                  <w:sz w:val="13"/>
                  <w:szCs w:val="13"/>
                  <w:b w:val="1"/>
                  <w:bCs w:val="1"/>
                  <w:color w:val="0000EE"/>
                </w:rPr>
                <w:t>6</w:t>
              </w:r>
            </w:hyperlink>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Pr>
          <w:p>
            <w:pPr>
              <w:spacing w:after="0"/>
              <w:rPr>
                <w:rFonts w:ascii="Arial" w:cs="Arial" w:eastAsia="Arial" w:hAnsi="Arial"/>
                <w:sz w:val="13"/>
                <w:szCs w:val="13"/>
                <w:b w:val="1"/>
                <w:bCs w:val="1"/>
                <w:color w:val="0000EE"/>
                <w:w w:val="92"/>
              </w:rPr>
            </w:pPr>
            <w:hyperlink w:anchor="page346">
              <w:r>
                <w:rPr>
                  <w:rFonts w:ascii="Arial" w:cs="Arial" w:eastAsia="Arial" w:hAnsi="Arial"/>
                  <w:sz w:val="13"/>
                  <w:szCs w:val="13"/>
                  <w:b w:val="1"/>
                  <w:bCs w:val="1"/>
                  <w:color w:val="0000EE"/>
                  <w:w w:val="92"/>
                </w:rPr>
                <w:t>ARTICLE 1</w:t>
              </w:r>
            </w:hyperlink>
          </w:p>
        </w:tc>
        <w:tc>
          <w:tcPr>
            <w:tcW w:w="240" w:type="dxa"/>
            <w:vAlign w:val="bottom"/>
          </w:tcPr>
          <w:p>
            <w:pPr>
              <w:spacing w:after="0"/>
              <w:rPr>
                <w:sz w:val="18"/>
                <w:szCs w:val="18"/>
                <w:color w:val="auto"/>
              </w:rPr>
            </w:pPr>
          </w:p>
        </w:tc>
        <w:tc>
          <w:tcPr>
            <w:tcW w:w="320" w:type="dxa"/>
            <w:vAlign w:val="bottom"/>
            <w:gridSpan w:val="2"/>
          </w:tcPr>
          <w:p>
            <w:pPr>
              <w:ind w:left="240"/>
              <w:spacing w:after="0"/>
              <w:rPr>
                <w:rFonts w:ascii="Arial" w:cs="Arial" w:eastAsia="Arial" w:hAnsi="Arial"/>
                <w:sz w:val="10"/>
                <w:szCs w:val="10"/>
                <w:b w:val="1"/>
                <w:bCs w:val="1"/>
                <w:color w:val="0000EE"/>
                <w:w w:val="71"/>
              </w:rPr>
            </w:pPr>
            <w:hyperlink w:anchor="page346">
              <w:r>
                <w:rPr>
                  <w:rFonts w:ascii="Arial" w:cs="Arial" w:eastAsia="Arial" w:hAnsi="Arial"/>
                  <w:sz w:val="10"/>
                  <w:szCs w:val="10"/>
                  <w:b w:val="1"/>
                  <w:bCs w:val="1"/>
                  <w:color w:val="0000EE"/>
                  <w:w w:val="71"/>
                </w:rPr>
                <w:t>7</w:t>
              </w:r>
            </w:hyperlink>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1.1</w:t>
            </w:r>
          </w:p>
        </w:tc>
        <w:tc>
          <w:tcPr>
            <w:tcW w:w="240" w:type="dxa"/>
            <w:vAlign w:val="bottom"/>
          </w:tcPr>
          <w:p>
            <w:pPr>
              <w:spacing w:after="0"/>
              <w:rPr>
                <w:sz w:val="18"/>
                <w:szCs w:val="18"/>
                <w:color w:val="auto"/>
              </w:rPr>
            </w:pPr>
          </w:p>
        </w:tc>
        <w:tc>
          <w:tcPr>
            <w:tcW w:w="4180" w:type="dxa"/>
            <w:vAlign w:val="bottom"/>
            <w:gridSpan w:val="36"/>
          </w:tcPr>
          <w:p>
            <w:pPr>
              <w:spacing w:after="0"/>
              <w:rPr>
                <w:rFonts w:ascii="Arial" w:cs="Arial" w:eastAsia="Arial" w:hAnsi="Arial"/>
                <w:sz w:val="13"/>
                <w:szCs w:val="13"/>
                <w:color w:val="0000EE"/>
              </w:rPr>
            </w:pPr>
            <w:hyperlink w:anchor="page346">
              <w:r>
                <w:rPr>
                  <w:rFonts w:ascii="Arial" w:cs="Arial" w:eastAsia="Arial" w:hAnsi="Arial"/>
                  <w:sz w:val="13"/>
                  <w:szCs w:val="13"/>
                  <w:color w:val="0000EE"/>
                </w:rPr>
                <w:t>INTERPRETATION7</w:t>
              </w:r>
            </w:hyperlink>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8"/>
                <w:szCs w:val="18"/>
                <w:color w:val="auto"/>
              </w:rPr>
            </w:pPr>
          </w:p>
        </w:tc>
        <w:tc>
          <w:tcPr>
            <w:tcW w:w="1200" w:type="dxa"/>
            <w:vAlign w:val="bottom"/>
            <w:tcBorders>
              <w:top w:val="single" w:sz="8" w:color="0000EE"/>
            </w:tcBorders>
            <w:gridSpan w:val="11"/>
          </w:tcPr>
          <w:p>
            <w:pPr>
              <w:spacing w:after="0"/>
              <w:rPr>
                <w:rFonts w:ascii="Arial" w:cs="Arial" w:eastAsia="Arial" w:hAnsi="Arial"/>
                <w:sz w:val="13"/>
                <w:szCs w:val="13"/>
                <w:color w:val="0000EE"/>
              </w:rPr>
            </w:pPr>
            <w:hyperlink w:anchor="page346">
              <w:r>
                <w:rPr>
                  <w:rFonts w:ascii="Arial" w:cs="Arial" w:eastAsia="Arial" w:hAnsi="Arial"/>
                  <w:sz w:val="13"/>
                  <w:szCs w:val="13"/>
                  <w:color w:val="0000EE"/>
                </w:rPr>
                <w:t>DEFINITIONS7</w:t>
              </w:r>
            </w:hyperlink>
          </w:p>
        </w:tc>
        <w:tc>
          <w:tcPr>
            <w:tcW w:w="2980" w:type="dxa"/>
            <w:vAlign w:val="bottom"/>
            <w:gridSpan w:val="25"/>
          </w:tcPr>
          <w:p>
            <w:pPr>
              <w:spacing w:after="0"/>
              <w:rPr>
                <w:sz w:val="18"/>
                <w:szCs w:val="18"/>
                <w:color w:val="auto"/>
              </w:rPr>
            </w:pPr>
          </w:p>
        </w:tc>
      </w:tr>
      <w:tr>
        <w:trPr>
          <w:trHeight w:val="190"/>
        </w:trPr>
        <w:tc>
          <w:tcPr>
            <w:tcW w:w="660" w:type="dxa"/>
            <w:vAlign w:val="bottom"/>
          </w:tcPr>
          <w:p>
            <w:pPr>
              <w:spacing w:after="0"/>
              <w:rPr>
                <w:rFonts w:ascii="Arial" w:cs="Arial" w:eastAsia="Arial" w:hAnsi="Arial"/>
                <w:sz w:val="13"/>
                <w:szCs w:val="13"/>
                <w:b w:val="1"/>
                <w:bCs w:val="1"/>
                <w:color w:val="0000EE"/>
                <w:w w:val="92"/>
              </w:rPr>
            </w:pPr>
            <w:hyperlink w:anchor="page354">
              <w:r>
                <w:rPr>
                  <w:rFonts w:ascii="Arial" w:cs="Arial" w:eastAsia="Arial" w:hAnsi="Arial"/>
                  <w:sz w:val="13"/>
                  <w:szCs w:val="13"/>
                  <w:b w:val="1"/>
                  <w:bCs w:val="1"/>
                  <w:color w:val="0000EE"/>
                  <w:w w:val="92"/>
                </w:rPr>
                <w:t>ARTICLE 2</w:t>
              </w:r>
            </w:hyperlink>
          </w:p>
        </w:tc>
        <w:tc>
          <w:tcPr>
            <w:tcW w:w="240" w:type="dxa"/>
            <w:vAlign w:val="bottom"/>
          </w:tcPr>
          <w:p>
            <w:pPr>
              <w:spacing w:after="0"/>
              <w:rPr>
                <w:sz w:val="16"/>
                <w:szCs w:val="16"/>
                <w:color w:val="auto"/>
              </w:rPr>
            </w:pPr>
          </w:p>
        </w:tc>
        <w:tc>
          <w:tcPr>
            <w:tcW w:w="740" w:type="dxa"/>
            <w:vAlign w:val="bottom"/>
            <w:tcBorders>
              <w:top w:val="single" w:sz="8" w:color="0000EE"/>
            </w:tcBorders>
            <w:gridSpan w:val="4"/>
          </w:tcPr>
          <w:p>
            <w:pPr>
              <w:ind w:left="280"/>
              <w:spacing w:after="0"/>
              <w:rPr>
                <w:rFonts w:ascii="Arial" w:cs="Arial" w:eastAsia="Arial" w:hAnsi="Arial"/>
                <w:sz w:val="13"/>
                <w:szCs w:val="13"/>
                <w:b w:val="1"/>
                <w:bCs w:val="1"/>
                <w:color w:val="0000EE"/>
              </w:rPr>
            </w:pPr>
            <w:hyperlink w:anchor="page354">
              <w:r>
                <w:rPr>
                  <w:rFonts w:ascii="Arial" w:cs="Arial" w:eastAsia="Arial" w:hAnsi="Arial"/>
                  <w:sz w:val="13"/>
                  <w:szCs w:val="13"/>
                  <w:b w:val="1"/>
                  <w:bCs w:val="1"/>
                  <w:color w:val="0000EE"/>
                </w:rPr>
                <w:t>15</w:t>
              </w:r>
            </w:hyperlink>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2.1</w:t>
            </w:r>
          </w:p>
        </w:tc>
        <w:tc>
          <w:tcPr>
            <w:tcW w:w="240" w:type="dxa"/>
            <w:vAlign w:val="bottom"/>
          </w:tcPr>
          <w:p>
            <w:pPr>
              <w:spacing w:after="0"/>
              <w:rPr>
                <w:sz w:val="18"/>
                <w:szCs w:val="18"/>
                <w:color w:val="auto"/>
              </w:rPr>
            </w:pPr>
          </w:p>
        </w:tc>
        <w:tc>
          <w:tcPr>
            <w:tcW w:w="1480" w:type="dxa"/>
            <w:vAlign w:val="bottom"/>
            <w:tcBorders>
              <w:bottom w:val="single" w:sz="8" w:color="0000EE"/>
            </w:tcBorders>
            <w:gridSpan w:val="15"/>
          </w:tcPr>
          <w:p>
            <w:pPr>
              <w:spacing w:after="0"/>
              <w:rPr>
                <w:rFonts w:ascii="Arial" w:cs="Arial" w:eastAsia="Arial" w:hAnsi="Arial"/>
                <w:sz w:val="13"/>
                <w:szCs w:val="13"/>
                <w:color w:val="0000EE"/>
              </w:rPr>
            </w:pPr>
            <w:hyperlink w:anchor="page354">
              <w:r>
                <w:rPr>
                  <w:rFonts w:ascii="Arial" w:cs="Arial" w:eastAsia="Arial" w:hAnsi="Arial"/>
                  <w:sz w:val="13"/>
                  <w:szCs w:val="13"/>
                  <w:color w:val="0000EE"/>
                </w:rPr>
                <w:t>AMOUNT OF CREDIT15</w:t>
              </w:r>
            </w:hyperlink>
          </w:p>
        </w:tc>
        <w:tc>
          <w:tcPr>
            <w:tcW w:w="2700" w:type="dxa"/>
            <w:vAlign w:val="bottom"/>
            <w:gridSpan w:val="21"/>
          </w:tcPr>
          <w:p>
            <w:pPr>
              <w:spacing w:after="0"/>
              <w:rPr>
                <w:sz w:val="18"/>
                <w:szCs w:val="18"/>
                <w:color w:val="auto"/>
              </w:rPr>
            </w:pPr>
          </w:p>
        </w:tc>
      </w:tr>
      <w:tr>
        <w:trPr>
          <w:trHeight w:val="200"/>
        </w:trPr>
        <w:tc>
          <w:tcPr>
            <w:tcW w:w="660" w:type="dxa"/>
            <w:vAlign w:val="bottom"/>
          </w:tcPr>
          <w:p>
            <w:pPr>
              <w:spacing w:after="0"/>
              <w:rPr>
                <w:sz w:val="20"/>
                <w:szCs w:val="20"/>
                <w:color w:val="auto"/>
              </w:rPr>
            </w:pPr>
            <w:r>
              <w:rPr>
                <w:rFonts w:ascii="Arial" w:cs="Arial" w:eastAsia="Arial" w:hAnsi="Arial"/>
                <w:sz w:val="13"/>
                <w:szCs w:val="13"/>
                <w:color w:val="auto"/>
              </w:rPr>
              <w:t>2.2</w:t>
            </w:r>
          </w:p>
        </w:tc>
        <w:tc>
          <w:tcPr>
            <w:tcW w:w="240" w:type="dxa"/>
            <w:vAlign w:val="bottom"/>
          </w:tcPr>
          <w:p>
            <w:pPr>
              <w:spacing w:after="0"/>
              <w:rPr>
                <w:sz w:val="17"/>
                <w:szCs w:val="17"/>
                <w:color w:val="auto"/>
              </w:rPr>
            </w:pPr>
          </w:p>
        </w:tc>
        <w:tc>
          <w:tcPr>
            <w:tcW w:w="4180" w:type="dxa"/>
            <w:vAlign w:val="bottom"/>
            <w:gridSpan w:val="36"/>
          </w:tcPr>
          <w:p>
            <w:pPr>
              <w:spacing w:after="0"/>
              <w:rPr>
                <w:rFonts w:ascii="Arial" w:cs="Arial" w:eastAsia="Arial" w:hAnsi="Arial"/>
                <w:sz w:val="13"/>
                <w:szCs w:val="13"/>
                <w:color w:val="0000EE"/>
              </w:rPr>
            </w:pPr>
            <w:hyperlink w:anchor="page354">
              <w:r>
                <w:rPr>
                  <w:rFonts w:ascii="Arial" w:cs="Arial" w:eastAsia="Arial" w:hAnsi="Arial"/>
                  <w:sz w:val="13"/>
                  <w:szCs w:val="13"/>
                  <w:color w:val="0000EE"/>
                </w:rPr>
                <w:t>DISBURSEMENT PROCEDURE15</w:t>
              </w:r>
            </w:hyperlink>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2.2.1</w:t>
            </w:r>
          </w:p>
        </w:tc>
        <w:tc>
          <w:tcPr>
            <w:tcW w:w="240" w:type="dxa"/>
            <w:vAlign w:val="bottom"/>
          </w:tcPr>
          <w:p>
            <w:pPr>
              <w:spacing w:after="0"/>
              <w:rPr>
                <w:sz w:val="18"/>
                <w:szCs w:val="18"/>
                <w:color w:val="auto"/>
              </w:rPr>
            </w:pPr>
          </w:p>
        </w:tc>
        <w:tc>
          <w:tcPr>
            <w:tcW w:w="2080" w:type="dxa"/>
            <w:vAlign w:val="bottom"/>
            <w:tcBorders>
              <w:top w:val="single" w:sz="8" w:color="0000EE"/>
            </w:tcBorders>
            <w:gridSpan w:val="25"/>
          </w:tcPr>
          <w:p>
            <w:pPr>
              <w:spacing w:after="0"/>
              <w:rPr>
                <w:rFonts w:ascii="Arial" w:cs="Arial" w:eastAsia="Arial" w:hAnsi="Arial"/>
                <w:sz w:val="13"/>
                <w:szCs w:val="13"/>
                <w:color w:val="0000EE"/>
              </w:rPr>
            </w:pPr>
            <w:hyperlink w:anchor="page354">
              <w:r>
                <w:rPr>
                  <w:rFonts w:ascii="Arial" w:cs="Arial" w:eastAsia="Arial" w:hAnsi="Arial"/>
                  <w:sz w:val="13"/>
                  <w:szCs w:val="13"/>
                  <w:color w:val="0000EE"/>
                </w:rPr>
                <w:t>T</w:t>
              </w:r>
              <w:r>
                <w:rPr>
                  <w:rFonts w:ascii="Arial" w:cs="Arial" w:eastAsia="Arial" w:hAnsi="Arial"/>
                  <w:sz w:val="10"/>
                  <w:szCs w:val="10"/>
                  <w:color w:val="0000EE"/>
                </w:rPr>
                <w:t>RANCHES</w:t>
              </w:r>
              <w:r>
                <w:rPr>
                  <w:rFonts w:ascii="Arial" w:cs="Arial" w:eastAsia="Arial" w:hAnsi="Arial"/>
                  <w:sz w:val="13"/>
                  <w:szCs w:val="13"/>
                  <w:color w:val="0000EE"/>
                </w:rPr>
                <w:t>15</w:t>
              </w:r>
            </w:hyperlink>
          </w:p>
        </w:tc>
        <w:tc>
          <w:tcPr>
            <w:tcW w:w="2100" w:type="dxa"/>
            <w:vAlign w:val="bottom"/>
            <w:gridSpan w:val="11"/>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2.2.2</w:t>
            </w:r>
          </w:p>
        </w:tc>
        <w:tc>
          <w:tcPr>
            <w:tcW w:w="240" w:type="dxa"/>
            <w:vAlign w:val="bottom"/>
          </w:tcPr>
          <w:p>
            <w:pPr>
              <w:spacing w:after="0"/>
              <w:rPr>
                <w:sz w:val="11"/>
                <w:szCs w:val="11"/>
                <w:color w:val="auto"/>
              </w:rPr>
            </w:pPr>
          </w:p>
        </w:tc>
        <w:tc>
          <w:tcPr>
            <w:tcW w:w="1420" w:type="dxa"/>
            <w:vAlign w:val="bottom"/>
            <w:tcBorders>
              <w:bottom w:val="single" w:sz="8" w:color="0000EE"/>
            </w:tcBorders>
            <w:gridSpan w:val="14"/>
          </w:tcPr>
          <w:p>
            <w:pPr>
              <w:spacing w:after="0" w:line="130" w:lineRule="exact"/>
              <w:rPr>
                <w:rFonts w:ascii="Arial" w:cs="Arial" w:eastAsia="Arial" w:hAnsi="Arial"/>
                <w:sz w:val="13"/>
                <w:szCs w:val="13"/>
                <w:color w:val="0000EE"/>
              </w:rPr>
            </w:pPr>
            <w:hyperlink w:anchor="page354">
              <w:r>
                <w:rPr>
                  <w:rFonts w:ascii="Arial" w:cs="Arial" w:eastAsia="Arial" w:hAnsi="Arial"/>
                  <w:sz w:val="13"/>
                  <w:szCs w:val="13"/>
                  <w:color w:val="0000EE"/>
                </w:rPr>
                <w:t>D</w:t>
              </w:r>
              <w:r>
                <w:rPr>
                  <w:rFonts w:ascii="Arial" w:cs="Arial" w:eastAsia="Arial" w:hAnsi="Arial"/>
                  <w:sz w:val="10"/>
                  <w:szCs w:val="10"/>
                  <w:color w:val="0000EE"/>
                </w:rPr>
                <w:t>ISBURSEMENT</w:t>
              </w:r>
              <w:r>
                <w:rPr>
                  <w:rFonts w:ascii="Arial" w:cs="Arial" w:eastAsia="Arial" w:hAnsi="Arial"/>
                  <w:sz w:val="13"/>
                  <w:szCs w:val="13"/>
                  <w:color w:val="0000EE"/>
                </w:rPr>
                <w:t xml:space="preserve"> O</w:t>
              </w:r>
              <w:r>
                <w:rPr>
                  <w:rFonts w:ascii="Arial" w:cs="Arial" w:eastAsia="Arial" w:hAnsi="Arial"/>
                  <w:sz w:val="10"/>
                  <w:szCs w:val="10"/>
                  <w:color w:val="0000EE"/>
                </w:rPr>
                <w:t>FFER</w:t>
              </w:r>
              <w:r>
                <w:rPr>
                  <w:rFonts w:ascii="Arial" w:cs="Arial" w:eastAsia="Arial" w:hAnsi="Arial"/>
                  <w:sz w:val="13"/>
                  <w:szCs w:val="13"/>
                  <w:color w:val="0000EE"/>
                </w:rPr>
                <w:t>15</w:t>
              </w:r>
            </w:hyperlink>
          </w:p>
        </w:tc>
        <w:tc>
          <w:tcPr>
            <w:tcW w:w="2760" w:type="dxa"/>
            <w:vAlign w:val="bottom"/>
            <w:gridSpan w:val="22"/>
          </w:tcPr>
          <w:p>
            <w:pPr>
              <w:spacing w:after="0"/>
              <w:rPr>
                <w:sz w:val="11"/>
                <w:szCs w:val="1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2.2.3</w:t>
            </w:r>
          </w:p>
        </w:tc>
        <w:tc>
          <w:tcPr>
            <w:tcW w:w="240" w:type="dxa"/>
            <w:vAlign w:val="bottom"/>
          </w:tcPr>
          <w:p>
            <w:pPr>
              <w:spacing w:after="0"/>
              <w:rPr>
                <w:sz w:val="11"/>
                <w:szCs w:val="11"/>
                <w:color w:val="auto"/>
              </w:rPr>
            </w:pPr>
          </w:p>
        </w:tc>
        <w:tc>
          <w:tcPr>
            <w:tcW w:w="4180" w:type="dxa"/>
            <w:vAlign w:val="bottom"/>
            <w:gridSpan w:val="36"/>
          </w:tcPr>
          <w:p>
            <w:pPr>
              <w:spacing w:after="0" w:line="130" w:lineRule="exact"/>
              <w:rPr>
                <w:rFonts w:ascii="Arial" w:cs="Arial" w:eastAsia="Arial" w:hAnsi="Arial"/>
                <w:sz w:val="13"/>
                <w:szCs w:val="13"/>
                <w:color w:val="0000EE"/>
              </w:rPr>
            </w:pPr>
            <w:hyperlink w:anchor="page355">
              <w:r>
                <w:rPr>
                  <w:rFonts w:ascii="Arial" w:cs="Arial" w:eastAsia="Arial" w:hAnsi="Arial"/>
                  <w:sz w:val="13"/>
                  <w:szCs w:val="13"/>
                  <w:color w:val="0000EE"/>
                </w:rPr>
                <w:t>D</w:t>
              </w:r>
              <w:r>
                <w:rPr>
                  <w:rFonts w:ascii="Arial" w:cs="Arial" w:eastAsia="Arial" w:hAnsi="Arial"/>
                  <w:sz w:val="10"/>
                  <w:szCs w:val="10"/>
                  <w:color w:val="0000EE"/>
                </w:rPr>
                <w:t>ISBURSEMENT</w:t>
              </w:r>
              <w:r>
                <w:rPr>
                  <w:rFonts w:ascii="Arial" w:cs="Arial" w:eastAsia="Arial" w:hAnsi="Arial"/>
                  <w:sz w:val="13"/>
                  <w:szCs w:val="13"/>
                  <w:color w:val="0000EE"/>
                </w:rPr>
                <w:t xml:space="preserve"> A</w:t>
              </w:r>
              <w:r>
                <w:rPr>
                  <w:rFonts w:ascii="Arial" w:cs="Arial" w:eastAsia="Arial" w:hAnsi="Arial"/>
                  <w:sz w:val="10"/>
                  <w:szCs w:val="10"/>
                  <w:color w:val="0000EE"/>
                </w:rPr>
                <w:t>CCEPTANCE</w:t>
              </w:r>
              <w:r>
                <w:rPr>
                  <w:rFonts w:ascii="Arial" w:cs="Arial" w:eastAsia="Arial" w:hAnsi="Arial"/>
                  <w:sz w:val="13"/>
                  <w:szCs w:val="13"/>
                  <w:color w:val="0000EE"/>
                </w:rPr>
                <w:t>16</w:t>
              </w:r>
            </w:hyperlink>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2.3</w:t>
            </w:r>
          </w:p>
        </w:tc>
        <w:tc>
          <w:tcPr>
            <w:tcW w:w="240" w:type="dxa"/>
            <w:vAlign w:val="bottom"/>
          </w:tcPr>
          <w:p>
            <w:pPr>
              <w:spacing w:after="0"/>
              <w:rPr>
                <w:sz w:val="18"/>
                <w:szCs w:val="18"/>
                <w:color w:val="auto"/>
              </w:rPr>
            </w:pPr>
          </w:p>
        </w:tc>
        <w:tc>
          <w:tcPr>
            <w:tcW w:w="1900" w:type="dxa"/>
            <w:vAlign w:val="bottom"/>
            <w:tcBorders>
              <w:bottom w:val="single" w:sz="8" w:color="0000EE"/>
            </w:tcBorders>
            <w:gridSpan w:val="21"/>
          </w:tcPr>
          <w:p>
            <w:pPr>
              <w:spacing w:after="0"/>
              <w:rPr>
                <w:rFonts w:ascii="Arial" w:cs="Arial" w:eastAsia="Arial" w:hAnsi="Arial"/>
                <w:sz w:val="13"/>
                <w:szCs w:val="13"/>
                <w:color w:val="0000EE"/>
              </w:rPr>
            </w:pPr>
            <w:hyperlink w:anchor="page355">
              <w:r>
                <w:rPr>
                  <w:rFonts w:ascii="Arial" w:cs="Arial" w:eastAsia="Arial" w:hAnsi="Arial"/>
                  <w:sz w:val="13"/>
                  <w:szCs w:val="13"/>
                  <w:color w:val="0000EE"/>
                </w:rPr>
                <w:t>DISBURSEMENT ACCOUNT16</w:t>
              </w:r>
            </w:hyperlink>
          </w:p>
        </w:tc>
        <w:tc>
          <w:tcPr>
            <w:tcW w:w="2280" w:type="dxa"/>
            <w:vAlign w:val="bottom"/>
            <w:gridSpan w:val="15"/>
          </w:tcPr>
          <w:p>
            <w:pPr>
              <w:spacing w:after="0"/>
              <w:rPr>
                <w:sz w:val="18"/>
                <w:szCs w:val="18"/>
                <w:color w:val="auto"/>
              </w:rPr>
            </w:pPr>
          </w:p>
        </w:tc>
      </w:tr>
      <w:tr>
        <w:trPr>
          <w:trHeight w:val="200"/>
        </w:trPr>
        <w:tc>
          <w:tcPr>
            <w:tcW w:w="660" w:type="dxa"/>
            <w:vAlign w:val="bottom"/>
          </w:tcPr>
          <w:p>
            <w:pPr>
              <w:spacing w:after="0"/>
              <w:rPr>
                <w:sz w:val="20"/>
                <w:szCs w:val="20"/>
                <w:color w:val="auto"/>
              </w:rPr>
            </w:pPr>
            <w:r>
              <w:rPr>
                <w:rFonts w:ascii="Arial" w:cs="Arial" w:eastAsia="Arial" w:hAnsi="Arial"/>
                <w:sz w:val="13"/>
                <w:szCs w:val="13"/>
                <w:color w:val="auto"/>
              </w:rPr>
              <w:t>2.4</w:t>
            </w:r>
          </w:p>
        </w:tc>
        <w:tc>
          <w:tcPr>
            <w:tcW w:w="240" w:type="dxa"/>
            <w:vAlign w:val="bottom"/>
          </w:tcPr>
          <w:p>
            <w:pPr>
              <w:spacing w:after="0"/>
              <w:rPr>
                <w:sz w:val="17"/>
                <w:szCs w:val="17"/>
                <w:color w:val="auto"/>
              </w:rPr>
            </w:pPr>
          </w:p>
        </w:tc>
        <w:tc>
          <w:tcPr>
            <w:tcW w:w="4180" w:type="dxa"/>
            <w:vAlign w:val="bottom"/>
            <w:gridSpan w:val="36"/>
          </w:tcPr>
          <w:p>
            <w:pPr>
              <w:spacing w:after="0"/>
              <w:rPr>
                <w:rFonts w:ascii="Arial" w:cs="Arial" w:eastAsia="Arial" w:hAnsi="Arial"/>
                <w:sz w:val="13"/>
                <w:szCs w:val="13"/>
                <w:color w:val="0000EE"/>
              </w:rPr>
            </w:pPr>
            <w:hyperlink w:anchor="page355">
              <w:r>
                <w:rPr>
                  <w:rFonts w:ascii="Arial" w:cs="Arial" w:eastAsia="Arial" w:hAnsi="Arial"/>
                  <w:sz w:val="13"/>
                  <w:szCs w:val="13"/>
                  <w:color w:val="0000EE"/>
                </w:rPr>
                <w:t>CURRENCY OF DISBURSEMENT16</w:t>
              </w:r>
            </w:hyperlink>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2.5</w:t>
            </w:r>
          </w:p>
        </w:tc>
        <w:tc>
          <w:tcPr>
            <w:tcW w:w="240" w:type="dxa"/>
            <w:vAlign w:val="bottom"/>
          </w:tcPr>
          <w:p>
            <w:pPr>
              <w:spacing w:after="0"/>
              <w:rPr>
                <w:sz w:val="18"/>
                <w:szCs w:val="18"/>
                <w:color w:val="auto"/>
              </w:rPr>
            </w:pPr>
          </w:p>
        </w:tc>
        <w:tc>
          <w:tcPr>
            <w:tcW w:w="4180" w:type="dxa"/>
            <w:vAlign w:val="bottom"/>
            <w:gridSpan w:val="36"/>
          </w:tcPr>
          <w:p>
            <w:pPr>
              <w:spacing w:after="0"/>
              <w:rPr>
                <w:rFonts w:ascii="Arial" w:cs="Arial" w:eastAsia="Arial" w:hAnsi="Arial"/>
                <w:sz w:val="13"/>
                <w:szCs w:val="13"/>
                <w:color w:val="0000EE"/>
              </w:rPr>
            </w:pPr>
            <w:hyperlink w:anchor="page355">
              <w:r>
                <w:rPr>
                  <w:rFonts w:ascii="Arial" w:cs="Arial" w:eastAsia="Arial" w:hAnsi="Arial"/>
                  <w:sz w:val="13"/>
                  <w:szCs w:val="13"/>
                  <w:color w:val="0000EE"/>
                </w:rPr>
                <w:t>CONDITIONS OF DISBURSEMENT16</w:t>
              </w:r>
            </w:hyperlink>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2.5.1</w:t>
            </w:r>
          </w:p>
        </w:tc>
        <w:tc>
          <w:tcPr>
            <w:tcW w:w="240" w:type="dxa"/>
            <w:vAlign w:val="bottom"/>
          </w:tcPr>
          <w:p>
            <w:pPr>
              <w:spacing w:after="0"/>
              <w:rPr>
                <w:sz w:val="18"/>
                <w:szCs w:val="18"/>
                <w:color w:val="auto"/>
              </w:rPr>
            </w:pPr>
          </w:p>
        </w:tc>
        <w:tc>
          <w:tcPr>
            <w:tcW w:w="4180" w:type="dxa"/>
            <w:vAlign w:val="bottom"/>
            <w:gridSpan w:val="36"/>
          </w:tcPr>
          <w:p>
            <w:pPr>
              <w:spacing w:after="0"/>
              <w:rPr>
                <w:rFonts w:ascii="Arial" w:cs="Arial" w:eastAsia="Arial" w:hAnsi="Arial"/>
                <w:sz w:val="13"/>
                <w:szCs w:val="13"/>
                <w:color w:val="0000EE"/>
              </w:rPr>
            </w:pPr>
            <w:hyperlink w:anchor="page355">
              <w:r>
                <w:rPr>
                  <w:rFonts w:ascii="Arial" w:cs="Arial" w:eastAsia="Arial" w:hAnsi="Arial"/>
                  <w:sz w:val="13"/>
                  <w:szCs w:val="13"/>
                  <w:color w:val="0000EE"/>
                </w:rPr>
                <w:t>I</w:t>
              </w:r>
              <w:r>
                <w:rPr>
                  <w:rFonts w:ascii="Arial" w:cs="Arial" w:eastAsia="Arial" w:hAnsi="Arial"/>
                  <w:sz w:val="10"/>
                  <w:szCs w:val="10"/>
                  <w:color w:val="0000EE"/>
                </w:rPr>
                <w:t>NITIAL</w:t>
              </w:r>
              <w:r>
                <w:rPr>
                  <w:rFonts w:ascii="Arial" w:cs="Arial" w:eastAsia="Arial" w:hAnsi="Arial"/>
                  <w:sz w:val="13"/>
                  <w:szCs w:val="13"/>
                  <w:color w:val="0000EE"/>
                </w:rPr>
                <w:t xml:space="preserve"> D</w:t>
              </w:r>
              <w:r>
                <w:rPr>
                  <w:rFonts w:ascii="Arial" w:cs="Arial" w:eastAsia="Arial" w:hAnsi="Arial"/>
                  <w:sz w:val="10"/>
                  <w:szCs w:val="10"/>
                  <w:color w:val="0000EE"/>
                </w:rPr>
                <w:t>OCUMENTARY</w:t>
              </w:r>
              <w:r>
                <w:rPr>
                  <w:rFonts w:ascii="Arial" w:cs="Arial" w:eastAsia="Arial" w:hAnsi="Arial"/>
                  <w:sz w:val="13"/>
                  <w:szCs w:val="13"/>
                  <w:color w:val="0000EE"/>
                </w:rPr>
                <w:t xml:space="preserve"> C</w:t>
              </w:r>
              <w:r>
                <w:rPr>
                  <w:rFonts w:ascii="Arial" w:cs="Arial" w:eastAsia="Arial" w:hAnsi="Arial"/>
                  <w:sz w:val="10"/>
                  <w:szCs w:val="10"/>
                  <w:color w:val="0000EE"/>
                </w:rPr>
                <w:t>ONDITIONS</w:t>
              </w:r>
              <w:r>
                <w:rPr>
                  <w:rFonts w:ascii="Arial" w:cs="Arial" w:eastAsia="Arial" w:hAnsi="Arial"/>
                  <w:sz w:val="13"/>
                  <w:szCs w:val="13"/>
                  <w:color w:val="0000EE"/>
                </w:rPr>
                <w:t xml:space="preserve"> P</w:t>
              </w:r>
              <w:r>
                <w:rPr>
                  <w:rFonts w:ascii="Arial" w:cs="Arial" w:eastAsia="Arial" w:hAnsi="Arial"/>
                  <w:sz w:val="10"/>
                  <w:szCs w:val="10"/>
                  <w:color w:val="0000EE"/>
                </w:rPr>
                <w:t>RECEDENT</w:t>
              </w:r>
              <w:r>
                <w:rPr>
                  <w:rFonts w:ascii="Arial" w:cs="Arial" w:eastAsia="Arial" w:hAnsi="Arial"/>
                  <w:sz w:val="13"/>
                  <w:szCs w:val="13"/>
                  <w:color w:val="0000EE"/>
                </w:rPr>
                <w:t>16</w:t>
              </w:r>
            </w:hyperlink>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2.5.2</w:t>
            </w:r>
          </w:p>
        </w:tc>
        <w:tc>
          <w:tcPr>
            <w:tcW w:w="240" w:type="dxa"/>
            <w:vAlign w:val="bottom"/>
          </w:tcPr>
          <w:p>
            <w:pPr>
              <w:spacing w:after="0"/>
              <w:rPr>
                <w:sz w:val="11"/>
                <w:szCs w:val="11"/>
                <w:color w:val="auto"/>
              </w:rPr>
            </w:pPr>
          </w:p>
        </w:tc>
        <w:tc>
          <w:tcPr>
            <w:tcW w:w="2740" w:type="dxa"/>
            <w:vAlign w:val="bottom"/>
            <w:tcBorders>
              <w:top w:val="single" w:sz="8" w:color="0000EE"/>
              <w:bottom w:val="single" w:sz="8" w:color="0000EE"/>
            </w:tcBorders>
            <w:gridSpan w:val="30"/>
          </w:tcPr>
          <w:p>
            <w:pPr>
              <w:spacing w:after="0" w:line="130" w:lineRule="exact"/>
              <w:rPr>
                <w:rFonts w:ascii="Arial" w:cs="Arial" w:eastAsia="Arial" w:hAnsi="Arial"/>
                <w:sz w:val="13"/>
                <w:szCs w:val="13"/>
                <w:color w:val="0000EE"/>
              </w:rPr>
            </w:pPr>
            <w:hyperlink w:anchor="page355">
              <w:r>
                <w:rPr>
                  <w:rFonts w:ascii="Arial" w:cs="Arial" w:eastAsia="Arial" w:hAnsi="Arial"/>
                  <w:sz w:val="13"/>
                  <w:szCs w:val="13"/>
                  <w:color w:val="0000EE"/>
                </w:rPr>
                <w:t>C</w:t>
              </w:r>
              <w:r>
                <w:rPr>
                  <w:rFonts w:ascii="Arial" w:cs="Arial" w:eastAsia="Arial" w:hAnsi="Arial"/>
                  <w:sz w:val="10"/>
                  <w:szCs w:val="10"/>
                  <w:color w:val="0000EE"/>
                </w:rPr>
                <w:t>REDIT</w:t>
              </w:r>
              <w:r>
                <w:rPr>
                  <w:rFonts w:ascii="Arial" w:cs="Arial" w:eastAsia="Arial" w:hAnsi="Arial"/>
                  <w:sz w:val="13"/>
                  <w:szCs w:val="13"/>
                  <w:color w:val="0000EE"/>
                </w:rPr>
                <w:t xml:space="preserve"> B – F</w:t>
              </w:r>
              <w:r>
                <w:rPr>
                  <w:rFonts w:ascii="Arial" w:cs="Arial" w:eastAsia="Arial" w:hAnsi="Arial"/>
                  <w:sz w:val="10"/>
                  <w:szCs w:val="10"/>
                  <w:color w:val="0000EE"/>
                </w:rPr>
                <w:t>URTHER</w:t>
              </w:r>
              <w:r>
                <w:rPr>
                  <w:rFonts w:ascii="Arial" w:cs="Arial" w:eastAsia="Arial" w:hAnsi="Arial"/>
                  <w:sz w:val="13"/>
                  <w:szCs w:val="13"/>
                  <w:color w:val="0000EE"/>
                </w:rPr>
                <w:t xml:space="preserve"> C</w:t>
              </w:r>
              <w:r>
                <w:rPr>
                  <w:rFonts w:ascii="Arial" w:cs="Arial" w:eastAsia="Arial" w:hAnsi="Arial"/>
                  <w:sz w:val="10"/>
                  <w:szCs w:val="10"/>
                  <w:color w:val="0000EE"/>
                </w:rPr>
                <w:t>ONDITIONS</w:t>
              </w:r>
              <w:r>
                <w:rPr>
                  <w:rFonts w:ascii="Arial" w:cs="Arial" w:eastAsia="Arial" w:hAnsi="Arial"/>
                  <w:sz w:val="13"/>
                  <w:szCs w:val="13"/>
                  <w:color w:val="0000EE"/>
                </w:rPr>
                <w:t xml:space="preserve"> P</w:t>
              </w:r>
              <w:r>
                <w:rPr>
                  <w:rFonts w:ascii="Arial" w:cs="Arial" w:eastAsia="Arial" w:hAnsi="Arial"/>
                  <w:sz w:val="10"/>
                  <w:szCs w:val="10"/>
                  <w:color w:val="0000EE"/>
                </w:rPr>
                <w:t>RECEDENT</w:t>
              </w:r>
              <w:r>
                <w:rPr>
                  <w:rFonts w:ascii="Arial" w:cs="Arial" w:eastAsia="Arial" w:hAnsi="Arial"/>
                  <w:sz w:val="13"/>
                  <w:szCs w:val="13"/>
                  <w:color w:val="0000EE"/>
                </w:rPr>
                <w:t>16</w:t>
              </w:r>
            </w:hyperlink>
          </w:p>
        </w:tc>
        <w:tc>
          <w:tcPr>
            <w:tcW w:w="40" w:type="dxa"/>
            <w:vAlign w:val="bottom"/>
            <w:tcBorders>
              <w:top w:val="single" w:sz="8" w:color="0000EE"/>
            </w:tcBorders>
          </w:tcPr>
          <w:p>
            <w:pPr>
              <w:spacing w:after="0"/>
              <w:rPr>
                <w:sz w:val="11"/>
                <w:szCs w:val="11"/>
                <w:color w:val="auto"/>
              </w:rPr>
            </w:pPr>
          </w:p>
        </w:tc>
        <w:tc>
          <w:tcPr>
            <w:tcW w:w="1400" w:type="dxa"/>
            <w:vAlign w:val="bottom"/>
            <w:gridSpan w:val="5"/>
          </w:tcPr>
          <w:p>
            <w:pPr>
              <w:spacing w:after="0"/>
              <w:rPr>
                <w:sz w:val="11"/>
                <w:szCs w:val="1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2.5.3</w:t>
            </w:r>
          </w:p>
        </w:tc>
        <w:tc>
          <w:tcPr>
            <w:tcW w:w="240" w:type="dxa"/>
            <w:vAlign w:val="bottom"/>
          </w:tcPr>
          <w:p>
            <w:pPr>
              <w:spacing w:after="0"/>
              <w:rPr>
                <w:sz w:val="11"/>
                <w:szCs w:val="11"/>
                <w:color w:val="auto"/>
              </w:rPr>
            </w:pPr>
          </w:p>
        </w:tc>
        <w:tc>
          <w:tcPr>
            <w:tcW w:w="4180" w:type="dxa"/>
            <w:vAlign w:val="bottom"/>
            <w:gridSpan w:val="36"/>
          </w:tcPr>
          <w:p>
            <w:pPr>
              <w:spacing w:after="0" w:line="130" w:lineRule="exact"/>
              <w:rPr>
                <w:rFonts w:ascii="Arial" w:cs="Arial" w:eastAsia="Arial" w:hAnsi="Arial"/>
                <w:sz w:val="13"/>
                <w:szCs w:val="13"/>
                <w:color w:val="0000EE"/>
              </w:rPr>
            </w:pPr>
            <w:hyperlink w:anchor="page355">
              <w:r>
                <w:rPr>
                  <w:rFonts w:ascii="Arial" w:cs="Arial" w:eastAsia="Arial" w:hAnsi="Arial"/>
                  <w:sz w:val="13"/>
                  <w:szCs w:val="13"/>
                  <w:color w:val="0000EE"/>
                </w:rPr>
                <w:t>A</w:t>
              </w:r>
              <w:r>
                <w:rPr>
                  <w:rFonts w:ascii="Arial" w:cs="Arial" w:eastAsia="Arial" w:hAnsi="Arial"/>
                  <w:sz w:val="10"/>
                  <w:szCs w:val="10"/>
                  <w:color w:val="0000EE"/>
                </w:rPr>
                <w:t>LL</w:t>
              </w:r>
              <w:r>
                <w:rPr>
                  <w:rFonts w:ascii="Arial" w:cs="Arial" w:eastAsia="Arial" w:hAnsi="Arial"/>
                  <w:sz w:val="13"/>
                  <w:szCs w:val="13"/>
                  <w:color w:val="0000EE"/>
                </w:rPr>
                <w:t xml:space="preserve"> T</w:t>
              </w:r>
              <w:r>
                <w:rPr>
                  <w:rFonts w:ascii="Arial" w:cs="Arial" w:eastAsia="Arial" w:hAnsi="Arial"/>
                  <w:sz w:val="10"/>
                  <w:szCs w:val="10"/>
                  <w:color w:val="0000EE"/>
                </w:rPr>
                <w:t>RANCHES</w:t>
              </w:r>
              <w:r>
                <w:rPr>
                  <w:rFonts w:ascii="Arial" w:cs="Arial" w:eastAsia="Arial" w:hAnsi="Arial"/>
                  <w:sz w:val="13"/>
                  <w:szCs w:val="13"/>
                  <w:color w:val="0000EE"/>
                </w:rPr>
                <w:t xml:space="preserve"> - D</w:t>
              </w:r>
              <w:r>
                <w:rPr>
                  <w:rFonts w:ascii="Arial" w:cs="Arial" w:eastAsia="Arial" w:hAnsi="Arial"/>
                  <w:sz w:val="10"/>
                  <w:szCs w:val="10"/>
                  <w:color w:val="0000EE"/>
                </w:rPr>
                <w:t>OCUMENTARY</w:t>
              </w:r>
              <w:r>
                <w:rPr>
                  <w:rFonts w:ascii="Arial" w:cs="Arial" w:eastAsia="Arial" w:hAnsi="Arial"/>
                  <w:sz w:val="13"/>
                  <w:szCs w:val="13"/>
                  <w:color w:val="0000EE"/>
                </w:rPr>
                <w:t xml:space="preserve"> C</w:t>
              </w:r>
              <w:r>
                <w:rPr>
                  <w:rFonts w:ascii="Arial" w:cs="Arial" w:eastAsia="Arial" w:hAnsi="Arial"/>
                  <w:sz w:val="10"/>
                  <w:szCs w:val="10"/>
                  <w:color w:val="0000EE"/>
                </w:rPr>
                <w:t>ONDITIONS</w:t>
              </w:r>
              <w:r>
                <w:rPr>
                  <w:rFonts w:ascii="Arial" w:cs="Arial" w:eastAsia="Arial" w:hAnsi="Arial"/>
                  <w:sz w:val="13"/>
                  <w:szCs w:val="13"/>
                  <w:color w:val="0000EE"/>
                </w:rPr>
                <w:t xml:space="preserve"> P</w:t>
              </w:r>
              <w:r>
                <w:rPr>
                  <w:rFonts w:ascii="Arial" w:cs="Arial" w:eastAsia="Arial" w:hAnsi="Arial"/>
                  <w:sz w:val="10"/>
                  <w:szCs w:val="10"/>
                  <w:color w:val="0000EE"/>
                </w:rPr>
                <w:t>RECEDENT</w:t>
              </w:r>
              <w:r>
                <w:rPr>
                  <w:rFonts w:ascii="Arial" w:cs="Arial" w:eastAsia="Arial" w:hAnsi="Arial"/>
                  <w:sz w:val="13"/>
                  <w:szCs w:val="13"/>
                  <w:color w:val="0000EE"/>
                </w:rPr>
                <w:t>16</w:t>
              </w:r>
            </w:hyperlink>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2.5.4</w:t>
            </w:r>
          </w:p>
        </w:tc>
        <w:tc>
          <w:tcPr>
            <w:tcW w:w="240" w:type="dxa"/>
            <w:vAlign w:val="bottom"/>
          </w:tcPr>
          <w:p>
            <w:pPr>
              <w:spacing w:after="0"/>
              <w:rPr>
                <w:sz w:val="11"/>
                <w:szCs w:val="11"/>
                <w:color w:val="auto"/>
              </w:rPr>
            </w:pPr>
          </w:p>
        </w:tc>
        <w:tc>
          <w:tcPr>
            <w:tcW w:w="3320" w:type="dxa"/>
            <w:vAlign w:val="bottom"/>
            <w:tcBorders>
              <w:top w:val="single" w:sz="8" w:color="0000EE"/>
            </w:tcBorders>
            <w:gridSpan w:val="33"/>
          </w:tcPr>
          <w:p>
            <w:pPr>
              <w:spacing w:after="0" w:line="130" w:lineRule="exact"/>
              <w:rPr>
                <w:rFonts w:ascii="Arial" w:cs="Arial" w:eastAsia="Arial" w:hAnsi="Arial"/>
                <w:sz w:val="13"/>
                <w:szCs w:val="13"/>
                <w:color w:val="0000EE"/>
              </w:rPr>
            </w:pPr>
            <w:hyperlink w:anchor="page356">
              <w:r>
                <w:rPr>
                  <w:rFonts w:ascii="Arial" w:cs="Arial" w:eastAsia="Arial" w:hAnsi="Arial"/>
                  <w:sz w:val="13"/>
                  <w:szCs w:val="13"/>
                  <w:color w:val="0000EE"/>
                </w:rPr>
                <w:t>A</w:t>
              </w:r>
              <w:r>
                <w:rPr>
                  <w:rFonts w:ascii="Arial" w:cs="Arial" w:eastAsia="Arial" w:hAnsi="Arial"/>
                  <w:sz w:val="10"/>
                  <w:szCs w:val="10"/>
                  <w:color w:val="0000EE"/>
                </w:rPr>
                <w:t>LL</w:t>
              </w:r>
              <w:r>
                <w:rPr>
                  <w:rFonts w:ascii="Arial" w:cs="Arial" w:eastAsia="Arial" w:hAnsi="Arial"/>
                  <w:sz w:val="13"/>
                  <w:szCs w:val="13"/>
                  <w:color w:val="0000EE"/>
                </w:rPr>
                <w:t xml:space="preserve"> T</w:t>
              </w:r>
              <w:r>
                <w:rPr>
                  <w:rFonts w:ascii="Arial" w:cs="Arial" w:eastAsia="Arial" w:hAnsi="Arial"/>
                  <w:sz w:val="10"/>
                  <w:szCs w:val="10"/>
                  <w:color w:val="0000EE"/>
                </w:rPr>
                <w:t>RANCHES</w:t>
              </w:r>
              <w:r>
                <w:rPr>
                  <w:rFonts w:ascii="Arial" w:cs="Arial" w:eastAsia="Arial" w:hAnsi="Arial"/>
                  <w:sz w:val="13"/>
                  <w:szCs w:val="13"/>
                  <w:color w:val="0000EE"/>
                </w:rPr>
                <w:t xml:space="preserve"> – O</w:t>
              </w:r>
              <w:r>
                <w:rPr>
                  <w:rFonts w:ascii="Arial" w:cs="Arial" w:eastAsia="Arial" w:hAnsi="Arial"/>
                  <w:sz w:val="10"/>
                  <w:szCs w:val="10"/>
                  <w:color w:val="0000EE"/>
                </w:rPr>
                <w:t>THER</w:t>
              </w:r>
              <w:r>
                <w:rPr>
                  <w:rFonts w:ascii="Arial" w:cs="Arial" w:eastAsia="Arial" w:hAnsi="Arial"/>
                  <w:sz w:val="13"/>
                  <w:szCs w:val="13"/>
                  <w:color w:val="0000EE"/>
                </w:rPr>
                <w:t xml:space="preserve"> C</w:t>
              </w:r>
              <w:r>
                <w:rPr>
                  <w:rFonts w:ascii="Arial" w:cs="Arial" w:eastAsia="Arial" w:hAnsi="Arial"/>
                  <w:sz w:val="10"/>
                  <w:szCs w:val="10"/>
                  <w:color w:val="0000EE"/>
                </w:rPr>
                <w:t>ONDITIONS</w:t>
              </w:r>
              <w:r>
                <w:rPr>
                  <w:rFonts w:ascii="Arial" w:cs="Arial" w:eastAsia="Arial" w:hAnsi="Arial"/>
                  <w:sz w:val="13"/>
                  <w:szCs w:val="13"/>
                  <w:color w:val="0000EE"/>
                </w:rPr>
                <w:t>17</w:t>
              </w:r>
            </w:hyperlink>
          </w:p>
        </w:tc>
        <w:tc>
          <w:tcPr>
            <w:tcW w:w="860" w:type="dxa"/>
            <w:vAlign w:val="bottom"/>
            <w:gridSpan w:val="3"/>
          </w:tcPr>
          <w:p>
            <w:pPr>
              <w:spacing w:after="0"/>
              <w:rPr>
                <w:sz w:val="11"/>
                <w:szCs w:val="11"/>
                <w:color w:val="auto"/>
              </w:rPr>
            </w:pPr>
          </w:p>
        </w:tc>
      </w:tr>
      <w:tr>
        <w:trPr>
          <w:trHeight w:val="200"/>
        </w:trPr>
        <w:tc>
          <w:tcPr>
            <w:tcW w:w="660" w:type="dxa"/>
            <w:vAlign w:val="bottom"/>
          </w:tcPr>
          <w:p>
            <w:pPr>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10"/>
          </w:tcPr>
          <w:p>
            <w:pPr>
              <w:spacing w:after="0"/>
              <w:rPr>
                <w:rFonts w:ascii="Arial" w:cs="Arial" w:eastAsia="Arial" w:hAnsi="Arial"/>
                <w:sz w:val="13"/>
                <w:szCs w:val="13"/>
                <w:color w:val="0000EE"/>
                <w:w w:val="99"/>
              </w:rPr>
            </w:pPr>
            <w:hyperlink w:anchor="page356">
              <w:r>
                <w:rPr>
                  <w:rFonts w:ascii="Arial" w:cs="Arial" w:eastAsia="Arial" w:hAnsi="Arial"/>
                  <w:sz w:val="13"/>
                  <w:szCs w:val="13"/>
                  <w:color w:val="0000EE"/>
                  <w:w w:val="99"/>
                </w:rPr>
                <w:t>CANCELLATION17</w:t>
              </w:r>
            </w:hyperlink>
          </w:p>
        </w:tc>
        <w:tc>
          <w:tcPr>
            <w:tcW w:w="1040" w:type="dxa"/>
            <w:vAlign w:val="bottom"/>
            <w:tcBorders>
              <w:top w:val="single" w:sz="8" w:color="0000EE"/>
            </w:tcBorders>
            <w:gridSpan w:val="17"/>
          </w:tcPr>
          <w:p>
            <w:pPr>
              <w:spacing w:after="0"/>
              <w:rPr>
                <w:sz w:val="17"/>
                <w:szCs w:val="17"/>
                <w:color w:val="auto"/>
              </w:rPr>
            </w:pPr>
          </w:p>
        </w:tc>
        <w:tc>
          <w:tcPr>
            <w:tcW w:w="1980" w:type="dxa"/>
            <w:vAlign w:val="bottom"/>
            <w:gridSpan w:val="9"/>
          </w:tcPr>
          <w:p>
            <w:pPr>
              <w:spacing w:after="0"/>
              <w:rPr>
                <w:sz w:val="17"/>
                <w:szCs w:val="17"/>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2.7</w:t>
            </w:r>
          </w:p>
        </w:tc>
        <w:tc>
          <w:tcPr>
            <w:tcW w:w="240" w:type="dxa"/>
            <w:vAlign w:val="bottom"/>
          </w:tcPr>
          <w:p>
            <w:pPr>
              <w:spacing w:after="0"/>
              <w:rPr>
                <w:sz w:val="18"/>
                <w:szCs w:val="18"/>
                <w:color w:val="auto"/>
              </w:rPr>
            </w:pPr>
          </w:p>
        </w:tc>
        <w:tc>
          <w:tcPr>
            <w:tcW w:w="3640" w:type="dxa"/>
            <w:vAlign w:val="bottom"/>
            <w:tcBorders>
              <w:bottom w:val="single" w:sz="8" w:color="0000EE"/>
            </w:tcBorders>
            <w:gridSpan w:val="34"/>
          </w:tcPr>
          <w:p>
            <w:pPr>
              <w:spacing w:after="0"/>
              <w:rPr>
                <w:rFonts w:ascii="Arial" w:cs="Arial" w:eastAsia="Arial" w:hAnsi="Arial"/>
                <w:sz w:val="13"/>
                <w:szCs w:val="13"/>
                <w:color w:val="0000EE"/>
              </w:rPr>
            </w:pPr>
            <w:hyperlink w:anchor="page356">
              <w:r>
                <w:rPr>
                  <w:rFonts w:ascii="Arial" w:cs="Arial" w:eastAsia="Arial" w:hAnsi="Arial"/>
                  <w:sz w:val="13"/>
                  <w:szCs w:val="13"/>
                  <w:color w:val="0000EE"/>
                </w:rPr>
                <w:t>FEE FOR CANCELLATION OF AN ACCEPTED TRANCHE17</w:t>
              </w:r>
            </w:hyperlink>
          </w:p>
        </w:tc>
        <w:tc>
          <w:tcPr>
            <w:tcW w:w="540" w:type="dxa"/>
            <w:vAlign w:val="bottom"/>
            <w:gridSpan w:val="2"/>
          </w:tcPr>
          <w:p>
            <w:pPr>
              <w:spacing w:after="0"/>
              <w:rPr>
                <w:sz w:val="18"/>
                <w:szCs w:val="18"/>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2.8</w:t>
            </w:r>
          </w:p>
        </w:tc>
        <w:tc>
          <w:tcPr>
            <w:tcW w:w="240" w:type="dxa"/>
            <w:vAlign w:val="bottom"/>
          </w:tcPr>
          <w:p>
            <w:pPr>
              <w:spacing w:after="0"/>
              <w:rPr>
                <w:sz w:val="18"/>
                <w:szCs w:val="18"/>
                <w:color w:val="auto"/>
              </w:rPr>
            </w:pPr>
          </w:p>
        </w:tc>
        <w:tc>
          <w:tcPr>
            <w:tcW w:w="4180" w:type="dxa"/>
            <w:vAlign w:val="bottom"/>
            <w:gridSpan w:val="36"/>
          </w:tcPr>
          <w:p>
            <w:pPr>
              <w:spacing w:after="0"/>
              <w:rPr>
                <w:rFonts w:ascii="Arial" w:cs="Arial" w:eastAsia="Arial" w:hAnsi="Arial"/>
                <w:sz w:val="13"/>
                <w:szCs w:val="13"/>
                <w:color w:val="0000EE"/>
              </w:rPr>
            </w:pPr>
            <w:hyperlink w:anchor="page357">
              <w:r>
                <w:rPr>
                  <w:rFonts w:ascii="Arial" w:cs="Arial" w:eastAsia="Arial" w:hAnsi="Arial"/>
                  <w:sz w:val="13"/>
                  <w:szCs w:val="13"/>
                  <w:color w:val="0000EE"/>
                </w:rPr>
                <w:t>CANCELLATION AFTER EXPIRY OF THE CREDIT18</w:t>
              </w:r>
            </w:hyperlink>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2.9</w:t>
            </w:r>
          </w:p>
        </w:tc>
        <w:tc>
          <w:tcPr>
            <w:tcW w:w="240" w:type="dxa"/>
            <w:vAlign w:val="bottom"/>
          </w:tcPr>
          <w:p>
            <w:pPr>
              <w:spacing w:after="0"/>
              <w:rPr>
                <w:sz w:val="18"/>
                <w:szCs w:val="18"/>
                <w:color w:val="auto"/>
              </w:rPr>
            </w:pPr>
          </w:p>
        </w:tc>
        <w:tc>
          <w:tcPr>
            <w:tcW w:w="1060" w:type="dxa"/>
            <w:vAlign w:val="bottom"/>
            <w:tcBorders>
              <w:top w:val="single" w:sz="8" w:color="0000EE"/>
              <w:bottom w:val="single" w:sz="8" w:color="0000EE"/>
            </w:tcBorders>
            <w:gridSpan w:val="7"/>
          </w:tcPr>
          <w:p>
            <w:pPr>
              <w:spacing w:after="0"/>
              <w:rPr>
                <w:rFonts w:ascii="Arial" w:cs="Arial" w:eastAsia="Arial" w:hAnsi="Arial"/>
                <w:sz w:val="13"/>
                <w:szCs w:val="13"/>
                <w:color w:val="0000EE"/>
                <w:w w:val="99"/>
              </w:rPr>
            </w:pPr>
            <w:hyperlink w:anchor="page357">
              <w:r>
                <w:rPr>
                  <w:rFonts w:ascii="Arial" w:cs="Arial" w:eastAsia="Arial" w:hAnsi="Arial"/>
                  <w:sz w:val="13"/>
                  <w:szCs w:val="13"/>
                  <w:color w:val="0000EE"/>
                  <w:w w:val="99"/>
                </w:rPr>
                <w:t>STANDBY FEE18</w:t>
              </w:r>
            </w:hyperlink>
          </w:p>
        </w:tc>
        <w:tc>
          <w:tcPr>
            <w:tcW w:w="2120" w:type="dxa"/>
            <w:vAlign w:val="bottom"/>
            <w:tcBorders>
              <w:top w:val="single" w:sz="8" w:color="0000EE"/>
            </w:tcBorders>
            <w:gridSpan w:val="25"/>
          </w:tcPr>
          <w:p>
            <w:pPr>
              <w:spacing w:after="0"/>
              <w:rPr>
                <w:sz w:val="18"/>
                <w:szCs w:val="18"/>
                <w:color w:val="auto"/>
              </w:rPr>
            </w:pPr>
          </w:p>
        </w:tc>
        <w:tc>
          <w:tcPr>
            <w:tcW w:w="1000" w:type="dxa"/>
            <w:vAlign w:val="bottom"/>
            <w:gridSpan w:val="4"/>
          </w:tcPr>
          <w:p>
            <w:pPr>
              <w:spacing w:after="0"/>
              <w:rPr>
                <w:sz w:val="18"/>
                <w:szCs w:val="18"/>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2.10</w:t>
            </w:r>
          </w:p>
        </w:tc>
        <w:tc>
          <w:tcPr>
            <w:tcW w:w="240" w:type="dxa"/>
            <w:vAlign w:val="bottom"/>
          </w:tcPr>
          <w:p>
            <w:pPr>
              <w:spacing w:after="0"/>
              <w:rPr>
                <w:sz w:val="18"/>
                <w:szCs w:val="18"/>
                <w:color w:val="auto"/>
              </w:rPr>
            </w:pPr>
          </w:p>
        </w:tc>
        <w:tc>
          <w:tcPr>
            <w:tcW w:w="4180" w:type="dxa"/>
            <w:vAlign w:val="bottom"/>
            <w:gridSpan w:val="36"/>
          </w:tcPr>
          <w:p>
            <w:pPr>
              <w:spacing w:after="0"/>
              <w:rPr>
                <w:rFonts w:ascii="Arial" w:cs="Arial" w:eastAsia="Arial" w:hAnsi="Arial"/>
                <w:sz w:val="13"/>
                <w:szCs w:val="13"/>
                <w:color w:val="0000EE"/>
              </w:rPr>
            </w:pPr>
            <w:hyperlink w:anchor="page357">
              <w:r>
                <w:rPr>
                  <w:rFonts w:ascii="Arial" w:cs="Arial" w:eastAsia="Arial" w:hAnsi="Arial"/>
                  <w:sz w:val="13"/>
                  <w:szCs w:val="13"/>
                  <w:color w:val="0000EE"/>
                </w:rPr>
                <w:t>SUMS DUE UNDER ARTICLE 218</w:t>
              </w:r>
            </w:hyperlink>
          </w:p>
        </w:tc>
      </w:tr>
      <w:tr>
        <w:trPr>
          <w:trHeight w:val="200"/>
        </w:trPr>
        <w:tc>
          <w:tcPr>
            <w:tcW w:w="660" w:type="dxa"/>
            <w:vAlign w:val="bottom"/>
          </w:tcPr>
          <w:p>
            <w:pPr>
              <w:spacing w:after="0"/>
              <w:rPr>
                <w:rFonts w:ascii="Arial" w:cs="Arial" w:eastAsia="Arial" w:hAnsi="Arial"/>
                <w:sz w:val="13"/>
                <w:szCs w:val="13"/>
                <w:b w:val="1"/>
                <w:bCs w:val="1"/>
                <w:color w:val="0000EE"/>
                <w:w w:val="92"/>
              </w:rPr>
            </w:pPr>
            <w:hyperlink w:anchor="page357">
              <w:r>
                <w:rPr>
                  <w:rFonts w:ascii="Arial" w:cs="Arial" w:eastAsia="Arial" w:hAnsi="Arial"/>
                  <w:sz w:val="13"/>
                  <w:szCs w:val="13"/>
                  <w:b w:val="1"/>
                  <w:bCs w:val="1"/>
                  <w:color w:val="0000EE"/>
                  <w:w w:val="92"/>
                </w:rPr>
                <w:t>ARTICLE 3</w:t>
              </w:r>
            </w:hyperlink>
          </w:p>
        </w:tc>
        <w:tc>
          <w:tcPr>
            <w:tcW w:w="240" w:type="dxa"/>
            <w:vAlign w:val="bottom"/>
          </w:tcPr>
          <w:p>
            <w:pPr>
              <w:spacing w:after="0"/>
              <w:rPr>
                <w:sz w:val="17"/>
                <w:szCs w:val="17"/>
                <w:color w:val="auto"/>
              </w:rPr>
            </w:pPr>
          </w:p>
        </w:tc>
        <w:tc>
          <w:tcPr>
            <w:tcW w:w="740" w:type="dxa"/>
            <w:vAlign w:val="bottom"/>
            <w:tcBorders>
              <w:top w:val="single" w:sz="8" w:color="0000EE"/>
            </w:tcBorders>
            <w:gridSpan w:val="4"/>
          </w:tcPr>
          <w:p>
            <w:pPr>
              <w:ind w:left="280"/>
              <w:spacing w:after="0"/>
              <w:rPr>
                <w:rFonts w:ascii="Arial" w:cs="Arial" w:eastAsia="Arial" w:hAnsi="Arial"/>
                <w:sz w:val="13"/>
                <w:szCs w:val="13"/>
                <w:b w:val="1"/>
                <w:bCs w:val="1"/>
                <w:color w:val="0000EE"/>
              </w:rPr>
            </w:pPr>
            <w:hyperlink w:anchor="page357">
              <w:r>
                <w:rPr>
                  <w:rFonts w:ascii="Arial" w:cs="Arial" w:eastAsia="Arial" w:hAnsi="Arial"/>
                  <w:sz w:val="13"/>
                  <w:szCs w:val="13"/>
                  <w:b w:val="1"/>
                  <w:bCs w:val="1"/>
                  <w:color w:val="0000EE"/>
                </w:rPr>
                <w:t>18</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8"/>
                <w:szCs w:val="18"/>
                <w:color w:val="auto"/>
              </w:rPr>
            </w:pPr>
          </w:p>
        </w:tc>
        <w:tc>
          <w:tcPr>
            <w:tcW w:w="1340" w:type="dxa"/>
            <w:vAlign w:val="bottom"/>
            <w:tcBorders>
              <w:bottom w:val="single" w:sz="8" w:color="0000EE"/>
            </w:tcBorders>
            <w:gridSpan w:val="13"/>
          </w:tcPr>
          <w:p>
            <w:pPr>
              <w:spacing w:after="0"/>
              <w:rPr>
                <w:rFonts w:ascii="Arial" w:cs="Arial" w:eastAsia="Arial" w:hAnsi="Arial"/>
                <w:sz w:val="13"/>
                <w:szCs w:val="13"/>
                <w:color w:val="0000EE"/>
              </w:rPr>
            </w:pPr>
            <w:hyperlink w:anchor="page357">
              <w:r>
                <w:rPr>
                  <w:rFonts w:ascii="Arial" w:cs="Arial" w:eastAsia="Arial" w:hAnsi="Arial"/>
                  <w:sz w:val="13"/>
                  <w:szCs w:val="13"/>
                  <w:color w:val="0000EE"/>
                </w:rPr>
                <w:t>AMOUNT OF LOAN18</w:t>
              </w:r>
            </w:hyperlink>
          </w:p>
        </w:tc>
        <w:tc>
          <w:tcPr>
            <w:tcW w:w="2840" w:type="dxa"/>
            <w:vAlign w:val="bottom"/>
            <w:gridSpan w:val="23"/>
          </w:tcPr>
          <w:p>
            <w:pPr>
              <w:spacing w:after="0"/>
              <w:rPr>
                <w:sz w:val="18"/>
                <w:szCs w:val="18"/>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8"/>
                <w:szCs w:val="18"/>
                <w:color w:val="auto"/>
              </w:rPr>
            </w:pPr>
          </w:p>
        </w:tc>
        <w:tc>
          <w:tcPr>
            <w:tcW w:w="4180" w:type="dxa"/>
            <w:vAlign w:val="bottom"/>
            <w:gridSpan w:val="36"/>
          </w:tcPr>
          <w:p>
            <w:pPr>
              <w:spacing w:after="0"/>
              <w:rPr>
                <w:rFonts w:ascii="Arial" w:cs="Arial" w:eastAsia="Arial" w:hAnsi="Arial"/>
                <w:sz w:val="13"/>
                <w:szCs w:val="13"/>
                <w:color w:val="0000EE"/>
              </w:rPr>
            </w:pPr>
            <w:hyperlink w:anchor="page357">
              <w:r>
                <w:rPr>
                  <w:rFonts w:ascii="Arial" w:cs="Arial" w:eastAsia="Arial" w:hAnsi="Arial"/>
                  <w:sz w:val="13"/>
                  <w:szCs w:val="13"/>
                  <w:color w:val="0000EE"/>
                </w:rPr>
                <w:t>CURRENCY OF REPAYMENT, INTEREST AND OTHER CHARGES18</w:t>
              </w:r>
            </w:hyperlink>
          </w:p>
        </w:tc>
      </w:tr>
      <w:tr>
        <w:trPr>
          <w:trHeight w:val="200"/>
        </w:trPr>
        <w:tc>
          <w:tcPr>
            <w:tcW w:w="660" w:type="dxa"/>
            <w:vAlign w:val="bottom"/>
          </w:tcPr>
          <w:p>
            <w:pPr>
              <w:spacing w:after="0"/>
              <w:rPr>
                <w:rFonts w:ascii="Arial" w:cs="Arial" w:eastAsia="Arial" w:hAnsi="Arial"/>
                <w:sz w:val="13"/>
                <w:szCs w:val="13"/>
                <w:b w:val="1"/>
                <w:bCs w:val="1"/>
                <w:color w:val="0000EE"/>
                <w:w w:val="92"/>
              </w:rPr>
            </w:pPr>
            <w:hyperlink w:anchor="page357">
              <w:r>
                <w:rPr>
                  <w:rFonts w:ascii="Arial" w:cs="Arial" w:eastAsia="Arial" w:hAnsi="Arial"/>
                  <w:sz w:val="13"/>
                  <w:szCs w:val="13"/>
                  <w:b w:val="1"/>
                  <w:bCs w:val="1"/>
                  <w:color w:val="0000EE"/>
                  <w:w w:val="92"/>
                </w:rPr>
                <w:t>ARTICLE 4</w:t>
              </w:r>
            </w:hyperlink>
          </w:p>
        </w:tc>
        <w:tc>
          <w:tcPr>
            <w:tcW w:w="240" w:type="dxa"/>
            <w:vAlign w:val="bottom"/>
          </w:tcPr>
          <w:p>
            <w:pPr>
              <w:spacing w:after="0"/>
              <w:rPr>
                <w:sz w:val="17"/>
                <w:szCs w:val="17"/>
                <w:color w:val="auto"/>
              </w:rPr>
            </w:pPr>
          </w:p>
        </w:tc>
        <w:tc>
          <w:tcPr>
            <w:tcW w:w="740" w:type="dxa"/>
            <w:vAlign w:val="bottom"/>
            <w:tcBorders>
              <w:top w:val="single" w:sz="8" w:color="0000EE"/>
            </w:tcBorders>
            <w:gridSpan w:val="4"/>
          </w:tcPr>
          <w:p>
            <w:pPr>
              <w:ind w:left="280"/>
              <w:spacing w:after="0"/>
              <w:rPr>
                <w:rFonts w:ascii="Arial" w:cs="Arial" w:eastAsia="Arial" w:hAnsi="Arial"/>
                <w:sz w:val="13"/>
                <w:szCs w:val="13"/>
                <w:b w:val="1"/>
                <w:bCs w:val="1"/>
                <w:color w:val="0000EE"/>
              </w:rPr>
            </w:pPr>
            <w:hyperlink w:anchor="page357">
              <w:r>
                <w:rPr>
                  <w:rFonts w:ascii="Arial" w:cs="Arial" w:eastAsia="Arial" w:hAnsi="Arial"/>
                  <w:sz w:val="13"/>
                  <w:szCs w:val="13"/>
                  <w:b w:val="1"/>
                  <w:bCs w:val="1"/>
                  <w:color w:val="0000EE"/>
                </w:rPr>
                <w:t>18</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8"/>
                <w:szCs w:val="18"/>
                <w:color w:val="auto"/>
              </w:rPr>
            </w:pPr>
          </w:p>
        </w:tc>
        <w:tc>
          <w:tcPr>
            <w:tcW w:w="2040" w:type="dxa"/>
            <w:vAlign w:val="bottom"/>
            <w:tcBorders>
              <w:bottom w:val="single" w:sz="8" w:color="0000EE"/>
            </w:tcBorders>
            <w:gridSpan w:val="23"/>
          </w:tcPr>
          <w:p>
            <w:pPr>
              <w:spacing w:after="0"/>
              <w:rPr>
                <w:rFonts w:ascii="Arial" w:cs="Arial" w:eastAsia="Arial" w:hAnsi="Arial"/>
                <w:sz w:val="13"/>
                <w:szCs w:val="13"/>
                <w:color w:val="0000EE"/>
              </w:rPr>
            </w:pPr>
            <w:hyperlink w:anchor="page357">
              <w:r>
                <w:rPr>
                  <w:rFonts w:ascii="Arial" w:cs="Arial" w:eastAsia="Arial" w:hAnsi="Arial"/>
                  <w:sz w:val="13"/>
                  <w:szCs w:val="13"/>
                  <w:color w:val="0000EE"/>
                </w:rPr>
                <w:t>CASH INTEREST FIXED RATE18</w:t>
              </w:r>
            </w:hyperlink>
          </w:p>
        </w:tc>
        <w:tc>
          <w:tcPr>
            <w:tcW w:w="2140" w:type="dxa"/>
            <w:vAlign w:val="bottom"/>
            <w:gridSpan w:val="13"/>
          </w:tcPr>
          <w:p>
            <w:pPr>
              <w:spacing w:after="0"/>
              <w:rPr>
                <w:sz w:val="18"/>
                <w:szCs w:val="18"/>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4.2</w:t>
            </w:r>
          </w:p>
        </w:tc>
        <w:tc>
          <w:tcPr>
            <w:tcW w:w="240" w:type="dxa"/>
            <w:vAlign w:val="bottom"/>
          </w:tcPr>
          <w:p>
            <w:pPr>
              <w:spacing w:after="0"/>
              <w:rPr>
                <w:sz w:val="18"/>
                <w:szCs w:val="18"/>
                <w:color w:val="auto"/>
              </w:rPr>
            </w:pPr>
          </w:p>
        </w:tc>
        <w:tc>
          <w:tcPr>
            <w:tcW w:w="2380" w:type="dxa"/>
            <w:vAlign w:val="bottom"/>
            <w:tcBorders>
              <w:bottom w:val="single" w:sz="8" w:color="0000EE"/>
            </w:tcBorders>
            <w:gridSpan w:val="29"/>
          </w:tcPr>
          <w:p>
            <w:pPr>
              <w:spacing w:after="0"/>
              <w:rPr>
                <w:rFonts w:ascii="Arial" w:cs="Arial" w:eastAsia="Arial" w:hAnsi="Arial"/>
                <w:sz w:val="13"/>
                <w:szCs w:val="13"/>
                <w:color w:val="0000EE"/>
              </w:rPr>
            </w:pPr>
            <w:hyperlink w:anchor="page358">
              <w:r>
                <w:rPr>
                  <w:rFonts w:ascii="Arial" w:cs="Arial" w:eastAsia="Arial" w:hAnsi="Arial"/>
                  <w:sz w:val="13"/>
                  <w:szCs w:val="13"/>
                  <w:color w:val="0000EE"/>
                </w:rPr>
                <w:t>DEFERRED INTEREST FIXED RATE19</w:t>
              </w:r>
            </w:hyperlink>
          </w:p>
        </w:tc>
        <w:tc>
          <w:tcPr>
            <w:tcW w:w="1800" w:type="dxa"/>
            <w:vAlign w:val="bottom"/>
            <w:gridSpan w:val="7"/>
          </w:tcPr>
          <w:p>
            <w:pPr>
              <w:spacing w:after="0"/>
              <w:rPr>
                <w:sz w:val="18"/>
                <w:szCs w:val="18"/>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8"/>
                <w:szCs w:val="18"/>
                <w:color w:val="auto"/>
              </w:rPr>
            </w:pPr>
          </w:p>
        </w:tc>
        <w:tc>
          <w:tcPr>
            <w:tcW w:w="1660" w:type="dxa"/>
            <w:vAlign w:val="bottom"/>
            <w:tcBorders>
              <w:bottom w:val="single" w:sz="8" w:color="0000EE"/>
            </w:tcBorders>
            <w:gridSpan w:val="18"/>
          </w:tcPr>
          <w:p>
            <w:pPr>
              <w:spacing w:after="0"/>
              <w:rPr>
                <w:rFonts w:ascii="Arial" w:cs="Arial" w:eastAsia="Arial" w:hAnsi="Arial"/>
                <w:sz w:val="13"/>
                <w:szCs w:val="13"/>
                <w:color w:val="0000EE"/>
                <w:w w:val="99"/>
              </w:rPr>
            </w:pPr>
            <w:hyperlink w:anchor="page358">
              <w:r>
                <w:rPr>
                  <w:rFonts w:ascii="Arial" w:cs="Arial" w:eastAsia="Arial" w:hAnsi="Arial"/>
                  <w:sz w:val="13"/>
                  <w:szCs w:val="13"/>
                  <w:color w:val="0000EE"/>
                  <w:w w:val="99"/>
                </w:rPr>
                <w:t>PROFIT PARTICIPATION19</w:t>
              </w:r>
            </w:hyperlink>
          </w:p>
        </w:tc>
        <w:tc>
          <w:tcPr>
            <w:tcW w:w="2520" w:type="dxa"/>
            <w:vAlign w:val="bottom"/>
            <w:gridSpan w:val="18"/>
          </w:tcPr>
          <w:p>
            <w:pPr>
              <w:spacing w:after="0"/>
              <w:rPr>
                <w:sz w:val="18"/>
                <w:szCs w:val="18"/>
                <w:color w:val="auto"/>
              </w:rPr>
            </w:pPr>
          </w:p>
        </w:tc>
      </w:tr>
      <w:tr>
        <w:trPr>
          <w:trHeight w:val="190"/>
        </w:trPr>
        <w:tc>
          <w:tcPr>
            <w:tcW w:w="660" w:type="dxa"/>
            <w:vAlign w:val="bottom"/>
          </w:tcPr>
          <w:p>
            <w:pPr>
              <w:spacing w:after="0"/>
              <w:rPr>
                <w:sz w:val="20"/>
                <w:szCs w:val="20"/>
                <w:color w:val="auto"/>
              </w:rPr>
            </w:pPr>
            <w:r>
              <w:rPr>
                <w:rFonts w:ascii="Arial" w:cs="Arial" w:eastAsia="Arial" w:hAnsi="Arial"/>
                <w:sz w:val="13"/>
                <w:szCs w:val="13"/>
                <w:color w:val="auto"/>
              </w:rPr>
              <w:t>4.4</w:t>
            </w:r>
          </w:p>
        </w:tc>
        <w:tc>
          <w:tcPr>
            <w:tcW w:w="240" w:type="dxa"/>
            <w:vAlign w:val="bottom"/>
          </w:tcPr>
          <w:p>
            <w:pPr>
              <w:spacing w:after="0"/>
              <w:rPr>
                <w:sz w:val="16"/>
                <w:szCs w:val="16"/>
                <w:color w:val="auto"/>
              </w:rPr>
            </w:pPr>
          </w:p>
        </w:tc>
        <w:tc>
          <w:tcPr>
            <w:tcW w:w="4180" w:type="dxa"/>
            <w:vAlign w:val="bottom"/>
            <w:gridSpan w:val="36"/>
          </w:tcPr>
          <w:p>
            <w:pPr>
              <w:spacing w:after="0"/>
              <w:rPr>
                <w:rFonts w:ascii="Arial" w:cs="Arial" w:eastAsia="Arial" w:hAnsi="Arial"/>
                <w:sz w:val="13"/>
                <w:szCs w:val="13"/>
                <w:color w:val="0000EE"/>
              </w:rPr>
            </w:pPr>
            <w:hyperlink w:anchor="page358">
              <w:r>
                <w:rPr>
                  <w:rFonts w:ascii="Arial" w:cs="Arial" w:eastAsia="Arial" w:hAnsi="Arial"/>
                  <w:sz w:val="13"/>
                  <w:szCs w:val="13"/>
                  <w:color w:val="0000EE"/>
                </w:rPr>
                <w:t>INTEREST ON OVERDUE SUMS19</w:t>
              </w:r>
            </w:hyperlink>
          </w:p>
        </w:tc>
      </w:tr>
      <w:tr>
        <w:trPr>
          <w:trHeight w:val="200"/>
        </w:trPr>
        <w:tc>
          <w:tcPr>
            <w:tcW w:w="660" w:type="dxa"/>
            <w:vAlign w:val="bottom"/>
          </w:tcPr>
          <w:p>
            <w:pPr>
              <w:spacing w:after="0"/>
              <w:rPr>
                <w:rFonts w:ascii="Arial" w:cs="Arial" w:eastAsia="Arial" w:hAnsi="Arial"/>
                <w:sz w:val="13"/>
                <w:szCs w:val="13"/>
                <w:b w:val="1"/>
                <w:bCs w:val="1"/>
                <w:color w:val="0000EE"/>
                <w:w w:val="92"/>
              </w:rPr>
            </w:pPr>
            <w:hyperlink w:anchor="page359">
              <w:r>
                <w:rPr>
                  <w:rFonts w:ascii="Arial" w:cs="Arial" w:eastAsia="Arial" w:hAnsi="Arial"/>
                  <w:sz w:val="13"/>
                  <w:szCs w:val="13"/>
                  <w:b w:val="1"/>
                  <w:bCs w:val="1"/>
                  <w:color w:val="0000EE"/>
                  <w:w w:val="92"/>
                </w:rPr>
                <w:t>ARTICLE 5</w:t>
              </w:r>
            </w:hyperlink>
          </w:p>
        </w:tc>
        <w:tc>
          <w:tcPr>
            <w:tcW w:w="240" w:type="dxa"/>
            <w:vAlign w:val="bottom"/>
          </w:tcPr>
          <w:p>
            <w:pPr>
              <w:spacing w:after="0"/>
              <w:rPr>
                <w:sz w:val="17"/>
                <w:szCs w:val="17"/>
                <w:color w:val="auto"/>
              </w:rPr>
            </w:pPr>
          </w:p>
        </w:tc>
        <w:tc>
          <w:tcPr>
            <w:tcW w:w="740" w:type="dxa"/>
            <w:vAlign w:val="bottom"/>
            <w:tcBorders>
              <w:top w:val="single" w:sz="8" w:color="0000EE"/>
            </w:tcBorders>
            <w:gridSpan w:val="4"/>
          </w:tcPr>
          <w:p>
            <w:pPr>
              <w:ind w:left="280"/>
              <w:spacing w:after="0"/>
              <w:rPr>
                <w:rFonts w:ascii="Arial" w:cs="Arial" w:eastAsia="Arial" w:hAnsi="Arial"/>
                <w:sz w:val="13"/>
                <w:szCs w:val="13"/>
                <w:b w:val="1"/>
                <w:bCs w:val="1"/>
                <w:color w:val="0000EE"/>
              </w:rPr>
            </w:pPr>
            <w:hyperlink w:anchor="page359">
              <w:r>
                <w:rPr>
                  <w:rFonts w:ascii="Arial" w:cs="Arial" w:eastAsia="Arial" w:hAnsi="Arial"/>
                  <w:sz w:val="13"/>
                  <w:szCs w:val="13"/>
                  <w:b w:val="1"/>
                  <w:bCs w:val="1"/>
                  <w:color w:val="0000EE"/>
                </w:rPr>
                <w:t>20</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5.1</w:t>
            </w:r>
          </w:p>
        </w:tc>
        <w:tc>
          <w:tcPr>
            <w:tcW w:w="240" w:type="dxa"/>
            <w:vAlign w:val="bottom"/>
          </w:tcPr>
          <w:p>
            <w:pPr>
              <w:spacing w:after="0"/>
              <w:rPr>
                <w:sz w:val="18"/>
                <w:szCs w:val="18"/>
                <w:color w:val="auto"/>
              </w:rPr>
            </w:pPr>
          </w:p>
        </w:tc>
        <w:tc>
          <w:tcPr>
            <w:tcW w:w="1560" w:type="dxa"/>
            <w:vAlign w:val="bottom"/>
            <w:tcBorders>
              <w:bottom w:val="single" w:sz="8" w:color="0000EE"/>
            </w:tcBorders>
            <w:gridSpan w:val="17"/>
          </w:tcPr>
          <w:p>
            <w:pPr>
              <w:spacing w:after="0"/>
              <w:rPr>
                <w:rFonts w:ascii="Arial" w:cs="Arial" w:eastAsia="Arial" w:hAnsi="Arial"/>
                <w:sz w:val="13"/>
                <w:szCs w:val="13"/>
                <w:color w:val="0000EE"/>
                <w:w w:val="99"/>
              </w:rPr>
            </w:pPr>
            <w:hyperlink w:anchor="page359">
              <w:r>
                <w:rPr>
                  <w:rFonts w:ascii="Arial" w:cs="Arial" w:eastAsia="Arial" w:hAnsi="Arial"/>
                  <w:sz w:val="13"/>
                  <w:szCs w:val="13"/>
                  <w:color w:val="0000EE"/>
                  <w:w w:val="99"/>
                </w:rPr>
                <w:t>NORMAL REPAYMENT20</w:t>
              </w:r>
            </w:hyperlink>
          </w:p>
        </w:tc>
        <w:tc>
          <w:tcPr>
            <w:tcW w:w="2620" w:type="dxa"/>
            <w:vAlign w:val="bottom"/>
            <w:gridSpan w:val="19"/>
          </w:tcPr>
          <w:p>
            <w:pPr>
              <w:spacing w:after="0"/>
              <w:rPr>
                <w:sz w:val="18"/>
                <w:szCs w:val="18"/>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5.2</w:t>
            </w:r>
          </w:p>
        </w:tc>
        <w:tc>
          <w:tcPr>
            <w:tcW w:w="240" w:type="dxa"/>
            <w:vAlign w:val="bottom"/>
          </w:tcPr>
          <w:p>
            <w:pPr>
              <w:spacing w:after="0"/>
              <w:rPr>
                <w:sz w:val="18"/>
                <w:szCs w:val="18"/>
                <w:color w:val="auto"/>
              </w:rPr>
            </w:pPr>
          </w:p>
        </w:tc>
        <w:tc>
          <w:tcPr>
            <w:tcW w:w="4180" w:type="dxa"/>
            <w:vAlign w:val="bottom"/>
            <w:gridSpan w:val="36"/>
          </w:tcPr>
          <w:p>
            <w:pPr>
              <w:spacing w:after="0"/>
              <w:rPr>
                <w:rFonts w:ascii="Arial" w:cs="Arial" w:eastAsia="Arial" w:hAnsi="Arial"/>
                <w:sz w:val="13"/>
                <w:szCs w:val="13"/>
                <w:color w:val="0000EE"/>
              </w:rPr>
            </w:pPr>
            <w:hyperlink w:anchor="page359">
              <w:r>
                <w:rPr>
                  <w:rFonts w:ascii="Arial" w:cs="Arial" w:eastAsia="Arial" w:hAnsi="Arial"/>
                  <w:sz w:val="13"/>
                  <w:szCs w:val="13"/>
                  <w:color w:val="0000EE"/>
                </w:rPr>
                <w:t>VOLUNTARY PREPAYMENT20</w:t>
              </w:r>
            </w:hyperlink>
          </w:p>
        </w:tc>
      </w:tr>
      <w:tr>
        <w:trPr>
          <w:trHeight w:val="200"/>
        </w:trPr>
        <w:tc>
          <w:tcPr>
            <w:tcW w:w="660" w:type="dxa"/>
            <w:vAlign w:val="bottom"/>
          </w:tcPr>
          <w:p>
            <w:pPr>
              <w:spacing w:after="0"/>
              <w:rPr>
                <w:sz w:val="20"/>
                <w:szCs w:val="20"/>
                <w:color w:val="auto"/>
              </w:rPr>
            </w:pPr>
            <w:r>
              <w:rPr>
                <w:rFonts w:ascii="Arial" w:cs="Arial" w:eastAsia="Arial" w:hAnsi="Arial"/>
                <w:sz w:val="13"/>
                <w:szCs w:val="13"/>
                <w:color w:val="auto"/>
              </w:rPr>
              <w:t>5.2.1</w:t>
            </w:r>
          </w:p>
        </w:tc>
        <w:tc>
          <w:tcPr>
            <w:tcW w:w="240" w:type="dxa"/>
            <w:vAlign w:val="bottom"/>
          </w:tcPr>
          <w:p>
            <w:pPr>
              <w:spacing w:after="0"/>
              <w:rPr>
                <w:sz w:val="17"/>
                <w:szCs w:val="17"/>
                <w:color w:val="auto"/>
              </w:rPr>
            </w:pPr>
          </w:p>
        </w:tc>
        <w:tc>
          <w:tcPr>
            <w:tcW w:w="1860" w:type="dxa"/>
            <w:vAlign w:val="bottom"/>
            <w:tcBorders>
              <w:top w:val="single" w:sz="8" w:color="0000EE"/>
            </w:tcBorders>
            <w:gridSpan w:val="20"/>
          </w:tcPr>
          <w:p>
            <w:pPr>
              <w:spacing w:after="0"/>
              <w:rPr>
                <w:rFonts w:ascii="Arial" w:cs="Arial" w:eastAsia="Arial" w:hAnsi="Arial"/>
                <w:sz w:val="13"/>
                <w:szCs w:val="13"/>
                <w:color w:val="0000EE"/>
              </w:rPr>
            </w:pPr>
            <w:hyperlink w:anchor="page359">
              <w:r>
                <w:rPr>
                  <w:rFonts w:ascii="Arial" w:cs="Arial" w:eastAsia="Arial" w:hAnsi="Arial"/>
                  <w:sz w:val="13"/>
                  <w:szCs w:val="13"/>
                  <w:color w:val="0000EE"/>
                </w:rPr>
                <w:t>P</w:t>
              </w:r>
              <w:r>
                <w:rPr>
                  <w:rFonts w:ascii="Arial" w:cs="Arial" w:eastAsia="Arial" w:hAnsi="Arial"/>
                  <w:sz w:val="10"/>
                  <w:szCs w:val="10"/>
                  <w:color w:val="0000EE"/>
                </w:rPr>
                <w:t>REPAYMENT OPTION</w:t>
              </w:r>
              <w:r>
                <w:rPr>
                  <w:rFonts w:ascii="Arial" w:cs="Arial" w:eastAsia="Arial" w:hAnsi="Arial"/>
                  <w:sz w:val="13"/>
                  <w:szCs w:val="13"/>
                  <w:color w:val="0000EE"/>
                </w:rPr>
                <w:t>20</w:t>
              </w:r>
            </w:hyperlink>
          </w:p>
        </w:tc>
        <w:tc>
          <w:tcPr>
            <w:tcW w:w="2320" w:type="dxa"/>
            <w:vAlign w:val="bottom"/>
            <w:gridSpan w:val="16"/>
          </w:tcPr>
          <w:p>
            <w:pPr>
              <w:spacing w:after="0"/>
              <w:rPr>
                <w:sz w:val="17"/>
                <w:szCs w:val="17"/>
                <w:color w:val="auto"/>
              </w:rPr>
            </w:pPr>
          </w:p>
        </w:tc>
      </w:tr>
      <w:tr>
        <w:trPr>
          <w:trHeight w:val="120"/>
        </w:trPr>
        <w:tc>
          <w:tcPr>
            <w:tcW w:w="660" w:type="dxa"/>
            <w:vAlign w:val="bottom"/>
          </w:tcPr>
          <w:p>
            <w:pPr>
              <w:spacing w:after="0" w:line="120" w:lineRule="exact"/>
              <w:rPr>
                <w:sz w:val="20"/>
                <w:szCs w:val="20"/>
                <w:color w:val="auto"/>
              </w:rPr>
            </w:pPr>
            <w:r>
              <w:rPr>
                <w:rFonts w:ascii="Arial" w:cs="Arial" w:eastAsia="Arial" w:hAnsi="Arial"/>
                <w:sz w:val="13"/>
                <w:szCs w:val="13"/>
                <w:color w:val="auto"/>
              </w:rPr>
              <w:t>5.2.2</w:t>
            </w:r>
          </w:p>
        </w:tc>
        <w:tc>
          <w:tcPr>
            <w:tcW w:w="240" w:type="dxa"/>
            <w:vAlign w:val="bottom"/>
          </w:tcPr>
          <w:p>
            <w:pPr>
              <w:spacing w:after="0"/>
              <w:rPr>
                <w:sz w:val="10"/>
                <w:szCs w:val="10"/>
                <w:color w:val="auto"/>
              </w:rPr>
            </w:pPr>
          </w:p>
        </w:tc>
        <w:tc>
          <w:tcPr>
            <w:tcW w:w="1300" w:type="dxa"/>
            <w:vAlign w:val="bottom"/>
            <w:tcBorders>
              <w:top w:val="single" w:sz="8" w:color="0000EE"/>
            </w:tcBorders>
            <w:gridSpan w:val="12"/>
          </w:tcPr>
          <w:p>
            <w:pPr>
              <w:spacing w:after="0" w:line="120" w:lineRule="exact"/>
              <w:rPr>
                <w:rFonts w:ascii="Arial" w:cs="Arial" w:eastAsia="Arial" w:hAnsi="Arial"/>
                <w:sz w:val="13"/>
                <w:szCs w:val="13"/>
                <w:color w:val="0000EE"/>
              </w:rPr>
            </w:pPr>
            <w:hyperlink w:anchor="page359">
              <w:r>
                <w:rPr>
                  <w:rFonts w:ascii="Arial" w:cs="Arial" w:eastAsia="Arial" w:hAnsi="Arial"/>
                  <w:sz w:val="13"/>
                  <w:szCs w:val="13"/>
                  <w:color w:val="0000EE"/>
                </w:rPr>
                <w:t>P</w:t>
              </w:r>
              <w:r>
                <w:rPr>
                  <w:rFonts w:ascii="Arial" w:cs="Arial" w:eastAsia="Arial" w:hAnsi="Arial"/>
                  <w:sz w:val="10"/>
                  <w:szCs w:val="10"/>
                  <w:color w:val="0000EE"/>
                </w:rPr>
                <w:t>REPAYMENT</w:t>
              </w:r>
              <w:r>
                <w:rPr>
                  <w:rFonts w:ascii="Arial" w:cs="Arial" w:eastAsia="Arial" w:hAnsi="Arial"/>
                  <w:sz w:val="13"/>
                  <w:szCs w:val="13"/>
                  <w:color w:val="0000EE"/>
                </w:rPr>
                <w:t xml:space="preserve"> F</w:t>
              </w:r>
              <w:r>
                <w:rPr>
                  <w:rFonts w:ascii="Arial" w:cs="Arial" w:eastAsia="Arial" w:hAnsi="Arial"/>
                  <w:sz w:val="10"/>
                  <w:szCs w:val="10"/>
                  <w:color w:val="0000EE"/>
                </w:rPr>
                <w:t>EE</w:t>
              </w:r>
              <w:r>
                <w:rPr>
                  <w:rFonts w:ascii="Arial" w:cs="Arial" w:eastAsia="Arial" w:hAnsi="Arial"/>
                  <w:sz w:val="13"/>
                  <w:szCs w:val="13"/>
                  <w:color w:val="0000EE"/>
                </w:rPr>
                <w:t>20</w:t>
              </w:r>
            </w:hyperlink>
          </w:p>
        </w:tc>
        <w:tc>
          <w:tcPr>
            <w:tcW w:w="240" w:type="dxa"/>
            <w:vAlign w:val="bottom"/>
            <w:gridSpan w:val="4"/>
          </w:tcPr>
          <w:p>
            <w:pPr>
              <w:spacing w:after="0"/>
              <w:rPr>
                <w:sz w:val="10"/>
                <w:szCs w:val="10"/>
                <w:color w:val="auto"/>
              </w:rPr>
            </w:pPr>
          </w:p>
        </w:tc>
        <w:tc>
          <w:tcPr>
            <w:tcW w:w="480" w:type="dxa"/>
            <w:vAlign w:val="bottom"/>
            <w:gridSpan w:val="6"/>
          </w:tcPr>
          <w:p>
            <w:pPr>
              <w:spacing w:after="0"/>
              <w:rPr>
                <w:sz w:val="10"/>
                <w:szCs w:val="10"/>
                <w:color w:val="auto"/>
              </w:rPr>
            </w:pPr>
          </w:p>
        </w:tc>
        <w:tc>
          <w:tcPr>
            <w:tcW w:w="180" w:type="dxa"/>
            <w:vAlign w:val="bottom"/>
            <w:gridSpan w:val="5"/>
          </w:tcPr>
          <w:p>
            <w:pPr>
              <w:spacing w:after="0"/>
              <w:rPr>
                <w:sz w:val="10"/>
                <w:szCs w:val="10"/>
                <w:color w:val="auto"/>
              </w:rPr>
            </w:pPr>
          </w:p>
        </w:tc>
        <w:tc>
          <w:tcPr>
            <w:tcW w:w="1980" w:type="dxa"/>
            <w:vAlign w:val="bottom"/>
            <w:gridSpan w:val="9"/>
          </w:tcPr>
          <w:p>
            <w:pPr>
              <w:spacing w:after="0"/>
              <w:rPr>
                <w:sz w:val="10"/>
                <w:szCs w:val="10"/>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5.2.3</w:t>
            </w:r>
          </w:p>
        </w:tc>
        <w:tc>
          <w:tcPr>
            <w:tcW w:w="240" w:type="dxa"/>
            <w:vAlign w:val="bottom"/>
          </w:tcPr>
          <w:p>
            <w:pPr>
              <w:spacing w:after="0"/>
              <w:rPr>
                <w:sz w:val="11"/>
                <w:szCs w:val="11"/>
                <w:color w:val="auto"/>
              </w:rPr>
            </w:pPr>
          </w:p>
        </w:tc>
        <w:tc>
          <w:tcPr>
            <w:tcW w:w="1540" w:type="dxa"/>
            <w:vAlign w:val="bottom"/>
            <w:tcBorders>
              <w:bottom w:val="single" w:sz="8" w:color="0000EE"/>
            </w:tcBorders>
            <w:gridSpan w:val="16"/>
          </w:tcPr>
          <w:p>
            <w:pPr>
              <w:spacing w:after="0" w:line="130" w:lineRule="exact"/>
              <w:rPr>
                <w:rFonts w:ascii="Arial" w:cs="Arial" w:eastAsia="Arial" w:hAnsi="Arial"/>
                <w:sz w:val="13"/>
                <w:szCs w:val="13"/>
                <w:color w:val="0000EE"/>
              </w:rPr>
            </w:pPr>
            <w:hyperlink w:anchor="page359">
              <w:r>
                <w:rPr>
                  <w:rFonts w:ascii="Arial" w:cs="Arial" w:eastAsia="Arial" w:hAnsi="Arial"/>
                  <w:sz w:val="13"/>
                  <w:szCs w:val="13"/>
                  <w:color w:val="0000EE"/>
                </w:rPr>
                <w:t>P</w:t>
              </w:r>
              <w:r>
                <w:rPr>
                  <w:rFonts w:ascii="Arial" w:cs="Arial" w:eastAsia="Arial" w:hAnsi="Arial"/>
                  <w:sz w:val="10"/>
                  <w:szCs w:val="10"/>
                  <w:color w:val="0000EE"/>
                </w:rPr>
                <w:t>REPAYMENT MECHANICS</w:t>
              </w:r>
              <w:r>
                <w:rPr>
                  <w:rFonts w:ascii="Arial" w:cs="Arial" w:eastAsia="Arial" w:hAnsi="Arial"/>
                  <w:sz w:val="13"/>
                  <w:szCs w:val="13"/>
                  <w:color w:val="0000EE"/>
                </w:rPr>
                <w:t>20</w:t>
              </w:r>
            </w:hyperlink>
          </w:p>
        </w:tc>
        <w:tc>
          <w:tcPr>
            <w:tcW w:w="2640" w:type="dxa"/>
            <w:vAlign w:val="bottom"/>
            <w:gridSpan w:val="20"/>
          </w:tcPr>
          <w:p>
            <w:pPr>
              <w:spacing w:after="0"/>
              <w:rPr>
                <w:sz w:val="11"/>
                <w:szCs w:val="1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5.3</w:t>
            </w:r>
          </w:p>
        </w:tc>
        <w:tc>
          <w:tcPr>
            <w:tcW w:w="240" w:type="dxa"/>
            <w:vAlign w:val="bottom"/>
          </w:tcPr>
          <w:p>
            <w:pPr>
              <w:spacing w:after="0"/>
              <w:rPr>
                <w:sz w:val="18"/>
                <w:szCs w:val="18"/>
                <w:color w:val="auto"/>
              </w:rPr>
            </w:pPr>
          </w:p>
        </w:tc>
        <w:tc>
          <w:tcPr>
            <w:tcW w:w="2020" w:type="dxa"/>
            <w:vAlign w:val="bottom"/>
            <w:tcBorders>
              <w:bottom w:val="single" w:sz="8" w:color="0000EE"/>
            </w:tcBorders>
            <w:gridSpan w:val="22"/>
          </w:tcPr>
          <w:p>
            <w:pPr>
              <w:spacing w:after="0"/>
              <w:rPr>
                <w:rFonts w:ascii="Arial" w:cs="Arial" w:eastAsia="Arial" w:hAnsi="Arial"/>
                <w:sz w:val="13"/>
                <w:szCs w:val="13"/>
                <w:color w:val="0000EE"/>
                <w:w w:val="99"/>
              </w:rPr>
            </w:pPr>
            <w:hyperlink w:anchor="page360">
              <w:r>
                <w:rPr>
                  <w:rFonts w:ascii="Arial" w:cs="Arial" w:eastAsia="Arial" w:hAnsi="Arial"/>
                  <w:sz w:val="13"/>
                  <w:szCs w:val="13"/>
                  <w:color w:val="0000EE"/>
                  <w:w w:val="99"/>
                </w:rPr>
                <w:t>COMPULSORY PREPAYMENT21</w:t>
              </w:r>
            </w:hyperlink>
          </w:p>
        </w:tc>
        <w:tc>
          <w:tcPr>
            <w:tcW w:w="2160" w:type="dxa"/>
            <w:vAlign w:val="bottom"/>
            <w:gridSpan w:val="14"/>
          </w:tcPr>
          <w:p>
            <w:pPr>
              <w:spacing w:after="0"/>
              <w:rPr>
                <w:sz w:val="18"/>
                <w:szCs w:val="18"/>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3"/>
                <w:szCs w:val="13"/>
                <w:color w:val="auto"/>
              </w:rPr>
              <w:t>5.3.1</w:t>
            </w:r>
          </w:p>
        </w:tc>
        <w:tc>
          <w:tcPr>
            <w:tcW w:w="240" w:type="dxa"/>
            <w:vAlign w:val="bottom"/>
          </w:tcPr>
          <w:p>
            <w:pPr>
              <w:spacing w:after="0"/>
              <w:rPr>
                <w:sz w:val="18"/>
                <w:szCs w:val="18"/>
                <w:color w:val="auto"/>
              </w:rPr>
            </w:pPr>
          </w:p>
        </w:tc>
        <w:tc>
          <w:tcPr>
            <w:tcW w:w="1140" w:type="dxa"/>
            <w:vAlign w:val="bottom"/>
            <w:tcBorders>
              <w:bottom w:val="single" w:sz="8" w:color="0000EE"/>
            </w:tcBorders>
            <w:gridSpan w:val="9"/>
          </w:tcPr>
          <w:p>
            <w:pPr>
              <w:spacing w:after="0"/>
              <w:rPr>
                <w:rFonts w:ascii="Arial" w:cs="Arial" w:eastAsia="Arial" w:hAnsi="Arial"/>
                <w:sz w:val="13"/>
                <w:szCs w:val="13"/>
                <w:color w:val="0000EE"/>
              </w:rPr>
            </w:pPr>
            <w:hyperlink w:anchor="page360">
              <w:r>
                <w:rPr>
                  <w:rFonts w:ascii="Arial" w:cs="Arial" w:eastAsia="Arial" w:hAnsi="Arial"/>
                  <w:sz w:val="13"/>
                  <w:szCs w:val="13"/>
                  <w:color w:val="0000EE"/>
                </w:rPr>
                <w:t>C</w:t>
              </w:r>
              <w:r>
                <w:rPr>
                  <w:rFonts w:ascii="Arial" w:cs="Arial" w:eastAsia="Arial" w:hAnsi="Arial"/>
                  <w:sz w:val="10"/>
                  <w:szCs w:val="10"/>
                  <w:color w:val="0000EE"/>
                </w:rPr>
                <w:t>OST</w:t>
              </w:r>
              <w:r>
                <w:rPr>
                  <w:rFonts w:ascii="Arial" w:cs="Arial" w:eastAsia="Arial" w:hAnsi="Arial"/>
                  <w:sz w:val="13"/>
                  <w:szCs w:val="13"/>
                  <w:color w:val="0000EE"/>
                </w:rPr>
                <w:t xml:space="preserve"> R</w:t>
              </w:r>
              <w:r>
                <w:rPr>
                  <w:rFonts w:ascii="Arial" w:cs="Arial" w:eastAsia="Arial" w:hAnsi="Arial"/>
                  <w:sz w:val="10"/>
                  <w:szCs w:val="10"/>
                  <w:color w:val="0000EE"/>
                </w:rPr>
                <w:t>EDUCTION</w:t>
              </w:r>
              <w:r>
                <w:rPr>
                  <w:rFonts w:ascii="Arial" w:cs="Arial" w:eastAsia="Arial" w:hAnsi="Arial"/>
                  <w:sz w:val="13"/>
                  <w:szCs w:val="13"/>
                  <w:color w:val="0000EE"/>
                </w:rPr>
                <w:t>21</w:t>
              </w:r>
            </w:hyperlink>
          </w:p>
        </w:tc>
        <w:tc>
          <w:tcPr>
            <w:tcW w:w="3040" w:type="dxa"/>
            <w:vAlign w:val="bottom"/>
            <w:gridSpan w:val="27"/>
          </w:tcPr>
          <w:p>
            <w:pPr>
              <w:spacing w:after="0"/>
              <w:rPr>
                <w:sz w:val="18"/>
                <w:szCs w:val="18"/>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5.3.2</w:t>
            </w:r>
          </w:p>
        </w:tc>
        <w:tc>
          <w:tcPr>
            <w:tcW w:w="240" w:type="dxa"/>
            <w:vAlign w:val="bottom"/>
          </w:tcPr>
          <w:p>
            <w:pPr>
              <w:spacing w:after="0"/>
              <w:rPr>
                <w:sz w:val="11"/>
                <w:szCs w:val="11"/>
                <w:color w:val="auto"/>
              </w:rPr>
            </w:pPr>
          </w:p>
        </w:tc>
        <w:tc>
          <w:tcPr>
            <w:tcW w:w="4180" w:type="dxa"/>
            <w:vAlign w:val="bottom"/>
            <w:gridSpan w:val="36"/>
          </w:tcPr>
          <w:p>
            <w:pPr>
              <w:spacing w:after="0" w:line="130" w:lineRule="exact"/>
              <w:rPr>
                <w:rFonts w:ascii="Arial" w:cs="Arial" w:eastAsia="Arial" w:hAnsi="Arial"/>
                <w:sz w:val="13"/>
                <w:szCs w:val="13"/>
                <w:color w:val="0000EE"/>
              </w:rPr>
            </w:pPr>
            <w:hyperlink w:anchor="page360">
              <w:r>
                <w:rPr>
                  <w:rFonts w:ascii="Arial" w:cs="Arial" w:eastAsia="Arial" w:hAnsi="Arial"/>
                  <w:sz w:val="13"/>
                  <w:szCs w:val="13"/>
                  <w:color w:val="0000EE"/>
                </w:rPr>
                <w:t>C</w:t>
              </w:r>
              <w:r>
                <w:rPr>
                  <w:rFonts w:ascii="Arial" w:cs="Arial" w:eastAsia="Arial" w:hAnsi="Arial"/>
                  <w:sz w:val="10"/>
                  <w:szCs w:val="10"/>
                  <w:color w:val="0000EE"/>
                </w:rPr>
                <w:t>HANGE</w:t>
              </w:r>
              <w:r>
                <w:rPr>
                  <w:rFonts w:ascii="Arial" w:cs="Arial" w:eastAsia="Arial" w:hAnsi="Arial"/>
                  <w:sz w:val="13"/>
                  <w:szCs w:val="13"/>
                  <w:color w:val="0000EE"/>
                </w:rPr>
                <w:t xml:space="preserve"> E</w:t>
              </w:r>
              <w:r>
                <w:rPr>
                  <w:rFonts w:ascii="Arial" w:cs="Arial" w:eastAsia="Arial" w:hAnsi="Arial"/>
                  <w:sz w:val="10"/>
                  <w:szCs w:val="10"/>
                  <w:color w:val="0000EE"/>
                </w:rPr>
                <w:t>VENTS</w:t>
              </w:r>
              <w:r>
                <w:rPr>
                  <w:rFonts w:ascii="Arial" w:cs="Arial" w:eastAsia="Arial" w:hAnsi="Arial"/>
                  <w:sz w:val="13"/>
                  <w:szCs w:val="13"/>
                  <w:color w:val="0000EE"/>
                </w:rPr>
                <w:t>21</w:t>
              </w:r>
            </w:hyperlink>
          </w:p>
        </w:tc>
      </w:tr>
      <w:tr>
        <w:trPr>
          <w:trHeight w:val="120"/>
        </w:trPr>
        <w:tc>
          <w:tcPr>
            <w:tcW w:w="660" w:type="dxa"/>
            <w:vAlign w:val="bottom"/>
          </w:tcPr>
          <w:p>
            <w:pPr>
              <w:spacing w:after="0" w:line="120" w:lineRule="exact"/>
              <w:rPr>
                <w:sz w:val="20"/>
                <w:szCs w:val="20"/>
                <w:color w:val="auto"/>
              </w:rPr>
            </w:pPr>
            <w:r>
              <w:rPr>
                <w:rFonts w:ascii="Arial" w:cs="Arial" w:eastAsia="Arial" w:hAnsi="Arial"/>
                <w:sz w:val="13"/>
                <w:szCs w:val="13"/>
                <w:color w:val="auto"/>
              </w:rPr>
              <w:t>5.3.3</w:t>
            </w:r>
          </w:p>
        </w:tc>
        <w:tc>
          <w:tcPr>
            <w:tcW w:w="240" w:type="dxa"/>
            <w:vAlign w:val="bottom"/>
          </w:tcPr>
          <w:p>
            <w:pPr>
              <w:spacing w:after="0"/>
              <w:rPr>
                <w:sz w:val="10"/>
                <w:szCs w:val="10"/>
                <w:color w:val="auto"/>
              </w:rPr>
            </w:pPr>
          </w:p>
        </w:tc>
        <w:tc>
          <w:tcPr>
            <w:tcW w:w="1120" w:type="dxa"/>
            <w:vAlign w:val="bottom"/>
            <w:tcBorders>
              <w:top w:val="single" w:sz="8" w:color="0000EE"/>
            </w:tcBorders>
            <w:gridSpan w:val="8"/>
          </w:tcPr>
          <w:p>
            <w:pPr>
              <w:spacing w:after="0" w:line="120" w:lineRule="exact"/>
              <w:rPr>
                <w:rFonts w:ascii="Arial" w:cs="Arial" w:eastAsia="Arial" w:hAnsi="Arial"/>
                <w:sz w:val="13"/>
                <w:szCs w:val="13"/>
                <w:color w:val="0000EE"/>
              </w:rPr>
            </w:pPr>
            <w:hyperlink w:anchor="page360">
              <w:r>
                <w:rPr>
                  <w:rFonts w:ascii="Arial" w:cs="Arial" w:eastAsia="Arial" w:hAnsi="Arial"/>
                  <w:sz w:val="13"/>
                  <w:szCs w:val="13"/>
                  <w:color w:val="0000EE"/>
                </w:rPr>
                <w:t>I</w:t>
              </w:r>
              <w:r>
                <w:rPr>
                  <w:rFonts w:ascii="Arial" w:cs="Arial" w:eastAsia="Arial" w:hAnsi="Arial"/>
                  <w:sz w:val="10"/>
                  <w:szCs w:val="10"/>
                  <w:color w:val="0000EE"/>
                </w:rPr>
                <w:t>LLEGALITY</w:t>
              </w:r>
              <w:r>
                <w:rPr>
                  <w:rFonts w:ascii="Arial" w:cs="Arial" w:eastAsia="Arial" w:hAnsi="Arial"/>
                  <w:sz w:val="13"/>
                  <w:szCs w:val="13"/>
                  <w:color w:val="0000EE"/>
                </w:rPr>
                <w:t>21</w:t>
              </w:r>
            </w:hyperlink>
          </w:p>
        </w:tc>
        <w:tc>
          <w:tcPr>
            <w:tcW w:w="1080" w:type="dxa"/>
            <w:vAlign w:val="bottom"/>
            <w:gridSpan w:val="19"/>
          </w:tcPr>
          <w:p>
            <w:pPr>
              <w:spacing w:after="0"/>
              <w:rPr>
                <w:sz w:val="10"/>
                <w:szCs w:val="10"/>
                <w:color w:val="auto"/>
              </w:rPr>
            </w:pPr>
          </w:p>
        </w:tc>
        <w:tc>
          <w:tcPr>
            <w:tcW w:w="1980" w:type="dxa"/>
            <w:vAlign w:val="bottom"/>
            <w:gridSpan w:val="9"/>
          </w:tcPr>
          <w:p>
            <w:pPr>
              <w:spacing w:after="0"/>
              <w:rPr>
                <w:sz w:val="10"/>
                <w:szCs w:val="10"/>
                <w:color w:val="auto"/>
              </w:rPr>
            </w:pPr>
          </w:p>
        </w:tc>
      </w:tr>
      <w:tr>
        <w:trPr>
          <w:trHeight w:val="120"/>
        </w:trPr>
        <w:tc>
          <w:tcPr>
            <w:tcW w:w="660" w:type="dxa"/>
            <w:vAlign w:val="bottom"/>
          </w:tcPr>
          <w:p>
            <w:pPr>
              <w:spacing w:after="0" w:line="120" w:lineRule="exact"/>
              <w:rPr>
                <w:sz w:val="20"/>
                <w:szCs w:val="20"/>
                <w:color w:val="auto"/>
              </w:rPr>
            </w:pPr>
            <w:r>
              <w:rPr>
                <w:rFonts w:ascii="Arial" w:cs="Arial" w:eastAsia="Arial" w:hAnsi="Arial"/>
                <w:sz w:val="13"/>
                <w:szCs w:val="13"/>
                <w:color w:val="auto"/>
              </w:rPr>
              <w:t>5.3.4</w:t>
            </w:r>
          </w:p>
        </w:tc>
        <w:tc>
          <w:tcPr>
            <w:tcW w:w="240" w:type="dxa"/>
            <w:vAlign w:val="bottom"/>
          </w:tcPr>
          <w:p>
            <w:pPr>
              <w:spacing w:after="0"/>
              <w:rPr>
                <w:sz w:val="10"/>
                <w:szCs w:val="10"/>
                <w:color w:val="auto"/>
              </w:rPr>
            </w:pPr>
          </w:p>
        </w:tc>
        <w:tc>
          <w:tcPr>
            <w:tcW w:w="740" w:type="dxa"/>
            <w:vAlign w:val="bottom"/>
            <w:tcBorders>
              <w:top w:val="single" w:sz="8" w:color="0000EE"/>
              <w:bottom w:val="single" w:sz="8" w:color="0000EE"/>
            </w:tcBorders>
            <w:gridSpan w:val="4"/>
          </w:tcPr>
          <w:p>
            <w:pPr>
              <w:spacing w:after="0" w:line="120" w:lineRule="exact"/>
              <w:rPr>
                <w:rFonts w:ascii="Arial" w:cs="Arial" w:eastAsia="Arial" w:hAnsi="Arial"/>
                <w:sz w:val="13"/>
                <w:szCs w:val="13"/>
                <w:color w:val="0000EE"/>
                <w:w w:val="98"/>
              </w:rPr>
            </w:pPr>
            <w:hyperlink w:anchor="page360">
              <w:r>
                <w:rPr>
                  <w:rFonts w:ascii="Arial" w:cs="Arial" w:eastAsia="Arial" w:hAnsi="Arial"/>
                  <w:sz w:val="13"/>
                  <w:szCs w:val="13"/>
                  <w:color w:val="0000EE"/>
                  <w:w w:val="98"/>
                </w:rPr>
                <w:t>D</w:t>
              </w:r>
              <w:r>
                <w:rPr>
                  <w:rFonts w:ascii="Arial" w:cs="Arial" w:eastAsia="Arial" w:hAnsi="Arial"/>
                  <w:sz w:val="10"/>
                  <w:szCs w:val="10"/>
                  <w:color w:val="0000EE"/>
                  <w:w w:val="98"/>
                </w:rPr>
                <w:t>ISPOSALS</w:t>
              </w:r>
              <w:r>
                <w:rPr>
                  <w:rFonts w:ascii="Arial" w:cs="Arial" w:eastAsia="Arial" w:hAnsi="Arial"/>
                  <w:sz w:val="13"/>
                  <w:szCs w:val="13"/>
                  <w:color w:val="0000EE"/>
                  <w:w w:val="98"/>
                </w:rPr>
                <w:t>21</w:t>
              </w:r>
            </w:hyperlink>
          </w:p>
        </w:tc>
        <w:tc>
          <w:tcPr>
            <w:tcW w:w="20" w:type="dxa"/>
            <w:vAlign w:val="bottom"/>
            <w:tcBorders>
              <w:bottom w:val="single" w:sz="8" w:color="0000EE"/>
            </w:tcBorders>
          </w:tcPr>
          <w:p>
            <w:pPr>
              <w:spacing w:after="0"/>
              <w:rPr>
                <w:sz w:val="10"/>
                <w:szCs w:val="10"/>
                <w:color w:val="auto"/>
              </w:rPr>
            </w:pPr>
          </w:p>
        </w:tc>
        <w:tc>
          <w:tcPr>
            <w:tcW w:w="1440" w:type="dxa"/>
            <w:vAlign w:val="bottom"/>
            <w:gridSpan w:val="22"/>
          </w:tcPr>
          <w:p>
            <w:pPr>
              <w:spacing w:after="0"/>
              <w:rPr>
                <w:sz w:val="10"/>
                <w:szCs w:val="10"/>
                <w:color w:val="auto"/>
              </w:rPr>
            </w:pPr>
          </w:p>
        </w:tc>
        <w:tc>
          <w:tcPr>
            <w:tcW w:w="1980" w:type="dxa"/>
            <w:vAlign w:val="bottom"/>
            <w:gridSpan w:val="9"/>
          </w:tcPr>
          <w:p>
            <w:pPr>
              <w:spacing w:after="0"/>
              <w:rPr>
                <w:sz w:val="10"/>
                <w:szCs w:val="10"/>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5.3.5</w:t>
            </w:r>
          </w:p>
        </w:tc>
        <w:tc>
          <w:tcPr>
            <w:tcW w:w="240" w:type="dxa"/>
            <w:vAlign w:val="bottom"/>
          </w:tcPr>
          <w:p>
            <w:pPr>
              <w:spacing w:after="0"/>
              <w:rPr>
                <w:sz w:val="11"/>
                <w:szCs w:val="11"/>
                <w:color w:val="auto"/>
              </w:rPr>
            </w:pPr>
          </w:p>
        </w:tc>
        <w:tc>
          <w:tcPr>
            <w:tcW w:w="2200" w:type="dxa"/>
            <w:vAlign w:val="bottom"/>
            <w:tcBorders>
              <w:bottom w:val="single" w:sz="8" w:color="0000EE"/>
            </w:tcBorders>
            <w:gridSpan w:val="27"/>
          </w:tcPr>
          <w:p>
            <w:pPr>
              <w:spacing w:after="0" w:line="130" w:lineRule="exact"/>
              <w:rPr>
                <w:rFonts w:ascii="Arial" w:cs="Arial" w:eastAsia="Arial" w:hAnsi="Arial"/>
                <w:sz w:val="13"/>
                <w:szCs w:val="13"/>
                <w:color w:val="0000EE"/>
              </w:rPr>
            </w:pPr>
            <w:hyperlink w:anchor="page360">
              <w:r>
                <w:rPr>
                  <w:rFonts w:ascii="Arial" w:cs="Arial" w:eastAsia="Arial" w:hAnsi="Arial"/>
                  <w:sz w:val="13"/>
                  <w:szCs w:val="13"/>
                  <w:color w:val="0000EE"/>
                </w:rPr>
                <w:t>E</w:t>
              </w:r>
              <w:r>
                <w:rPr>
                  <w:rFonts w:ascii="Arial" w:cs="Arial" w:eastAsia="Arial" w:hAnsi="Arial"/>
                  <w:sz w:val="10"/>
                  <w:szCs w:val="10"/>
                  <w:color w:val="0000EE"/>
                </w:rPr>
                <w:t>XPIRY OF</w:t>
              </w:r>
              <w:r>
                <w:rPr>
                  <w:rFonts w:ascii="Arial" w:cs="Arial" w:eastAsia="Arial" w:hAnsi="Arial"/>
                  <w:sz w:val="13"/>
                  <w:szCs w:val="13"/>
                  <w:color w:val="0000EE"/>
                </w:rPr>
                <w:t xml:space="preserve"> G</w:t>
              </w:r>
              <w:r>
                <w:rPr>
                  <w:rFonts w:ascii="Arial" w:cs="Arial" w:eastAsia="Arial" w:hAnsi="Arial"/>
                  <w:sz w:val="10"/>
                  <w:szCs w:val="10"/>
                  <w:color w:val="0000EE"/>
                </w:rPr>
                <w:t>UARANTEE</w:t>
              </w:r>
              <w:r>
                <w:rPr>
                  <w:rFonts w:ascii="Arial" w:cs="Arial" w:eastAsia="Arial" w:hAnsi="Arial"/>
                  <w:sz w:val="13"/>
                  <w:szCs w:val="13"/>
                  <w:color w:val="0000EE"/>
                </w:rPr>
                <w:t xml:space="preserve"> A</w:t>
              </w:r>
              <w:r>
                <w:rPr>
                  <w:rFonts w:ascii="Arial" w:cs="Arial" w:eastAsia="Arial" w:hAnsi="Arial"/>
                  <w:sz w:val="10"/>
                  <w:szCs w:val="10"/>
                  <w:color w:val="0000EE"/>
                </w:rPr>
                <w:t>GREEMENT</w:t>
              </w:r>
              <w:r>
                <w:rPr>
                  <w:rFonts w:ascii="Arial" w:cs="Arial" w:eastAsia="Arial" w:hAnsi="Arial"/>
                  <w:sz w:val="13"/>
                  <w:szCs w:val="13"/>
                  <w:color w:val="0000EE"/>
                </w:rPr>
                <w:t>21</w:t>
              </w:r>
            </w:hyperlink>
          </w:p>
        </w:tc>
        <w:tc>
          <w:tcPr>
            <w:tcW w:w="1980" w:type="dxa"/>
            <w:vAlign w:val="bottom"/>
            <w:gridSpan w:val="9"/>
          </w:tcPr>
          <w:p>
            <w:pPr>
              <w:spacing w:after="0"/>
              <w:rPr>
                <w:sz w:val="11"/>
                <w:szCs w:val="1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5.3.6</w:t>
            </w:r>
          </w:p>
        </w:tc>
        <w:tc>
          <w:tcPr>
            <w:tcW w:w="240" w:type="dxa"/>
            <w:vAlign w:val="bottom"/>
          </w:tcPr>
          <w:p>
            <w:pPr>
              <w:spacing w:after="0"/>
              <w:rPr>
                <w:sz w:val="11"/>
                <w:szCs w:val="11"/>
                <w:color w:val="auto"/>
              </w:rPr>
            </w:pPr>
          </w:p>
        </w:tc>
        <w:tc>
          <w:tcPr>
            <w:tcW w:w="2200" w:type="dxa"/>
            <w:vAlign w:val="bottom"/>
            <w:tcBorders>
              <w:bottom w:val="single" w:sz="8" w:color="0000EE"/>
            </w:tcBorders>
            <w:gridSpan w:val="27"/>
          </w:tcPr>
          <w:p>
            <w:pPr>
              <w:spacing w:after="0" w:line="130" w:lineRule="exact"/>
              <w:rPr>
                <w:rFonts w:ascii="Arial" w:cs="Arial" w:eastAsia="Arial" w:hAnsi="Arial"/>
                <w:sz w:val="13"/>
                <w:szCs w:val="13"/>
                <w:color w:val="0000EE"/>
              </w:rPr>
            </w:pPr>
            <w:hyperlink w:anchor="page361">
              <w:r>
                <w:rPr>
                  <w:rFonts w:ascii="Arial" w:cs="Arial" w:eastAsia="Arial" w:hAnsi="Arial"/>
                  <w:sz w:val="13"/>
                  <w:szCs w:val="13"/>
                  <w:color w:val="0000EE"/>
                </w:rPr>
                <w:t>P</w:t>
              </w:r>
              <w:r>
                <w:rPr>
                  <w:rFonts w:ascii="Arial" w:cs="Arial" w:eastAsia="Arial" w:hAnsi="Arial"/>
                  <w:sz w:val="10"/>
                  <w:szCs w:val="10"/>
                  <w:color w:val="0000EE"/>
                </w:rPr>
                <w:t>ARI</w:t>
              </w:r>
              <w:r>
                <w:rPr>
                  <w:rFonts w:ascii="Arial" w:cs="Arial" w:eastAsia="Arial" w:hAnsi="Arial"/>
                  <w:sz w:val="13"/>
                  <w:szCs w:val="13"/>
                  <w:color w:val="0000EE"/>
                </w:rPr>
                <w:t xml:space="preserve"> P</w:t>
              </w:r>
              <w:r>
                <w:rPr>
                  <w:rFonts w:ascii="Arial" w:cs="Arial" w:eastAsia="Arial" w:hAnsi="Arial"/>
                  <w:sz w:val="10"/>
                  <w:szCs w:val="10"/>
                  <w:color w:val="0000EE"/>
                </w:rPr>
                <w:t>ASSU TO</w:t>
              </w:r>
              <w:r>
                <w:rPr>
                  <w:rFonts w:ascii="Arial" w:cs="Arial" w:eastAsia="Arial" w:hAnsi="Arial"/>
                  <w:sz w:val="13"/>
                  <w:szCs w:val="13"/>
                  <w:color w:val="0000EE"/>
                </w:rPr>
                <w:t xml:space="preserve"> N</w:t>
              </w:r>
              <w:r>
                <w:rPr>
                  <w:rFonts w:ascii="Arial" w:cs="Arial" w:eastAsia="Arial" w:hAnsi="Arial"/>
                  <w:sz w:val="10"/>
                  <w:szCs w:val="10"/>
                  <w:color w:val="0000EE"/>
                </w:rPr>
                <w:t>ON</w:t>
              </w:r>
              <w:r>
                <w:rPr>
                  <w:rFonts w:ascii="Arial" w:cs="Arial" w:eastAsia="Arial" w:hAnsi="Arial"/>
                  <w:sz w:val="13"/>
                  <w:szCs w:val="13"/>
                  <w:color w:val="0000EE"/>
                </w:rPr>
                <w:t>-EIB F</w:t>
              </w:r>
              <w:r>
                <w:rPr>
                  <w:rFonts w:ascii="Arial" w:cs="Arial" w:eastAsia="Arial" w:hAnsi="Arial"/>
                  <w:sz w:val="10"/>
                  <w:szCs w:val="10"/>
                  <w:color w:val="0000EE"/>
                </w:rPr>
                <w:t>INANCING</w:t>
              </w:r>
              <w:r>
                <w:rPr>
                  <w:rFonts w:ascii="Arial" w:cs="Arial" w:eastAsia="Arial" w:hAnsi="Arial"/>
                  <w:sz w:val="13"/>
                  <w:szCs w:val="13"/>
                  <w:color w:val="0000EE"/>
                </w:rPr>
                <w:t>22</w:t>
              </w:r>
            </w:hyperlink>
          </w:p>
        </w:tc>
        <w:tc>
          <w:tcPr>
            <w:tcW w:w="1980" w:type="dxa"/>
            <w:vAlign w:val="bottom"/>
            <w:gridSpan w:val="9"/>
          </w:tcPr>
          <w:p>
            <w:pPr>
              <w:spacing w:after="0"/>
              <w:rPr>
                <w:sz w:val="11"/>
                <w:szCs w:val="1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5.3.7</w:t>
            </w:r>
          </w:p>
        </w:tc>
        <w:tc>
          <w:tcPr>
            <w:tcW w:w="240" w:type="dxa"/>
            <w:vAlign w:val="bottom"/>
          </w:tcPr>
          <w:p>
            <w:pPr>
              <w:spacing w:after="0"/>
              <w:rPr>
                <w:sz w:val="11"/>
                <w:szCs w:val="11"/>
                <w:color w:val="auto"/>
              </w:rPr>
            </w:pPr>
          </w:p>
        </w:tc>
        <w:tc>
          <w:tcPr>
            <w:tcW w:w="4180" w:type="dxa"/>
            <w:vAlign w:val="bottom"/>
            <w:gridSpan w:val="36"/>
          </w:tcPr>
          <w:p>
            <w:pPr>
              <w:spacing w:after="0" w:line="130" w:lineRule="exact"/>
              <w:rPr>
                <w:rFonts w:ascii="Arial" w:cs="Arial" w:eastAsia="Arial" w:hAnsi="Arial"/>
                <w:sz w:val="13"/>
                <w:szCs w:val="13"/>
                <w:color w:val="0000EE"/>
              </w:rPr>
            </w:pPr>
            <w:hyperlink w:anchor="page361">
              <w:r>
                <w:rPr>
                  <w:rFonts w:ascii="Arial" w:cs="Arial" w:eastAsia="Arial" w:hAnsi="Arial"/>
                  <w:sz w:val="13"/>
                  <w:szCs w:val="13"/>
                  <w:color w:val="0000EE"/>
                </w:rPr>
                <w:t>P</w:t>
              </w:r>
              <w:r>
                <w:rPr>
                  <w:rFonts w:ascii="Arial" w:cs="Arial" w:eastAsia="Arial" w:hAnsi="Arial"/>
                  <w:sz w:val="10"/>
                  <w:szCs w:val="10"/>
                  <w:color w:val="0000EE"/>
                </w:rPr>
                <w:t>REPAYMENT</w:t>
              </w:r>
              <w:r>
                <w:rPr>
                  <w:rFonts w:ascii="Arial" w:cs="Arial" w:eastAsia="Arial" w:hAnsi="Arial"/>
                  <w:sz w:val="13"/>
                  <w:szCs w:val="13"/>
                  <w:color w:val="0000EE"/>
                </w:rPr>
                <w:t xml:space="preserve"> F</w:t>
              </w:r>
              <w:r>
                <w:rPr>
                  <w:rFonts w:ascii="Arial" w:cs="Arial" w:eastAsia="Arial" w:hAnsi="Arial"/>
                  <w:sz w:val="10"/>
                  <w:szCs w:val="10"/>
                  <w:color w:val="0000EE"/>
                </w:rPr>
                <w:t>EE</w:t>
              </w:r>
              <w:r>
                <w:rPr>
                  <w:rFonts w:ascii="Arial" w:cs="Arial" w:eastAsia="Arial" w:hAnsi="Arial"/>
                  <w:sz w:val="13"/>
                  <w:szCs w:val="13"/>
                  <w:color w:val="0000EE"/>
                </w:rPr>
                <w:t>22</w:t>
              </w:r>
            </w:hyperlink>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right w:val="single" w:sz="8" w:color="0000EE"/>
            </w:tcBorders>
            <w:gridSpan w:val="8"/>
            <w:shd w:val="clear" w:color="auto" w:fill="0000EE"/>
          </w:tcPr>
          <w:p>
            <w:pPr>
              <w:spacing w:after="0" w:line="20" w:lineRule="exact"/>
              <w:rPr>
                <w:sz w:val="1"/>
                <w:szCs w:val="1"/>
                <w:color w:val="auto"/>
              </w:rPr>
            </w:pPr>
          </w:p>
        </w:tc>
        <w:tc>
          <w:tcPr>
            <w:tcW w:w="3060" w:type="dxa"/>
            <w:vAlign w:val="bottom"/>
            <w:gridSpan w:val="28"/>
          </w:tcPr>
          <w:p>
            <w:pPr>
              <w:spacing w:after="0" w:line="20" w:lineRule="exact"/>
              <w:rPr>
                <w:sz w:val="1"/>
                <w:szCs w:val="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3"/>
                <w:szCs w:val="13"/>
                <w:color w:val="auto"/>
              </w:rPr>
              <w:t>5.3.8</w:t>
            </w:r>
          </w:p>
        </w:tc>
        <w:tc>
          <w:tcPr>
            <w:tcW w:w="240" w:type="dxa"/>
            <w:vAlign w:val="bottom"/>
          </w:tcPr>
          <w:p>
            <w:pPr>
              <w:spacing w:after="0"/>
              <w:rPr>
                <w:sz w:val="11"/>
                <w:szCs w:val="11"/>
                <w:color w:val="auto"/>
              </w:rPr>
            </w:pPr>
          </w:p>
        </w:tc>
        <w:tc>
          <w:tcPr>
            <w:tcW w:w="1540" w:type="dxa"/>
            <w:vAlign w:val="bottom"/>
            <w:tcBorders>
              <w:bottom w:val="single" w:sz="8" w:color="0000EE"/>
            </w:tcBorders>
            <w:gridSpan w:val="16"/>
          </w:tcPr>
          <w:p>
            <w:pPr>
              <w:spacing w:after="0" w:line="130" w:lineRule="exact"/>
              <w:rPr>
                <w:rFonts w:ascii="Arial" w:cs="Arial" w:eastAsia="Arial" w:hAnsi="Arial"/>
                <w:sz w:val="13"/>
                <w:szCs w:val="13"/>
                <w:color w:val="0000EE"/>
              </w:rPr>
            </w:pPr>
            <w:hyperlink w:anchor="page361">
              <w:r>
                <w:rPr>
                  <w:rFonts w:ascii="Arial" w:cs="Arial" w:eastAsia="Arial" w:hAnsi="Arial"/>
                  <w:sz w:val="13"/>
                  <w:szCs w:val="13"/>
                  <w:color w:val="0000EE"/>
                </w:rPr>
                <w:t>P</w:t>
              </w:r>
              <w:r>
                <w:rPr>
                  <w:rFonts w:ascii="Arial" w:cs="Arial" w:eastAsia="Arial" w:hAnsi="Arial"/>
                  <w:sz w:val="10"/>
                  <w:szCs w:val="10"/>
                  <w:color w:val="0000EE"/>
                </w:rPr>
                <w:t>REPAYMENT MECHANICS</w:t>
              </w:r>
              <w:r>
                <w:rPr>
                  <w:rFonts w:ascii="Arial" w:cs="Arial" w:eastAsia="Arial" w:hAnsi="Arial"/>
                  <w:sz w:val="13"/>
                  <w:szCs w:val="13"/>
                  <w:color w:val="0000EE"/>
                </w:rPr>
                <w:t>22</w:t>
              </w:r>
            </w:hyperlink>
          </w:p>
        </w:tc>
        <w:tc>
          <w:tcPr>
            <w:tcW w:w="2640" w:type="dxa"/>
            <w:vAlign w:val="bottom"/>
            <w:gridSpan w:val="20"/>
          </w:tcPr>
          <w:p>
            <w:pPr>
              <w:spacing w:after="0"/>
              <w:rPr>
                <w:sz w:val="11"/>
                <w:szCs w:val="1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1" w:name="page342"/>
    <w:bookmarkEnd w:id="341"/>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30"/>
          </w:tcPr>
          <w:p>
            <w:pPr>
              <w:spacing w:after="0"/>
              <w:rPr>
                <w:sz w:val="20"/>
                <w:szCs w:val="20"/>
                <w:color w:val="auto"/>
              </w:rPr>
            </w:pPr>
            <w:r>
              <w:rPr>
                <w:rFonts w:ascii="Arial" w:cs="Arial" w:eastAsia="Arial" w:hAnsi="Arial"/>
                <w:sz w:val="13"/>
                <w:szCs w:val="13"/>
                <w:color w:val="auto"/>
              </w:rPr>
              <w:t>GENERAL22</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0"/>
        </w:trPr>
        <w:tc>
          <w:tcPr>
            <w:tcW w:w="860" w:type="dxa"/>
            <w:vAlign w:val="bottom"/>
            <w:gridSpan w:val="3"/>
          </w:tcPr>
          <w:p>
            <w:pPr>
              <w:spacing w:after="0"/>
              <w:rPr>
                <w:rFonts w:ascii="Arial" w:cs="Arial" w:eastAsia="Arial" w:hAnsi="Arial"/>
                <w:sz w:val="13"/>
                <w:szCs w:val="13"/>
                <w:b w:val="1"/>
                <w:bCs w:val="1"/>
                <w:color w:val="0000EE"/>
              </w:rPr>
            </w:pPr>
            <w:hyperlink w:anchor="page361">
              <w:r>
                <w:rPr>
                  <w:rFonts w:ascii="Arial" w:cs="Arial" w:eastAsia="Arial" w:hAnsi="Arial"/>
                  <w:sz w:val="13"/>
                  <w:szCs w:val="13"/>
                  <w:b w:val="1"/>
                  <w:bCs w:val="1"/>
                  <w:color w:val="0000EE"/>
                </w:rPr>
                <w:t>ARTICLE 6</w:t>
              </w:r>
            </w:hyperlink>
          </w:p>
        </w:tc>
        <w:tc>
          <w:tcPr>
            <w:tcW w:w="520" w:type="dxa"/>
            <w:vAlign w:val="bottom"/>
            <w:gridSpan w:val="4"/>
          </w:tcPr>
          <w:p>
            <w:pPr>
              <w:ind w:left="300"/>
              <w:spacing w:after="0"/>
              <w:rPr>
                <w:rFonts w:ascii="Arial" w:cs="Arial" w:eastAsia="Arial" w:hAnsi="Arial"/>
                <w:sz w:val="13"/>
                <w:szCs w:val="13"/>
                <w:b w:val="1"/>
                <w:bCs w:val="1"/>
                <w:color w:val="0000EE"/>
              </w:rPr>
            </w:pPr>
            <w:hyperlink w:anchor="page361">
              <w:r>
                <w:rPr>
                  <w:rFonts w:ascii="Arial" w:cs="Arial" w:eastAsia="Arial" w:hAnsi="Arial"/>
                  <w:sz w:val="13"/>
                  <w:szCs w:val="13"/>
                  <w:b w:val="1"/>
                  <w:bCs w:val="1"/>
                  <w:color w:val="0000EE"/>
                </w:rPr>
                <w:t>22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0000EE"/>
            </w:tcBorders>
            <w:gridSpan w:val="22"/>
          </w:tcPr>
          <w:p>
            <w:pPr>
              <w:spacing w:after="0"/>
              <w:rPr>
                <w:rFonts w:ascii="Arial" w:cs="Arial" w:eastAsia="Arial" w:hAnsi="Arial"/>
                <w:sz w:val="13"/>
                <w:szCs w:val="13"/>
                <w:color w:val="0000EE"/>
              </w:rPr>
            </w:pPr>
            <w:hyperlink w:anchor="page361">
              <w:r>
                <w:rPr>
                  <w:rFonts w:ascii="Arial" w:cs="Arial" w:eastAsia="Arial" w:hAnsi="Arial"/>
                  <w:sz w:val="13"/>
                  <w:szCs w:val="13"/>
                  <w:color w:val="0000EE"/>
                </w:rPr>
                <w:t>DAY COUNT CONVENTION22</w:t>
              </w:r>
            </w:hyperlink>
          </w:p>
        </w:tc>
        <w:tc>
          <w:tcPr>
            <w:tcW w:w="780" w:type="dxa"/>
            <w:vAlign w:val="bottom"/>
            <w:gridSpan w:val="8"/>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0000EE"/>
            </w:tcBorders>
            <w:gridSpan w:val="25"/>
          </w:tcPr>
          <w:p>
            <w:pPr>
              <w:spacing w:after="0"/>
              <w:rPr>
                <w:rFonts w:ascii="Arial" w:cs="Arial" w:eastAsia="Arial" w:hAnsi="Arial"/>
                <w:sz w:val="13"/>
                <w:szCs w:val="13"/>
                <w:color w:val="0000EE"/>
              </w:rPr>
            </w:pPr>
            <w:hyperlink w:anchor="page362">
              <w:r>
                <w:rPr>
                  <w:rFonts w:ascii="Arial" w:cs="Arial" w:eastAsia="Arial" w:hAnsi="Arial"/>
                  <w:sz w:val="13"/>
                  <w:szCs w:val="13"/>
                  <w:color w:val="0000EE"/>
                </w:rPr>
                <w:t>TIME AND PLACE OF PAYMENT23</w:t>
              </w:r>
            </w:hyperlink>
          </w:p>
        </w:tc>
        <w:tc>
          <w:tcPr>
            <w:tcW w:w="500" w:type="dxa"/>
            <w:vAlign w:val="bottom"/>
            <w:gridSpan w:val="5"/>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bottom w:val="single" w:sz="8" w:color="0000EE"/>
            </w:tcBorders>
            <w:gridSpan w:val="27"/>
          </w:tcPr>
          <w:p>
            <w:pPr>
              <w:spacing w:after="0"/>
              <w:rPr>
                <w:rFonts w:ascii="Arial" w:cs="Arial" w:eastAsia="Arial" w:hAnsi="Arial"/>
                <w:sz w:val="13"/>
                <w:szCs w:val="13"/>
                <w:color w:val="0000EE"/>
              </w:rPr>
            </w:pPr>
            <w:hyperlink w:anchor="page362">
              <w:r>
                <w:rPr>
                  <w:rFonts w:ascii="Arial" w:cs="Arial" w:eastAsia="Arial" w:hAnsi="Arial"/>
                  <w:sz w:val="13"/>
                  <w:szCs w:val="13"/>
                  <w:color w:val="0000EE"/>
                </w:rPr>
                <w:t>NO SET-OFF BY THE BORROWER23</w:t>
              </w:r>
            </w:hyperlink>
          </w:p>
        </w:tc>
        <w:tc>
          <w:tcPr>
            <w:tcW w:w="34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0000EE"/>
            </w:tcBorders>
            <w:gridSpan w:val="29"/>
          </w:tcPr>
          <w:p>
            <w:pPr>
              <w:spacing w:after="0"/>
              <w:rPr>
                <w:rFonts w:ascii="Arial" w:cs="Arial" w:eastAsia="Arial" w:hAnsi="Arial"/>
                <w:sz w:val="13"/>
                <w:szCs w:val="13"/>
                <w:color w:val="0000EE"/>
              </w:rPr>
            </w:pPr>
            <w:hyperlink w:anchor="page362">
              <w:r>
                <w:rPr>
                  <w:rFonts w:ascii="Arial" w:cs="Arial" w:eastAsia="Arial" w:hAnsi="Arial"/>
                  <w:sz w:val="13"/>
                  <w:szCs w:val="13"/>
                  <w:color w:val="0000EE"/>
                </w:rPr>
                <w:t>DISRUPTION TO PAYMENT SYSTEMS23</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0"/>
        </w:trPr>
        <w:tc>
          <w:tcPr>
            <w:tcW w:w="680" w:type="dxa"/>
            <w:vAlign w:val="bottom"/>
          </w:tcPr>
          <w:p>
            <w:pPr>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0000EE"/>
            </w:tcBorders>
            <w:gridSpan w:val="28"/>
          </w:tcPr>
          <w:p>
            <w:pPr>
              <w:spacing w:after="0"/>
              <w:rPr>
                <w:rFonts w:ascii="Arial" w:cs="Arial" w:eastAsia="Arial" w:hAnsi="Arial"/>
                <w:sz w:val="13"/>
                <w:szCs w:val="13"/>
                <w:color w:val="0000EE"/>
              </w:rPr>
            </w:pPr>
            <w:hyperlink w:anchor="page362">
              <w:r>
                <w:rPr>
                  <w:rFonts w:ascii="Arial" w:cs="Arial" w:eastAsia="Arial" w:hAnsi="Arial"/>
                  <w:sz w:val="13"/>
                  <w:szCs w:val="13"/>
                  <w:color w:val="0000EE"/>
                </w:rPr>
                <w:t>APPLICATION OF SUMS RECEIVED23</w:t>
              </w:r>
            </w:hyperlink>
          </w:p>
        </w:tc>
        <w:tc>
          <w:tcPr>
            <w:tcW w:w="26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0"/>
        </w:trPr>
        <w:tc>
          <w:tcPr>
            <w:tcW w:w="680" w:type="dxa"/>
            <w:vAlign w:val="bottom"/>
          </w:tcPr>
          <w:p>
            <w:pPr>
              <w:spacing w:after="0"/>
              <w:rPr>
                <w:sz w:val="20"/>
                <w:szCs w:val="20"/>
                <w:color w:val="auto"/>
              </w:rPr>
            </w:pPr>
            <w:r>
              <w:rPr>
                <w:rFonts w:ascii="Arial" w:cs="Arial" w:eastAsia="Arial" w:hAnsi="Arial"/>
                <w:sz w:val="13"/>
                <w:szCs w:val="13"/>
                <w:color w:val="auto"/>
              </w:rPr>
              <w:t>6.5.1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30"/>
          </w:tcPr>
          <w:p>
            <w:pPr>
              <w:spacing w:after="0"/>
              <w:rPr>
                <w:rFonts w:ascii="Arial" w:cs="Arial" w:eastAsia="Arial" w:hAnsi="Arial"/>
                <w:sz w:val="13"/>
                <w:szCs w:val="13"/>
                <w:color w:val="0000EE"/>
              </w:rPr>
            </w:pPr>
            <w:hyperlink w:anchor="page362">
              <w:r>
                <w:rPr>
                  <w:rFonts w:ascii="Arial" w:cs="Arial" w:eastAsia="Arial" w:hAnsi="Arial"/>
                  <w:sz w:val="13"/>
                  <w:szCs w:val="13"/>
                  <w:color w:val="0000EE"/>
                </w:rPr>
                <w:t>G</w:t>
              </w:r>
              <w:r>
                <w:rPr>
                  <w:rFonts w:ascii="Arial" w:cs="Arial" w:eastAsia="Arial" w:hAnsi="Arial"/>
                  <w:sz w:val="10"/>
                  <w:szCs w:val="10"/>
                  <w:color w:val="0000EE"/>
                </w:rPr>
                <w:t>ENERAL</w:t>
              </w:r>
              <w:r>
                <w:rPr>
                  <w:rFonts w:ascii="Arial" w:cs="Arial" w:eastAsia="Arial" w:hAnsi="Arial"/>
                  <w:sz w:val="13"/>
                  <w:szCs w:val="13"/>
                  <w:color w:val="0000EE"/>
                </w:rPr>
                <w:t>23</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30"/>
        </w:trPr>
        <w:tc>
          <w:tcPr>
            <w:tcW w:w="680" w:type="dxa"/>
            <w:vAlign w:val="bottom"/>
          </w:tcPr>
          <w:p>
            <w:pPr>
              <w:spacing w:after="0" w:line="130" w:lineRule="exact"/>
              <w:rPr>
                <w:sz w:val="20"/>
                <w:szCs w:val="20"/>
                <w:color w:val="auto"/>
              </w:rPr>
            </w:pPr>
            <w:r>
              <w:rPr>
                <w:rFonts w:ascii="Arial" w:cs="Arial" w:eastAsia="Arial" w:hAnsi="Arial"/>
                <w:sz w:val="13"/>
                <w:szCs w:val="13"/>
                <w:color w:val="auto"/>
              </w:rPr>
              <w:t>6.5.2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gridSpan w:val="30"/>
          </w:tcPr>
          <w:p>
            <w:pPr>
              <w:spacing w:after="0" w:line="130" w:lineRule="exact"/>
              <w:rPr>
                <w:rFonts w:ascii="Arial" w:cs="Arial" w:eastAsia="Arial" w:hAnsi="Arial"/>
                <w:sz w:val="13"/>
                <w:szCs w:val="13"/>
                <w:color w:val="0000EE"/>
              </w:rPr>
            </w:pPr>
            <w:hyperlink w:anchor="page362">
              <w:r>
                <w:rPr>
                  <w:rFonts w:ascii="Arial" w:cs="Arial" w:eastAsia="Arial" w:hAnsi="Arial"/>
                  <w:sz w:val="13"/>
                  <w:szCs w:val="13"/>
                  <w:color w:val="0000EE"/>
                </w:rPr>
                <w:t>P</w:t>
              </w:r>
              <w:r>
                <w:rPr>
                  <w:rFonts w:ascii="Arial" w:cs="Arial" w:eastAsia="Arial" w:hAnsi="Arial"/>
                  <w:sz w:val="10"/>
                  <w:szCs w:val="10"/>
                  <w:color w:val="0000EE"/>
                </w:rPr>
                <w:t>ARTIAL PAYMENTS</w:t>
              </w:r>
              <w:r>
                <w:rPr>
                  <w:rFonts w:ascii="Arial" w:cs="Arial" w:eastAsia="Arial" w:hAnsi="Arial"/>
                  <w:sz w:val="13"/>
                  <w:szCs w:val="13"/>
                  <w:color w:val="0000EE"/>
                </w:rPr>
                <w:t>23</w:t>
              </w:r>
            </w:hyperlink>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30"/>
        </w:trPr>
        <w:tc>
          <w:tcPr>
            <w:tcW w:w="680" w:type="dxa"/>
            <w:vAlign w:val="bottom"/>
          </w:tcPr>
          <w:p>
            <w:pPr>
              <w:spacing w:after="0" w:line="130" w:lineRule="exact"/>
              <w:rPr>
                <w:sz w:val="20"/>
                <w:szCs w:val="20"/>
                <w:color w:val="auto"/>
              </w:rPr>
            </w:pPr>
            <w:r>
              <w:rPr>
                <w:rFonts w:ascii="Arial" w:cs="Arial" w:eastAsia="Arial" w:hAnsi="Arial"/>
                <w:sz w:val="13"/>
                <w:szCs w:val="13"/>
                <w:color w:val="auto"/>
              </w:rPr>
              <w:t>6.5.3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Borders>
              <w:bottom w:val="single" w:sz="8" w:color="0000EE"/>
            </w:tcBorders>
            <w:gridSpan w:val="30"/>
          </w:tcPr>
          <w:p>
            <w:pPr>
              <w:spacing w:after="0" w:line="130" w:lineRule="exact"/>
              <w:rPr>
                <w:rFonts w:ascii="Arial" w:cs="Arial" w:eastAsia="Arial" w:hAnsi="Arial"/>
                <w:sz w:val="13"/>
                <w:szCs w:val="13"/>
                <w:color w:val="0000EE"/>
              </w:rPr>
            </w:pPr>
            <w:hyperlink w:anchor="page363">
              <w:r>
                <w:rPr>
                  <w:rFonts w:ascii="Arial" w:cs="Arial" w:eastAsia="Arial" w:hAnsi="Arial"/>
                  <w:sz w:val="13"/>
                  <w:szCs w:val="13"/>
                  <w:color w:val="0000EE"/>
                </w:rPr>
                <w:t>A</w:t>
              </w:r>
              <w:r>
                <w:rPr>
                  <w:rFonts w:ascii="Arial" w:cs="Arial" w:eastAsia="Arial" w:hAnsi="Arial"/>
                  <w:sz w:val="10"/>
                  <w:szCs w:val="10"/>
                  <w:color w:val="0000EE"/>
                </w:rPr>
                <w:t>LLOCATION OF SUMS RELATED TO</w:t>
              </w:r>
              <w:r>
                <w:rPr>
                  <w:rFonts w:ascii="Arial" w:cs="Arial" w:eastAsia="Arial" w:hAnsi="Arial"/>
                  <w:sz w:val="13"/>
                  <w:szCs w:val="13"/>
                  <w:color w:val="0000EE"/>
                </w:rPr>
                <w:t xml:space="preserve"> T</w:t>
              </w:r>
              <w:r>
                <w:rPr>
                  <w:rFonts w:ascii="Arial" w:cs="Arial" w:eastAsia="Arial" w:hAnsi="Arial"/>
                  <w:sz w:val="10"/>
                  <w:szCs w:val="10"/>
                  <w:color w:val="0000EE"/>
                </w:rPr>
                <w:t>RANCHES</w:t>
              </w:r>
              <w:r>
                <w:rPr>
                  <w:rFonts w:ascii="Arial" w:cs="Arial" w:eastAsia="Arial" w:hAnsi="Arial"/>
                  <w:sz w:val="13"/>
                  <w:szCs w:val="13"/>
                  <w:color w:val="0000EE"/>
                </w:rPr>
                <w:t>24</w:t>
              </w:r>
            </w:hyperlink>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90"/>
        </w:trPr>
        <w:tc>
          <w:tcPr>
            <w:tcW w:w="860" w:type="dxa"/>
            <w:vAlign w:val="bottom"/>
            <w:gridSpan w:val="3"/>
          </w:tcPr>
          <w:p>
            <w:pPr>
              <w:spacing w:after="0"/>
              <w:rPr>
                <w:rFonts w:ascii="Arial" w:cs="Arial" w:eastAsia="Arial" w:hAnsi="Arial"/>
                <w:sz w:val="13"/>
                <w:szCs w:val="13"/>
                <w:b w:val="1"/>
                <w:bCs w:val="1"/>
                <w:color w:val="0000EE"/>
              </w:rPr>
            </w:pPr>
            <w:hyperlink w:anchor="page363">
              <w:r>
                <w:rPr>
                  <w:rFonts w:ascii="Arial" w:cs="Arial" w:eastAsia="Arial" w:hAnsi="Arial"/>
                  <w:sz w:val="13"/>
                  <w:szCs w:val="13"/>
                  <w:b w:val="1"/>
                  <w:bCs w:val="1"/>
                  <w:color w:val="0000EE"/>
                </w:rPr>
                <w:t>ARTICLE 7</w:t>
              </w:r>
            </w:hyperlink>
          </w:p>
        </w:tc>
        <w:tc>
          <w:tcPr>
            <w:tcW w:w="520" w:type="dxa"/>
            <w:vAlign w:val="bottom"/>
            <w:gridSpan w:val="4"/>
          </w:tcPr>
          <w:p>
            <w:pPr>
              <w:ind w:left="300"/>
              <w:spacing w:after="0"/>
              <w:rPr>
                <w:rFonts w:ascii="Arial" w:cs="Arial" w:eastAsia="Arial" w:hAnsi="Arial"/>
                <w:sz w:val="13"/>
                <w:szCs w:val="13"/>
                <w:b w:val="1"/>
                <w:bCs w:val="1"/>
                <w:color w:val="0000EE"/>
              </w:rPr>
            </w:pPr>
            <w:hyperlink w:anchor="page363">
              <w:r>
                <w:rPr>
                  <w:rFonts w:ascii="Arial" w:cs="Arial" w:eastAsia="Arial" w:hAnsi="Arial"/>
                  <w:sz w:val="13"/>
                  <w:szCs w:val="13"/>
                  <w:b w:val="1"/>
                  <w:bCs w:val="1"/>
                  <w:color w:val="0000EE"/>
                </w:rPr>
                <w:t>24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860" w:type="dxa"/>
            <w:vAlign w:val="bottom"/>
            <w:gridSpan w:val="3"/>
          </w:tcPr>
          <w:p>
            <w:pPr>
              <w:spacing w:after="0"/>
              <w:rPr>
                <w:rFonts w:ascii="Arial" w:cs="Arial" w:eastAsia="Arial" w:hAnsi="Arial"/>
                <w:sz w:val="13"/>
                <w:szCs w:val="13"/>
                <w:b w:val="1"/>
                <w:bCs w:val="1"/>
                <w:color w:val="0000EE"/>
              </w:rPr>
            </w:pPr>
            <w:hyperlink w:anchor="page363">
              <w:r>
                <w:rPr>
                  <w:rFonts w:ascii="Arial" w:cs="Arial" w:eastAsia="Arial" w:hAnsi="Arial"/>
                  <w:sz w:val="13"/>
                  <w:szCs w:val="13"/>
                  <w:b w:val="1"/>
                  <w:bCs w:val="1"/>
                  <w:color w:val="0000EE"/>
                </w:rPr>
                <w:t>ARTICLE 8</w:t>
              </w:r>
            </w:hyperlink>
          </w:p>
        </w:tc>
        <w:tc>
          <w:tcPr>
            <w:tcW w:w="520" w:type="dxa"/>
            <w:vAlign w:val="bottom"/>
            <w:gridSpan w:val="4"/>
          </w:tcPr>
          <w:p>
            <w:pPr>
              <w:ind w:left="300"/>
              <w:spacing w:after="0"/>
              <w:rPr>
                <w:rFonts w:ascii="Arial" w:cs="Arial" w:eastAsia="Arial" w:hAnsi="Arial"/>
                <w:sz w:val="13"/>
                <w:szCs w:val="13"/>
                <w:b w:val="1"/>
                <w:bCs w:val="1"/>
                <w:color w:val="0000EE"/>
              </w:rPr>
            </w:pPr>
            <w:hyperlink w:anchor="page363">
              <w:r>
                <w:rPr>
                  <w:rFonts w:ascii="Arial" w:cs="Arial" w:eastAsia="Arial" w:hAnsi="Arial"/>
                  <w:sz w:val="13"/>
                  <w:szCs w:val="13"/>
                  <w:b w:val="1"/>
                  <w:bCs w:val="1"/>
                  <w:color w:val="0000EE"/>
                </w:rPr>
                <w:t>24</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0"/>
          </w:tcPr>
          <w:p>
            <w:pPr>
              <w:spacing w:after="0"/>
              <w:rPr>
                <w:rFonts w:ascii="Arial" w:cs="Arial" w:eastAsia="Arial" w:hAnsi="Arial"/>
                <w:sz w:val="13"/>
                <w:szCs w:val="13"/>
                <w:color w:val="0000EE"/>
              </w:rPr>
            </w:pPr>
            <w:hyperlink w:anchor="page363">
              <w:r>
                <w:rPr>
                  <w:rFonts w:ascii="Arial" w:cs="Arial" w:eastAsia="Arial" w:hAnsi="Arial"/>
                  <w:sz w:val="13"/>
                  <w:szCs w:val="13"/>
                  <w:color w:val="0000EE"/>
                </w:rPr>
                <w:t>TAXES, DUTIES AND FEES24</w:t>
              </w:r>
            </w:hyperlink>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0000EE"/>
              <w:bottom w:val="single" w:sz="8" w:color="0000EE"/>
            </w:tcBorders>
            <w:gridSpan w:val="14"/>
          </w:tcPr>
          <w:p>
            <w:pPr>
              <w:spacing w:after="0"/>
              <w:rPr>
                <w:rFonts w:ascii="Arial" w:cs="Arial" w:eastAsia="Arial" w:hAnsi="Arial"/>
                <w:sz w:val="13"/>
                <w:szCs w:val="13"/>
                <w:color w:val="0000EE"/>
              </w:rPr>
            </w:pPr>
            <w:hyperlink w:anchor="page363">
              <w:r>
                <w:rPr>
                  <w:rFonts w:ascii="Arial" w:cs="Arial" w:eastAsia="Arial" w:hAnsi="Arial"/>
                  <w:sz w:val="13"/>
                  <w:szCs w:val="13"/>
                  <w:color w:val="0000EE"/>
                </w:rPr>
                <w:t>OTHER CHARGES24</w:t>
              </w:r>
            </w:hyperlink>
          </w:p>
        </w:tc>
        <w:tc>
          <w:tcPr>
            <w:tcW w:w="520" w:type="dxa"/>
            <w:vAlign w:val="bottom"/>
            <w:tcBorders>
              <w:top w:val="single" w:sz="8" w:color="0000EE"/>
            </w:tcBorders>
            <w:gridSpan w:val="7"/>
          </w:tcPr>
          <w:p>
            <w:pPr>
              <w:spacing w:after="0"/>
              <w:rPr>
                <w:sz w:val="18"/>
                <w:szCs w:val="18"/>
                <w:color w:val="auto"/>
              </w:rPr>
            </w:pPr>
          </w:p>
        </w:tc>
        <w:tc>
          <w:tcPr>
            <w:tcW w:w="800" w:type="dxa"/>
            <w:vAlign w:val="bottom"/>
            <w:gridSpan w:val="9"/>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33"/>
          </w:tcPr>
          <w:p>
            <w:pPr>
              <w:spacing w:after="0"/>
              <w:rPr>
                <w:rFonts w:ascii="Arial" w:cs="Arial" w:eastAsia="Arial" w:hAnsi="Arial"/>
                <w:sz w:val="13"/>
                <w:szCs w:val="13"/>
                <w:color w:val="0000EE"/>
              </w:rPr>
            </w:pPr>
            <w:hyperlink w:anchor="page364">
              <w:r>
                <w:rPr>
                  <w:rFonts w:ascii="Arial" w:cs="Arial" w:eastAsia="Arial" w:hAnsi="Arial"/>
                  <w:sz w:val="13"/>
                  <w:szCs w:val="13"/>
                  <w:color w:val="0000EE"/>
                </w:rPr>
                <w:t>INCREASED COSTS, INDEMNITY AND SET-OFF25</w:t>
              </w:r>
            </w:hyperlink>
          </w:p>
        </w:tc>
      </w:tr>
      <w:tr>
        <w:trPr>
          <w:trHeight w:val="200"/>
        </w:trPr>
        <w:tc>
          <w:tcPr>
            <w:tcW w:w="860" w:type="dxa"/>
            <w:vAlign w:val="bottom"/>
            <w:gridSpan w:val="3"/>
          </w:tcPr>
          <w:p>
            <w:pPr>
              <w:spacing w:after="0"/>
              <w:rPr>
                <w:rFonts w:ascii="Arial" w:cs="Arial" w:eastAsia="Arial" w:hAnsi="Arial"/>
                <w:sz w:val="13"/>
                <w:szCs w:val="13"/>
                <w:b w:val="1"/>
                <w:bCs w:val="1"/>
                <w:color w:val="0000EE"/>
              </w:rPr>
            </w:pPr>
            <w:hyperlink w:anchor="page364">
              <w:r>
                <w:rPr>
                  <w:rFonts w:ascii="Arial" w:cs="Arial" w:eastAsia="Arial" w:hAnsi="Arial"/>
                  <w:sz w:val="13"/>
                  <w:szCs w:val="13"/>
                  <w:b w:val="1"/>
                  <w:bCs w:val="1"/>
                  <w:color w:val="0000EE"/>
                </w:rPr>
                <w:t>ARTICLE 9</w:t>
              </w:r>
            </w:hyperlink>
          </w:p>
        </w:tc>
        <w:tc>
          <w:tcPr>
            <w:tcW w:w="520" w:type="dxa"/>
            <w:vAlign w:val="bottom"/>
            <w:tcBorders>
              <w:top w:val="single" w:sz="8" w:color="0000EE"/>
            </w:tcBorders>
            <w:gridSpan w:val="4"/>
          </w:tcPr>
          <w:p>
            <w:pPr>
              <w:ind w:left="300"/>
              <w:spacing w:after="0"/>
              <w:rPr>
                <w:rFonts w:ascii="Arial" w:cs="Arial" w:eastAsia="Arial" w:hAnsi="Arial"/>
                <w:sz w:val="13"/>
                <w:szCs w:val="13"/>
                <w:b w:val="1"/>
                <w:bCs w:val="1"/>
                <w:color w:val="0000EE"/>
              </w:rPr>
            </w:pPr>
            <w:hyperlink w:anchor="page364">
              <w:r>
                <w:rPr>
                  <w:rFonts w:ascii="Arial" w:cs="Arial" w:eastAsia="Arial" w:hAnsi="Arial"/>
                  <w:sz w:val="13"/>
                  <w:szCs w:val="13"/>
                  <w:b w:val="1"/>
                  <w:bCs w:val="1"/>
                  <w:color w:val="0000EE"/>
                </w:rPr>
                <w:t>25</w:t>
              </w:r>
            </w:hyperlink>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bottom w:val="single" w:sz="8" w:color="0000EE"/>
            </w:tcBorders>
            <w:gridSpan w:val="26"/>
          </w:tcPr>
          <w:p>
            <w:pPr>
              <w:spacing w:after="0"/>
              <w:rPr>
                <w:rFonts w:ascii="Arial" w:cs="Arial" w:eastAsia="Arial" w:hAnsi="Arial"/>
                <w:sz w:val="13"/>
                <w:szCs w:val="13"/>
                <w:color w:val="0000EE"/>
              </w:rPr>
            </w:pPr>
            <w:hyperlink w:anchor="page364">
              <w:r>
                <w:rPr>
                  <w:rFonts w:ascii="Arial" w:cs="Arial" w:eastAsia="Arial" w:hAnsi="Arial"/>
                  <w:sz w:val="13"/>
                  <w:szCs w:val="13"/>
                  <w:color w:val="0000EE"/>
                </w:rPr>
                <w:t>RIGHT TO DEMAND REPAYMENT25</w:t>
              </w:r>
            </w:hyperlink>
          </w:p>
        </w:tc>
        <w:tc>
          <w:tcPr>
            <w:tcW w:w="40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0"/>
        </w:trPr>
        <w:tc>
          <w:tcPr>
            <w:tcW w:w="680" w:type="dxa"/>
            <w:vAlign w:val="bottom"/>
          </w:tcPr>
          <w:p>
            <w:pPr>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0"/>
          </w:tcPr>
          <w:p>
            <w:pPr>
              <w:spacing w:after="0"/>
              <w:rPr>
                <w:rFonts w:ascii="Arial" w:cs="Arial" w:eastAsia="Arial" w:hAnsi="Arial"/>
                <w:sz w:val="13"/>
                <w:szCs w:val="13"/>
                <w:color w:val="0000EE"/>
              </w:rPr>
            </w:pPr>
            <w:hyperlink w:anchor="page365">
              <w:r>
                <w:rPr>
                  <w:rFonts w:ascii="Arial" w:cs="Arial" w:eastAsia="Arial" w:hAnsi="Arial"/>
                  <w:sz w:val="13"/>
                  <w:szCs w:val="13"/>
                  <w:color w:val="0000EE"/>
                </w:rPr>
                <w:t>OTHER RIGHTS AT LAW26</w:t>
              </w:r>
            </w:hyperlink>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0"/>
        </w:trPr>
        <w:tc>
          <w:tcPr>
            <w:tcW w:w="680" w:type="dxa"/>
            <w:vAlign w:val="bottom"/>
          </w:tcPr>
          <w:p>
            <w:pPr>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top w:val="single" w:sz="8" w:color="0000EE"/>
            </w:tcBorders>
            <w:gridSpan w:val="19"/>
          </w:tcPr>
          <w:p>
            <w:pPr>
              <w:spacing w:after="0"/>
              <w:rPr>
                <w:rFonts w:ascii="Arial" w:cs="Arial" w:eastAsia="Arial" w:hAnsi="Arial"/>
                <w:sz w:val="13"/>
                <w:szCs w:val="13"/>
                <w:color w:val="0000EE"/>
              </w:rPr>
            </w:pPr>
            <w:hyperlink w:anchor="page366">
              <w:r>
                <w:rPr>
                  <w:rFonts w:ascii="Arial" w:cs="Arial" w:eastAsia="Arial" w:hAnsi="Arial"/>
                  <w:sz w:val="13"/>
                  <w:szCs w:val="13"/>
                  <w:color w:val="0000EE"/>
                </w:rPr>
                <w:t>PREPAYMENT FEE27</w:t>
              </w:r>
            </w:hyperlink>
          </w:p>
        </w:tc>
        <w:tc>
          <w:tcPr>
            <w:tcW w:w="980" w:type="dxa"/>
            <w:vAlign w:val="bottom"/>
            <w:gridSpan w:val="11"/>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0000EE"/>
            </w:tcBorders>
            <w:gridSpan w:val="15"/>
          </w:tcPr>
          <w:p>
            <w:pPr>
              <w:spacing w:after="0"/>
              <w:rPr>
                <w:rFonts w:ascii="Arial" w:cs="Arial" w:eastAsia="Arial" w:hAnsi="Arial"/>
                <w:sz w:val="13"/>
                <w:szCs w:val="13"/>
                <w:color w:val="0000EE"/>
              </w:rPr>
            </w:pPr>
            <w:hyperlink w:anchor="page366">
              <w:r>
                <w:rPr>
                  <w:rFonts w:ascii="Arial" w:cs="Arial" w:eastAsia="Arial" w:hAnsi="Arial"/>
                  <w:sz w:val="13"/>
                  <w:szCs w:val="13"/>
                  <w:color w:val="0000EE"/>
                </w:rPr>
                <w:t>NON-WAIVER27</w:t>
              </w:r>
            </w:hyperlink>
          </w:p>
        </w:tc>
        <w:tc>
          <w:tcPr>
            <w:tcW w:w="1300" w:type="dxa"/>
            <w:vAlign w:val="bottom"/>
            <w:gridSpan w:val="15"/>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0"/>
        </w:trPr>
        <w:tc>
          <w:tcPr>
            <w:tcW w:w="860" w:type="dxa"/>
            <w:vAlign w:val="bottom"/>
            <w:gridSpan w:val="3"/>
          </w:tcPr>
          <w:p>
            <w:pPr>
              <w:spacing w:after="0"/>
              <w:rPr>
                <w:rFonts w:ascii="Arial" w:cs="Arial" w:eastAsia="Arial" w:hAnsi="Arial"/>
                <w:sz w:val="13"/>
                <w:szCs w:val="13"/>
                <w:b w:val="1"/>
                <w:bCs w:val="1"/>
                <w:color w:val="0000EE"/>
              </w:rPr>
            </w:pPr>
            <w:hyperlink w:anchor="page366">
              <w:r>
                <w:rPr>
                  <w:rFonts w:ascii="Arial" w:cs="Arial" w:eastAsia="Arial" w:hAnsi="Arial"/>
                  <w:sz w:val="13"/>
                  <w:szCs w:val="13"/>
                  <w:b w:val="1"/>
                  <w:bCs w:val="1"/>
                  <w:color w:val="0000EE"/>
                </w:rPr>
                <w:t>ARTICLE 10</w:t>
              </w:r>
            </w:hyperlink>
          </w:p>
        </w:tc>
        <w:tc>
          <w:tcPr>
            <w:tcW w:w="620" w:type="dxa"/>
            <w:vAlign w:val="bottom"/>
            <w:tcBorders>
              <w:top w:val="single" w:sz="8" w:color="0000EE"/>
            </w:tcBorders>
            <w:gridSpan w:val="5"/>
          </w:tcPr>
          <w:p>
            <w:pPr>
              <w:ind w:left="380"/>
              <w:spacing w:after="0"/>
              <w:rPr>
                <w:rFonts w:ascii="Arial" w:cs="Arial" w:eastAsia="Arial" w:hAnsi="Arial"/>
                <w:sz w:val="13"/>
                <w:szCs w:val="13"/>
                <w:b w:val="1"/>
                <w:bCs w:val="1"/>
                <w:color w:val="0000EE"/>
              </w:rPr>
            </w:pPr>
            <w:hyperlink w:anchor="page366">
              <w:r>
                <w:rPr>
                  <w:rFonts w:ascii="Arial" w:cs="Arial" w:eastAsia="Arial" w:hAnsi="Arial"/>
                  <w:sz w:val="13"/>
                  <w:szCs w:val="13"/>
                  <w:b w:val="1"/>
                  <w:bCs w:val="1"/>
                  <w:color w:val="0000EE"/>
                </w:rPr>
                <w:t>27</w:t>
              </w:r>
            </w:hyperlink>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0"/>
          </w:tcPr>
          <w:p>
            <w:pPr>
              <w:spacing w:after="0"/>
              <w:rPr>
                <w:rFonts w:ascii="Arial" w:cs="Arial" w:eastAsia="Arial" w:hAnsi="Arial"/>
                <w:sz w:val="13"/>
                <w:szCs w:val="13"/>
                <w:color w:val="0000EE"/>
              </w:rPr>
            </w:pPr>
            <w:hyperlink w:anchor="page366">
              <w:r>
                <w:rPr>
                  <w:rFonts w:ascii="Arial" w:cs="Arial" w:eastAsia="Arial" w:hAnsi="Arial"/>
                  <w:sz w:val="13"/>
                  <w:szCs w:val="13"/>
                  <w:color w:val="0000EE"/>
                </w:rPr>
                <w:t>GOVERNING LAW27</w:t>
              </w:r>
            </w:hyperlink>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0000EE"/>
            </w:tcBorders>
            <w:gridSpan w:val="13"/>
          </w:tcPr>
          <w:p>
            <w:pPr>
              <w:spacing w:after="0"/>
              <w:rPr>
                <w:rFonts w:ascii="Arial" w:cs="Arial" w:eastAsia="Arial" w:hAnsi="Arial"/>
                <w:sz w:val="13"/>
                <w:szCs w:val="13"/>
                <w:color w:val="0000EE"/>
              </w:rPr>
            </w:pPr>
            <w:hyperlink w:anchor="page366">
              <w:r>
                <w:rPr>
                  <w:rFonts w:ascii="Arial" w:cs="Arial" w:eastAsia="Arial" w:hAnsi="Arial"/>
                  <w:sz w:val="13"/>
                  <w:szCs w:val="13"/>
                  <w:color w:val="0000EE"/>
                </w:rPr>
                <w:t>JURISDICTION27</w:t>
              </w:r>
            </w:hyperlink>
          </w:p>
        </w:tc>
        <w:tc>
          <w:tcPr>
            <w:tcW w:w="1360" w:type="dxa"/>
            <w:vAlign w:val="bottom"/>
            <w:gridSpan w:val="17"/>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680" w:type="dxa"/>
            <w:vAlign w:val="bottom"/>
          </w:tcPr>
          <w:p>
            <w:pPr>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0000EE"/>
            </w:tcBorders>
            <w:gridSpan w:val="23"/>
          </w:tcPr>
          <w:p>
            <w:pPr>
              <w:spacing w:after="0"/>
              <w:rPr>
                <w:rFonts w:ascii="Arial" w:cs="Arial" w:eastAsia="Arial" w:hAnsi="Arial"/>
                <w:sz w:val="13"/>
                <w:szCs w:val="13"/>
                <w:color w:val="0000EE"/>
              </w:rPr>
            </w:pPr>
            <w:hyperlink w:anchor="page366">
              <w:r>
                <w:rPr>
                  <w:rFonts w:ascii="Arial" w:cs="Arial" w:eastAsia="Arial" w:hAnsi="Arial"/>
                  <w:sz w:val="13"/>
                  <w:szCs w:val="13"/>
                  <w:color w:val="0000EE"/>
                </w:rPr>
                <w:t>PLACE OF PERFORMANCE27</w:t>
              </w:r>
            </w:hyperlink>
          </w:p>
        </w:tc>
        <w:tc>
          <w:tcPr>
            <w:tcW w:w="76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0"/>
          </w:tcPr>
          <w:p>
            <w:pPr>
              <w:spacing w:after="0"/>
              <w:rPr>
                <w:rFonts w:ascii="Arial" w:cs="Arial" w:eastAsia="Arial" w:hAnsi="Arial"/>
                <w:sz w:val="13"/>
                <w:szCs w:val="13"/>
                <w:color w:val="0000EE"/>
              </w:rPr>
            </w:pPr>
            <w:hyperlink w:anchor="page366">
              <w:r>
                <w:rPr>
                  <w:rFonts w:ascii="Arial" w:cs="Arial" w:eastAsia="Arial" w:hAnsi="Arial"/>
                  <w:sz w:val="13"/>
                  <w:szCs w:val="13"/>
                  <w:color w:val="0000EE"/>
                </w:rPr>
                <w:t>EVIDENCE OF SUMS DUE27</w:t>
              </w:r>
            </w:hyperlink>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18"/>
          </w:tcPr>
          <w:p>
            <w:pPr>
              <w:spacing w:after="0"/>
              <w:rPr>
                <w:rFonts w:ascii="Arial" w:cs="Arial" w:eastAsia="Arial" w:hAnsi="Arial"/>
                <w:sz w:val="13"/>
                <w:szCs w:val="13"/>
                <w:color w:val="0000EE"/>
              </w:rPr>
            </w:pPr>
            <w:hyperlink w:anchor="page366">
              <w:r>
                <w:rPr>
                  <w:rFonts w:ascii="Arial" w:cs="Arial" w:eastAsia="Arial" w:hAnsi="Arial"/>
                  <w:sz w:val="13"/>
                  <w:szCs w:val="13"/>
                  <w:color w:val="0000EE"/>
                </w:rPr>
                <w:t>THIRD PARTY RIGHTS27</w:t>
              </w:r>
            </w:hyperlink>
          </w:p>
        </w:tc>
        <w:tc>
          <w:tcPr>
            <w:tcW w:w="220" w:type="dxa"/>
            <w:vAlign w:val="bottom"/>
            <w:tcBorders>
              <w:top w:val="single" w:sz="8" w:color="0000EE"/>
            </w:tcBorders>
            <w:gridSpan w:val="2"/>
          </w:tcPr>
          <w:p>
            <w:pPr>
              <w:spacing w:after="0"/>
              <w:rPr>
                <w:sz w:val="18"/>
                <w:szCs w:val="18"/>
                <w:color w:val="auto"/>
              </w:rPr>
            </w:pPr>
          </w:p>
        </w:tc>
        <w:tc>
          <w:tcPr>
            <w:tcW w:w="860" w:type="dxa"/>
            <w:vAlign w:val="bottom"/>
            <w:gridSpan w:val="10"/>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0000EE"/>
            </w:tcBorders>
            <w:gridSpan w:val="17"/>
          </w:tcPr>
          <w:p>
            <w:pPr>
              <w:spacing w:after="0"/>
              <w:rPr>
                <w:rFonts w:ascii="Arial" w:cs="Arial" w:eastAsia="Arial" w:hAnsi="Arial"/>
                <w:sz w:val="13"/>
                <w:szCs w:val="13"/>
                <w:color w:val="0000EE"/>
              </w:rPr>
            </w:pPr>
            <w:hyperlink w:anchor="page367">
              <w:r>
                <w:rPr>
                  <w:rFonts w:ascii="Arial" w:cs="Arial" w:eastAsia="Arial" w:hAnsi="Arial"/>
                  <w:sz w:val="13"/>
                  <w:szCs w:val="13"/>
                  <w:color w:val="0000EE"/>
                </w:rPr>
                <w:t>ENTIRE AGREEMENT28</w:t>
              </w:r>
            </w:hyperlink>
          </w:p>
        </w:tc>
        <w:tc>
          <w:tcPr>
            <w:tcW w:w="1120" w:type="dxa"/>
            <w:vAlign w:val="bottom"/>
            <w:gridSpan w:val="13"/>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0"/>
          </w:tcPr>
          <w:p>
            <w:pPr>
              <w:spacing w:after="0"/>
              <w:rPr>
                <w:rFonts w:ascii="Arial" w:cs="Arial" w:eastAsia="Arial" w:hAnsi="Arial"/>
                <w:sz w:val="13"/>
                <w:szCs w:val="13"/>
                <w:color w:val="0000EE"/>
              </w:rPr>
            </w:pPr>
            <w:hyperlink w:anchor="page367">
              <w:r>
                <w:rPr>
                  <w:rFonts w:ascii="Arial" w:cs="Arial" w:eastAsia="Arial" w:hAnsi="Arial"/>
                  <w:sz w:val="13"/>
                  <w:szCs w:val="13"/>
                  <w:color w:val="0000EE"/>
                </w:rPr>
                <w:t>INVALIDITY28</w:t>
              </w:r>
            </w:hyperlink>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0000EE"/>
            </w:tcBorders>
            <w:gridSpan w:val="10"/>
          </w:tcPr>
          <w:p>
            <w:pPr>
              <w:spacing w:after="0"/>
              <w:rPr>
                <w:rFonts w:ascii="Arial" w:cs="Arial" w:eastAsia="Arial" w:hAnsi="Arial"/>
                <w:sz w:val="13"/>
                <w:szCs w:val="13"/>
                <w:color w:val="0000EE"/>
              </w:rPr>
            </w:pPr>
            <w:hyperlink w:anchor="page367">
              <w:r>
                <w:rPr>
                  <w:rFonts w:ascii="Arial" w:cs="Arial" w:eastAsia="Arial" w:hAnsi="Arial"/>
                  <w:sz w:val="13"/>
                  <w:szCs w:val="13"/>
                  <w:color w:val="0000EE"/>
                </w:rPr>
                <w:t>AMENDMENTS28</w:t>
              </w:r>
            </w:hyperlink>
          </w:p>
        </w:tc>
        <w:tc>
          <w:tcPr>
            <w:tcW w:w="1540" w:type="dxa"/>
            <w:vAlign w:val="bottom"/>
            <w:gridSpan w:val="20"/>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0"/>
        </w:trPr>
        <w:tc>
          <w:tcPr>
            <w:tcW w:w="680" w:type="dxa"/>
            <w:vAlign w:val="bottom"/>
          </w:tcPr>
          <w:p>
            <w:pPr>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30"/>
          </w:tcPr>
          <w:p>
            <w:pPr>
              <w:spacing w:after="0"/>
              <w:rPr>
                <w:rFonts w:ascii="Arial" w:cs="Arial" w:eastAsia="Arial" w:hAnsi="Arial"/>
                <w:sz w:val="13"/>
                <w:szCs w:val="13"/>
                <w:color w:val="0000EE"/>
              </w:rPr>
            </w:pPr>
            <w:hyperlink w:anchor="page367">
              <w:r>
                <w:rPr>
                  <w:rFonts w:ascii="Arial" w:cs="Arial" w:eastAsia="Arial" w:hAnsi="Arial"/>
                  <w:sz w:val="13"/>
                  <w:szCs w:val="13"/>
                  <w:color w:val="0000EE"/>
                </w:rPr>
                <w:t>COUNTERPARTS28</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33"/>
          </w:tcPr>
          <w:p>
            <w:pPr>
              <w:spacing w:after="0"/>
              <w:rPr>
                <w:rFonts w:ascii="Arial" w:cs="Arial" w:eastAsia="Arial" w:hAnsi="Arial"/>
                <w:sz w:val="13"/>
                <w:szCs w:val="13"/>
                <w:color w:val="0000EE"/>
              </w:rPr>
            </w:pPr>
            <w:hyperlink w:anchor="page367">
              <w:r>
                <w:rPr>
                  <w:rFonts w:ascii="Arial" w:cs="Arial" w:eastAsia="Arial" w:hAnsi="Arial"/>
                  <w:sz w:val="13"/>
                  <w:szCs w:val="13"/>
                  <w:color w:val="0000EE"/>
                </w:rPr>
                <w:t>ASSIGNMENT AND TRANSFER BY THE BANK28</w:t>
              </w:r>
            </w:hyperlink>
          </w:p>
        </w:tc>
      </w:tr>
      <w:tr>
        <w:trPr>
          <w:trHeight w:val="200"/>
        </w:trPr>
        <w:tc>
          <w:tcPr>
            <w:tcW w:w="860" w:type="dxa"/>
            <w:vAlign w:val="bottom"/>
            <w:gridSpan w:val="3"/>
          </w:tcPr>
          <w:p>
            <w:pPr>
              <w:spacing w:after="0"/>
              <w:rPr>
                <w:rFonts w:ascii="Arial" w:cs="Arial" w:eastAsia="Arial" w:hAnsi="Arial"/>
                <w:sz w:val="13"/>
                <w:szCs w:val="13"/>
                <w:b w:val="1"/>
                <w:bCs w:val="1"/>
                <w:color w:val="0000EE"/>
              </w:rPr>
            </w:pPr>
            <w:hyperlink w:anchor="page368">
              <w:r>
                <w:rPr>
                  <w:rFonts w:ascii="Arial" w:cs="Arial" w:eastAsia="Arial" w:hAnsi="Arial"/>
                  <w:sz w:val="13"/>
                  <w:szCs w:val="13"/>
                  <w:b w:val="1"/>
                  <w:bCs w:val="1"/>
                  <w:color w:val="0000EE"/>
                </w:rPr>
                <w:t>ARTICLE 11</w:t>
              </w:r>
            </w:hyperlink>
          </w:p>
        </w:tc>
        <w:tc>
          <w:tcPr>
            <w:tcW w:w="620" w:type="dxa"/>
            <w:vAlign w:val="bottom"/>
            <w:tcBorders>
              <w:top w:val="single" w:sz="8" w:color="0000EE"/>
            </w:tcBorders>
            <w:gridSpan w:val="5"/>
          </w:tcPr>
          <w:p>
            <w:pPr>
              <w:ind w:left="380"/>
              <w:spacing w:after="0"/>
              <w:rPr>
                <w:rFonts w:ascii="Arial" w:cs="Arial" w:eastAsia="Arial" w:hAnsi="Arial"/>
                <w:sz w:val="13"/>
                <w:szCs w:val="13"/>
                <w:b w:val="1"/>
                <w:bCs w:val="1"/>
                <w:color w:val="0000EE"/>
              </w:rPr>
            </w:pPr>
            <w:hyperlink w:anchor="page368">
              <w:r>
                <w:rPr>
                  <w:rFonts w:ascii="Arial" w:cs="Arial" w:eastAsia="Arial" w:hAnsi="Arial"/>
                  <w:sz w:val="13"/>
                  <w:szCs w:val="13"/>
                  <w:b w:val="1"/>
                  <w:bCs w:val="1"/>
                  <w:color w:val="0000EE"/>
                </w:rPr>
                <w:t>29</w:t>
              </w:r>
            </w:hyperlink>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0"/>
          </w:tcPr>
          <w:p>
            <w:pPr>
              <w:spacing w:after="0"/>
              <w:rPr>
                <w:rFonts w:ascii="Arial" w:cs="Arial" w:eastAsia="Arial" w:hAnsi="Arial"/>
                <w:sz w:val="13"/>
                <w:szCs w:val="13"/>
                <w:color w:val="0000EE"/>
              </w:rPr>
            </w:pPr>
            <w:hyperlink w:anchor="page368">
              <w:r>
                <w:rPr>
                  <w:rFonts w:ascii="Arial" w:cs="Arial" w:eastAsia="Arial" w:hAnsi="Arial"/>
                  <w:sz w:val="13"/>
                  <w:szCs w:val="13"/>
                  <w:color w:val="0000EE"/>
                </w:rPr>
                <w:t>NOTICES29</w:t>
              </w:r>
            </w:hyperlink>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680" w:type="dxa"/>
            <w:vAlign w:val="bottom"/>
          </w:tcPr>
          <w:p>
            <w:pPr>
              <w:spacing w:after="0"/>
              <w:rPr>
                <w:sz w:val="20"/>
                <w:szCs w:val="20"/>
                <w:color w:val="auto"/>
              </w:rPr>
            </w:pPr>
            <w:r>
              <w:rPr>
                <w:rFonts w:ascii="Arial" w:cs="Arial" w:eastAsia="Arial" w:hAnsi="Arial"/>
                <w:sz w:val="13"/>
                <w:szCs w:val="13"/>
                <w:color w:val="auto"/>
              </w:rPr>
              <w:t>11.1.1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30"/>
          </w:tcPr>
          <w:p>
            <w:pPr>
              <w:spacing w:after="0"/>
              <w:rPr>
                <w:rFonts w:ascii="Arial" w:cs="Arial" w:eastAsia="Arial" w:hAnsi="Arial"/>
                <w:sz w:val="13"/>
                <w:szCs w:val="13"/>
                <w:color w:val="0000EE"/>
              </w:rPr>
            </w:pPr>
            <w:hyperlink w:anchor="page368">
              <w:r>
                <w:rPr>
                  <w:rFonts w:ascii="Arial" w:cs="Arial" w:eastAsia="Arial" w:hAnsi="Arial"/>
                  <w:sz w:val="13"/>
                  <w:szCs w:val="13"/>
                  <w:color w:val="0000EE"/>
                </w:rPr>
                <w:t>F</w:t>
              </w:r>
              <w:r>
                <w:rPr>
                  <w:rFonts w:ascii="Arial" w:cs="Arial" w:eastAsia="Arial" w:hAnsi="Arial"/>
                  <w:sz w:val="10"/>
                  <w:szCs w:val="10"/>
                  <w:color w:val="0000EE"/>
                </w:rPr>
                <w:t>ORM OF NOTICE</w:t>
              </w:r>
              <w:r>
                <w:rPr>
                  <w:rFonts w:ascii="Arial" w:cs="Arial" w:eastAsia="Arial" w:hAnsi="Arial"/>
                  <w:sz w:val="13"/>
                  <w:szCs w:val="13"/>
                  <w:color w:val="0000EE"/>
                </w:rPr>
                <w:t>29</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20"/>
        </w:trPr>
        <w:tc>
          <w:tcPr>
            <w:tcW w:w="680" w:type="dxa"/>
            <w:vAlign w:val="bottom"/>
          </w:tcPr>
          <w:p>
            <w:pPr>
              <w:spacing w:after="0" w:line="120" w:lineRule="exact"/>
              <w:rPr>
                <w:sz w:val="20"/>
                <w:szCs w:val="20"/>
                <w:color w:val="auto"/>
              </w:rPr>
            </w:pPr>
            <w:r>
              <w:rPr>
                <w:rFonts w:ascii="Arial" w:cs="Arial" w:eastAsia="Arial" w:hAnsi="Arial"/>
                <w:sz w:val="13"/>
                <w:szCs w:val="13"/>
                <w:color w:val="auto"/>
              </w:rPr>
              <w:t>11.1.2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0000EE"/>
            </w:tcBorders>
            <w:gridSpan w:val="9"/>
          </w:tcPr>
          <w:p>
            <w:pPr>
              <w:spacing w:after="0" w:line="120" w:lineRule="exact"/>
              <w:rPr>
                <w:rFonts w:ascii="Arial" w:cs="Arial" w:eastAsia="Arial" w:hAnsi="Arial"/>
                <w:sz w:val="13"/>
                <w:szCs w:val="13"/>
                <w:color w:val="0000EE"/>
              </w:rPr>
            </w:pPr>
            <w:hyperlink w:anchor="page369">
              <w:r>
                <w:rPr>
                  <w:rFonts w:ascii="Arial" w:cs="Arial" w:eastAsia="Arial" w:hAnsi="Arial"/>
                  <w:sz w:val="13"/>
                  <w:szCs w:val="13"/>
                  <w:color w:val="0000EE"/>
                </w:rPr>
                <w:t>A</w:t>
              </w:r>
              <w:r>
                <w:rPr>
                  <w:rFonts w:ascii="Arial" w:cs="Arial" w:eastAsia="Arial" w:hAnsi="Arial"/>
                  <w:sz w:val="10"/>
                  <w:szCs w:val="10"/>
                  <w:color w:val="0000EE"/>
                </w:rPr>
                <w:t>DDRESSES</w:t>
              </w:r>
              <w:r>
                <w:rPr>
                  <w:rFonts w:ascii="Arial" w:cs="Arial" w:eastAsia="Arial" w:hAnsi="Arial"/>
                  <w:sz w:val="13"/>
                  <w:szCs w:val="13"/>
                  <w:color w:val="0000EE"/>
                </w:rPr>
                <w:t>30</w:t>
              </w:r>
            </w:hyperlink>
          </w:p>
        </w:tc>
        <w:tc>
          <w:tcPr>
            <w:tcW w:w="420" w:type="dxa"/>
            <w:vAlign w:val="bottom"/>
            <w:gridSpan w:val="7"/>
          </w:tcPr>
          <w:p>
            <w:pPr>
              <w:spacing w:after="0"/>
              <w:rPr>
                <w:sz w:val="10"/>
                <w:szCs w:val="10"/>
                <w:color w:val="auto"/>
              </w:rPr>
            </w:pPr>
          </w:p>
        </w:tc>
        <w:tc>
          <w:tcPr>
            <w:tcW w:w="580" w:type="dxa"/>
            <w:vAlign w:val="bottom"/>
            <w:gridSpan w:val="8"/>
          </w:tcPr>
          <w:p>
            <w:pPr>
              <w:spacing w:after="0"/>
              <w:rPr>
                <w:sz w:val="10"/>
                <w:szCs w:val="10"/>
                <w:color w:val="auto"/>
              </w:rPr>
            </w:pPr>
          </w:p>
        </w:tc>
        <w:tc>
          <w:tcPr>
            <w:tcW w:w="560" w:type="dxa"/>
            <w:vAlign w:val="bottom"/>
            <w:gridSpan w:val="6"/>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30"/>
        </w:trPr>
        <w:tc>
          <w:tcPr>
            <w:tcW w:w="680" w:type="dxa"/>
            <w:vAlign w:val="bottom"/>
          </w:tcPr>
          <w:p>
            <w:pPr>
              <w:spacing w:after="0" w:line="130" w:lineRule="exact"/>
              <w:rPr>
                <w:sz w:val="20"/>
                <w:szCs w:val="20"/>
                <w:color w:val="auto"/>
              </w:rPr>
            </w:pPr>
            <w:r>
              <w:rPr>
                <w:rFonts w:ascii="Arial" w:cs="Arial" w:eastAsia="Arial" w:hAnsi="Arial"/>
                <w:sz w:val="13"/>
                <w:szCs w:val="13"/>
                <w:color w:val="auto"/>
              </w:rPr>
              <w:t>11.1.3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gridSpan w:val="30"/>
          </w:tcPr>
          <w:p>
            <w:pPr>
              <w:spacing w:after="0" w:line="130" w:lineRule="exact"/>
              <w:rPr>
                <w:rFonts w:ascii="Arial" w:cs="Arial" w:eastAsia="Arial" w:hAnsi="Arial"/>
                <w:sz w:val="13"/>
                <w:szCs w:val="13"/>
                <w:color w:val="0000EE"/>
              </w:rPr>
            </w:pPr>
            <w:hyperlink w:anchor="page369">
              <w:r>
                <w:rPr>
                  <w:rFonts w:ascii="Arial" w:cs="Arial" w:eastAsia="Arial" w:hAnsi="Arial"/>
                  <w:sz w:val="13"/>
                  <w:szCs w:val="13"/>
                  <w:color w:val="0000EE"/>
                </w:rPr>
                <w:t>D</w:t>
              </w:r>
              <w:r>
                <w:rPr>
                  <w:rFonts w:ascii="Arial" w:cs="Arial" w:eastAsia="Arial" w:hAnsi="Arial"/>
                  <w:sz w:val="10"/>
                  <w:szCs w:val="10"/>
                  <w:color w:val="0000EE"/>
                </w:rPr>
                <w:t>EMAND AFTER NOTICE TO REMEDY</w:t>
              </w:r>
              <w:r>
                <w:rPr>
                  <w:rFonts w:ascii="Arial" w:cs="Arial" w:eastAsia="Arial" w:hAnsi="Arial"/>
                  <w:sz w:val="13"/>
                  <w:szCs w:val="13"/>
                  <w:color w:val="0000EE"/>
                </w:rPr>
                <w:t>30</w:t>
              </w:r>
            </w:hyperlink>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top w:val="single" w:sz="8" w:color="0000EE"/>
            </w:tcBorders>
            <w:gridSpan w:val="24"/>
          </w:tcPr>
          <w:p>
            <w:pPr>
              <w:spacing w:after="0"/>
              <w:rPr>
                <w:rFonts w:ascii="Arial" w:cs="Arial" w:eastAsia="Arial" w:hAnsi="Arial"/>
                <w:sz w:val="13"/>
                <w:szCs w:val="13"/>
                <w:color w:val="0000EE"/>
              </w:rPr>
            </w:pPr>
            <w:hyperlink w:anchor="page369">
              <w:r>
                <w:rPr>
                  <w:rFonts w:ascii="Arial" w:cs="Arial" w:eastAsia="Arial" w:hAnsi="Arial"/>
                  <w:sz w:val="13"/>
                  <w:szCs w:val="13"/>
                  <w:color w:val="0000EE"/>
                </w:rPr>
                <w:t>ENGLISH LANGUAGE30</w:t>
              </w:r>
            </w:hyperlink>
          </w:p>
        </w:tc>
        <w:tc>
          <w:tcPr>
            <w:tcW w:w="560" w:type="dxa"/>
            <w:vAlign w:val="bottom"/>
            <w:gridSpan w:val="6"/>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gridSpan w:val="11"/>
            <w:shd w:val="clear" w:color="auto" w:fill="0000EE"/>
          </w:tcPr>
          <w:p>
            <w:pPr>
              <w:spacing w:after="0" w:line="20" w:lineRule="exact"/>
              <w:rPr>
                <w:sz w:val="1"/>
                <w:szCs w:val="1"/>
                <w:color w:val="auto"/>
              </w:rPr>
            </w:pPr>
          </w:p>
        </w:tc>
        <w:tc>
          <w:tcPr>
            <w:tcW w:w="2340" w:type="dxa"/>
            <w:vAlign w:val="bottom"/>
            <w:gridSpan w:val="17"/>
          </w:tcPr>
          <w:p>
            <w:pPr>
              <w:spacing w:after="0" w:line="20" w:lineRule="exact"/>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gridSpan w:val="33"/>
          </w:tcPr>
          <w:p>
            <w:pPr>
              <w:spacing w:after="0"/>
              <w:rPr>
                <w:sz w:val="20"/>
                <w:szCs w:val="20"/>
                <w:color w:val="auto"/>
              </w:rPr>
            </w:pPr>
            <w:r>
              <w:rPr>
                <w:rFonts w:ascii="Arial" w:cs="Arial" w:eastAsia="Arial" w:hAnsi="Arial"/>
                <w:sz w:val="13"/>
                <w:szCs w:val="13"/>
                <w:color w:val="auto"/>
              </w:rPr>
              <w:t>CONCLUSION OF THIS CONTRACT (</w:t>
            </w:r>
            <w:r>
              <w:rPr>
                <w:rFonts w:ascii="Arial" w:cs="Arial" w:eastAsia="Arial" w:hAnsi="Arial"/>
                <w:sz w:val="13"/>
                <w:szCs w:val="13"/>
                <w:i w:val="1"/>
                <w:iCs w:val="1"/>
                <w:color w:val="auto"/>
              </w:rPr>
              <w:t>VERTRAGSSCHLUSS</w:t>
            </w:r>
            <w:r>
              <w:rPr>
                <w:rFonts w:ascii="Arial" w:cs="Arial" w:eastAsia="Arial" w:hAnsi="Arial"/>
                <w:sz w:val="13"/>
                <w:szCs w:val="13"/>
                <w:color w:val="auto"/>
              </w:rPr>
              <w:t>)30</w:t>
            </w:r>
          </w:p>
        </w:tc>
      </w:tr>
      <w:tr>
        <w:trPr>
          <w:trHeight w:val="200"/>
        </w:trPr>
        <w:tc>
          <w:tcPr>
            <w:tcW w:w="860" w:type="dxa"/>
            <w:vAlign w:val="bottom"/>
            <w:gridSpan w:val="3"/>
          </w:tcPr>
          <w:p>
            <w:pPr>
              <w:spacing w:after="0"/>
              <w:rPr>
                <w:rFonts w:ascii="Arial" w:cs="Arial" w:eastAsia="Arial" w:hAnsi="Arial"/>
                <w:sz w:val="13"/>
                <w:szCs w:val="13"/>
                <w:b w:val="1"/>
                <w:bCs w:val="1"/>
                <w:color w:val="0000EE"/>
                <w:w w:val="99"/>
              </w:rPr>
            </w:pPr>
            <w:hyperlink w:anchor="page372">
              <w:r>
                <w:rPr>
                  <w:rFonts w:ascii="Arial" w:cs="Arial" w:eastAsia="Arial" w:hAnsi="Arial"/>
                  <w:sz w:val="13"/>
                  <w:szCs w:val="13"/>
                  <w:b w:val="1"/>
                  <w:bCs w:val="1"/>
                  <w:color w:val="0000EE"/>
                  <w:w w:val="99"/>
                </w:rPr>
                <w:t>SCHEDULE A</w:t>
              </w:r>
            </w:hyperlink>
          </w:p>
        </w:tc>
        <w:tc>
          <w:tcPr>
            <w:tcW w:w="520" w:type="dxa"/>
            <w:vAlign w:val="bottom"/>
            <w:gridSpan w:val="4"/>
          </w:tcPr>
          <w:p>
            <w:pPr>
              <w:spacing w:after="0"/>
              <w:rPr>
                <w:sz w:val="17"/>
                <w:szCs w:val="17"/>
                <w:color w:val="auto"/>
              </w:rPr>
            </w:pPr>
          </w:p>
        </w:tc>
        <w:tc>
          <w:tcPr>
            <w:tcW w:w="100" w:type="dxa"/>
            <w:vAlign w:val="bottom"/>
          </w:tcPr>
          <w:p>
            <w:pPr>
              <w:spacing w:after="0"/>
              <w:rPr>
                <w:rFonts w:ascii="Arial" w:cs="Arial" w:eastAsia="Arial" w:hAnsi="Arial"/>
                <w:sz w:val="7"/>
                <w:szCs w:val="7"/>
                <w:b w:val="1"/>
                <w:bCs w:val="1"/>
                <w:color w:val="0000EE"/>
                <w:w w:val="76"/>
              </w:rPr>
            </w:pPr>
            <w:hyperlink w:anchor="page372">
              <w:r>
                <w:rPr>
                  <w:rFonts w:ascii="Arial" w:cs="Arial" w:eastAsia="Arial" w:hAnsi="Arial"/>
                  <w:sz w:val="7"/>
                  <w:szCs w:val="7"/>
                  <w:b w:val="1"/>
                  <w:bCs w:val="1"/>
                  <w:color w:val="0000EE"/>
                  <w:w w:val="76"/>
                </w:rPr>
                <w:t>33</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86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2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0"/>
        </w:trPr>
        <w:tc>
          <w:tcPr>
            <w:tcW w:w="3500" w:type="dxa"/>
            <w:vAlign w:val="bottom"/>
            <w:gridSpan w:val="33"/>
          </w:tcPr>
          <w:p>
            <w:pPr>
              <w:spacing w:after="0"/>
              <w:rPr>
                <w:sz w:val="20"/>
                <w:szCs w:val="20"/>
                <w:color w:val="auto"/>
              </w:rPr>
            </w:pPr>
            <w:r>
              <w:rPr>
                <w:rFonts w:ascii="Arial" w:cs="Arial" w:eastAsia="Arial" w:hAnsi="Arial"/>
                <w:sz w:val="13"/>
                <w:szCs w:val="13"/>
                <w:color w:val="auto"/>
              </w:rPr>
              <w:t>INVESTMENT SPECIFICATION AND REPORTING</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w w:val="96"/>
              </w:rPr>
              <w:t>33</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90"/>
        </w:trPr>
        <w:tc>
          <w:tcPr>
            <w:tcW w:w="860" w:type="dxa"/>
            <w:vAlign w:val="bottom"/>
            <w:gridSpan w:val="3"/>
          </w:tcPr>
          <w:p>
            <w:pPr>
              <w:spacing w:after="0"/>
              <w:rPr>
                <w:rFonts w:ascii="Arial" w:cs="Arial" w:eastAsia="Arial" w:hAnsi="Arial"/>
                <w:sz w:val="13"/>
                <w:szCs w:val="13"/>
                <w:b w:val="1"/>
                <w:bCs w:val="1"/>
                <w:color w:val="0000EE"/>
                <w:w w:val="99"/>
              </w:rPr>
            </w:pPr>
            <w:hyperlink w:anchor="page376">
              <w:r>
                <w:rPr>
                  <w:rFonts w:ascii="Arial" w:cs="Arial" w:eastAsia="Arial" w:hAnsi="Arial"/>
                  <w:sz w:val="13"/>
                  <w:szCs w:val="13"/>
                  <w:b w:val="1"/>
                  <w:bCs w:val="1"/>
                  <w:color w:val="0000EE"/>
                  <w:w w:val="99"/>
                </w:rPr>
                <w:t>SCHEDULE B</w:t>
              </w:r>
            </w:hyperlink>
          </w:p>
        </w:tc>
        <w:tc>
          <w:tcPr>
            <w:tcW w:w="620" w:type="dxa"/>
            <w:vAlign w:val="bottom"/>
            <w:gridSpan w:val="5"/>
          </w:tcPr>
          <w:p>
            <w:pPr>
              <w:ind w:left="480"/>
              <w:spacing w:after="0"/>
              <w:rPr>
                <w:rFonts w:ascii="Arial" w:cs="Arial" w:eastAsia="Arial" w:hAnsi="Arial"/>
                <w:sz w:val="12"/>
                <w:szCs w:val="12"/>
                <w:b w:val="1"/>
                <w:bCs w:val="1"/>
                <w:color w:val="0000EE"/>
                <w:w w:val="74"/>
              </w:rPr>
            </w:pPr>
            <w:hyperlink w:anchor="page376">
              <w:r>
                <w:rPr>
                  <w:rFonts w:ascii="Arial" w:cs="Arial" w:eastAsia="Arial" w:hAnsi="Arial"/>
                  <w:sz w:val="12"/>
                  <w:szCs w:val="12"/>
                  <w:b w:val="1"/>
                  <w:bCs w:val="1"/>
                  <w:color w:val="0000EE"/>
                  <w:w w:val="74"/>
                </w:rPr>
                <w:t>36</w:t>
              </w:r>
            </w:hyperlink>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2" w:name="page343"/>
    <w:bookmarkEnd w:id="342"/>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gridSpan w:val="8"/>
          </w:tcPr>
          <w:p>
            <w:pPr>
              <w:spacing w:after="0"/>
              <w:rPr>
                <w:sz w:val="20"/>
                <w:szCs w:val="20"/>
                <w:color w:val="auto"/>
              </w:rPr>
            </w:pPr>
            <w:r>
              <w:rPr>
                <w:rFonts w:ascii="Arial" w:cs="Arial" w:eastAsia="Arial" w:hAnsi="Arial"/>
                <w:sz w:val="13"/>
                <w:szCs w:val="13"/>
                <w:color w:val="auto"/>
              </w:rPr>
              <w:t>DEFINITION OF EURIBOR</w:t>
            </w:r>
          </w:p>
        </w:tc>
        <w:tc>
          <w:tcPr>
            <w:tcW w:w="920" w:type="dxa"/>
            <w:vAlign w:val="bottom"/>
            <w:gridSpan w:val="3"/>
          </w:tcPr>
          <w:p>
            <w:pPr>
              <w:jc w:val="right"/>
              <w:ind w:right="440"/>
              <w:spacing w:after="0"/>
              <w:rPr>
                <w:sz w:val="20"/>
                <w:szCs w:val="20"/>
                <w:color w:val="auto"/>
              </w:rPr>
            </w:pPr>
            <w:r>
              <w:rPr>
                <w:rFonts w:ascii="Arial" w:cs="Arial" w:eastAsia="Arial" w:hAnsi="Arial"/>
                <w:sz w:val="13"/>
                <w:szCs w:val="13"/>
                <w:color w:val="auto"/>
              </w:rPr>
              <w:t>36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0"/>
        </w:trPr>
        <w:tc>
          <w:tcPr>
            <w:tcW w:w="840" w:type="dxa"/>
            <w:vAlign w:val="bottom"/>
            <w:gridSpan w:val="2"/>
          </w:tcPr>
          <w:p>
            <w:pPr>
              <w:spacing w:after="0"/>
              <w:rPr>
                <w:rFonts w:ascii="Arial" w:cs="Arial" w:eastAsia="Arial" w:hAnsi="Arial"/>
                <w:sz w:val="13"/>
                <w:szCs w:val="13"/>
                <w:b w:val="1"/>
                <w:bCs w:val="1"/>
                <w:color w:val="0000EE"/>
                <w:w w:val="94"/>
              </w:rPr>
            </w:pPr>
            <w:hyperlink w:anchor="page377">
              <w:r>
                <w:rPr>
                  <w:rFonts w:ascii="Arial" w:cs="Arial" w:eastAsia="Arial" w:hAnsi="Arial"/>
                  <w:sz w:val="13"/>
                  <w:szCs w:val="13"/>
                  <w:b w:val="1"/>
                  <w:bCs w:val="1"/>
                  <w:color w:val="0000EE"/>
                  <w:w w:val="94"/>
                </w:rPr>
                <w:t>SCHEDULE C</w:t>
              </w:r>
            </w:hyperlink>
          </w:p>
        </w:tc>
        <w:tc>
          <w:tcPr>
            <w:tcW w:w="60" w:type="dxa"/>
            <w:vAlign w:val="bottom"/>
          </w:tcPr>
          <w:p>
            <w:pPr>
              <w:spacing w:after="0"/>
              <w:rPr>
                <w:sz w:val="15"/>
                <w:szCs w:val="15"/>
                <w:color w:val="auto"/>
              </w:rPr>
            </w:pPr>
          </w:p>
        </w:tc>
        <w:tc>
          <w:tcPr>
            <w:tcW w:w="600" w:type="dxa"/>
            <w:vAlign w:val="bottom"/>
            <w:gridSpan w:val="4"/>
          </w:tcPr>
          <w:p>
            <w:pPr>
              <w:jc w:val="right"/>
              <w:ind w:right="20"/>
              <w:spacing w:after="0"/>
              <w:rPr>
                <w:rFonts w:ascii="Arial" w:cs="Arial" w:eastAsia="Arial" w:hAnsi="Arial"/>
                <w:sz w:val="13"/>
                <w:szCs w:val="13"/>
                <w:b w:val="1"/>
                <w:bCs w:val="1"/>
                <w:color w:val="0000EE"/>
              </w:rPr>
            </w:pPr>
            <w:hyperlink w:anchor="page377">
              <w:r>
                <w:rPr>
                  <w:rFonts w:ascii="Arial" w:cs="Arial" w:eastAsia="Arial" w:hAnsi="Arial"/>
                  <w:sz w:val="13"/>
                  <w:szCs w:val="13"/>
                  <w:b w:val="1"/>
                  <w:bCs w:val="1"/>
                  <w:color w:val="0000EE"/>
                </w:rPr>
                <w:t>37</w:t>
              </w:r>
            </w:hyperlink>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0"/>
        </w:trPr>
        <w:tc>
          <w:tcPr>
            <w:tcW w:w="3300" w:type="dxa"/>
            <w:vAlign w:val="bottom"/>
            <w:gridSpan w:val="14"/>
          </w:tcPr>
          <w:p>
            <w:pPr>
              <w:spacing w:after="0"/>
              <w:rPr>
                <w:sz w:val="20"/>
                <w:szCs w:val="20"/>
                <w:color w:val="auto"/>
              </w:rPr>
            </w:pPr>
            <w:r>
              <w:rPr>
                <w:rFonts w:ascii="Arial" w:cs="Arial" w:eastAsia="Arial" w:hAnsi="Arial"/>
                <w:sz w:val="13"/>
                <w:szCs w:val="13"/>
                <w:color w:val="auto"/>
              </w:rPr>
              <w:t>FORM OF DISBURSEMENT OFFER/ACCEPTANCE</w:t>
            </w: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37</w:t>
            </w: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840" w:type="dxa"/>
            <w:vAlign w:val="bottom"/>
            <w:gridSpan w:val="2"/>
          </w:tcPr>
          <w:p>
            <w:pPr>
              <w:spacing w:after="0"/>
              <w:rPr>
                <w:rFonts w:ascii="Arial" w:cs="Arial" w:eastAsia="Arial" w:hAnsi="Arial"/>
                <w:sz w:val="13"/>
                <w:szCs w:val="13"/>
                <w:b w:val="1"/>
                <w:bCs w:val="1"/>
                <w:color w:val="0000EE"/>
                <w:w w:val="94"/>
              </w:rPr>
            </w:pPr>
            <w:hyperlink w:anchor="page379">
              <w:r>
                <w:rPr>
                  <w:rFonts w:ascii="Arial" w:cs="Arial" w:eastAsia="Arial" w:hAnsi="Arial"/>
                  <w:sz w:val="13"/>
                  <w:szCs w:val="13"/>
                  <w:b w:val="1"/>
                  <w:bCs w:val="1"/>
                  <w:color w:val="0000EE"/>
                  <w:w w:val="94"/>
                </w:rPr>
                <w:t>SCHEDULE D</w:t>
              </w:r>
            </w:hyperlink>
          </w:p>
        </w:tc>
        <w:tc>
          <w:tcPr>
            <w:tcW w:w="60" w:type="dxa"/>
            <w:vAlign w:val="bottom"/>
          </w:tcPr>
          <w:p>
            <w:pPr>
              <w:spacing w:after="0"/>
              <w:rPr>
                <w:sz w:val="16"/>
                <w:szCs w:val="16"/>
                <w:color w:val="auto"/>
              </w:rPr>
            </w:pPr>
          </w:p>
        </w:tc>
        <w:tc>
          <w:tcPr>
            <w:tcW w:w="600" w:type="dxa"/>
            <w:vAlign w:val="bottom"/>
            <w:gridSpan w:val="4"/>
          </w:tcPr>
          <w:p>
            <w:pPr>
              <w:jc w:val="right"/>
              <w:ind w:right="20"/>
              <w:spacing w:after="0"/>
              <w:rPr>
                <w:rFonts w:ascii="Arial" w:cs="Arial" w:eastAsia="Arial" w:hAnsi="Arial"/>
                <w:sz w:val="13"/>
                <w:szCs w:val="13"/>
                <w:b w:val="1"/>
                <w:bCs w:val="1"/>
                <w:color w:val="0000EE"/>
              </w:rPr>
            </w:pPr>
            <w:hyperlink w:anchor="page379">
              <w:r>
                <w:rPr>
                  <w:rFonts w:ascii="Arial" w:cs="Arial" w:eastAsia="Arial" w:hAnsi="Arial"/>
                  <w:sz w:val="13"/>
                  <w:szCs w:val="13"/>
                  <w:b w:val="1"/>
                  <w:bCs w:val="1"/>
                  <w:color w:val="0000EE"/>
                </w:rPr>
                <w:t>39</w:t>
              </w:r>
            </w:hyperlink>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0"/>
        </w:trPr>
        <w:tc>
          <w:tcPr>
            <w:tcW w:w="2680" w:type="dxa"/>
            <w:vAlign w:val="bottom"/>
            <w:gridSpan w:val="11"/>
          </w:tcPr>
          <w:p>
            <w:pPr>
              <w:spacing w:after="0"/>
              <w:rPr>
                <w:sz w:val="20"/>
                <w:szCs w:val="20"/>
                <w:color w:val="auto"/>
              </w:rPr>
            </w:pPr>
            <w:r>
              <w:rPr>
                <w:rFonts w:ascii="Arial" w:cs="Arial" w:eastAsia="Arial" w:hAnsi="Arial"/>
                <w:sz w:val="13"/>
                <w:szCs w:val="13"/>
                <w:color w:val="auto"/>
              </w:rPr>
              <w:t>FORM OF DRAWDOWN CERTIFICATE</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840" w:type="dxa"/>
            <w:vAlign w:val="bottom"/>
            <w:gridSpan w:val="2"/>
          </w:tcPr>
          <w:p>
            <w:pPr>
              <w:spacing w:after="0"/>
              <w:rPr>
                <w:rFonts w:ascii="Arial" w:cs="Arial" w:eastAsia="Arial" w:hAnsi="Arial"/>
                <w:sz w:val="13"/>
                <w:szCs w:val="13"/>
                <w:b w:val="1"/>
                <w:bCs w:val="1"/>
                <w:color w:val="0000EE"/>
                <w:w w:val="95"/>
              </w:rPr>
            </w:pPr>
            <w:hyperlink w:anchor="page380">
              <w:r>
                <w:rPr>
                  <w:rFonts w:ascii="Arial" w:cs="Arial" w:eastAsia="Arial" w:hAnsi="Arial"/>
                  <w:sz w:val="13"/>
                  <w:szCs w:val="13"/>
                  <w:b w:val="1"/>
                  <w:bCs w:val="1"/>
                  <w:color w:val="0000EE"/>
                  <w:w w:val="95"/>
                </w:rPr>
                <w:t>SCHEDULE E</w:t>
              </w:r>
            </w:hyperlink>
          </w:p>
        </w:tc>
        <w:tc>
          <w:tcPr>
            <w:tcW w:w="60" w:type="dxa"/>
            <w:vAlign w:val="bottom"/>
          </w:tcPr>
          <w:p>
            <w:pPr>
              <w:spacing w:after="0"/>
              <w:rPr>
                <w:sz w:val="16"/>
                <w:szCs w:val="16"/>
                <w:color w:val="auto"/>
              </w:rPr>
            </w:pPr>
          </w:p>
        </w:tc>
        <w:tc>
          <w:tcPr>
            <w:tcW w:w="560" w:type="dxa"/>
            <w:vAlign w:val="bottom"/>
            <w:gridSpan w:val="3"/>
          </w:tcPr>
          <w:p>
            <w:pPr>
              <w:jc w:val="right"/>
              <w:spacing w:after="0"/>
              <w:rPr>
                <w:rFonts w:ascii="Arial" w:cs="Arial" w:eastAsia="Arial" w:hAnsi="Arial"/>
                <w:sz w:val="13"/>
                <w:szCs w:val="13"/>
                <w:b w:val="1"/>
                <w:bCs w:val="1"/>
                <w:color w:val="0000EE"/>
              </w:rPr>
            </w:pPr>
            <w:hyperlink w:anchor="page380">
              <w:r>
                <w:rPr>
                  <w:rFonts w:ascii="Arial" w:cs="Arial" w:eastAsia="Arial" w:hAnsi="Arial"/>
                  <w:sz w:val="13"/>
                  <w:szCs w:val="13"/>
                  <w:b w:val="1"/>
                  <w:bCs w:val="1"/>
                  <w:color w:val="0000EE"/>
                </w:rPr>
                <w:t>40</w:t>
              </w:r>
            </w:hyperlink>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0"/>
        </w:trPr>
        <w:tc>
          <w:tcPr>
            <w:tcW w:w="2680" w:type="dxa"/>
            <w:vAlign w:val="bottom"/>
            <w:gridSpan w:val="11"/>
          </w:tcPr>
          <w:p>
            <w:pPr>
              <w:spacing w:after="0"/>
              <w:rPr>
                <w:sz w:val="20"/>
                <w:szCs w:val="20"/>
                <w:color w:val="auto"/>
              </w:rPr>
            </w:pPr>
            <w:r>
              <w:rPr>
                <w:rFonts w:ascii="Arial" w:cs="Arial" w:eastAsia="Arial" w:hAnsi="Arial"/>
                <w:sz w:val="13"/>
                <w:szCs w:val="13"/>
                <w:color w:val="auto"/>
              </w:rPr>
              <w:t>FORM OF COMPLIANCE CERTIFICATE</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SCHEDULE F</w:t>
            </w:r>
          </w:p>
        </w:tc>
        <w:tc>
          <w:tcPr>
            <w:tcW w:w="560" w:type="dxa"/>
            <w:vAlign w:val="bottom"/>
            <w:gridSpan w:val="3"/>
          </w:tcPr>
          <w:p>
            <w:pPr>
              <w:jc w:val="right"/>
              <w:spacing w:after="0"/>
              <w:rPr>
                <w:sz w:val="20"/>
                <w:szCs w:val="20"/>
                <w:color w:val="auto"/>
              </w:rPr>
            </w:pPr>
            <w:r>
              <w:rPr>
                <w:rFonts w:ascii="Arial" w:cs="Arial" w:eastAsia="Arial" w:hAnsi="Arial"/>
                <w:sz w:val="13"/>
                <w:szCs w:val="13"/>
                <w:b w:val="1"/>
                <w:bCs w:val="1"/>
                <w:color w:val="auto"/>
              </w:rPr>
              <w:t>41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0"/>
        </w:trPr>
        <w:tc>
          <w:tcPr>
            <w:tcW w:w="6800" w:type="dxa"/>
            <w:vAlign w:val="bottom"/>
            <w:gridSpan w:val="21"/>
          </w:tcPr>
          <w:p>
            <w:pPr>
              <w:spacing w:after="0"/>
              <w:rPr>
                <w:rFonts w:ascii="Arial" w:cs="Arial" w:eastAsia="Arial" w:hAnsi="Arial"/>
                <w:sz w:val="13"/>
                <w:szCs w:val="13"/>
                <w:color w:val="auto"/>
              </w:rPr>
            </w:pPr>
            <w:r>
              <w:rPr>
                <w:rFonts w:ascii="Arial" w:cs="Arial" w:eastAsia="Arial" w:hAnsi="Arial"/>
                <w:sz w:val="13"/>
                <w:szCs w:val="13"/>
                <w:color w:val="auto"/>
              </w:rPr>
              <w:t xml:space="preserve">PART A - INITIAL DOCUMENTARY CONDITIONS PRECEDENT AND CREDIT A CONDITIONS </w:t>
            </w:r>
            <w:hyperlink w:anchor="page381">
              <w:r>
                <w:rPr>
                  <w:rFonts w:ascii="Arial" w:cs="Arial" w:eastAsia="Arial" w:hAnsi="Arial"/>
                  <w:sz w:val="13"/>
                  <w:szCs w:val="13"/>
                  <w:color w:val="0000EE"/>
                </w:rPr>
                <w:t>PRECEDENTS</w:t>
              </w:r>
            </w:hyperlink>
          </w:p>
        </w:tc>
        <w:tc>
          <w:tcPr>
            <w:tcW w:w="400" w:type="dxa"/>
            <w:vAlign w:val="bottom"/>
            <w:gridSpan w:val="2"/>
          </w:tcPr>
          <w:p>
            <w:pPr>
              <w:jc w:val="right"/>
              <w:spacing w:after="0"/>
              <w:rPr>
                <w:rFonts w:ascii="Arial" w:cs="Arial" w:eastAsia="Arial" w:hAnsi="Arial"/>
                <w:sz w:val="13"/>
                <w:szCs w:val="13"/>
                <w:color w:val="0000EE"/>
              </w:rPr>
            </w:pPr>
            <w:hyperlink w:anchor="page381">
              <w:r>
                <w:rPr>
                  <w:rFonts w:ascii="Arial" w:cs="Arial" w:eastAsia="Arial" w:hAnsi="Arial"/>
                  <w:sz w:val="13"/>
                  <w:szCs w:val="13"/>
                  <w:color w:val="0000EE"/>
                </w:rPr>
                <w:t>41</w:t>
              </w:r>
            </w:hyperlink>
          </w:p>
        </w:tc>
      </w:tr>
      <w:tr>
        <w:trPr>
          <w:trHeight w:val="210"/>
        </w:trPr>
        <w:tc>
          <w:tcPr>
            <w:tcW w:w="3300" w:type="dxa"/>
            <w:vAlign w:val="bottom"/>
            <w:gridSpan w:val="14"/>
          </w:tcPr>
          <w:p>
            <w:pPr>
              <w:spacing w:after="0"/>
              <w:rPr>
                <w:rFonts w:ascii="Arial" w:cs="Arial" w:eastAsia="Arial" w:hAnsi="Arial"/>
                <w:sz w:val="13"/>
                <w:szCs w:val="13"/>
                <w:color w:val="0000EE"/>
              </w:rPr>
            </w:pPr>
            <w:hyperlink w:anchor="page382">
              <w:r>
                <w:rPr>
                  <w:rFonts w:ascii="Arial" w:cs="Arial" w:eastAsia="Arial" w:hAnsi="Arial"/>
                  <w:sz w:val="13"/>
                  <w:szCs w:val="13"/>
                  <w:color w:val="0000EE"/>
                </w:rPr>
                <w:t>PART B – CREDIT B CONDITIONS PRECEDENT</w:t>
              </w:r>
            </w:hyperlink>
          </w:p>
        </w:tc>
        <w:tc>
          <w:tcPr>
            <w:tcW w:w="360" w:type="dxa"/>
            <w:vAlign w:val="bottom"/>
            <w:gridSpan w:val="3"/>
          </w:tcPr>
          <w:p>
            <w:pPr>
              <w:jc w:val="right"/>
              <w:ind w:right="80"/>
              <w:spacing w:after="0"/>
              <w:rPr>
                <w:rFonts w:ascii="Arial" w:cs="Arial" w:eastAsia="Arial" w:hAnsi="Arial"/>
                <w:sz w:val="13"/>
                <w:szCs w:val="13"/>
                <w:color w:val="0000EE"/>
              </w:rPr>
            </w:pPr>
            <w:hyperlink w:anchor="page382">
              <w:r>
                <w:rPr>
                  <w:rFonts w:ascii="Arial" w:cs="Arial" w:eastAsia="Arial" w:hAnsi="Arial"/>
                  <w:sz w:val="13"/>
                  <w:szCs w:val="13"/>
                  <w:color w:val="0000EE"/>
                </w:rPr>
                <w:t>42</w:t>
              </w:r>
            </w:hyperlink>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3300" w:type="dxa"/>
            <w:vAlign w:val="bottom"/>
            <w:gridSpan w:val="14"/>
          </w:tcPr>
          <w:p>
            <w:pPr>
              <w:spacing w:after="0"/>
              <w:rPr>
                <w:rFonts w:ascii="Arial" w:cs="Arial" w:eastAsia="Arial" w:hAnsi="Arial"/>
                <w:sz w:val="13"/>
                <w:szCs w:val="13"/>
                <w:color w:val="0000EE"/>
              </w:rPr>
            </w:pPr>
            <w:hyperlink w:anchor="page382">
              <w:r>
                <w:rPr>
                  <w:rFonts w:ascii="Arial" w:cs="Arial" w:eastAsia="Arial" w:hAnsi="Arial"/>
                  <w:sz w:val="13"/>
                  <w:szCs w:val="13"/>
                  <w:color w:val="0000EE"/>
                </w:rPr>
                <w:t>PART C – GUARANTOR CONDITIONS PRECEDENT</w:t>
              </w:r>
            </w:hyperlink>
          </w:p>
        </w:tc>
        <w:tc>
          <w:tcPr>
            <w:tcW w:w="2300" w:type="dxa"/>
            <w:vAlign w:val="bottom"/>
            <w:gridSpan w:val="5"/>
          </w:tcPr>
          <w:p>
            <w:pPr>
              <w:jc w:val="right"/>
              <w:ind w:right="1800"/>
              <w:spacing w:after="0"/>
              <w:rPr>
                <w:rFonts w:ascii="Arial" w:cs="Arial" w:eastAsia="Arial" w:hAnsi="Arial"/>
                <w:sz w:val="13"/>
                <w:szCs w:val="13"/>
                <w:color w:val="0000EE"/>
              </w:rPr>
            </w:pPr>
            <w:hyperlink w:anchor="page382">
              <w:r>
                <w:rPr>
                  <w:rFonts w:ascii="Arial" w:cs="Arial" w:eastAsia="Arial" w:hAnsi="Arial"/>
                  <w:sz w:val="13"/>
                  <w:szCs w:val="13"/>
                  <w:color w:val="0000EE"/>
                </w:rPr>
                <w:t>42</w:t>
              </w:r>
            </w:hyperlink>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900" w:type="dxa"/>
            <w:vAlign w:val="bottom"/>
            <w:tcBorders>
              <w:top w:val="single" w:sz="8" w:color="0000EE"/>
              <w:bottom w:val="single" w:sz="8" w:color="0000EE"/>
            </w:tcBorders>
            <w:gridSpan w:val="3"/>
          </w:tcPr>
          <w:p>
            <w:pPr>
              <w:spacing w:after="0"/>
              <w:rPr>
                <w:rFonts w:ascii="Arial" w:cs="Arial" w:eastAsia="Arial" w:hAnsi="Arial"/>
                <w:sz w:val="13"/>
                <w:szCs w:val="13"/>
                <w:b w:val="1"/>
                <w:bCs w:val="1"/>
                <w:color w:val="0000EE"/>
              </w:rPr>
            </w:pPr>
            <w:hyperlink w:anchor="page384">
              <w:r>
                <w:rPr>
                  <w:rFonts w:ascii="Arial" w:cs="Arial" w:eastAsia="Arial" w:hAnsi="Arial"/>
                  <w:sz w:val="13"/>
                  <w:szCs w:val="13"/>
                  <w:b w:val="1"/>
                  <w:bCs w:val="1"/>
                  <w:color w:val="0000EE"/>
                </w:rPr>
                <w:t>SCHEDULE G</w:t>
              </w:r>
            </w:hyperlink>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bottom w:val="single" w:sz="8" w:color="0000EE"/>
            </w:tcBorders>
            <w:gridSpan w:val="3"/>
          </w:tcPr>
          <w:p>
            <w:pPr>
              <w:jc w:val="right"/>
              <w:spacing w:after="0"/>
              <w:rPr>
                <w:rFonts w:ascii="Arial" w:cs="Arial" w:eastAsia="Arial" w:hAnsi="Arial"/>
                <w:sz w:val="13"/>
                <w:szCs w:val="13"/>
                <w:b w:val="1"/>
                <w:bCs w:val="1"/>
                <w:color w:val="0000EE"/>
                <w:w w:val="96"/>
              </w:rPr>
            </w:pPr>
            <w:hyperlink w:anchor="page384">
              <w:r>
                <w:rPr>
                  <w:rFonts w:ascii="Arial" w:cs="Arial" w:eastAsia="Arial" w:hAnsi="Arial"/>
                  <w:sz w:val="13"/>
                  <w:szCs w:val="13"/>
                  <w:b w:val="1"/>
                  <w:bCs w:val="1"/>
                  <w:color w:val="0000EE"/>
                  <w:w w:val="96"/>
                </w:rPr>
                <w:t>44</w:t>
              </w:r>
            </w:hyperlink>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0"/>
        </w:trPr>
        <w:tc>
          <w:tcPr>
            <w:tcW w:w="2680" w:type="dxa"/>
            <w:vAlign w:val="bottom"/>
            <w:gridSpan w:val="11"/>
          </w:tcPr>
          <w:p>
            <w:pPr>
              <w:spacing w:after="0"/>
              <w:rPr>
                <w:sz w:val="20"/>
                <w:szCs w:val="20"/>
                <w:color w:val="auto"/>
              </w:rPr>
            </w:pPr>
            <w:r>
              <w:rPr>
                <w:rFonts w:ascii="Arial" w:cs="Arial" w:eastAsia="Arial" w:hAnsi="Arial"/>
                <w:sz w:val="13"/>
                <w:szCs w:val="13"/>
                <w:color w:val="auto"/>
              </w:rPr>
              <w:t>REPRESENTATIONS AND WARRANTIES</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80"/>
        </w:trPr>
        <w:tc>
          <w:tcPr>
            <w:tcW w:w="840" w:type="dxa"/>
            <w:vAlign w:val="bottom"/>
            <w:gridSpan w:val="2"/>
          </w:tcPr>
          <w:p>
            <w:pPr>
              <w:spacing w:after="0"/>
              <w:rPr>
                <w:rFonts w:ascii="Arial" w:cs="Arial" w:eastAsia="Arial" w:hAnsi="Arial"/>
                <w:sz w:val="13"/>
                <w:szCs w:val="13"/>
                <w:b w:val="1"/>
                <w:bCs w:val="1"/>
                <w:color w:val="0000EE"/>
                <w:w w:val="94"/>
              </w:rPr>
            </w:pPr>
            <w:hyperlink w:anchor="page387">
              <w:r>
                <w:rPr>
                  <w:rFonts w:ascii="Arial" w:cs="Arial" w:eastAsia="Arial" w:hAnsi="Arial"/>
                  <w:sz w:val="13"/>
                  <w:szCs w:val="13"/>
                  <w:b w:val="1"/>
                  <w:bCs w:val="1"/>
                  <w:color w:val="0000EE"/>
                  <w:w w:val="94"/>
                </w:rPr>
                <w:t>SCHEDULE H</w:t>
              </w:r>
            </w:hyperlink>
          </w:p>
        </w:tc>
        <w:tc>
          <w:tcPr>
            <w:tcW w:w="60" w:type="dxa"/>
            <w:vAlign w:val="bottom"/>
          </w:tcPr>
          <w:p>
            <w:pPr>
              <w:spacing w:after="0"/>
              <w:rPr>
                <w:sz w:val="15"/>
                <w:szCs w:val="15"/>
                <w:color w:val="auto"/>
              </w:rPr>
            </w:pPr>
          </w:p>
        </w:tc>
        <w:tc>
          <w:tcPr>
            <w:tcW w:w="600" w:type="dxa"/>
            <w:vAlign w:val="bottom"/>
            <w:gridSpan w:val="4"/>
          </w:tcPr>
          <w:p>
            <w:pPr>
              <w:jc w:val="right"/>
              <w:ind w:right="20"/>
              <w:spacing w:after="0"/>
              <w:rPr>
                <w:rFonts w:ascii="Arial" w:cs="Arial" w:eastAsia="Arial" w:hAnsi="Arial"/>
                <w:sz w:val="13"/>
                <w:szCs w:val="13"/>
                <w:b w:val="1"/>
                <w:bCs w:val="1"/>
                <w:color w:val="0000EE"/>
              </w:rPr>
            </w:pPr>
            <w:hyperlink w:anchor="page387">
              <w:r>
                <w:rPr>
                  <w:rFonts w:ascii="Arial" w:cs="Arial" w:eastAsia="Arial" w:hAnsi="Arial"/>
                  <w:sz w:val="13"/>
                  <w:szCs w:val="13"/>
                  <w:b w:val="1"/>
                  <w:bCs w:val="1"/>
                  <w:color w:val="0000EE"/>
                </w:rPr>
                <w:t>47</w:t>
              </w:r>
            </w:hyperlink>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0"/>
        </w:trPr>
        <w:tc>
          <w:tcPr>
            <w:tcW w:w="1760" w:type="dxa"/>
            <w:vAlign w:val="bottom"/>
            <w:gridSpan w:val="8"/>
          </w:tcPr>
          <w:p>
            <w:pPr>
              <w:spacing w:after="0"/>
              <w:rPr>
                <w:sz w:val="20"/>
                <w:szCs w:val="20"/>
                <w:color w:val="auto"/>
              </w:rPr>
            </w:pPr>
            <w:r>
              <w:rPr>
                <w:rFonts w:ascii="Arial" w:cs="Arial" w:eastAsia="Arial" w:hAnsi="Arial"/>
                <w:sz w:val="13"/>
                <w:szCs w:val="13"/>
                <w:color w:val="auto"/>
              </w:rPr>
              <w:t>GENERAL UNDERTAKINGS</w:t>
            </w: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47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900" w:type="dxa"/>
            <w:vAlign w:val="bottom"/>
            <w:gridSpan w:val="3"/>
          </w:tcPr>
          <w:p>
            <w:pPr>
              <w:spacing w:after="0"/>
              <w:rPr>
                <w:rFonts w:ascii="Arial" w:cs="Arial" w:eastAsia="Arial" w:hAnsi="Arial"/>
                <w:sz w:val="13"/>
                <w:szCs w:val="13"/>
                <w:b w:val="1"/>
                <w:bCs w:val="1"/>
                <w:color w:val="0000EE"/>
              </w:rPr>
            </w:pPr>
            <w:hyperlink w:anchor="page396">
              <w:r>
                <w:rPr>
                  <w:rFonts w:ascii="Arial" w:cs="Arial" w:eastAsia="Arial" w:hAnsi="Arial"/>
                  <w:sz w:val="13"/>
                  <w:szCs w:val="13"/>
                  <w:b w:val="1"/>
                  <w:bCs w:val="1"/>
                  <w:color w:val="0000EE"/>
                </w:rPr>
                <w:t>SCHEDULE I</w:t>
              </w:r>
            </w:hyperlink>
          </w:p>
        </w:tc>
        <w:tc>
          <w:tcPr>
            <w:tcW w:w="560" w:type="dxa"/>
            <w:vAlign w:val="bottom"/>
            <w:gridSpan w:val="3"/>
          </w:tcPr>
          <w:p>
            <w:pPr>
              <w:jc w:val="right"/>
              <w:ind w:right="40"/>
              <w:spacing w:after="0"/>
              <w:rPr>
                <w:rFonts w:ascii="Arial" w:cs="Arial" w:eastAsia="Arial" w:hAnsi="Arial"/>
                <w:sz w:val="13"/>
                <w:szCs w:val="13"/>
                <w:b w:val="1"/>
                <w:bCs w:val="1"/>
                <w:color w:val="0000EE"/>
              </w:rPr>
            </w:pPr>
            <w:hyperlink w:anchor="page396">
              <w:r>
                <w:rPr>
                  <w:rFonts w:ascii="Arial" w:cs="Arial" w:eastAsia="Arial" w:hAnsi="Arial"/>
                  <w:sz w:val="13"/>
                  <w:szCs w:val="13"/>
                  <w:b w:val="1"/>
                  <w:bCs w:val="1"/>
                  <w:color w:val="0000EE"/>
                </w:rPr>
                <w:t>56</w:t>
              </w:r>
            </w:hyperlink>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0"/>
        </w:trPr>
        <w:tc>
          <w:tcPr>
            <w:tcW w:w="1760" w:type="dxa"/>
            <w:vAlign w:val="bottom"/>
            <w:gridSpan w:val="8"/>
          </w:tcPr>
          <w:p>
            <w:pPr>
              <w:spacing w:after="0"/>
              <w:rPr>
                <w:sz w:val="20"/>
                <w:szCs w:val="20"/>
                <w:color w:val="auto"/>
              </w:rPr>
            </w:pPr>
            <w:r>
              <w:rPr>
                <w:rFonts w:ascii="Arial" w:cs="Arial" w:eastAsia="Arial" w:hAnsi="Arial"/>
                <w:sz w:val="13"/>
                <w:szCs w:val="13"/>
                <w:color w:val="auto"/>
              </w:rPr>
              <w:t>INFORMATION AND VISITS</w:t>
            </w:r>
          </w:p>
        </w:tc>
        <w:tc>
          <w:tcPr>
            <w:tcW w:w="920" w:type="dxa"/>
            <w:vAlign w:val="bottom"/>
            <w:gridSpan w:val="3"/>
          </w:tcPr>
          <w:p>
            <w:pPr>
              <w:jc w:val="right"/>
              <w:ind w:right="360"/>
              <w:spacing w:after="0"/>
              <w:rPr>
                <w:sz w:val="20"/>
                <w:szCs w:val="20"/>
                <w:color w:val="auto"/>
              </w:rPr>
            </w:pPr>
            <w:r>
              <w:rPr>
                <w:rFonts w:ascii="Arial" w:cs="Arial" w:eastAsia="Arial" w:hAnsi="Arial"/>
                <w:sz w:val="13"/>
                <w:szCs w:val="13"/>
                <w:color w:val="auto"/>
              </w:rPr>
              <w:t>56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840" w:type="dxa"/>
            <w:vAlign w:val="bottom"/>
            <w:gridSpan w:val="2"/>
          </w:tcPr>
          <w:p>
            <w:pPr>
              <w:spacing w:after="0"/>
              <w:rPr>
                <w:rFonts w:ascii="Arial" w:cs="Arial" w:eastAsia="Arial" w:hAnsi="Arial"/>
                <w:sz w:val="13"/>
                <w:szCs w:val="13"/>
                <w:b w:val="1"/>
                <w:bCs w:val="1"/>
                <w:color w:val="0000EE"/>
                <w:w w:val="97"/>
              </w:rPr>
            </w:pPr>
            <w:hyperlink w:anchor="page401">
              <w:r>
                <w:rPr>
                  <w:rFonts w:ascii="Arial" w:cs="Arial" w:eastAsia="Arial" w:hAnsi="Arial"/>
                  <w:sz w:val="13"/>
                  <w:szCs w:val="13"/>
                  <w:b w:val="1"/>
                  <w:bCs w:val="1"/>
                  <w:color w:val="0000EE"/>
                  <w:w w:val="97"/>
                </w:rPr>
                <w:t>SCHEDULE J</w:t>
              </w:r>
            </w:hyperlink>
          </w:p>
        </w:tc>
        <w:tc>
          <w:tcPr>
            <w:tcW w:w="60" w:type="dxa"/>
            <w:vAlign w:val="bottom"/>
          </w:tcPr>
          <w:p>
            <w:pPr>
              <w:spacing w:after="0"/>
              <w:rPr>
                <w:sz w:val="16"/>
                <w:szCs w:val="16"/>
                <w:color w:val="auto"/>
              </w:rPr>
            </w:pPr>
          </w:p>
        </w:tc>
        <w:tc>
          <w:tcPr>
            <w:tcW w:w="560" w:type="dxa"/>
            <w:vAlign w:val="bottom"/>
            <w:gridSpan w:val="3"/>
          </w:tcPr>
          <w:p>
            <w:pPr>
              <w:jc w:val="right"/>
              <w:spacing w:after="0"/>
              <w:rPr>
                <w:rFonts w:ascii="Arial" w:cs="Arial" w:eastAsia="Arial" w:hAnsi="Arial"/>
                <w:sz w:val="13"/>
                <w:szCs w:val="13"/>
                <w:b w:val="1"/>
                <w:bCs w:val="1"/>
                <w:color w:val="0000EE"/>
              </w:rPr>
            </w:pPr>
            <w:hyperlink w:anchor="page401">
              <w:r>
                <w:rPr>
                  <w:rFonts w:ascii="Arial" w:cs="Arial" w:eastAsia="Arial" w:hAnsi="Arial"/>
                  <w:sz w:val="13"/>
                  <w:szCs w:val="13"/>
                  <w:b w:val="1"/>
                  <w:bCs w:val="1"/>
                  <w:color w:val="0000EE"/>
                </w:rPr>
                <w:t>61</w:t>
              </w:r>
            </w:hyperlink>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0"/>
        </w:trPr>
        <w:tc>
          <w:tcPr>
            <w:tcW w:w="1760" w:type="dxa"/>
            <w:vAlign w:val="bottom"/>
            <w:gridSpan w:val="8"/>
          </w:tcPr>
          <w:p>
            <w:pPr>
              <w:spacing w:after="0"/>
              <w:rPr>
                <w:sz w:val="20"/>
                <w:szCs w:val="20"/>
                <w:color w:val="auto"/>
              </w:rPr>
            </w:pPr>
            <w:r>
              <w:rPr>
                <w:rFonts w:ascii="Arial" w:cs="Arial" w:eastAsia="Arial" w:hAnsi="Arial"/>
                <w:sz w:val="13"/>
                <w:szCs w:val="13"/>
                <w:color w:val="auto"/>
              </w:rPr>
              <w:t>EXISTING INDEBTEDNESS</w:t>
            </w:r>
          </w:p>
        </w:tc>
        <w:tc>
          <w:tcPr>
            <w:tcW w:w="920" w:type="dxa"/>
            <w:vAlign w:val="bottom"/>
            <w:gridSpan w:val="3"/>
          </w:tcPr>
          <w:p>
            <w:pPr>
              <w:jc w:val="right"/>
              <w:ind w:right="380"/>
              <w:spacing w:after="0"/>
              <w:rPr>
                <w:sz w:val="20"/>
                <w:szCs w:val="20"/>
                <w:color w:val="auto"/>
              </w:rPr>
            </w:pPr>
            <w:r>
              <w:rPr>
                <w:rFonts w:ascii="Arial" w:cs="Arial" w:eastAsia="Arial" w:hAnsi="Arial"/>
                <w:sz w:val="13"/>
                <w:szCs w:val="13"/>
                <w:color w:val="auto"/>
              </w:rPr>
              <w:t>61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80"/>
        </w:trPr>
        <w:tc>
          <w:tcPr>
            <w:tcW w:w="840" w:type="dxa"/>
            <w:vAlign w:val="bottom"/>
            <w:gridSpan w:val="2"/>
          </w:tcPr>
          <w:p>
            <w:pPr>
              <w:spacing w:after="0"/>
              <w:rPr>
                <w:rFonts w:ascii="Arial" w:cs="Arial" w:eastAsia="Arial" w:hAnsi="Arial"/>
                <w:sz w:val="13"/>
                <w:szCs w:val="13"/>
                <w:b w:val="1"/>
                <w:bCs w:val="1"/>
                <w:color w:val="0000EE"/>
                <w:w w:val="94"/>
              </w:rPr>
            </w:pPr>
            <w:hyperlink w:anchor="page402">
              <w:r>
                <w:rPr>
                  <w:rFonts w:ascii="Arial" w:cs="Arial" w:eastAsia="Arial" w:hAnsi="Arial"/>
                  <w:sz w:val="13"/>
                  <w:szCs w:val="13"/>
                  <w:b w:val="1"/>
                  <w:bCs w:val="1"/>
                  <w:color w:val="0000EE"/>
                  <w:w w:val="94"/>
                </w:rPr>
                <w:t>SCHEDULE K</w:t>
              </w:r>
            </w:hyperlink>
          </w:p>
        </w:tc>
        <w:tc>
          <w:tcPr>
            <w:tcW w:w="60" w:type="dxa"/>
            <w:vAlign w:val="bottom"/>
          </w:tcPr>
          <w:p>
            <w:pPr>
              <w:spacing w:after="0"/>
              <w:rPr>
                <w:sz w:val="15"/>
                <w:szCs w:val="15"/>
                <w:color w:val="auto"/>
              </w:rPr>
            </w:pPr>
          </w:p>
        </w:tc>
        <w:tc>
          <w:tcPr>
            <w:tcW w:w="600" w:type="dxa"/>
            <w:vAlign w:val="bottom"/>
            <w:gridSpan w:val="4"/>
          </w:tcPr>
          <w:p>
            <w:pPr>
              <w:jc w:val="right"/>
              <w:ind w:right="20"/>
              <w:spacing w:after="0"/>
              <w:rPr>
                <w:rFonts w:ascii="Arial" w:cs="Arial" w:eastAsia="Arial" w:hAnsi="Arial"/>
                <w:sz w:val="13"/>
                <w:szCs w:val="13"/>
                <w:b w:val="1"/>
                <w:bCs w:val="1"/>
                <w:color w:val="0000EE"/>
              </w:rPr>
            </w:pPr>
            <w:hyperlink w:anchor="page402">
              <w:r>
                <w:rPr>
                  <w:rFonts w:ascii="Arial" w:cs="Arial" w:eastAsia="Arial" w:hAnsi="Arial"/>
                  <w:sz w:val="13"/>
                  <w:szCs w:val="13"/>
                  <w:b w:val="1"/>
                  <w:bCs w:val="1"/>
                  <w:color w:val="0000EE"/>
                </w:rPr>
                <w:t>62</w:t>
              </w:r>
            </w:hyperlink>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340" w:type="dxa"/>
            <w:vAlign w:val="bottom"/>
            <w:gridSpan w:val="4"/>
          </w:tcPr>
          <w:p>
            <w:pPr>
              <w:spacing w:after="0"/>
              <w:rPr>
                <w:rFonts w:ascii="Arial" w:cs="Arial" w:eastAsia="Arial" w:hAnsi="Arial"/>
                <w:sz w:val="13"/>
                <w:szCs w:val="13"/>
                <w:color w:val="0000EE"/>
                <w:w w:val="99"/>
              </w:rPr>
            </w:pPr>
            <w:hyperlink w:anchor="page402">
              <w:r>
                <w:rPr>
                  <w:rFonts w:ascii="Arial" w:cs="Arial" w:eastAsia="Arial" w:hAnsi="Arial"/>
                  <w:sz w:val="13"/>
                  <w:szCs w:val="13"/>
                  <w:color w:val="0000EE"/>
                  <w:w w:val="99"/>
                </w:rPr>
                <w:t>EXISTING SECURITY</w:t>
              </w:r>
            </w:hyperlink>
          </w:p>
        </w:tc>
        <w:tc>
          <w:tcPr>
            <w:tcW w:w="42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740"/>
              <w:spacing w:after="0"/>
              <w:rPr>
                <w:rFonts w:ascii="Arial" w:cs="Arial" w:eastAsia="Arial" w:hAnsi="Arial"/>
                <w:sz w:val="13"/>
                <w:szCs w:val="13"/>
                <w:color w:val="0000EE"/>
                <w:w w:val="82"/>
              </w:rPr>
            </w:pPr>
            <w:hyperlink w:anchor="page402">
              <w:r>
                <w:rPr>
                  <w:rFonts w:ascii="Arial" w:cs="Arial" w:eastAsia="Arial" w:hAnsi="Arial"/>
                  <w:sz w:val="13"/>
                  <w:szCs w:val="13"/>
                  <w:color w:val="0000EE"/>
                  <w:w w:val="82"/>
                </w:rPr>
                <w:t>62</w:t>
              </w:r>
            </w:hyperlink>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3" w:name="page344"/>
    <w:bookmarkEnd w:id="343"/>
    <w:p>
      <w:pPr>
        <w:spacing w:after="0" w:line="18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THIS CONTRACT IS MADE ON _12 DECEMBER 2019 BETWEEN:</w:t>
      </w:r>
    </w:p>
    <w:p>
      <w:pPr>
        <w:spacing w:after="0" w:line="200" w:lineRule="exact"/>
        <w:rPr>
          <w:sz w:val="20"/>
          <w:szCs w:val="20"/>
          <w:color w:val="auto"/>
        </w:rPr>
      </w:pPr>
    </w:p>
    <w:p>
      <w:pPr>
        <w:spacing w:after="0" w:line="286" w:lineRule="exact"/>
        <w:rPr>
          <w:sz w:val="20"/>
          <w:szCs w:val="20"/>
          <w:color w:val="auto"/>
        </w:rPr>
      </w:pPr>
    </w:p>
    <w:p>
      <w:pPr>
        <w:jc w:val="both"/>
        <w:ind w:left="360" w:right="500"/>
        <w:spacing w:after="0" w:line="249" w:lineRule="auto"/>
        <w:rPr>
          <w:sz w:val="20"/>
          <w:szCs w:val="20"/>
          <w:color w:val="auto"/>
        </w:rPr>
      </w:pPr>
      <w:r>
        <w:rPr>
          <w:rFonts w:ascii="Arial" w:cs="Arial" w:eastAsia="Arial" w:hAnsi="Arial"/>
          <w:sz w:val="13"/>
          <w:szCs w:val="13"/>
          <w:color w:val="auto"/>
        </w:rPr>
        <w:t>The European Investment Bank having its seat at 100 blvd Konrad Adenauer, Luxembourg, L-2950 Luxembourg, represented by Hristo Stoykov, Head of Division and Stefan Becker, Senior Counsel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360" w:right="500"/>
        <w:spacing w:after="0" w:line="250" w:lineRule="auto"/>
        <w:rPr>
          <w:sz w:val="20"/>
          <w:szCs w:val="20"/>
          <w:color w:val="auto"/>
        </w:rPr>
      </w:pPr>
      <w:r>
        <w:rPr>
          <w:rFonts w:ascii="Arial" w:cs="Arial" w:eastAsia="Arial" w:hAnsi="Arial"/>
          <w:sz w:val="13"/>
          <w:szCs w:val="13"/>
          <w:color w:val="auto"/>
        </w:rPr>
        <w:t>BioNTech SE a European public limited- liability company (</w:t>
      </w:r>
      <w:r>
        <w:rPr>
          <w:rFonts w:ascii="Arial" w:cs="Arial" w:eastAsia="Arial" w:hAnsi="Arial"/>
          <w:sz w:val="13"/>
          <w:szCs w:val="13"/>
          <w:i w:val="1"/>
          <w:iCs w:val="1"/>
          <w:color w:val="auto"/>
        </w:rPr>
        <w:t>Europäische Gesellschaft</w:t>
      </w:r>
      <w:r>
        <w:rPr>
          <w:rFonts w:ascii="Arial" w:cs="Arial" w:eastAsia="Arial" w:hAnsi="Arial"/>
          <w:sz w:val="13"/>
          <w:szCs w:val="13"/>
          <w:color w:val="auto"/>
        </w:rPr>
        <w:t>) incorporated in Germany, having its registered office at An der Goldgrube 12, D-55131 Mainz, Germany, registered with the commercial register (</w:t>
      </w:r>
      <w:r>
        <w:rPr>
          <w:rFonts w:ascii="Arial" w:cs="Arial" w:eastAsia="Arial" w:hAnsi="Arial"/>
          <w:sz w:val="13"/>
          <w:szCs w:val="13"/>
          <w:i w:val="1"/>
          <w:iCs w:val="1"/>
          <w:color w:val="auto"/>
        </w:rPr>
        <w:t>Handelsregister</w:t>
      </w:r>
      <w:r>
        <w:rPr>
          <w:rFonts w:ascii="Arial" w:cs="Arial" w:eastAsia="Arial" w:hAnsi="Arial"/>
          <w:sz w:val="13"/>
          <w:szCs w:val="13"/>
          <w:color w:val="auto"/>
        </w:rPr>
        <w:t>) of the local court (</w:t>
      </w:r>
      <w:r>
        <w:rPr>
          <w:rFonts w:ascii="Arial" w:cs="Arial" w:eastAsia="Arial" w:hAnsi="Arial"/>
          <w:sz w:val="13"/>
          <w:szCs w:val="13"/>
          <w:i w:val="1"/>
          <w:iCs w:val="1"/>
          <w:color w:val="auto"/>
        </w:rPr>
        <w:t>Amtsgericht</w:t>
      </w:r>
      <w:r>
        <w:rPr>
          <w:rFonts w:ascii="Arial" w:cs="Arial" w:eastAsia="Arial" w:hAnsi="Arial"/>
          <w:sz w:val="13"/>
          <w:szCs w:val="13"/>
          <w:color w:val="auto"/>
        </w:rPr>
        <w:t>) of Mainz under HRB 48720, represented by Dr. Sierk Poetting, CFO &amp; COO (</w:t>
      </w:r>
      <w:r>
        <w:rPr>
          <w:rFonts w:ascii="Arial" w:cs="Arial" w:eastAsia="Arial" w:hAnsi="Arial"/>
          <w:sz w:val="13"/>
          <w:szCs w:val="13"/>
          <w:i w:val="1"/>
          <w:iCs w:val="1"/>
          <w:color w:val="auto"/>
        </w:rPr>
        <w:t>Vorstand</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Exhibit 4.41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Bank</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Borrower</w:t>
      </w:r>
      <w:r>
        <w:rPr>
          <w:rFonts w:ascii="Arial" w:cs="Arial" w:eastAsia="Arial" w:hAnsi="Arial"/>
          <w:sz w:val="13"/>
          <w:szCs w:val="13"/>
          <w:color w:val="auto"/>
        </w:rPr>
        <w:t>")</w:t>
      </w:r>
    </w:p>
    <w:p>
      <w:pPr>
        <w:sectPr>
          <w:pgSz w:w="11900" w:h="16838" w:orient="portrait"/>
          <w:cols w:equalWidth="0" w:num="2">
            <w:col w:w="6120" w:space="720"/>
            <w:col w:w="4420"/>
          </w:cols>
          <w:pgMar w:left="320" w:top="126" w:right="3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WHEREAS:</w:t>
      </w:r>
    </w:p>
    <w:p>
      <w:pPr>
        <w:spacing w:after="0" w:line="96" w:lineRule="exact"/>
        <w:rPr>
          <w:sz w:val="20"/>
          <w:szCs w:val="20"/>
          <w:color w:val="auto"/>
        </w:rPr>
      </w:pPr>
    </w:p>
    <w:p>
      <w:pPr>
        <w:ind w:left="1420" w:right="300" w:hanging="700"/>
        <w:spacing w:after="0" w:line="249" w:lineRule="auto"/>
        <w:tabs>
          <w:tab w:leader="none" w:pos="142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The Borrower has stated that it is implementing an investment programme relating to R&amp;D investments for the development of patient-tailored therapeutic vaccines for cancer in Germany as more particularly described in the technical description (the "</w:t>
      </w:r>
      <w:r>
        <w:rPr>
          <w:rFonts w:ascii="Arial" w:cs="Arial" w:eastAsia="Arial" w:hAnsi="Arial"/>
          <w:sz w:val="13"/>
          <w:szCs w:val="13"/>
          <w:b w:val="1"/>
          <w:bCs w:val="1"/>
          <w:color w:val="auto"/>
        </w:rPr>
        <w:t>Technical Description</w:t>
      </w:r>
      <w:r>
        <w:rPr>
          <w:rFonts w:ascii="Arial" w:cs="Arial" w:eastAsia="Arial" w:hAnsi="Arial"/>
          <w:sz w:val="13"/>
          <w:szCs w:val="13"/>
          <w:color w:val="auto"/>
        </w:rPr>
        <w:t xml:space="preserve">") set out in </w:t>
      </w:r>
      <w:hyperlink w:anchor="page372">
        <w:r>
          <w:rPr>
            <w:rFonts w:ascii="Arial" w:cs="Arial" w:eastAsia="Arial" w:hAnsi="Arial"/>
            <w:sz w:val="13"/>
            <w:szCs w:val="13"/>
            <w:u w:val="single" w:color="auto"/>
            <w:color w:val="0000EE"/>
          </w:rPr>
          <w:t>Schedule A</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Investment</w:t>
      </w:r>
      <w:r>
        <w:rPr>
          <w:rFonts w:ascii="Arial" w:cs="Arial" w:eastAsia="Arial" w:hAnsi="Arial"/>
          <w:sz w:val="13"/>
          <w:szCs w:val="13"/>
          <w:color w:val="auto"/>
        </w:rPr>
        <w:t xml:space="preserve"> </w:t>
      </w:r>
      <w:r>
        <w:rPr>
          <w:rFonts w:ascii="Arial" w:cs="Arial" w:eastAsia="Arial" w:hAnsi="Arial"/>
          <w:sz w:val="13"/>
          <w:szCs w:val="13"/>
          <w:i w:val="1"/>
          <w:iCs w:val="1"/>
          <w:color w:val="auto"/>
        </w:rPr>
        <w:t>Specification and Reporting</w:t>
      </w:r>
      <w:r>
        <w:rPr>
          <w:rFonts w:ascii="Arial" w:cs="Arial" w:eastAsia="Arial" w:hAnsi="Arial"/>
          <w:sz w:val="13"/>
          <w:szCs w:val="13"/>
          <w:color w:val="auto"/>
        </w:rPr>
        <w:t>) (the "</w:t>
      </w:r>
      <w:r>
        <w:rPr>
          <w:rFonts w:ascii="Arial" w:cs="Arial" w:eastAsia="Arial" w:hAnsi="Arial"/>
          <w:sz w:val="13"/>
          <w:szCs w:val="13"/>
          <w:b w:val="1"/>
          <w:bCs w:val="1"/>
          <w:color w:val="auto"/>
        </w:rPr>
        <w:t>Investment</w:t>
      </w:r>
      <w:r>
        <w:rPr>
          <w:rFonts w:ascii="Arial" w:cs="Arial" w:eastAsia="Arial" w:hAnsi="Arial"/>
          <w:sz w:val="13"/>
          <w:szCs w:val="13"/>
          <w:color w:val="auto"/>
        </w:rPr>
        <w:t>"). The total cost of the Investment, as estimated by the Bank, is EUR [***].</w:t>
      </w:r>
    </w:p>
    <w:p>
      <w:pPr>
        <w:spacing w:after="0" w:line="64" w:lineRule="exact"/>
        <w:rPr>
          <w:rFonts w:ascii="Arial" w:cs="Arial" w:eastAsia="Arial" w:hAnsi="Arial"/>
          <w:sz w:val="13"/>
          <w:szCs w:val="13"/>
          <w:color w:val="auto"/>
        </w:rPr>
      </w:pPr>
    </w:p>
    <w:p>
      <w:pPr>
        <w:ind w:left="1420" w:right="160" w:hanging="700"/>
        <w:spacing w:after="0" w:line="245" w:lineRule="auto"/>
        <w:tabs>
          <w:tab w:leader="none" w:pos="142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The Bank, considering that the financing of the Investment falls within the scope of its functions, agreed to provide the Borrower with a credit (including a profit participation credit (</w:t>
      </w:r>
      <w:r>
        <w:rPr>
          <w:rFonts w:ascii="Arial" w:cs="Arial" w:eastAsia="Arial" w:hAnsi="Arial"/>
          <w:sz w:val="13"/>
          <w:szCs w:val="13"/>
          <w:i w:val="1"/>
          <w:iCs w:val="1"/>
          <w:color w:val="auto"/>
        </w:rPr>
        <w:t>partiarisches Darlehen</w:t>
      </w:r>
      <w:r>
        <w:rPr>
          <w:rFonts w:ascii="Arial" w:cs="Arial" w:eastAsia="Arial" w:hAnsi="Arial"/>
          <w:sz w:val="13"/>
          <w:szCs w:val="13"/>
          <w:color w:val="auto"/>
        </w:rPr>
        <w:t>)) in an amount of EUR 50,000,000 (fifty million euro) under this finance contract (the "</w:t>
      </w:r>
      <w:r>
        <w:rPr>
          <w:rFonts w:ascii="Arial" w:cs="Arial" w:eastAsia="Arial" w:hAnsi="Arial"/>
          <w:sz w:val="13"/>
          <w:szCs w:val="13"/>
          <w:b w:val="1"/>
          <w:bCs w:val="1"/>
          <w:color w:val="auto"/>
        </w:rPr>
        <w:t>Contract</w:t>
      </w:r>
      <w:r>
        <w:rPr>
          <w:rFonts w:ascii="Arial" w:cs="Arial" w:eastAsia="Arial" w:hAnsi="Arial"/>
          <w:sz w:val="13"/>
          <w:szCs w:val="13"/>
          <w:color w:val="auto"/>
        </w:rPr>
        <w:t xml:space="preserve">") to partially finance the Investment; </w:t>
      </w:r>
      <w:r>
        <w:rPr>
          <w:rFonts w:ascii="Arial" w:cs="Arial" w:eastAsia="Arial" w:hAnsi="Arial"/>
          <w:sz w:val="13"/>
          <w:szCs w:val="13"/>
          <w:b w:val="1"/>
          <w:bCs w:val="1"/>
          <w:color w:val="auto"/>
        </w:rPr>
        <w:t>provided that</w:t>
      </w:r>
      <w:r>
        <w:rPr>
          <w:rFonts w:ascii="Arial" w:cs="Arial" w:eastAsia="Arial" w:hAnsi="Arial"/>
          <w:sz w:val="13"/>
          <w:szCs w:val="13"/>
          <w:color w:val="auto"/>
        </w:rPr>
        <w:t xml:space="preserve"> the amount of the loan hereunder shall not, in any case, exceed 50% (fifty per cent.) of the cost of the Investment. The Parties being aware of the differences between a profit participation credit (</w:t>
      </w:r>
      <w:r>
        <w:rPr>
          <w:rFonts w:ascii="Arial" w:cs="Arial" w:eastAsia="Arial" w:hAnsi="Arial"/>
          <w:sz w:val="13"/>
          <w:szCs w:val="13"/>
          <w:i w:val="1"/>
          <w:iCs w:val="1"/>
          <w:color w:val="auto"/>
        </w:rPr>
        <w:t>partiarisches Darlehen</w:t>
      </w:r>
      <w:r>
        <w:rPr>
          <w:rFonts w:ascii="Arial" w:cs="Arial" w:eastAsia="Arial" w:hAnsi="Arial"/>
          <w:sz w:val="13"/>
          <w:szCs w:val="13"/>
          <w:color w:val="auto"/>
        </w:rPr>
        <w:t>) and a silent partnership (</w:t>
      </w:r>
      <w:r>
        <w:rPr>
          <w:rFonts w:ascii="Arial" w:cs="Arial" w:eastAsia="Arial" w:hAnsi="Arial"/>
          <w:sz w:val="13"/>
          <w:szCs w:val="13"/>
          <w:i w:val="1"/>
          <w:iCs w:val="1"/>
          <w:color w:val="auto"/>
        </w:rPr>
        <w:t>stille Gesellschaft</w:t>
      </w:r>
      <w:r>
        <w:rPr>
          <w:rFonts w:ascii="Arial" w:cs="Arial" w:eastAsia="Arial" w:hAnsi="Arial"/>
          <w:sz w:val="13"/>
          <w:szCs w:val="13"/>
          <w:color w:val="auto"/>
        </w:rPr>
        <w:t>), have consciously decided to enter into this Contract.</w:t>
      </w:r>
    </w:p>
    <w:p>
      <w:pPr>
        <w:spacing w:after="0" w:line="40" w:lineRule="exact"/>
        <w:rPr>
          <w:rFonts w:ascii="Arial" w:cs="Arial" w:eastAsia="Arial" w:hAnsi="Arial"/>
          <w:sz w:val="13"/>
          <w:szCs w:val="13"/>
          <w:color w:val="auto"/>
        </w:rPr>
      </w:pPr>
    </w:p>
    <w:p>
      <w:pPr>
        <w:ind w:left="1420" w:hanging="700"/>
        <w:spacing w:after="0"/>
        <w:tabs>
          <w:tab w:leader="none" w:pos="142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This operation benefits from a guarantee from the European Union under the European Fund for Strategic Investments ("</w:t>
      </w:r>
      <w:r>
        <w:rPr>
          <w:rFonts w:ascii="Arial" w:cs="Arial" w:eastAsia="Arial" w:hAnsi="Arial"/>
          <w:sz w:val="13"/>
          <w:szCs w:val="13"/>
          <w:b w:val="1"/>
          <w:bCs w:val="1"/>
          <w:color w:val="auto"/>
        </w:rPr>
        <w:t>EFSI</w:t>
      </w:r>
      <w:r>
        <w:rPr>
          <w:rFonts w:ascii="Arial" w:cs="Arial" w:eastAsia="Arial" w:hAnsi="Arial"/>
          <w:sz w:val="13"/>
          <w:szCs w:val="13"/>
          <w:color w:val="auto"/>
        </w:rPr>
        <w:t>").</w:t>
      </w:r>
    </w:p>
    <w:p>
      <w:pPr>
        <w:spacing w:after="0" w:line="76" w:lineRule="exact"/>
        <w:rPr>
          <w:rFonts w:ascii="Arial" w:cs="Arial" w:eastAsia="Arial" w:hAnsi="Arial"/>
          <w:sz w:val="13"/>
          <w:szCs w:val="13"/>
          <w:color w:val="auto"/>
        </w:rPr>
      </w:pPr>
    </w:p>
    <w:p>
      <w:pPr>
        <w:ind w:left="1420" w:right="700" w:hanging="700"/>
        <w:spacing w:after="0" w:line="258" w:lineRule="auto"/>
        <w:tabs>
          <w:tab w:leader="none" w:pos="142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The statute of the Bank provides that the Bank shall ensure that its funds are used as rationally as possible in the interests of the European Union; and, accordingly, the terms and conditions of the Bank's loan operations must be consistent with relevant policies of the European Union.</w:t>
      </w:r>
    </w:p>
    <w:p>
      <w:pPr>
        <w:spacing w:after="0" w:line="68" w:lineRule="exact"/>
        <w:rPr>
          <w:rFonts w:ascii="Arial" w:cs="Arial" w:eastAsia="Arial" w:hAnsi="Arial"/>
          <w:sz w:val="13"/>
          <w:szCs w:val="13"/>
          <w:color w:val="auto"/>
        </w:rPr>
      </w:pPr>
    </w:p>
    <w:p>
      <w:pPr>
        <w:ind w:left="1420" w:right="320" w:hanging="700"/>
        <w:spacing w:after="0" w:line="249" w:lineRule="auto"/>
        <w:tabs>
          <w:tab w:leader="none" w:pos="142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The Bank considers that access to information plays an essential role in the reduction of environmental and social risks, including human rights violations, linked to the projects it finances and has therefore established its transparency policy, the purpose of which is to enhance the accountability of the Bank’s group towards its stakeholders and the citizens of the European Union in general.</w:t>
      </w:r>
    </w:p>
    <w:p>
      <w:pPr>
        <w:spacing w:after="0" w:line="64" w:lineRule="exact"/>
        <w:rPr>
          <w:rFonts w:ascii="Arial" w:cs="Arial" w:eastAsia="Arial" w:hAnsi="Arial"/>
          <w:sz w:val="13"/>
          <w:szCs w:val="13"/>
          <w:color w:val="auto"/>
        </w:rPr>
      </w:pPr>
    </w:p>
    <w:p>
      <w:pPr>
        <w:ind w:left="1420" w:hanging="700"/>
        <w:spacing w:after="0"/>
        <w:tabs>
          <w:tab w:leader="none" w:pos="142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The processing of personal data shall be carried out by the Bank in accordance with applicable European Union legislation on the protection of individuals with</w:t>
      </w:r>
    </w:p>
    <w:p>
      <w:pPr>
        <w:ind w:left="1420"/>
        <w:spacing w:after="0"/>
        <w:rPr>
          <w:sz w:val="20"/>
          <w:szCs w:val="20"/>
          <w:color w:val="auto"/>
        </w:rPr>
      </w:pPr>
      <w:r>
        <w:rPr>
          <w:rFonts w:ascii="Arial" w:cs="Arial" w:eastAsia="Arial" w:hAnsi="Arial"/>
          <w:sz w:val="13"/>
          <w:szCs w:val="13"/>
          <w:color w:val="auto"/>
        </w:rPr>
        <w:t>regard to  the processing of personal data by the European Union institutions and bodies and on the free movement of such data.</w:t>
      </w:r>
    </w:p>
    <w:p>
      <w:pPr>
        <w:spacing w:after="0" w:line="80" w:lineRule="exact"/>
        <w:rPr>
          <w:sz w:val="20"/>
          <w:szCs w:val="20"/>
          <w:color w:val="auto"/>
        </w:rPr>
      </w:pPr>
    </w:p>
    <w:p>
      <w:pPr>
        <w:ind w:left="1420" w:right="140" w:hanging="700"/>
        <w:spacing w:after="0" w:line="246" w:lineRule="auto"/>
        <w:tabs>
          <w:tab w:leader="none" w:pos="1420" w:val="left"/>
        </w:tabs>
        <w:numPr>
          <w:ilvl w:val="0"/>
          <w:numId w:val="363"/>
        </w:numPr>
        <w:rPr>
          <w:rFonts w:ascii="Arial" w:cs="Arial" w:eastAsia="Arial" w:hAnsi="Arial"/>
          <w:sz w:val="13"/>
          <w:szCs w:val="13"/>
          <w:color w:val="auto"/>
        </w:rPr>
      </w:pPr>
      <w:r>
        <w:rPr>
          <w:rFonts w:ascii="Arial" w:cs="Arial" w:eastAsia="Arial" w:hAnsi="Arial"/>
          <w:sz w:val="13"/>
          <w:szCs w:val="13"/>
          <w:color w:val="auto"/>
        </w:rPr>
        <w:t>The Bank places great emphasis on integrity and good governance and has therefore established policies and procedures to avoid misuse of its funds for purposes of tax fraud, tax evasion, money laundering and financing of terrorism, and with a view to protect against its operations financing artificial arrangements aimed at tax avoidance. Such policies and procedures are designed to be in line with the principles and standards of applicable EU Law, and European Union or internationally agreed tax standards on transparency and exchange of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5" w:name="page346"/>
    <w:bookmarkEnd w:id="345"/>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It is hereby agreed as follows: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ARTICLE 1</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Interpretation and definitions</w:t>
      </w:r>
    </w:p>
    <w:p>
      <w:pPr>
        <w:spacing w:after="0" w:line="24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1.1</w:t>
      </w:r>
      <w:r>
        <w:rPr>
          <w:sz w:val="20"/>
          <w:szCs w:val="20"/>
          <w:color w:val="auto"/>
        </w:rPr>
        <w:tab/>
      </w:r>
      <w:r>
        <w:rPr>
          <w:rFonts w:ascii="Arial" w:cs="Arial" w:eastAsia="Arial" w:hAnsi="Arial"/>
          <w:sz w:val="13"/>
          <w:szCs w:val="13"/>
          <w:b w:val="1"/>
          <w:bCs w:val="1"/>
          <w:u w:val="single" w:color="auto"/>
          <w:color w:val="auto"/>
        </w:rPr>
        <w:t>Interpretation</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In this Contract:</w:t>
      </w:r>
    </w:p>
    <w:p>
      <w:pPr>
        <w:spacing w:after="0" w:line="80" w:lineRule="exact"/>
        <w:rPr>
          <w:sz w:val="20"/>
          <w:szCs w:val="20"/>
          <w:color w:val="auto"/>
        </w:rPr>
      </w:pPr>
    </w:p>
    <w:p>
      <w:pPr>
        <w:ind w:left="1820" w:hanging="670"/>
        <w:spacing w:after="0"/>
        <w:tabs>
          <w:tab w:leader="none" w:pos="182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references to Articles, Recitals, Schedules and (Sub-)Paragraphs are, save if explicitly stipulated otherwise, references respectively to articles of, and recitals,</w:t>
      </w:r>
    </w:p>
    <w:p>
      <w:pPr>
        <w:ind w:left="1820"/>
        <w:spacing w:after="0"/>
        <w:rPr>
          <w:sz w:val="20"/>
          <w:szCs w:val="20"/>
          <w:color w:val="auto"/>
        </w:rPr>
      </w:pPr>
      <w:r>
        <w:rPr>
          <w:rFonts w:ascii="Arial" w:cs="Arial" w:eastAsia="Arial" w:hAnsi="Arial"/>
          <w:sz w:val="13"/>
          <w:szCs w:val="13"/>
          <w:color w:val="auto"/>
        </w:rPr>
        <w:t>schedules and (sub-)paragraphs of schedules to, this Contract. All Recitals and Schedules form part  of this Contract;</w:t>
      </w:r>
    </w:p>
    <w:p>
      <w:pPr>
        <w:spacing w:after="0" w:line="80" w:lineRule="exact"/>
        <w:rPr>
          <w:sz w:val="20"/>
          <w:szCs w:val="20"/>
          <w:color w:val="auto"/>
        </w:rPr>
      </w:pPr>
    </w:p>
    <w:p>
      <w:pPr>
        <w:ind w:left="1820" w:hanging="670"/>
        <w:spacing w:after="0"/>
        <w:tabs>
          <w:tab w:leader="none" w:pos="182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references to "law" or "laws" mean (i) any applicable law and any applicable treaty, constitution, statute, legislation, decree, normative act, rule,</w:t>
      </w:r>
    </w:p>
    <w:p>
      <w:pPr>
        <w:ind w:left="1820" w:right="620"/>
        <w:spacing w:after="0" w:line="258" w:lineRule="auto"/>
        <w:rPr>
          <w:sz w:val="20"/>
          <w:szCs w:val="20"/>
          <w:color w:val="auto"/>
        </w:rPr>
      </w:pPr>
      <w:r>
        <w:rPr>
          <w:rFonts w:ascii="Arial" w:cs="Arial" w:eastAsia="Arial" w:hAnsi="Arial"/>
          <w:sz w:val="13"/>
          <w:szCs w:val="13"/>
          <w:color w:val="auto"/>
        </w:rPr>
        <w:t>regulation, judgement, order, writ, injunction, determination, award or other legislative or administrative measure or judicial or arbitral decision in any jurisdiction which is binding or applicable case law, and (ii) EU Law;</w:t>
      </w:r>
    </w:p>
    <w:p>
      <w:pPr>
        <w:spacing w:after="0" w:line="59" w:lineRule="exact"/>
        <w:rPr>
          <w:sz w:val="20"/>
          <w:szCs w:val="20"/>
          <w:color w:val="auto"/>
        </w:rPr>
      </w:pPr>
    </w:p>
    <w:p>
      <w:pPr>
        <w:ind w:left="1820" w:right="120" w:hanging="670"/>
        <w:spacing w:after="0" w:line="246" w:lineRule="auto"/>
        <w:tabs>
          <w:tab w:leader="none" w:pos="1820" w:val="left"/>
        </w:tabs>
        <w:numPr>
          <w:ilvl w:val="0"/>
          <w:numId w:val="366"/>
        </w:numPr>
        <w:rPr>
          <w:rFonts w:ascii="Arial" w:cs="Arial" w:eastAsia="Arial" w:hAnsi="Arial"/>
          <w:sz w:val="13"/>
          <w:szCs w:val="13"/>
          <w:color w:val="auto"/>
        </w:rPr>
      </w:pPr>
      <w:r>
        <w:rPr>
          <w:rFonts w:ascii="Arial" w:cs="Arial" w:eastAsia="Arial" w:hAnsi="Arial"/>
          <w:sz w:val="13"/>
          <w:szCs w:val="13"/>
          <w:color w:val="auto"/>
        </w:rPr>
        <w:t>references to applicable law, applicable laws or applicable jurisdiction means (i) a law or jurisdiction applicable to the Borrower or any other Obligor (as the context requires), its respective rights and/or obligations (in each case arising out of or in connection with the Finance Documents), its capacity and/or assets and/or the Investment; and/or, as applicable, (ii) a law or jurisdiction (including in each case the Bank’s Statute) applicable to the Bank, its rights, obligations, capacity and/or assets;</w:t>
      </w:r>
    </w:p>
    <w:p>
      <w:pPr>
        <w:spacing w:after="0" w:line="66" w:lineRule="exact"/>
        <w:rPr>
          <w:rFonts w:ascii="Arial" w:cs="Arial" w:eastAsia="Arial" w:hAnsi="Arial"/>
          <w:sz w:val="13"/>
          <w:szCs w:val="13"/>
          <w:color w:val="auto"/>
        </w:rPr>
      </w:pPr>
    </w:p>
    <w:p>
      <w:pPr>
        <w:ind w:left="1820" w:hanging="670"/>
        <w:spacing w:after="0"/>
        <w:tabs>
          <w:tab w:leader="none" w:pos="1820" w:val="left"/>
        </w:tabs>
        <w:numPr>
          <w:ilvl w:val="0"/>
          <w:numId w:val="366"/>
        </w:numPr>
        <w:rPr>
          <w:rFonts w:ascii="Arial" w:cs="Arial" w:eastAsia="Arial" w:hAnsi="Arial"/>
          <w:sz w:val="13"/>
          <w:szCs w:val="13"/>
          <w:color w:val="auto"/>
        </w:rPr>
      </w:pPr>
      <w:r>
        <w:rPr>
          <w:rFonts w:ascii="Arial" w:cs="Arial" w:eastAsia="Arial" w:hAnsi="Arial"/>
          <w:sz w:val="13"/>
          <w:szCs w:val="13"/>
          <w:color w:val="auto"/>
        </w:rPr>
        <w:t>references to a provision of law are references to that provision as amended or re- enacted;</w:t>
      </w:r>
    </w:p>
    <w:p>
      <w:pPr>
        <w:spacing w:after="0" w:line="80" w:lineRule="exact"/>
        <w:rPr>
          <w:rFonts w:ascii="Arial" w:cs="Arial" w:eastAsia="Arial" w:hAnsi="Arial"/>
          <w:sz w:val="13"/>
          <w:szCs w:val="13"/>
          <w:color w:val="auto"/>
        </w:rPr>
      </w:pPr>
    </w:p>
    <w:p>
      <w:pPr>
        <w:ind w:left="1820" w:right="480" w:hanging="670"/>
        <w:spacing w:after="0" w:line="258" w:lineRule="auto"/>
        <w:tabs>
          <w:tab w:leader="none" w:pos="1820" w:val="left"/>
        </w:tabs>
        <w:numPr>
          <w:ilvl w:val="0"/>
          <w:numId w:val="366"/>
        </w:numPr>
        <w:rPr>
          <w:rFonts w:ascii="Arial" w:cs="Arial" w:eastAsia="Arial" w:hAnsi="Arial"/>
          <w:sz w:val="13"/>
          <w:szCs w:val="13"/>
          <w:color w:val="auto"/>
        </w:rPr>
      </w:pPr>
      <w:r>
        <w:rPr>
          <w:rFonts w:ascii="Arial" w:cs="Arial" w:eastAsia="Arial" w:hAnsi="Arial"/>
          <w:sz w:val="13"/>
          <w:szCs w:val="13"/>
          <w:color w:val="auto"/>
        </w:rPr>
        <w:t>references to any Finance Document or other agreement or instrument are references to that Finance Document or other agreement or instrument as amended, novated, supplemented, extended or restated;</w:t>
      </w:r>
    </w:p>
    <w:p>
      <w:pPr>
        <w:spacing w:after="0" w:line="38" w:lineRule="exact"/>
        <w:rPr>
          <w:rFonts w:ascii="Arial" w:cs="Arial" w:eastAsia="Arial" w:hAnsi="Arial"/>
          <w:sz w:val="13"/>
          <w:szCs w:val="13"/>
          <w:color w:val="auto"/>
        </w:rPr>
      </w:pPr>
    </w:p>
    <w:p>
      <w:pPr>
        <w:ind w:left="1820" w:hanging="670"/>
        <w:spacing w:after="0"/>
        <w:tabs>
          <w:tab w:leader="none" w:pos="1820" w:val="left"/>
        </w:tabs>
        <w:numPr>
          <w:ilvl w:val="0"/>
          <w:numId w:val="366"/>
        </w:numPr>
        <w:rPr>
          <w:rFonts w:ascii="Arial" w:cs="Arial" w:eastAsia="Arial" w:hAnsi="Arial"/>
          <w:sz w:val="13"/>
          <w:szCs w:val="13"/>
          <w:color w:val="auto"/>
        </w:rPr>
      </w:pPr>
      <w:r>
        <w:rPr>
          <w:rFonts w:ascii="Arial" w:cs="Arial" w:eastAsia="Arial" w:hAnsi="Arial"/>
          <w:sz w:val="13"/>
          <w:szCs w:val="13"/>
          <w:color w:val="auto"/>
        </w:rPr>
        <w:t>words and expressions in plural shall include singular and vice versa;</w:t>
      </w:r>
    </w:p>
    <w:p>
      <w:pPr>
        <w:spacing w:after="0" w:line="56" w:lineRule="exact"/>
        <w:rPr>
          <w:rFonts w:ascii="Arial" w:cs="Arial" w:eastAsia="Arial" w:hAnsi="Arial"/>
          <w:sz w:val="13"/>
          <w:szCs w:val="13"/>
          <w:color w:val="auto"/>
        </w:rPr>
      </w:pPr>
    </w:p>
    <w:p>
      <w:pPr>
        <w:ind w:left="1820" w:hanging="670"/>
        <w:spacing w:after="0"/>
        <w:tabs>
          <w:tab w:leader="none" w:pos="1820" w:val="left"/>
        </w:tabs>
        <w:numPr>
          <w:ilvl w:val="0"/>
          <w:numId w:val="366"/>
        </w:numPr>
        <w:rPr>
          <w:rFonts w:ascii="Arial" w:cs="Arial" w:eastAsia="Arial" w:hAnsi="Arial"/>
          <w:sz w:val="13"/>
          <w:szCs w:val="13"/>
          <w:color w:val="auto"/>
        </w:rPr>
      </w:pPr>
      <w:r>
        <w:rPr>
          <w:rFonts w:ascii="Arial" w:cs="Arial" w:eastAsia="Arial" w:hAnsi="Arial"/>
          <w:sz w:val="13"/>
          <w:szCs w:val="13"/>
          <w:color w:val="auto"/>
        </w:rPr>
        <w:t xml:space="preserve">"promptly" is to be construed as </w:t>
      </w:r>
      <w:r>
        <w:rPr>
          <w:rFonts w:ascii="Arial" w:cs="Arial" w:eastAsia="Arial" w:hAnsi="Arial"/>
          <w:sz w:val="13"/>
          <w:szCs w:val="13"/>
          <w:i w:val="1"/>
          <w:iCs w:val="1"/>
          <w:color w:val="auto"/>
        </w:rPr>
        <w:t>unverzüglich</w:t>
      </w:r>
      <w:r>
        <w:rPr>
          <w:rFonts w:ascii="Arial" w:cs="Arial" w:eastAsia="Arial" w:hAnsi="Arial"/>
          <w:sz w:val="13"/>
          <w:szCs w:val="13"/>
          <w:color w:val="auto"/>
        </w:rPr>
        <w:t xml:space="preserve"> (without undue delay) within the meaning of Section 121 para. 11 of the BGB; and</w:t>
      </w:r>
    </w:p>
    <w:p>
      <w:pPr>
        <w:spacing w:after="0" w:line="84" w:lineRule="exact"/>
        <w:rPr>
          <w:rFonts w:ascii="Arial" w:cs="Arial" w:eastAsia="Arial" w:hAnsi="Arial"/>
          <w:sz w:val="13"/>
          <w:szCs w:val="13"/>
          <w:color w:val="auto"/>
        </w:rPr>
      </w:pPr>
    </w:p>
    <w:p>
      <w:pPr>
        <w:ind w:left="1820" w:hanging="670"/>
        <w:spacing w:after="0"/>
        <w:tabs>
          <w:tab w:leader="none" w:pos="1820" w:val="left"/>
        </w:tabs>
        <w:numPr>
          <w:ilvl w:val="0"/>
          <w:numId w:val="366"/>
        </w:numPr>
        <w:rPr>
          <w:rFonts w:ascii="Arial" w:cs="Arial" w:eastAsia="Arial" w:hAnsi="Arial"/>
          <w:sz w:val="13"/>
          <w:szCs w:val="13"/>
          <w:color w:val="auto"/>
        </w:rPr>
      </w:pPr>
      <w:r>
        <w:rPr>
          <w:rFonts w:ascii="Arial" w:cs="Arial" w:eastAsia="Arial" w:hAnsi="Arial"/>
          <w:sz w:val="13"/>
          <w:szCs w:val="13"/>
          <w:color w:val="auto"/>
        </w:rPr>
        <w:t>a Default (other than an Event of Default) is "continuing" if it has not been remedied or waived and an Event of Default is "continuing" if it has not been waived.</w:t>
      </w:r>
    </w:p>
    <w:p>
      <w:pPr>
        <w:spacing w:after="0" w:line="90" w:lineRule="exact"/>
        <w:rPr>
          <w:sz w:val="20"/>
          <w:szCs w:val="20"/>
          <w:color w:val="auto"/>
        </w:rPr>
      </w:pPr>
    </w:p>
    <w:p>
      <w:pPr>
        <w:ind w:left="1160" w:right="120"/>
        <w:spacing w:after="0" w:line="258" w:lineRule="auto"/>
        <w:rPr>
          <w:sz w:val="20"/>
          <w:szCs w:val="20"/>
          <w:color w:val="auto"/>
        </w:rPr>
      </w:pPr>
      <w:r>
        <w:rPr>
          <w:rFonts w:ascii="Arial" w:cs="Arial" w:eastAsia="Arial" w:hAnsi="Arial"/>
          <w:sz w:val="13"/>
          <w:szCs w:val="13"/>
          <w:color w:val="auto"/>
        </w:rPr>
        <w:t>This Contract is made in the English language. For the avoidance of doubt, the English language version of this Contract shall prevail over any translation of this Contract. However, where a German translation of a word or phrase appears in the text of this Contract, the German translation of such word or phrase shall prevail.</w:t>
      </w:r>
    </w:p>
    <w:p>
      <w:pPr>
        <w:spacing w:after="0" w:line="12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b w:val="1"/>
          <w:bCs w:val="1"/>
          <w:u w:val="single" w:color="auto"/>
          <w:color w:val="auto"/>
        </w:rPr>
        <w:t>Definitions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In this Contract:</w:t>
      </w:r>
    </w:p>
    <w:p>
      <w:pPr>
        <w:spacing w:after="0" w:line="44" w:lineRule="exact"/>
        <w:rPr>
          <w:sz w:val="20"/>
          <w:szCs w:val="20"/>
          <w:color w:val="auto"/>
        </w:rPr>
      </w:pPr>
    </w:p>
    <w:p>
      <w:pPr>
        <w:ind w:left="116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Accepted Tranche</w:t>
      </w:r>
      <w:r>
        <w:rPr>
          <w:rFonts w:ascii="Arial" w:cs="Arial" w:eastAsia="Arial" w:hAnsi="Arial"/>
          <w:sz w:val="13"/>
          <w:szCs w:val="13"/>
          <w:color w:val="auto"/>
        </w:rPr>
        <w:t>" means a Tranche in respect of a Disbursement Offer which has been duly accepted by the Borrower in accordance with its terms on or before the Disbursement Acceptance Deadline.</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acting in concert</w:t>
      </w:r>
      <w:r>
        <w:rPr>
          <w:rFonts w:ascii="Arial" w:cs="Arial" w:eastAsia="Arial" w:hAnsi="Arial"/>
          <w:sz w:val="13"/>
          <w:szCs w:val="13"/>
          <w:color w:val="auto"/>
        </w:rPr>
        <w:t>" means acting together pursuant to an agreement or understanding (whether formal or informal).</w:t>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AktG</w:t>
      </w:r>
      <w:r>
        <w:rPr>
          <w:rFonts w:ascii="Arial" w:cs="Arial" w:eastAsia="Arial" w:hAnsi="Arial"/>
          <w:sz w:val="13"/>
          <w:szCs w:val="13"/>
          <w:color w:val="auto"/>
        </w:rPr>
        <w:t>" means the German stock corporation act (</w:t>
      </w:r>
      <w:r>
        <w:rPr>
          <w:rFonts w:ascii="Arial" w:cs="Arial" w:eastAsia="Arial" w:hAnsi="Arial"/>
          <w:sz w:val="13"/>
          <w:szCs w:val="13"/>
          <w:i w:val="1"/>
          <w:iCs w:val="1"/>
          <w:color w:val="auto"/>
        </w:rPr>
        <w:t>Aktiengesetz</w:t>
      </w:r>
      <w:r>
        <w:rPr>
          <w:rFonts w:ascii="Arial" w:cs="Arial" w:eastAsia="Arial" w:hAnsi="Arial"/>
          <w:sz w:val="13"/>
          <w:szCs w:val="13"/>
          <w:color w:val="auto"/>
        </w:rPr>
        <w:t>).</w:t>
      </w:r>
    </w:p>
    <w:p>
      <w:pPr>
        <w:spacing w:after="0" w:line="8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Approved Financial Statements</w:t>
      </w:r>
      <w:r>
        <w:rPr>
          <w:rFonts w:ascii="Arial" w:cs="Arial" w:eastAsia="Arial" w:hAnsi="Arial"/>
          <w:sz w:val="13"/>
          <w:szCs w:val="13"/>
          <w:color w:val="auto"/>
        </w:rPr>
        <w:t>" has the meaning given to that term in Paragraph 2.(a)(i) of Schedule I (</w:t>
      </w:r>
      <w:r>
        <w:rPr>
          <w:rFonts w:ascii="Arial" w:cs="Arial" w:eastAsia="Arial" w:hAnsi="Arial"/>
          <w:sz w:val="13"/>
          <w:szCs w:val="13"/>
          <w:i w:val="1"/>
          <w:iCs w:val="1"/>
          <w:color w:val="auto"/>
        </w:rPr>
        <w:t>Information and Visits</w:t>
      </w:r>
      <w:r>
        <w:rPr>
          <w:rFonts w:ascii="Arial" w:cs="Arial" w:eastAsia="Arial" w:hAnsi="Arial"/>
          <w:sz w:val="13"/>
          <w:szCs w:val="13"/>
          <w:color w:val="auto"/>
        </w:rPr>
        <w:t>).</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Authorisation</w:t>
      </w:r>
      <w:r>
        <w:rPr>
          <w:rFonts w:ascii="Arial" w:cs="Arial" w:eastAsia="Arial" w:hAnsi="Arial"/>
          <w:sz w:val="13"/>
          <w:szCs w:val="13"/>
          <w:color w:val="auto"/>
        </w:rPr>
        <w:t>" means an authorisation, permit, consent, approval, resolution, licence, exemption, filing, notarisation or registration.</w:t>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46" w:name="page347"/>
    <w:bookmarkEnd w:id="346"/>
    <w:p>
      <w:pPr>
        <w:ind w:left="10580"/>
        <w:spacing w:after="0"/>
        <w:rPr>
          <w:sz w:val="20"/>
          <w:szCs w:val="20"/>
          <w:color w:val="auto"/>
        </w:rPr>
      </w:pPr>
      <w:r>
        <w:rPr>
          <w:rFonts w:ascii="Arial" w:cs="Arial" w:eastAsia="Arial" w:hAnsi="Arial"/>
          <w:sz w:val="12"/>
          <w:szCs w:val="12"/>
          <w:b w:val="1"/>
          <w:bCs w:val="1"/>
          <w:color w:val="auto"/>
        </w:rPr>
        <w:t>Exhibit 4.41</w:t>
      </w:r>
    </w:p>
    <w:p>
      <w:pPr>
        <w:spacing w:after="0" w:line="48"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Authorised Signatory</w:t>
      </w:r>
      <w:r>
        <w:rPr>
          <w:rFonts w:ascii="Arial" w:cs="Arial" w:eastAsia="Arial" w:hAnsi="Arial"/>
          <w:sz w:val="13"/>
          <w:szCs w:val="13"/>
          <w:color w:val="auto"/>
        </w:rPr>
        <w:t>" means a person authorised to sign individually or jointly (as the case may be) Disbursement Acceptances on behalf of the Borrower and named in the most recent List of Authorised Signatories and Accounts received by the Bank prior to the receipt of the relevant Disbursement Acceptance.</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BGB</w:t>
      </w:r>
      <w:r>
        <w:rPr>
          <w:rFonts w:ascii="Arial" w:cs="Arial" w:eastAsia="Arial" w:hAnsi="Arial"/>
          <w:sz w:val="13"/>
          <w:szCs w:val="13"/>
          <w:color w:val="auto"/>
        </w:rPr>
        <w:t>" means the German Civil Code (</w:t>
      </w:r>
      <w:r>
        <w:rPr>
          <w:rFonts w:ascii="Arial" w:cs="Arial" w:eastAsia="Arial" w:hAnsi="Arial"/>
          <w:sz w:val="13"/>
          <w:szCs w:val="13"/>
          <w:i w:val="1"/>
          <w:iCs w:val="1"/>
          <w:color w:val="auto"/>
        </w:rPr>
        <w:t>Bürgerliches Gesetzbuch</w:t>
      </w:r>
      <w:r>
        <w:rPr>
          <w:rFonts w:ascii="Arial" w:cs="Arial" w:eastAsia="Arial" w:hAnsi="Arial"/>
          <w:sz w:val="13"/>
          <w:szCs w:val="13"/>
          <w:color w:val="auto"/>
        </w:rPr>
        <w:t>).</w:t>
      </w:r>
    </w:p>
    <w:p>
      <w:pPr>
        <w:spacing w:after="0" w:line="80" w:lineRule="exact"/>
        <w:rPr>
          <w:sz w:val="20"/>
          <w:szCs w:val="20"/>
          <w:color w:val="auto"/>
        </w:rPr>
      </w:pPr>
    </w:p>
    <w:p>
      <w:pPr>
        <w:ind w:left="720" w:right="12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 day (other than a Saturday or Sunday) on which the Bank and commercial banks are open for general business in Luxembourg and Mainz, Germany.</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Cancellation Fee</w:t>
      </w:r>
      <w:r>
        <w:rPr>
          <w:rFonts w:ascii="Arial" w:cs="Arial" w:eastAsia="Arial" w:hAnsi="Arial"/>
          <w:sz w:val="13"/>
          <w:szCs w:val="13"/>
          <w:color w:val="auto"/>
        </w:rPr>
        <w:t>" has the meaning given to such term in Article 1.2 (</w:t>
      </w:r>
      <w:r>
        <w:rPr>
          <w:rFonts w:ascii="Arial" w:cs="Arial" w:eastAsia="Arial" w:hAnsi="Arial"/>
          <w:sz w:val="13"/>
          <w:szCs w:val="13"/>
          <w:i w:val="1"/>
          <w:iCs w:val="1"/>
          <w:color w:val="auto"/>
        </w:rPr>
        <w:t>Definitions</w:t>
      </w:r>
      <w:r>
        <w:rPr>
          <w:rFonts w:ascii="Arial" w:cs="Arial" w:eastAsia="Arial" w:hAnsi="Arial"/>
          <w:sz w:val="13"/>
          <w:szCs w:val="13"/>
          <w:color w:val="auto"/>
        </w:rPr>
        <w:t>) of the Finance Fee Letter.</w:t>
      </w:r>
    </w:p>
    <w:p>
      <w:pPr>
        <w:spacing w:after="0" w:line="70"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Cash Interest Fixed Rate</w:t>
      </w:r>
      <w:r>
        <w:rPr>
          <w:rFonts w:ascii="Arial" w:cs="Arial" w:eastAsia="Arial" w:hAnsi="Arial"/>
          <w:sz w:val="13"/>
          <w:szCs w:val="13"/>
          <w:color w:val="auto"/>
        </w:rPr>
        <w:t>" means (i) in relation to Credit A a fixed rate of 1% (100 basis points) per annum and (ii) in relation to Credit B a fixed rate of 2% (200 basis points) per annum.</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Change-of-Control Event</w:t>
      </w:r>
      <w:r>
        <w:rPr>
          <w:rFonts w:ascii="Arial" w:cs="Arial" w:eastAsia="Arial" w:hAnsi="Arial"/>
          <w:sz w:val="13"/>
          <w:szCs w:val="13"/>
          <w:color w:val="auto"/>
        </w:rPr>
        <w:t>" means:</w:t>
      </w:r>
    </w:p>
    <w:p>
      <w:pPr>
        <w:spacing w:after="0" w:line="96" w:lineRule="exact"/>
        <w:rPr>
          <w:sz w:val="20"/>
          <w:szCs w:val="20"/>
          <w:color w:val="auto"/>
        </w:rPr>
      </w:pPr>
    </w:p>
    <w:p>
      <w:pPr>
        <w:ind w:left="1420" w:hanging="700"/>
        <w:spacing w:after="0"/>
        <w:tabs>
          <w:tab w:leader="none" w:pos="142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any person or group of persons acting in concert gains Control of the Borrower or of any entity directly or indirectly Controlling the Borrower; or</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the Borrower ceases to Control any Guarantor; or</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a Delisting of the Borrower.</w:t>
      </w:r>
    </w:p>
    <w:p>
      <w:pPr>
        <w:spacing w:after="0" w:line="54" w:lineRule="exact"/>
        <w:rPr>
          <w:sz w:val="20"/>
          <w:szCs w:val="20"/>
          <w:color w:val="auto"/>
        </w:rPr>
      </w:pPr>
    </w:p>
    <w:p>
      <w:pPr>
        <w:jc w:val="both"/>
        <w:ind w:left="720" w:right="12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Change-of-Law Event</w:t>
      </w:r>
      <w:r>
        <w:rPr>
          <w:rFonts w:ascii="Arial" w:cs="Arial" w:eastAsia="Arial" w:hAnsi="Arial"/>
          <w:sz w:val="13"/>
          <w:szCs w:val="13"/>
          <w:color w:val="auto"/>
        </w:rPr>
        <w:t>" means the enactment, promulgation, execution or ratification of or any change in or amendment to any law, rule or regulation (or in the application or official interpretation of any law, rule or regulation) that occurs after the date of this Contract and which, in the opinion of the Bank, would materially impair an Obligor's ability to perform its obligations under the Finance Documents.</w:t>
      </w:r>
    </w:p>
    <w:p>
      <w:pPr>
        <w:spacing w:after="0" w:line="3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Compliance Certificate</w:t>
      </w:r>
      <w:r>
        <w:rPr>
          <w:rFonts w:ascii="Arial" w:cs="Arial" w:eastAsia="Arial" w:hAnsi="Arial"/>
          <w:sz w:val="13"/>
          <w:szCs w:val="13"/>
          <w:color w:val="auto"/>
        </w:rPr>
        <w:t xml:space="preserve">" means a certificate substantially in the form set out in </w:t>
      </w:r>
      <w:hyperlink w:anchor="page380">
        <w:r>
          <w:rPr>
            <w:rFonts w:ascii="Arial" w:cs="Arial" w:eastAsia="Arial" w:hAnsi="Arial"/>
            <w:sz w:val="13"/>
            <w:szCs w:val="13"/>
            <w:u w:val="single" w:color="auto"/>
            <w:color w:val="0000EE"/>
          </w:rPr>
          <w:t>Schedule E</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Form of Compliance Certificate</w:t>
      </w:r>
      <w:r>
        <w:rPr>
          <w:rFonts w:ascii="Arial" w:cs="Arial" w:eastAsia="Arial" w:hAnsi="Arial"/>
          <w:sz w:val="13"/>
          <w:szCs w:val="13"/>
          <w:color w:val="auto"/>
        </w:rPr>
        <w: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Contract Number</w:t>
      </w:r>
      <w:r>
        <w:rPr>
          <w:rFonts w:ascii="Arial" w:cs="Arial" w:eastAsia="Arial" w:hAnsi="Arial"/>
          <w:sz w:val="13"/>
          <w:szCs w:val="13"/>
          <w:color w:val="auto"/>
        </w:rPr>
        <w:t>" shall mean each Bank generated number identifying this Contract and indicated on the cover page of this Contract after the letters "FI No".</w:t>
      </w:r>
    </w:p>
    <w:p>
      <w:pPr>
        <w:spacing w:after="0" w:line="60" w:lineRule="exact"/>
        <w:rPr>
          <w:sz w:val="20"/>
          <w:szCs w:val="20"/>
          <w:color w:val="auto"/>
        </w:rPr>
      </w:pPr>
    </w:p>
    <w:p>
      <w:pPr>
        <w:jc w:val="both"/>
        <w:ind w:left="720" w:right="120"/>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Control</w:t>
      </w:r>
      <w:r>
        <w:rPr>
          <w:rFonts w:ascii="Arial" w:cs="Arial" w:eastAsia="Arial" w:hAnsi="Arial"/>
          <w:sz w:val="13"/>
          <w:szCs w:val="13"/>
          <w:color w:val="auto"/>
        </w:rPr>
        <w:t>" means (i) owning (directly or indirectly) more than 50% (fifty per cent) of the shares in an entity, (ii) the power to cast, or to control the casting of, more than 50% (fifty per cent) of the maximum number of votes that might be cast at a shareholder or general meeting of an entity, (iii) the power to appoint or remove all, or the majority, of the directors of an entity, and/or (iv) the power to direct the management and policies of an entity, whether through the ownership of voting capital, by contract or otherwise, and "</w:t>
      </w:r>
      <w:r>
        <w:rPr>
          <w:rFonts w:ascii="Arial" w:cs="Arial" w:eastAsia="Arial" w:hAnsi="Arial"/>
          <w:sz w:val="13"/>
          <w:szCs w:val="13"/>
          <w:b w:val="1"/>
          <w:bCs w:val="1"/>
          <w:color w:val="auto"/>
        </w:rPr>
        <w:t>Controlling</w:t>
      </w:r>
      <w:r>
        <w:rPr>
          <w:rFonts w:ascii="Arial" w:cs="Arial" w:eastAsia="Arial" w:hAnsi="Arial"/>
          <w:sz w:val="13"/>
          <w:szCs w:val="13"/>
          <w:color w:val="auto"/>
        </w:rPr>
        <w:t>" and "</w:t>
      </w:r>
      <w:r>
        <w:rPr>
          <w:rFonts w:ascii="Arial" w:cs="Arial" w:eastAsia="Arial" w:hAnsi="Arial"/>
          <w:sz w:val="13"/>
          <w:szCs w:val="13"/>
          <w:b w:val="1"/>
          <w:bCs w:val="1"/>
          <w:color w:val="auto"/>
        </w:rPr>
        <w:t>Controlled</w:t>
      </w:r>
      <w:r>
        <w:rPr>
          <w:rFonts w:ascii="Arial" w:cs="Arial" w:eastAsia="Arial" w:hAnsi="Arial"/>
          <w:sz w:val="13"/>
          <w:szCs w:val="13"/>
          <w:color w:val="auto"/>
        </w:rPr>
        <w:t>" has the corresponding meaning.</w:t>
      </w:r>
    </w:p>
    <w:p>
      <w:pPr>
        <w:spacing w:after="0" w:line="45"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Credit</w:t>
      </w:r>
      <w:r>
        <w:rPr>
          <w:rFonts w:ascii="Arial" w:cs="Arial" w:eastAsia="Arial" w:hAnsi="Arial"/>
          <w:sz w:val="13"/>
          <w:szCs w:val="13"/>
          <w:color w:val="auto"/>
        </w:rPr>
        <w:t xml:space="preserve">" has the meaning given to it in Article </w:t>
      </w:r>
      <w:hyperlink w:anchor="page354">
        <w:r>
          <w:rPr>
            <w:rFonts w:ascii="Arial" w:cs="Arial" w:eastAsia="Arial" w:hAnsi="Arial"/>
            <w:sz w:val="13"/>
            <w:szCs w:val="13"/>
            <w:u w:val="single" w:color="auto"/>
            <w:color w:val="0000EE"/>
          </w:rPr>
          <w:t>2.1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Amount of Credit</w:t>
      </w:r>
      <w:r>
        <w:rPr>
          <w:rFonts w:ascii="Arial" w:cs="Arial" w:eastAsia="Arial" w:hAnsi="Arial"/>
          <w:sz w:val="13"/>
          <w:szCs w:val="13"/>
          <w:color w:val="auto"/>
        </w:rPr>
        <w:t>). "</w:t>
      </w:r>
      <w:r>
        <w:rPr>
          <w:rFonts w:ascii="Arial" w:cs="Arial" w:eastAsia="Arial" w:hAnsi="Arial"/>
          <w:sz w:val="13"/>
          <w:szCs w:val="13"/>
          <w:b w:val="1"/>
          <w:bCs w:val="1"/>
          <w:color w:val="auto"/>
        </w:rPr>
        <w:t>Credit A</w:t>
      </w:r>
      <w:r>
        <w:rPr>
          <w:rFonts w:ascii="Arial" w:cs="Arial" w:eastAsia="Arial" w:hAnsi="Arial"/>
          <w:sz w:val="13"/>
          <w:szCs w:val="13"/>
          <w:color w:val="auto"/>
        </w:rPr>
        <w:t xml:space="preserve">" has the meaning given to it in Article </w:t>
      </w:r>
      <w:hyperlink w:anchor="page354">
        <w:r>
          <w:rPr>
            <w:rFonts w:ascii="Arial" w:cs="Arial" w:eastAsia="Arial" w:hAnsi="Arial"/>
            <w:sz w:val="13"/>
            <w:szCs w:val="13"/>
            <w:u w:val="single" w:color="auto"/>
            <w:color w:val="0000EE"/>
          </w:rPr>
          <w:t>2.1(a)</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Amount of Credit</w:t>
      </w:r>
      <w:r>
        <w:rPr>
          <w:rFonts w:ascii="Arial" w:cs="Arial" w:eastAsia="Arial" w:hAnsi="Arial"/>
          <w:sz w:val="13"/>
          <w:szCs w:val="13"/>
          <w:color w:val="auto"/>
        </w:rPr>
        <w:t>).</w:t>
      </w:r>
    </w:p>
    <w:p>
      <w:pPr>
        <w:spacing w:after="0" w:line="16"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Credit A Milestone Events</w:t>
      </w:r>
      <w:r>
        <w:rPr>
          <w:rFonts w:ascii="Arial" w:cs="Arial" w:eastAsia="Arial" w:hAnsi="Arial"/>
          <w:sz w:val="13"/>
          <w:szCs w:val="13"/>
          <w:color w:val="auto"/>
        </w:rPr>
        <w:t>" has the meaning given to such term in Part A (</w:t>
      </w:r>
      <w:r>
        <w:rPr>
          <w:rFonts w:ascii="Arial" w:cs="Arial" w:eastAsia="Arial" w:hAnsi="Arial"/>
          <w:sz w:val="13"/>
          <w:szCs w:val="13"/>
          <w:i w:val="1"/>
          <w:iCs w:val="1"/>
          <w:color w:val="auto"/>
        </w:rPr>
        <w:t>Initial Documentary Conditions Precedent and Credit A Conditions Precedents</w:t>
      </w:r>
      <w:r>
        <w:rPr>
          <w:rFonts w:ascii="Arial" w:cs="Arial" w:eastAsia="Arial" w:hAnsi="Arial"/>
          <w:sz w:val="13"/>
          <w:szCs w:val="13"/>
          <w:color w:val="auto"/>
        </w:rPr>
        <w:t xml:space="preserve">) of </w:t>
      </w:r>
      <w:hyperlink w:anchor="page381">
        <w:r>
          <w:rPr>
            <w:rFonts w:ascii="Arial" w:cs="Arial" w:eastAsia="Arial" w:hAnsi="Arial"/>
            <w:sz w:val="13"/>
            <w:szCs w:val="13"/>
            <w:u w:val="single" w:color="auto"/>
            <w:color w:val="0000EE"/>
          </w:rPr>
          <w:t>Schedule</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w:t>
      </w:r>
    </w:p>
    <w:p>
      <w:pPr>
        <w:spacing w:after="0" w:line="64"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Credit B</w:t>
      </w:r>
      <w:r>
        <w:rPr>
          <w:rFonts w:ascii="Arial" w:cs="Arial" w:eastAsia="Arial" w:hAnsi="Arial"/>
          <w:sz w:val="13"/>
          <w:szCs w:val="13"/>
          <w:color w:val="auto"/>
        </w:rPr>
        <w:t xml:space="preserve">" has the meaning given to it in Article </w:t>
      </w:r>
      <w:hyperlink w:anchor="page354">
        <w:r>
          <w:rPr>
            <w:rFonts w:ascii="Arial" w:cs="Arial" w:eastAsia="Arial" w:hAnsi="Arial"/>
            <w:sz w:val="13"/>
            <w:szCs w:val="13"/>
            <w:u w:val="single" w:color="auto"/>
            <w:color w:val="0000EE"/>
          </w:rPr>
          <w:t>2.1</w:t>
        </w:r>
      </w:hyperlink>
      <w:r>
        <w:rPr>
          <w:rFonts w:ascii="Arial" w:cs="Arial" w:eastAsia="Arial" w:hAnsi="Arial"/>
          <w:sz w:val="13"/>
          <w:szCs w:val="13"/>
          <w:color w:val="auto"/>
        </w:rPr>
        <w:t>(b) (</w:t>
      </w:r>
      <w:r>
        <w:rPr>
          <w:rFonts w:ascii="Arial" w:cs="Arial" w:eastAsia="Arial" w:hAnsi="Arial"/>
          <w:sz w:val="13"/>
          <w:szCs w:val="13"/>
          <w:i w:val="1"/>
          <w:iCs w:val="1"/>
          <w:color w:val="auto"/>
        </w:rPr>
        <w:t>Amount of Credit</w:t>
      </w:r>
      <w:r>
        <w:rPr>
          <w:rFonts w:ascii="Arial" w:cs="Arial" w:eastAsia="Arial" w:hAnsi="Arial"/>
          <w:sz w:val="13"/>
          <w:szCs w:val="13"/>
          <w:color w:val="auto"/>
        </w:rPr>
        <w:t>).</w:t>
      </w:r>
    </w:p>
    <w:p>
      <w:pPr>
        <w:spacing w:after="0" w:line="8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Credit B Milestone Events</w:t>
      </w:r>
      <w:r>
        <w:rPr>
          <w:rFonts w:ascii="Arial" w:cs="Arial" w:eastAsia="Arial" w:hAnsi="Arial"/>
          <w:sz w:val="13"/>
          <w:szCs w:val="13"/>
          <w:color w:val="auto"/>
        </w:rPr>
        <w:t>" has the meaning given to such term in Part B (</w:t>
      </w:r>
      <w:r>
        <w:rPr>
          <w:rFonts w:ascii="Arial" w:cs="Arial" w:eastAsia="Arial" w:hAnsi="Arial"/>
          <w:sz w:val="13"/>
          <w:szCs w:val="13"/>
          <w:i w:val="1"/>
          <w:iCs w:val="1"/>
          <w:color w:val="auto"/>
        </w:rPr>
        <w:t>Credit B – Conditions Precedent</w:t>
      </w:r>
      <w:r>
        <w:rPr>
          <w:rFonts w:ascii="Arial" w:cs="Arial" w:eastAsia="Arial" w:hAnsi="Arial"/>
          <w:sz w:val="13"/>
          <w:szCs w:val="13"/>
          <w:color w:val="auto"/>
        </w:rPr>
        <w:t xml:space="preserve">) of </w:t>
      </w:r>
      <w:hyperlink w:anchor="page381">
        <w:r>
          <w:rPr>
            <w:rFonts w:ascii="Arial" w:cs="Arial" w:eastAsia="Arial" w:hAnsi="Arial"/>
            <w:sz w:val="13"/>
            <w:szCs w:val="13"/>
            <w:u w:val="single" w:color="auto"/>
            <w:color w:val="0000EE"/>
          </w:rPr>
          <w:t>Schedule F</w:t>
        </w:r>
      </w:hyperlink>
      <w:r>
        <w:rPr>
          <w:rFonts w:ascii="Arial" w:cs="Arial" w:eastAsia="Arial" w:hAnsi="Arial"/>
          <w:sz w:val="13"/>
          <w:szCs w:val="13"/>
          <w:color w:val="auto"/>
        </w:rPr>
        <w:t>.</w:t>
      </w:r>
    </w:p>
    <w:p>
      <w:pPr>
        <w:spacing w:after="0" w:line="70" w:lineRule="exact"/>
        <w:rPr>
          <w:sz w:val="20"/>
          <w:szCs w:val="20"/>
          <w:color w:val="auto"/>
        </w:rPr>
      </w:pPr>
    </w:p>
    <w:p>
      <w:pPr>
        <w:jc w:val="both"/>
        <w:ind w:left="720" w:right="120"/>
        <w:spacing w:after="0" w:line="284"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w:t>
      </w:r>
      <w:r>
        <w:rPr>
          <w:rFonts w:ascii="Arial" w:cs="Arial" w:eastAsia="Arial" w:hAnsi="Arial"/>
          <w:sz w:val="13"/>
          <w:szCs w:val="13"/>
          <w:color w:val="auto"/>
        </w:rPr>
        <w:t xml:space="preserve">" means an Event of Default or any event or circumstance specified in </w:t>
      </w:r>
      <w:hyperlink w:anchor="page364">
        <w:r>
          <w:rPr>
            <w:rFonts w:ascii="Arial" w:cs="Arial" w:eastAsia="Arial" w:hAnsi="Arial"/>
            <w:sz w:val="13"/>
            <w:szCs w:val="13"/>
            <w:u w:val="single" w:color="auto"/>
            <w:color w:val="0000EE"/>
          </w:rPr>
          <w:t>Article 9</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Events of Default</w:t>
      </w:r>
      <w:r>
        <w:rPr>
          <w:rFonts w:ascii="Arial" w:cs="Arial" w:eastAsia="Arial" w:hAnsi="Arial"/>
          <w:sz w:val="13"/>
          <w:szCs w:val="13"/>
          <w:color w:val="auto"/>
        </w:rPr>
        <w:t>) which would (with the expiry of a grace period, the giving of notice, the making of any determination under this Contract or any combination of any of the foregoing) be an Event of Default.</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Deferred Interest Fixed Rate</w:t>
      </w:r>
      <w:r>
        <w:rPr>
          <w:rFonts w:ascii="Arial" w:cs="Arial" w:eastAsia="Arial" w:hAnsi="Arial"/>
          <w:sz w:val="13"/>
          <w:szCs w:val="13"/>
          <w:color w:val="auto"/>
        </w:rPr>
        <w:t>" means in relation to Credit A a fixed rate of 5% (500 basis points) per annum.</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Delisting</w:t>
      </w:r>
      <w:r>
        <w:rPr>
          <w:rFonts w:ascii="Arial" w:cs="Arial" w:eastAsia="Arial" w:hAnsi="Arial"/>
          <w:sz w:val="13"/>
          <w:szCs w:val="13"/>
          <w:color w:val="auto"/>
        </w:rPr>
        <w:t>" means voluntary or involuntary removal of listed shares from a regulated market or revocation of admission to trading of shares on a regulated market.</w:t>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7" w:name="page348"/>
    <w:bookmarkEnd w:id="347"/>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Disbursement Acceptance</w:t>
      </w:r>
      <w:r>
        <w:rPr>
          <w:rFonts w:ascii="Arial" w:cs="Arial" w:eastAsia="Arial" w:hAnsi="Arial"/>
          <w:sz w:val="13"/>
          <w:szCs w:val="13"/>
          <w:color w:val="auto"/>
        </w:rPr>
        <w:t>" means a copy of the Disbursement Offer duly countersigned by the Borrower.</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Disbursement Acceptance Deadline</w:t>
      </w:r>
      <w:r>
        <w:rPr>
          <w:rFonts w:ascii="Arial" w:cs="Arial" w:eastAsia="Arial" w:hAnsi="Arial"/>
          <w:sz w:val="13"/>
          <w:szCs w:val="13"/>
          <w:color w:val="auto"/>
        </w:rPr>
        <w:t>" means the date and time of expiry of a Disbursement Offer as specified therein.</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Disbursement Account</w:t>
      </w:r>
      <w:r>
        <w:rPr>
          <w:rFonts w:ascii="Arial" w:cs="Arial" w:eastAsia="Arial" w:hAnsi="Arial"/>
          <w:sz w:val="13"/>
          <w:szCs w:val="13"/>
          <w:color w:val="auto"/>
        </w:rPr>
        <w:t>" means, in respect of each Tranche, the bank account set out in the most recent List of Authorised Signatories and Accounts.</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Disbursement Date</w:t>
      </w:r>
      <w:r>
        <w:rPr>
          <w:rFonts w:ascii="Arial" w:cs="Arial" w:eastAsia="Arial" w:hAnsi="Arial"/>
          <w:sz w:val="13"/>
          <w:szCs w:val="13"/>
          <w:color w:val="auto"/>
        </w:rPr>
        <w:t>" means the date on which disbursement of a Tranche is made by the Bank.</w:t>
      </w:r>
    </w:p>
    <w:p>
      <w:pPr>
        <w:spacing w:after="0" w:line="6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Disbursement Offer</w:t>
      </w:r>
      <w:r>
        <w:rPr>
          <w:rFonts w:ascii="Arial" w:cs="Arial" w:eastAsia="Arial" w:hAnsi="Arial"/>
          <w:sz w:val="13"/>
          <w:szCs w:val="13"/>
          <w:color w:val="auto"/>
        </w:rPr>
        <w:t xml:space="preserve">" means a letter substantially in the form set out in </w:t>
      </w:r>
      <w:hyperlink w:anchor="page377">
        <w:r>
          <w:rPr>
            <w:rFonts w:ascii="Arial" w:cs="Arial" w:eastAsia="Arial" w:hAnsi="Arial"/>
            <w:sz w:val="13"/>
            <w:szCs w:val="13"/>
            <w:u w:val="single" w:color="auto"/>
            <w:color w:val="0000EE"/>
          </w:rPr>
          <w:t>Schedule C</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Form of Disbursement Offer/Acceptance</w:t>
      </w:r>
      <w:r>
        <w:rPr>
          <w:rFonts w:ascii="Arial" w:cs="Arial" w:eastAsia="Arial" w:hAnsi="Arial"/>
          <w:sz w:val="13"/>
          <w:szCs w:val="13"/>
          <w:color w:val="auto"/>
        </w:rPr>
        <w:t>).</w:t>
      </w:r>
    </w:p>
    <w:p>
      <w:pPr>
        <w:spacing w:after="0" w:line="8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Dispute</w:t>
      </w:r>
      <w:r>
        <w:rPr>
          <w:rFonts w:ascii="Arial" w:cs="Arial" w:eastAsia="Arial" w:hAnsi="Arial"/>
          <w:sz w:val="13"/>
          <w:szCs w:val="13"/>
          <w:color w:val="auto"/>
        </w:rPr>
        <w:t xml:space="preserve">" has the meaning given to it in Article </w:t>
      </w:r>
      <w:hyperlink w:anchor="page366">
        <w:r>
          <w:rPr>
            <w:rFonts w:ascii="Arial" w:cs="Arial" w:eastAsia="Arial" w:hAnsi="Arial"/>
            <w:sz w:val="13"/>
            <w:szCs w:val="13"/>
            <w:u w:val="single" w:color="auto"/>
            <w:color w:val="0000EE"/>
          </w:rPr>
          <w:t>10.2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Jurisdiction</w:t>
      </w:r>
      <w:r>
        <w:rPr>
          <w:rFonts w:ascii="Arial" w:cs="Arial" w:eastAsia="Arial" w:hAnsi="Arial"/>
          <w:sz w:val="13"/>
          <w:szCs w:val="13"/>
          <w:color w:val="auto"/>
        </w:rPr>
        <w:t>). "</w:t>
      </w:r>
      <w:r>
        <w:rPr>
          <w:rFonts w:ascii="Arial" w:cs="Arial" w:eastAsia="Arial" w:hAnsi="Arial"/>
          <w:sz w:val="13"/>
          <w:szCs w:val="13"/>
          <w:b w:val="1"/>
          <w:bCs w:val="1"/>
          <w:color w:val="auto"/>
        </w:rPr>
        <w:t>Disruption Event</w:t>
      </w:r>
      <w:r>
        <w:rPr>
          <w:rFonts w:ascii="Arial" w:cs="Arial" w:eastAsia="Arial" w:hAnsi="Arial"/>
          <w:sz w:val="13"/>
          <w:szCs w:val="13"/>
          <w:color w:val="auto"/>
        </w:rPr>
        <w:t>" means either or both of:</w:t>
      </w:r>
    </w:p>
    <w:p>
      <w:pPr>
        <w:spacing w:after="0" w:line="16" w:lineRule="exact"/>
        <w:rPr>
          <w:sz w:val="20"/>
          <w:szCs w:val="20"/>
          <w:color w:val="auto"/>
        </w:rPr>
      </w:pPr>
    </w:p>
    <w:p>
      <w:pPr>
        <w:ind w:left="1420" w:right="260" w:hanging="700"/>
        <w:spacing w:after="0" w:line="258" w:lineRule="auto"/>
        <w:tabs>
          <w:tab w:leader="none" w:pos="1420" w:val="left"/>
        </w:tabs>
        <w:numPr>
          <w:ilvl w:val="0"/>
          <w:numId w:val="368"/>
        </w:numPr>
        <w:rPr>
          <w:rFonts w:ascii="Arial" w:cs="Arial" w:eastAsia="Arial" w:hAnsi="Arial"/>
          <w:sz w:val="13"/>
          <w:szCs w:val="13"/>
          <w:color w:val="auto"/>
        </w:rPr>
      </w:pPr>
      <w:r>
        <w:rPr>
          <w:rFonts w:ascii="Arial" w:cs="Arial" w:eastAsia="Arial" w:hAnsi="Arial"/>
          <w:sz w:val="13"/>
          <w:szCs w:val="13"/>
          <w:color w:val="auto"/>
        </w:rPr>
        <w:t>a material disruption to those payment or communications systems or to those financial markets which are, in each case, required to operate in order for payments to be made in connection with this Contract; or</w:t>
      </w:r>
    </w:p>
    <w:p>
      <w:pPr>
        <w:spacing w:after="0" w:line="58" w:lineRule="exact"/>
        <w:rPr>
          <w:rFonts w:ascii="Arial" w:cs="Arial" w:eastAsia="Arial" w:hAnsi="Arial"/>
          <w:sz w:val="13"/>
          <w:szCs w:val="13"/>
          <w:color w:val="auto"/>
        </w:rPr>
      </w:pPr>
    </w:p>
    <w:p>
      <w:pPr>
        <w:ind w:left="1420" w:hanging="700"/>
        <w:spacing w:after="0"/>
        <w:tabs>
          <w:tab w:leader="none" w:pos="1420" w:val="left"/>
        </w:tabs>
        <w:numPr>
          <w:ilvl w:val="0"/>
          <w:numId w:val="368"/>
        </w:numPr>
        <w:rPr>
          <w:rFonts w:ascii="Arial" w:cs="Arial" w:eastAsia="Arial" w:hAnsi="Arial"/>
          <w:sz w:val="13"/>
          <w:szCs w:val="13"/>
          <w:color w:val="auto"/>
        </w:rPr>
      </w:pPr>
      <w:r>
        <w:rPr>
          <w:rFonts w:ascii="Arial" w:cs="Arial" w:eastAsia="Arial" w:hAnsi="Arial"/>
          <w:sz w:val="13"/>
          <w:szCs w:val="13"/>
          <w:color w:val="auto"/>
        </w:rPr>
        <w:t>the occurrence of any other event which results in a disruption (of a technical or systems-related nature) to the treasury or payments operations of either the</w:t>
      </w:r>
    </w:p>
    <w:p>
      <w:pPr>
        <w:ind w:left="1420"/>
        <w:spacing w:after="0"/>
        <w:rPr>
          <w:sz w:val="20"/>
          <w:szCs w:val="20"/>
          <w:color w:val="auto"/>
        </w:rPr>
      </w:pPr>
      <w:r>
        <w:rPr>
          <w:rFonts w:ascii="Arial" w:cs="Arial" w:eastAsia="Arial" w:hAnsi="Arial"/>
          <w:sz w:val="13"/>
          <w:szCs w:val="13"/>
          <w:color w:val="auto"/>
        </w:rPr>
        <w:t>Bank or  the Borrower, preventing that party from:</w:t>
      </w:r>
    </w:p>
    <w:p>
      <w:pPr>
        <w:spacing w:after="0" w:line="80" w:lineRule="exact"/>
        <w:rPr>
          <w:sz w:val="20"/>
          <w:szCs w:val="20"/>
          <w:color w:val="auto"/>
        </w:rPr>
      </w:pPr>
    </w:p>
    <w:p>
      <w:pPr>
        <w:ind w:left="2140" w:hanging="700"/>
        <w:spacing w:after="0"/>
        <w:tabs>
          <w:tab w:leader="none" w:pos="2140" w:val="left"/>
        </w:tabs>
        <w:numPr>
          <w:ilvl w:val="0"/>
          <w:numId w:val="369"/>
        </w:numPr>
        <w:rPr>
          <w:rFonts w:ascii="Arial" w:cs="Arial" w:eastAsia="Arial" w:hAnsi="Arial"/>
          <w:sz w:val="13"/>
          <w:szCs w:val="13"/>
          <w:color w:val="auto"/>
        </w:rPr>
      </w:pPr>
      <w:r>
        <w:rPr>
          <w:rFonts w:ascii="Arial" w:cs="Arial" w:eastAsia="Arial" w:hAnsi="Arial"/>
          <w:sz w:val="13"/>
          <w:szCs w:val="13"/>
          <w:color w:val="auto"/>
        </w:rPr>
        <w:t>performing its payment obligations under this Contract; or</w:t>
      </w:r>
    </w:p>
    <w:p>
      <w:pPr>
        <w:spacing w:after="0" w:line="80" w:lineRule="exact"/>
        <w:rPr>
          <w:rFonts w:ascii="Arial" w:cs="Arial" w:eastAsia="Arial" w:hAnsi="Arial"/>
          <w:sz w:val="13"/>
          <w:szCs w:val="13"/>
          <w:color w:val="auto"/>
        </w:rPr>
      </w:pPr>
    </w:p>
    <w:p>
      <w:pPr>
        <w:ind w:left="2140" w:hanging="700"/>
        <w:spacing w:after="0"/>
        <w:tabs>
          <w:tab w:leader="none" w:pos="2140" w:val="left"/>
        </w:tabs>
        <w:numPr>
          <w:ilvl w:val="0"/>
          <w:numId w:val="369"/>
        </w:numPr>
        <w:rPr>
          <w:rFonts w:ascii="Arial" w:cs="Arial" w:eastAsia="Arial" w:hAnsi="Arial"/>
          <w:sz w:val="13"/>
          <w:szCs w:val="13"/>
          <w:color w:val="auto"/>
        </w:rPr>
      </w:pPr>
      <w:r>
        <w:rPr>
          <w:rFonts w:ascii="Arial" w:cs="Arial" w:eastAsia="Arial" w:hAnsi="Arial"/>
          <w:sz w:val="13"/>
          <w:szCs w:val="13"/>
          <w:color w:val="auto"/>
        </w:rPr>
        <w:t>communicating with other parties in accordance with the terms of this Contract,</w:t>
      </w:r>
    </w:p>
    <w:p>
      <w:pPr>
        <w:spacing w:after="0" w:line="8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 xml:space="preserve">and which disruption (in either such case as per Paragraph </w:t>
      </w:r>
      <w:hyperlink w:anchor="page348">
        <w:r>
          <w:rPr>
            <w:rFonts w:ascii="Arial" w:cs="Arial" w:eastAsia="Arial" w:hAnsi="Arial"/>
            <w:sz w:val="13"/>
            <w:szCs w:val="13"/>
            <w:u w:val="single" w:color="auto"/>
            <w:color w:val="0000EE"/>
          </w:rPr>
          <w:t>(a)</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or </w:t>
      </w:r>
      <w:hyperlink w:anchor="page348">
        <w:r>
          <w:rPr>
            <w:rFonts w:ascii="Arial" w:cs="Arial" w:eastAsia="Arial" w:hAnsi="Arial"/>
            <w:sz w:val="13"/>
            <w:szCs w:val="13"/>
            <w:u w:val="single" w:color="auto"/>
            <w:color w:val="0000EE"/>
          </w:rPr>
          <w:t>(b)</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above) is not caused by, and is beyond the control of, the party whose operations are disrupted.</w:t>
      </w:r>
    </w:p>
    <w:p>
      <w:pPr>
        <w:spacing w:after="0" w:line="54" w:lineRule="exact"/>
        <w:rPr>
          <w:sz w:val="20"/>
          <w:szCs w:val="20"/>
          <w:color w:val="auto"/>
        </w:rPr>
      </w:pPr>
    </w:p>
    <w:p>
      <w:pPr>
        <w:jc w:val="both"/>
        <w:ind w:left="720" w:right="120"/>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Drug Product Revenues</w:t>
      </w:r>
      <w:r>
        <w:rPr>
          <w:rFonts w:ascii="Arial" w:cs="Arial" w:eastAsia="Arial" w:hAnsi="Arial"/>
          <w:sz w:val="13"/>
          <w:szCs w:val="13"/>
          <w:color w:val="auto"/>
        </w:rPr>
        <w:t>" means the amount of the consolidated revenues resulting from drug product sales (including royalties) of the Group Companies, calculated on the basis of the Approved Financial Statements for the respective financial year, excluding milestone and upfront payments as well as revenues associated with peptides, diagnostics and contract development and manufacturing businesses of JPT Peptide Technologies GmbH, BioNTech Diagnostics GmbH and BioNTech Innovative Manufacturing Services GmbH. In the case that Intellectual Property Rights related to drug assets that are either fully or partly-owned by the Borrower or any other Group Company as at the date of this Contract or in the future are out- licensed or partnered in a co-development deal, the total drug revenues generated on the market shall be considered for the calculation of Drug Product Revenues (rather than the percentage of revenues due to the Borrower or the respective other Group Company).</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EBITDA</w:t>
      </w:r>
      <w:r>
        <w:rPr>
          <w:rFonts w:ascii="Arial" w:cs="Arial" w:eastAsia="Arial" w:hAnsi="Arial"/>
          <w:sz w:val="13"/>
          <w:szCs w:val="13"/>
          <w:color w:val="auto"/>
        </w:rPr>
        <w:t>" means, in respect of any Relevant Period, the consolidated operating profit of the Group before taxation (excluding the results from discontinued operations):</w:t>
      </w:r>
    </w:p>
    <w:p>
      <w:pPr>
        <w:spacing w:after="0" w:line="96" w:lineRule="exact"/>
        <w:rPr>
          <w:sz w:val="20"/>
          <w:szCs w:val="20"/>
          <w:color w:val="auto"/>
        </w:rPr>
      </w:pPr>
    </w:p>
    <w:p>
      <w:pPr>
        <w:ind w:left="1420" w:hanging="700"/>
        <w:spacing w:after="0"/>
        <w:tabs>
          <w:tab w:leader="none" w:pos="142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after deducting own work capitalised;</w:t>
      </w:r>
    </w:p>
    <w:p>
      <w:pPr>
        <w:spacing w:after="0" w:line="80" w:lineRule="exact"/>
        <w:rPr>
          <w:rFonts w:ascii="Arial" w:cs="Arial" w:eastAsia="Arial" w:hAnsi="Arial"/>
          <w:sz w:val="13"/>
          <w:szCs w:val="13"/>
          <w:color w:val="auto"/>
        </w:rPr>
      </w:pPr>
    </w:p>
    <w:p>
      <w:pPr>
        <w:ind w:left="1420" w:right="660" w:hanging="700"/>
        <w:spacing w:after="0" w:line="258" w:lineRule="auto"/>
        <w:tabs>
          <w:tab w:leader="none" w:pos="142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before deducting any interest, commission, fees, discounts, prepayment fees, premiums or charges and other finance payments whether paid, payable or capitalised by any Group Company (calculated on a consolidated basis) in respect of that Relevant Period;</w:t>
      </w:r>
    </w:p>
    <w:p>
      <w:pPr>
        <w:spacing w:after="0" w:line="38" w:lineRule="exact"/>
        <w:rPr>
          <w:rFonts w:ascii="Arial" w:cs="Arial" w:eastAsia="Arial" w:hAnsi="Arial"/>
          <w:sz w:val="13"/>
          <w:szCs w:val="13"/>
          <w:color w:val="auto"/>
        </w:rPr>
      </w:pPr>
    </w:p>
    <w:p>
      <w:pPr>
        <w:ind w:left="1420" w:hanging="700"/>
        <w:spacing w:after="0"/>
        <w:tabs>
          <w:tab w:leader="none" w:pos="142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not including any accrued interest owing to any Group Company;</w:t>
      </w:r>
    </w:p>
    <w:p>
      <w:pPr>
        <w:spacing w:after="0" w:line="90" w:lineRule="exact"/>
        <w:rPr>
          <w:rFonts w:ascii="Arial" w:cs="Arial" w:eastAsia="Arial" w:hAnsi="Arial"/>
          <w:sz w:val="13"/>
          <w:szCs w:val="13"/>
          <w:color w:val="auto"/>
        </w:rPr>
      </w:pPr>
    </w:p>
    <w:p>
      <w:pPr>
        <w:ind w:left="1420" w:hanging="700"/>
        <w:spacing w:after="0"/>
        <w:tabs>
          <w:tab w:leader="none" w:pos="142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after adding back any amount attributable to the amortisation or depreciation of assets of members of the Group;</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before taking into account any Exceptional Items;</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after deducting the amount of any profit (or adding back the amount of any loss) of any Group Company which is attributable to minority interests;</w:t>
      </w:r>
    </w:p>
    <w:p>
      <w:pPr>
        <w:spacing w:after="0" w:line="60" w:lineRule="exact"/>
        <w:rPr>
          <w:rFonts w:ascii="Arial" w:cs="Arial" w:eastAsia="Arial" w:hAnsi="Arial"/>
          <w:sz w:val="13"/>
          <w:szCs w:val="13"/>
          <w:color w:val="auto"/>
        </w:rPr>
      </w:pPr>
    </w:p>
    <w:p>
      <w:pPr>
        <w:ind w:left="1420" w:hanging="700"/>
        <w:spacing w:after="0"/>
        <w:tabs>
          <w:tab w:leader="none" w:pos="142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plus or minus the Group's share of the profits or losses (after finance costs and tax) of entities which are not Group Companies;</w:t>
      </w: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420" w:right="360" w:hanging="700"/>
        <w:spacing w:after="0" w:line="258" w:lineRule="auto"/>
        <w:tabs>
          <w:tab w:leader="none" w:pos="1420" w:val="left"/>
        </w:tabs>
        <w:numPr>
          <w:ilvl w:val="0"/>
          <w:numId w:val="371"/>
        </w:numPr>
        <w:rPr>
          <w:rFonts w:ascii="Arial" w:cs="Arial" w:eastAsia="Arial" w:hAnsi="Arial"/>
          <w:sz w:val="13"/>
          <w:szCs w:val="13"/>
          <w:color w:val="auto"/>
        </w:rPr>
      </w:pPr>
      <w:r>
        <w:rPr>
          <w:rFonts w:ascii="Arial" w:cs="Arial" w:eastAsia="Arial" w:hAnsi="Arial"/>
          <w:sz w:val="13"/>
          <w:szCs w:val="13"/>
          <w:color w:val="auto"/>
        </w:rPr>
        <w:t>before taking into account any unrealised gains or losses on any financial instrument (other than any derivative instrument which is accounted for on a hedge accounting basis); and</w:t>
      </w:r>
    </w:p>
    <w:p>
      <w:pPr>
        <w:spacing w:after="0" w:line="58" w:lineRule="exact"/>
        <w:rPr>
          <w:rFonts w:ascii="Arial" w:cs="Arial" w:eastAsia="Arial" w:hAnsi="Arial"/>
          <w:sz w:val="13"/>
          <w:szCs w:val="13"/>
          <w:color w:val="auto"/>
        </w:rPr>
      </w:pPr>
    </w:p>
    <w:p>
      <w:pPr>
        <w:ind w:left="1420" w:hanging="700"/>
        <w:spacing w:after="0"/>
        <w:tabs>
          <w:tab w:leader="none" w:pos="1420" w:val="left"/>
        </w:tabs>
        <w:numPr>
          <w:ilvl w:val="0"/>
          <w:numId w:val="371"/>
        </w:numPr>
        <w:rPr>
          <w:rFonts w:ascii="Arial" w:cs="Arial" w:eastAsia="Arial" w:hAnsi="Arial"/>
          <w:sz w:val="13"/>
          <w:szCs w:val="13"/>
          <w:color w:val="auto"/>
        </w:rPr>
      </w:pPr>
      <w:r>
        <w:rPr>
          <w:rFonts w:ascii="Arial" w:cs="Arial" w:eastAsia="Arial" w:hAnsi="Arial"/>
          <w:sz w:val="13"/>
          <w:szCs w:val="13"/>
          <w:color w:val="auto"/>
        </w:rPr>
        <w:t>before taking into account any gain arising from an upward revaluation of any other asset,</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in each case, to the extent added, deducted or taken into account, as the case may be, for the purposes of determining operating profits of the Group before taxation.</w:t>
      </w:r>
    </w:p>
    <w:p>
      <w:pPr>
        <w:spacing w:after="0" w:line="4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EIB Fee Letter</w:t>
      </w:r>
      <w:r>
        <w:rPr>
          <w:rFonts w:ascii="Arial" w:cs="Arial" w:eastAsia="Arial" w:hAnsi="Arial"/>
          <w:sz w:val="13"/>
          <w:szCs w:val="13"/>
          <w:color w:val="auto"/>
        </w:rPr>
        <w:t>" means the letter from the Bank to the Borrower dated 31 October 2018. "</w:t>
      </w:r>
      <w:r>
        <w:rPr>
          <w:rFonts w:ascii="Arial" w:cs="Arial" w:eastAsia="Arial" w:hAnsi="Arial"/>
          <w:sz w:val="13"/>
          <w:szCs w:val="13"/>
          <w:b w:val="1"/>
          <w:bCs w:val="1"/>
          <w:color w:val="auto"/>
        </w:rPr>
        <w:t>EFSI</w:t>
      </w:r>
      <w:r>
        <w:rPr>
          <w:rFonts w:ascii="Arial" w:cs="Arial" w:eastAsia="Arial" w:hAnsi="Arial"/>
          <w:sz w:val="13"/>
          <w:szCs w:val="13"/>
          <w:color w:val="auto"/>
        </w:rPr>
        <w:t>" has the meaning given in Recital (C).</w:t>
      </w:r>
    </w:p>
    <w:p>
      <w:pPr>
        <w:spacing w:after="0" w:line="16" w:lineRule="exact"/>
        <w:rPr>
          <w:sz w:val="20"/>
          <w:szCs w:val="20"/>
          <w:color w:val="auto"/>
        </w:rPr>
      </w:pPr>
    </w:p>
    <w:p>
      <w:pPr>
        <w:ind w:left="720" w:right="120"/>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EFSI Regulation</w:t>
      </w:r>
      <w:r>
        <w:rPr>
          <w:rFonts w:ascii="Arial" w:cs="Arial" w:eastAsia="Arial" w:hAnsi="Arial"/>
          <w:sz w:val="13"/>
          <w:szCs w:val="13"/>
          <w:color w:val="auto"/>
        </w:rPr>
        <w:t>" means the Regulation 2015/1017 of the European Parliament and of the Council of 25 June 2015 on the European Fund for Strategic Investments, as amended, supplemented or restated.</w:t>
      </w:r>
    </w:p>
    <w:p>
      <w:pPr>
        <w:spacing w:after="0" w:line="3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Environment</w:t>
      </w:r>
      <w:r>
        <w:rPr>
          <w:rFonts w:ascii="Arial" w:cs="Arial" w:eastAsia="Arial" w:hAnsi="Arial"/>
          <w:sz w:val="13"/>
          <w:szCs w:val="13"/>
          <w:color w:val="auto"/>
        </w:rPr>
        <w:t>" means the following, in so far as they affect human health or social well-  being:</w:t>
      </w:r>
    </w:p>
    <w:p>
      <w:pPr>
        <w:spacing w:after="0" w:line="86" w:lineRule="exact"/>
        <w:rPr>
          <w:sz w:val="20"/>
          <w:szCs w:val="20"/>
          <w:color w:val="auto"/>
        </w:rPr>
      </w:pPr>
    </w:p>
    <w:p>
      <w:pPr>
        <w:ind w:left="1420" w:hanging="700"/>
        <w:spacing w:after="0"/>
        <w:tabs>
          <w:tab w:leader="none" w:pos="142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fauna and flora;</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soil, water, air, climate and the landscape; and</w:t>
      </w:r>
    </w:p>
    <w:p>
      <w:pPr>
        <w:spacing w:after="0" w:line="70" w:lineRule="exact"/>
        <w:rPr>
          <w:rFonts w:ascii="Arial" w:cs="Arial" w:eastAsia="Arial" w:hAnsi="Arial"/>
          <w:sz w:val="13"/>
          <w:szCs w:val="13"/>
          <w:color w:val="auto"/>
        </w:rPr>
      </w:pPr>
    </w:p>
    <w:p>
      <w:pPr>
        <w:ind w:left="1420" w:hanging="700"/>
        <w:spacing w:after="0"/>
        <w:tabs>
          <w:tab w:leader="none" w:pos="142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cultural heritage and the built environment,</w:t>
      </w:r>
    </w:p>
    <w:p>
      <w:pPr>
        <w:spacing w:after="0" w:line="6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and includes, without limitation, occupational and community health and safety.  "</w:t>
      </w:r>
      <w:r>
        <w:rPr>
          <w:rFonts w:ascii="Arial" w:cs="Arial" w:eastAsia="Arial" w:hAnsi="Arial"/>
          <w:sz w:val="13"/>
          <w:szCs w:val="13"/>
          <w:b w:val="1"/>
          <w:bCs w:val="1"/>
          <w:color w:val="auto"/>
        </w:rPr>
        <w:t>Environmental Approval</w:t>
      </w:r>
      <w:r>
        <w:rPr>
          <w:rFonts w:ascii="Arial" w:cs="Arial" w:eastAsia="Arial" w:hAnsi="Arial"/>
          <w:sz w:val="13"/>
          <w:szCs w:val="13"/>
          <w:color w:val="auto"/>
        </w:rPr>
        <w:t>" means any Authorisation required by Environmental Law.</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Environmental Claim</w:t>
      </w:r>
      <w:r>
        <w:rPr>
          <w:rFonts w:ascii="Arial" w:cs="Arial" w:eastAsia="Arial" w:hAnsi="Arial"/>
          <w:sz w:val="13"/>
          <w:szCs w:val="13"/>
          <w:color w:val="auto"/>
        </w:rPr>
        <w:t>" means any claim, proceeding, formal notice or investigation by any  person in respect of any Environmental Law.</w:t>
      </w:r>
    </w:p>
    <w:p>
      <w:pPr>
        <w:spacing w:after="0" w:line="54"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Environmental Law</w:t>
      </w:r>
      <w:r>
        <w:rPr>
          <w:rFonts w:ascii="Arial" w:cs="Arial" w:eastAsia="Arial" w:hAnsi="Arial"/>
          <w:sz w:val="13"/>
          <w:szCs w:val="13"/>
          <w:color w:val="auto"/>
        </w:rPr>
        <w:t>" means EU Law including principles and standards, and national laws and regulations, of which a principal objective is the preservation, protection or improvement of the Environment.</w:t>
      </w:r>
    </w:p>
    <w:p>
      <w:pPr>
        <w:spacing w:after="0" w:line="6"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Expert Determination</w:t>
      </w:r>
      <w:r>
        <w:rPr>
          <w:rFonts w:ascii="Arial" w:cs="Arial" w:eastAsia="Arial" w:hAnsi="Arial"/>
          <w:sz w:val="13"/>
          <w:szCs w:val="13"/>
          <w:color w:val="auto"/>
        </w:rPr>
        <w:t xml:space="preserve">" has the meaning given to it in Article </w:t>
      </w:r>
      <w:hyperlink w:anchor="page358">
        <w:r>
          <w:rPr>
            <w:rFonts w:ascii="Arial" w:cs="Arial" w:eastAsia="Arial" w:hAnsi="Arial"/>
            <w:sz w:val="13"/>
            <w:szCs w:val="13"/>
            <w:u w:val="single" w:color="auto"/>
            <w:color w:val="0000EE"/>
          </w:rPr>
          <w:t>4.3(d)</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Profit Participation</w:t>
      </w:r>
      <w:r>
        <w:rPr>
          <w:rFonts w:ascii="Arial" w:cs="Arial" w:eastAsia="Arial" w:hAnsi="Arial"/>
          <w:sz w:val="13"/>
          <w:szCs w:val="13"/>
          <w:color w:val="auto"/>
        </w:rPr>
        <w: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Existing Indebtedness</w:t>
      </w:r>
      <w:r>
        <w:rPr>
          <w:rFonts w:ascii="Arial" w:cs="Arial" w:eastAsia="Arial" w:hAnsi="Arial"/>
          <w:sz w:val="13"/>
          <w:szCs w:val="13"/>
          <w:color w:val="auto"/>
        </w:rPr>
        <w:t>" means any Indebtedness of members of the Group arising under any arrangement listed in Schedule J (</w:t>
      </w:r>
      <w:r>
        <w:rPr>
          <w:rFonts w:ascii="Arial" w:cs="Arial" w:eastAsia="Arial" w:hAnsi="Arial"/>
          <w:sz w:val="13"/>
          <w:szCs w:val="13"/>
          <w:i w:val="1"/>
          <w:iCs w:val="1"/>
          <w:color w:val="auto"/>
        </w:rPr>
        <w:t>Existing Indebtedness</w:t>
      </w:r>
      <w:r>
        <w:rPr>
          <w:rFonts w:ascii="Arial" w:cs="Arial" w:eastAsia="Arial" w:hAnsi="Arial"/>
          <w:sz w:val="13"/>
          <w:szCs w:val="13"/>
          <w:color w:val="auto"/>
        </w:rPr>
        <w: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Existing Security</w:t>
      </w:r>
      <w:r>
        <w:rPr>
          <w:rFonts w:ascii="Arial" w:cs="Arial" w:eastAsia="Arial" w:hAnsi="Arial"/>
          <w:sz w:val="13"/>
          <w:szCs w:val="13"/>
          <w:color w:val="auto"/>
        </w:rPr>
        <w:t>" means any Security granted by members of the Group which are listed in Schedule K (</w:t>
      </w:r>
      <w:r>
        <w:rPr>
          <w:rFonts w:ascii="Arial" w:cs="Arial" w:eastAsia="Arial" w:hAnsi="Arial"/>
          <w:sz w:val="13"/>
          <w:szCs w:val="13"/>
          <w:i w:val="1"/>
          <w:iCs w:val="1"/>
          <w:color w:val="auto"/>
        </w:rPr>
        <w:t>Existing Security</w:t>
      </w:r>
      <w:r>
        <w:rPr>
          <w:rFonts w:ascii="Arial" w:cs="Arial" w:eastAsia="Arial" w:hAnsi="Arial"/>
          <w:sz w:val="13"/>
          <w:szCs w:val="13"/>
          <w:color w:val="auto"/>
        </w:rPr>
        <w: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EU Directives</w:t>
      </w:r>
      <w:r>
        <w:rPr>
          <w:rFonts w:ascii="Arial" w:cs="Arial" w:eastAsia="Arial" w:hAnsi="Arial"/>
          <w:sz w:val="13"/>
          <w:szCs w:val="13"/>
          <w:color w:val="auto"/>
        </w:rPr>
        <w:t>" means the directives of the European Union.</w:t>
      </w:r>
    </w:p>
    <w:p>
      <w:pPr>
        <w:spacing w:after="0" w:line="80"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EU Law</w:t>
      </w:r>
      <w:r>
        <w:rPr>
          <w:rFonts w:ascii="Arial" w:cs="Arial" w:eastAsia="Arial" w:hAnsi="Arial"/>
          <w:sz w:val="13"/>
          <w:szCs w:val="13"/>
          <w:color w:val="auto"/>
        </w:rPr>
        <w:t>" means the acquis communautaire of the European Union as expressed through the Treaties of the European Union, the regulations, the EU Directives, delegated acts, implementing acts, and the case law of the Court of Justice of the European Union.</w:t>
      </w:r>
    </w:p>
    <w:p>
      <w:pPr>
        <w:spacing w:after="0" w:line="16"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EUR</w:t>
      </w:r>
      <w:r>
        <w:rPr>
          <w:rFonts w:ascii="Arial" w:cs="Arial" w:eastAsia="Arial" w:hAnsi="Arial"/>
          <w:sz w:val="13"/>
          <w:szCs w:val="13"/>
          <w:color w:val="auto"/>
        </w:rPr>
        <w:t>" or "</w:t>
      </w:r>
      <w:r>
        <w:rPr>
          <w:rFonts w:ascii="Arial" w:cs="Arial" w:eastAsia="Arial" w:hAnsi="Arial"/>
          <w:sz w:val="13"/>
          <w:szCs w:val="13"/>
          <w:b w:val="1"/>
          <w:bCs w:val="1"/>
          <w:color w:val="auto"/>
        </w:rPr>
        <w:t>euro</w:t>
      </w:r>
      <w:r>
        <w:rPr>
          <w:rFonts w:ascii="Arial" w:cs="Arial" w:eastAsia="Arial" w:hAnsi="Arial"/>
          <w:sz w:val="13"/>
          <w:szCs w:val="13"/>
          <w:color w:val="auto"/>
        </w:rPr>
        <w:t>" means the lawful currency of the Member States of the European Union which adopt or have adopted it as their currency in accordance with the relevant provisions of the Treaty on European Union and the Treaty on the Functioning of the European Union or their succeeding treaties.</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EURIBOR</w:t>
      </w:r>
      <w:r>
        <w:rPr>
          <w:rFonts w:ascii="Arial" w:cs="Arial" w:eastAsia="Arial" w:hAnsi="Arial"/>
          <w:sz w:val="13"/>
          <w:szCs w:val="13"/>
          <w:color w:val="auto"/>
        </w:rPr>
        <w:t>" has the meaning given to it in Schedule B (</w:t>
      </w:r>
      <w:r>
        <w:rPr>
          <w:rFonts w:ascii="Arial" w:cs="Arial" w:eastAsia="Arial" w:hAnsi="Arial"/>
          <w:sz w:val="13"/>
          <w:szCs w:val="13"/>
          <w:i w:val="1"/>
          <w:iCs w:val="1"/>
          <w:color w:val="auto"/>
        </w:rPr>
        <w:t>Definition of EURIBOR</w:t>
      </w:r>
      <w:r>
        <w:rPr>
          <w:rFonts w:ascii="Arial" w:cs="Arial" w:eastAsia="Arial" w:hAnsi="Arial"/>
          <w:sz w:val="13"/>
          <w:szCs w:val="13"/>
          <w:color w:val="auto"/>
        </w:rPr>
        <w:t>).</w:t>
      </w:r>
    </w:p>
    <w:p>
      <w:pPr>
        <w:spacing w:after="0" w:line="7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Event of Default</w:t>
      </w:r>
      <w:r>
        <w:rPr>
          <w:rFonts w:ascii="Arial" w:cs="Arial" w:eastAsia="Arial" w:hAnsi="Arial"/>
          <w:sz w:val="13"/>
          <w:szCs w:val="13"/>
          <w:color w:val="auto"/>
        </w:rPr>
        <w:t xml:space="preserve">" means any of the circumstances, events or occurrences specified in </w:t>
      </w:r>
      <w:hyperlink w:anchor="page364">
        <w:r>
          <w:rPr>
            <w:rFonts w:ascii="Arial" w:cs="Arial" w:eastAsia="Arial" w:hAnsi="Arial"/>
            <w:sz w:val="13"/>
            <w:szCs w:val="13"/>
            <w:color w:val="0000EE"/>
          </w:rPr>
          <w:t>Article 9</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Events of Default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-1270</wp:posOffset>
            </wp:positionV>
            <wp:extent cx="34290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342900" cy="6350"/>
                    </a:xfrm>
                    <a:prstGeom prst="rect">
                      <a:avLst/>
                    </a:prstGeom>
                    <a:noFill/>
                  </pic:spPr>
                </pic:pic>
              </a:graphicData>
            </a:graphic>
          </wp:anchor>
        </w:drawing>
      </w:r>
    </w:p>
    <w:p>
      <w:pPr>
        <w:spacing w:after="0" w:line="4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Exceptional Items</w:t>
      </w:r>
      <w:r>
        <w:rPr>
          <w:rFonts w:ascii="Arial" w:cs="Arial" w:eastAsia="Arial" w:hAnsi="Arial"/>
          <w:sz w:val="13"/>
          <w:szCs w:val="13"/>
          <w:color w:val="auto"/>
        </w:rPr>
        <w:t>" means any material items of an unusual or non-recurring nature which represent gains or losses including those arising on:</w:t>
      </w:r>
    </w:p>
    <w:p>
      <w:pPr>
        <w:spacing w:after="0" w:line="86" w:lineRule="exact"/>
        <w:rPr>
          <w:sz w:val="20"/>
          <w:szCs w:val="20"/>
          <w:color w:val="auto"/>
        </w:rPr>
      </w:pPr>
    </w:p>
    <w:p>
      <w:pPr>
        <w:ind w:left="1420" w:hanging="700"/>
        <w:spacing w:after="0"/>
        <w:tabs>
          <w:tab w:leader="none" w:pos="142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the restructuring of the activities of an entity and reversals of any provisions for the cost of restructuring;</w:t>
      </w:r>
    </w:p>
    <w:p>
      <w:pPr>
        <w:spacing w:after="0" w:line="70" w:lineRule="exact"/>
        <w:rPr>
          <w:rFonts w:ascii="Arial" w:cs="Arial" w:eastAsia="Arial" w:hAnsi="Arial"/>
          <w:sz w:val="13"/>
          <w:szCs w:val="13"/>
          <w:color w:val="auto"/>
        </w:rPr>
      </w:pPr>
    </w:p>
    <w:p>
      <w:pPr>
        <w:ind w:left="1420" w:hanging="700"/>
        <w:spacing w:after="0"/>
        <w:tabs>
          <w:tab w:leader="none" w:pos="1420" w:val="left"/>
        </w:tabs>
        <w:numPr>
          <w:ilvl w:val="0"/>
          <w:numId w:val="373"/>
        </w:numPr>
        <w:rPr>
          <w:rFonts w:ascii="Arial" w:cs="Arial" w:eastAsia="Arial" w:hAnsi="Arial"/>
          <w:sz w:val="13"/>
          <w:szCs w:val="13"/>
          <w:color w:val="auto"/>
        </w:rPr>
      </w:pPr>
      <w:r>
        <w:rPr>
          <w:rFonts w:ascii="Arial" w:cs="Arial" w:eastAsia="Arial" w:hAnsi="Arial"/>
          <w:sz w:val="13"/>
          <w:szCs w:val="13"/>
          <w:color w:val="auto"/>
        </w:rPr>
        <w:t>disposals, revaluations, write downs or impairment of non-current assets or any reversal of any write down or impairment;</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9" w:name="page350"/>
    <w:bookmarkEnd w:id="349"/>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420" w:hanging="700"/>
        <w:spacing w:after="0"/>
        <w:tabs>
          <w:tab w:leader="none" w:pos="1420" w:val="left"/>
        </w:tabs>
        <w:numPr>
          <w:ilvl w:val="0"/>
          <w:numId w:val="374"/>
        </w:numPr>
        <w:rPr>
          <w:rFonts w:ascii="Arial" w:cs="Arial" w:eastAsia="Arial" w:hAnsi="Arial"/>
          <w:sz w:val="13"/>
          <w:szCs w:val="13"/>
          <w:color w:val="auto"/>
        </w:rPr>
      </w:pPr>
      <w:r>
        <w:rPr>
          <w:rFonts w:ascii="Arial" w:cs="Arial" w:eastAsia="Arial" w:hAnsi="Arial"/>
          <w:sz w:val="13"/>
          <w:szCs w:val="13"/>
          <w:color w:val="auto"/>
        </w:rPr>
        <w:t>disposals of assets associated with discontinued operations; and</w:t>
      </w:r>
    </w:p>
    <w:p>
      <w:pPr>
        <w:spacing w:after="0" w:line="80"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3"/>
          <w:szCs w:val="13"/>
          <w:color w:val="auto"/>
        </w:rPr>
        <w:t>(d)</w:t>
      </w:r>
      <w:r>
        <w:rPr>
          <w:sz w:val="20"/>
          <w:szCs w:val="20"/>
          <w:color w:val="auto"/>
        </w:rPr>
        <w:tab/>
      </w:r>
      <w:r>
        <w:rPr>
          <w:rFonts w:ascii="Arial" w:cs="Arial" w:eastAsia="Arial" w:hAnsi="Arial"/>
          <w:sz w:val="13"/>
          <w:szCs w:val="13"/>
          <w:color w:val="auto"/>
        </w:rPr>
        <w:t>any other examples of “exceptional items” (as such term has the meaning attributed to  it in IFRS).</w:t>
      </w:r>
    </w:p>
    <w:p>
      <w:pPr>
        <w:spacing w:after="0" w:line="5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Fee Letters</w:t>
      </w:r>
      <w:r>
        <w:rPr>
          <w:rFonts w:ascii="Arial" w:cs="Arial" w:eastAsia="Arial" w:hAnsi="Arial"/>
          <w:sz w:val="13"/>
          <w:szCs w:val="13"/>
          <w:color w:val="auto"/>
        </w:rPr>
        <w:t>" means the EIB Finance Letter and the Finance Fee Letter.</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Finance Fee Letter</w:t>
      </w:r>
      <w:r>
        <w:rPr>
          <w:rFonts w:ascii="Arial" w:cs="Arial" w:eastAsia="Arial" w:hAnsi="Arial"/>
          <w:sz w:val="13"/>
          <w:szCs w:val="13"/>
          <w:color w:val="auto"/>
        </w:rPr>
        <w:t>" means the Luxembourg law governed finance fee letter from the Bank  to the Borrower dated on or about the date hereof.</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Availability Date</w:t>
      </w:r>
      <w:r>
        <w:rPr>
          <w:rFonts w:ascii="Arial" w:cs="Arial" w:eastAsia="Arial" w:hAnsi="Arial"/>
          <w:sz w:val="13"/>
          <w:szCs w:val="13"/>
          <w:color w:val="auto"/>
        </w:rPr>
        <w:t xml:space="preserve">" means the day falling </w:t>
      </w:r>
      <w:r>
        <w:rPr>
          <w:rFonts w:ascii="Arial" w:cs="Arial" w:eastAsia="Arial" w:hAnsi="Arial"/>
          <w:sz w:val="14"/>
          <w:szCs w:val="14"/>
          <w:color w:val="auto"/>
        </w:rPr>
        <w:t>[***]</w:t>
      </w:r>
      <w:r>
        <w:rPr>
          <w:rFonts w:ascii="Arial" w:cs="Arial" w:eastAsia="Arial" w:hAnsi="Arial"/>
          <w:sz w:val="13"/>
          <w:szCs w:val="13"/>
          <w:color w:val="auto"/>
        </w:rPr>
        <w:t xml:space="preserve"> months after the date of this Contract.</w:t>
      </w:r>
    </w:p>
    <w:p>
      <w:pPr>
        <w:spacing w:after="0" w:line="79"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Finance Documents</w:t>
      </w:r>
      <w:r>
        <w:rPr>
          <w:rFonts w:ascii="Arial" w:cs="Arial" w:eastAsia="Arial" w:hAnsi="Arial"/>
          <w:sz w:val="13"/>
          <w:szCs w:val="13"/>
          <w:color w:val="auto"/>
        </w:rPr>
        <w:t>" means this Contract, any Guarantee Agreement, the Security Documents, the Fee Letters and any other document designated a "Finance Document" by the Borrower and the Bank.</w:t>
      </w:r>
    </w:p>
    <w:p>
      <w:pPr>
        <w:spacing w:after="0" w:line="16"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Finance Lease</w:t>
      </w:r>
      <w:r>
        <w:rPr>
          <w:rFonts w:ascii="Arial" w:cs="Arial" w:eastAsia="Arial" w:hAnsi="Arial"/>
          <w:sz w:val="13"/>
          <w:szCs w:val="13"/>
          <w:color w:val="auto"/>
        </w:rPr>
        <w:t>" means any lease or hire purchase contract which would, in accordance with IFRS in force prior to 1 January 2019, be treated as a finance or capital lease; it is understood between the parties to this Contract that the definition of "Finance Lease" does not include operational lease.</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generally accepted accounting principles (</w:t>
      </w:r>
      <w:r>
        <w:rPr>
          <w:rFonts w:ascii="Arial" w:cs="Arial" w:eastAsia="Arial" w:hAnsi="Arial"/>
          <w:sz w:val="13"/>
          <w:szCs w:val="13"/>
          <w:i w:val="1"/>
          <w:iCs w:val="1"/>
          <w:color w:val="auto"/>
        </w:rPr>
        <w:t>Grundsätze ordnungsgemäßer  Buchführung</w:t>
      </w:r>
      <w:r>
        <w:rPr>
          <w:rFonts w:ascii="Arial" w:cs="Arial" w:eastAsia="Arial" w:hAnsi="Arial"/>
          <w:sz w:val="13"/>
          <w:szCs w:val="13"/>
          <w:color w:val="auto"/>
        </w:rPr>
        <w:t>) in Germany, including IFRS.</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Germany</w:t>
      </w:r>
      <w:r>
        <w:rPr>
          <w:rFonts w:ascii="Arial" w:cs="Arial" w:eastAsia="Arial" w:hAnsi="Arial"/>
          <w:sz w:val="13"/>
          <w:szCs w:val="13"/>
          <w:color w:val="auto"/>
        </w:rPr>
        <w:t>" means the Federal Republic of Germany.</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Group</w:t>
      </w:r>
      <w:r>
        <w:rPr>
          <w:rFonts w:ascii="Arial" w:cs="Arial" w:eastAsia="Arial" w:hAnsi="Arial"/>
          <w:sz w:val="13"/>
          <w:szCs w:val="13"/>
          <w:color w:val="auto"/>
        </w:rPr>
        <w:t>" means the Group Companies, taken together as a whole. "</w:t>
      </w:r>
      <w:r>
        <w:rPr>
          <w:rFonts w:ascii="Arial" w:cs="Arial" w:eastAsia="Arial" w:hAnsi="Arial"/>
          <w:sz w:val="13"/>
          <w:szCs w:val="13"/>
          <w:b w:val="1"/>
          <w:bCs w:val="1"/>
          <w:color w:val="auto"/>
        </w:rPr>
        <w:t>Group Company</w:t>
      </w:r>
      <w:r>
        <w:rPr>
          <w:rFonts w:ascii="Arial" w:cs="Arial" w:eastAsia="Arial" w:hAnsi="Arial"/>
          <w:sz w:val="13"/>
          <w:szCs w:val="13"/>
          <w:color w:val="auto"/>
        </w:rPr>
        <w:t>" means the Borrower and its Subsidiaries.</w:t>
      </w:r>
    </w:p>
    <w:p>
      <w:pPr>
        <w:spacing w:after="0" w:line="16" w:lineRule="exact"/>
        <w:rPr>
          <w:sz w:val="20"/>
          <w:szCs w:val="20"/>
          <w:color w:val="auto"/>
        </w:rPr>
      </w:pPr>
    </w:p>
    <w:p>
      <w:pPr>
        <w:ind w:left="720" w:right="120"/>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Guarantee Agreement</w:t>
      </w:r>
      <w:r>
        <w:rPr>
          <w:rFonts w:ascii="Arial" w:cs="Arial" w:eastAsia="Arial" w:hAnsi="Arial"/>
          <w:sz w:val="13"/>
          <w:szCs w:val="13"/>
          <w:color w:val="auto"/>
        </w:rPr>
        <w:t>" means a guarantee and indemnity agreement in form and substance satisfactory to the Bank (to be) entered into by a Guarantor as guarantor and the Bank as beneficiary.</w:t>
      </w:r>
    </w:p>
    <w:p>
      <w:pPr>
        <w:spacing w:after="0" w:line="33" w:lineRule="exact"/>
        <w:rPr>
          <w:sz w:val="20"/>
          <w:szCs w:val="20"/>
          <w:color w:val="auto"/>
        </w:rPr>
      </w:pPr>
    </w:p>
    <w:p>
      <w:pPr>
        <w:ind w:left="720" w:right="120"/>
        <w:spacing w:after="0" w:line="284"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Guarantor</w:t>
      </w:r>
      <w:r>
        <w:rPr>
          <w:rFonts w:ascii="Arial" w:cs="Arial" w:eastAsia="Arial" w:hAnsi="Arial"/>
          <w:sz w:val="13"/>
          <w:szCs w:val="13"/>
          <w:color w:val="auto"/>
        </w:rPr>
        <w:t xml:space="preserve">" means BioNTech RNA Pharmaceuticals GmbH and each Material Subsidiary which enters into a Guarantee Agreement in accordance with Sub-Paragraph (b) of Paragraph </w:t>
      </w:r>
      <w:hyperlink w:anchor="page391">
        <w:r>
          <w:rPr>
            <w:rFonts w:ascii="Arial" w:cs="Arial" w:eastAsia="Arial" w:hAnsi="Arial"/>
            <w:sz w:val="13"/>
            <w:szCs w:val="13"/>
            <w:u w:val="single" w:color="auto"/>
            <w:color w:val="0000EE"/>
          </w:rPr>
          <w:t>16</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of </w:t>
      </w:r>
      <w:hyperlink w:anchor="page387">
        <w:r>
          <w:rPr>
            <w:rFonts w:ascii="Arial" w:cs="Arial" w:eastAsia="Arial" w:hAnsi="Arial"/>
            <w:sz w:val="13"/>
            <w:szCs w:val="13"/>
            <w:u w:val="single" w:color="auto"/>
            <w:color w:val="0000EE"/>
          </w:rPr>
          <w:t>Schedule H</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General Undertakings</w:t>
      </w:r>
      <w:r>
        <w:rPr>
          <w:rFonts w:ascii="Arial" w:cs="Arial" w:eastAsia="Arial" w:hAnsi="Arial"/>
          <w:sz w:val="13"/>
          <w:szCs w:val="13"/>
          <w:color w:val="auto"/>
        </w:rPr>
        <w:t>).</w:t>
      </w:r>
    </w:p>
    <w:p>
      <w:pPr>
        <w:spacing w:after="0" w:line="2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IFRS</w:t>
      </w:r>
      <w:r>
        <w:rPr>
          <w:rFonts w:ascii="Arial" w:cs="Arial" w:eastAsia="Arial" w:hAnsi="Arial"/>
          <w:sz w:val="13"/>
          <w:szCs w:val="13"/>
          <w:color w:val="auto"/>
        </w:rPr>
        <w:t>" means international accounting standards within the meaning of IAS Regulation 1606/2002 to the extent applicable to the relevant financial statements.</w:t>
      </w:r>
    </w:p>
    <w:p>
      <w:pPr>
        <w:spacing w:after="0" w:line="70"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Illegal Activities</w:t>
      </w:r>
      <w:r>
        <w:rPr>
          <w:rFonts w:ascii="Arial" w:cs="Arial" w:eastAsia="Arial" w:hAnsi="Arial"/>
          <w:sz w:val="13"/>
          <w:szCs w:val="13"/>
          <w:color w:val="auto"/>
        </w:rPr>
        <w:t>" means any of the following illegal activities or activities carried out for illegal purposes: tax evasion, tax fraud, fraud, corruption, coercion, collusion, obstruction, money laundering, financing of terrorism or any illegal activity that may affect the financial interests of the EU, according to applicable laws.</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means any:</w:t>
      </w:r>
    </w:p>
    <w:p>
      <w:pPr>
        <w:spacing w:after="0" w:line="96" w:lineRule="exact"/>
        <w:rPr>
          <w:sz w:val="20"/>
          <w:szCs w:val="20"/>
          <w:color w:val="auto"/>
        </w:rPr>
      </w:pPr>
    </w:p>
    <w:p>
      <w:pPr>
        <w:ind w:left="1420" w:hanging="700"/>
        <w:spacing w:after="0"/>
        <w:tabs>
          <w:tab w:leader="none" w:pos="1420" w:val="left"/>
        </w:tabs>
        <w:numPr>
          <w:ilvl w:val="0"/>
          <w:numId w:val="375"/>
        </w:numPr>
        <w:rPr>
          <w:rFonts w:ascii="Arial" w:cs="Arial" w:eastAsia="Arial" w:hAnsi="Arial"/>
          <w:sz w:val="13"/>
          <w:szCs w:val="13"/>
          <w:color w:val="auto"/>
        </w:rPr>
      </w:pPr>
      <w:r>
        <w:rPr>
          <w:rFonts w:ascii="Arial" w:cs="Arial" w:eastAsia="Arial" w:hAnsi="Arial"/>
          <w:sz w:val="13"/>
          <w:szCs w:val="13"/>
          <w:color w:val="auto"/>
        </w:rPr>
        <w:t>obligations for borrowed money;</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75"/>
        </w:numPr>
        <w:rPr>
          <w:rFonts w:ascii="Arial" w:cs="Arial" w:eastAsia="Arial" w:hAnsi="Arial"/>
          <w:sz w:val="13"/>
          <w:szCs w:val="13"/>
          <w:color w:val="auto"/>
        </w:rPr>
      </w:pPr>
      <w:r>
        <w:rPr>
          <w:rFonts w:ascii="Arial" w:cs="Arial" w:eastAsia="Arial" w:hAnsi="Arial"/>
          <w:sz w:val="13"/>
          <w:szCs w:val="13"/>
          <w:color w:val="auto"/>
        </w:rPr>
        <w:t>indebtedness under any acceptance credit;</w:t>
      </w:r>
    </w:p>
    <w:p>
      <w:pPr>
        <w:spacing w:after="0" w:line="70" w:lineRule="exact"/>
        <w:rPr>
          <w:rFonts w:ascii="Arial" w:cs="Arial" w:eastAsia="Arial" w:hAnsi="Arial"/>
          <w:sz w:val="13"/>
          <w:szCs w:val="13"/>
          <w:color w:val="auto"/>
        </w:rPr>
      </w:pPr>
    </w:p>
    <w:p>
      <w:pPr>
        <w:ind w:left="1420" w:hanging="700"/>
        <w:spacing w:after="0"/>
        <w:tabs>
          <w:tab w:leader="none" w:pos="1420" w:val="left"/>
        </w:tabs>
        <w:numPr>
          <w:ilvl w:val="0"/>
          <w:numId w:val="375"/>
        </w:numPr>
        <w:rPr>
          <w:rFonts w:ascii="Arial" w:cs="Arial" w:eastAsia="Arial" w:hAnsi="Arial"/>
          <w:sz w:val="13"/>
          <w:szCs w:val="13"/>
          <w:color w:val="auto"/>
        </w:rPr>
      </w:pPr>
      <w:r>
        <w:rPr>
          <w:rFonts w:ascii="Arial" w:cs="Arial" w:eastAsia="Arial" w:hAnsi="Arial"/>
          <w:sz w:val="13"/>
          <w:szCs w:val="13"/>
          <w:color w:val="auto"/>
        </w:rPr>
        <w:t>indebtedness under any bond, debenture, note or similar instrument;</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75"/>
        </w:numPr>
        <w:rPr>
          <w:rFonts w:ascii="Arial" w:cs="Arial" w:eastAsia="Arial" w:hAnsi="Arial"/>
          <w:sz w:val="13"/>
          <w:szCs w:val="13"/>
          <w:color w:val="auto"/>
        </w:rPr>
      </w:pPr>
      <w:r>
        <w:rPr>
          <w:rFonts w:ascii="Arial" w:cs="Arial" w:eastAsia="Arial" w:hAnsi="Arial"/>
          <w:sz w:val="13"/>
          <w:szCs w:val="13"/>
          <w:color w:val="auto"/>
        </w:rPr>
        <w:t>instrument under any bill of exchange;</w:t>
      </w:r>
    </w:p>
    <w:p>
      <w:pPr>
        <w:sectPr>
          <w:pgSz w:w="11900" w:h="16838" w:orient="portrait"/>
          <w:cols w:equalWidth="0" w:num="1">
            <w:col w:w="11260"/>
          </w:cols>
          <w:pgMar w:left="320" w:top="127" w:right="319" w:bottom="1440" w:gutter="0" w:footer="0" w:header="0"/>
        </w:sectPr>
      </w:pP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indebtedness in respect of any interest rate or currency swap or forward currency sale or purchase or other form of interest or currency hedging transaction (including without limit caps, collars and floors);</w:t>
      </w:r>
    </w:p>
    <w:p>
      <w:pPr>
        <w:spacing w:after="0" w:line="59" w:lineRule="exact"/>
        <w:rPr>
          <w:sz w:val="20"/>
          <w:szCs w:val="20"/>
          <w:color w:val="auto"/>
        </w:rPr>
      </w:pPr>
    </w:p>
    <w:p>
      <w:pPr>
        <w:sectPr>
          <w:pgSz w:w="11900" w:h="16838" w:orient="portrait"/>
          <w:cols w:equalWidth="0" w:num="2">
            <w:col w:w="880" w:space="540"/>
            <w:col w:w="9840"/>
          </w:cols>
          <w:pgMar w:left="320" w:top="127" w:right="319" w:bottom="1440" w:gutter="0" w:footer="0" w:header="0"/>
          <w:type w:val="continuous"/>
        </w:sectPr>
      </w:pPr>
    </w:p>
    <w:p>
      <w:pPr>
        <w:ind w:left="1420" w:hanging="700"/>
        <w:spacing w:after="0"/>
        <w:tabs>
          <w:tab w:leader="none" w:pos="1420" w:val="left"/>
        </w:tabs>
        <w:numPr>
          <w:ilvl w:val="0"/>
          <w:numId w:val="376"/>
        </w:numPr>
        <w:rPr>
          <w:rFonts w:ascii="Arial" w:cs="Arial" w:eastAsia="Arial" w:hAnsi="Arial"/>
          <w:sz w:val="13"/>
          <w:szCs w:val="13"/>
          <w:color w:val="auto"/>
        </w:rPr>
      </w:pPr>
      <w:r>
        <w:rPr>
          <w:rFonts w:ascii="Arial" w:cs="Arial" w:eastAsia="Arial" w:hAnsi="Arial"/>
          <w:sz w:val="13"/>
          <w:szCs w:val="13"/>
          <w:color w:val="auto"/>
        </w:rPr>
        <w:t>indebtedness under any Finance Lease;</w:t>
      </w:r>
    </w:p>
    <w:p>
      <w:pPr>
        <w:spacing w:after="0" w:line="70" w:lineRule="exact"/>
        <w:rPr>
          <w:rFonts w:ascii="Arial" w:cs="Arial" w:eastAsia="Arial" w:hAnsi="Arial"/>
          <w:sz w:val="13"/>
          <w:szCs w:val="13"/>
          <w:color w:val="auto"/>
        </w:rPr>
      </w:pPr>
    </w:p>
    <w:p>
      <w:pPr>
        <w:ind w:left="1420" w:hanging="700"/>
        <w:spacing w:after="0"/>
        <w:tabs>
          <w:tab w:leader="none" w:pos="1420" w:val="left"/>
        </w:tabs>
        <w:numPr>
          <w:ilvl w:val="0"/>
          <w:numId w:val="376"/>
        </w:numPr>
        <w:rPr>
          <w:rFonts w:ascii="Arial" w:cs="Arial" w:eastAsia="Arial" w:hAnsi="Arial"/>
          <w:sz w:val="13"/>
          <w:szCs w:val="13"/>
          <w:color w:val="auto"/>
        </w:rPr>
      </w:pPr>
      <w:r>
        <w:rPr>
          <w:rFonts w:ascii="Arial" w:cs="Arial" w:eastAsia="Arial" w:hAnsi="Arial"/>
          <w:sz w:val="13"/>
          <w:szCs w:val="13"/>
          <w:color w:val="auto"/>
        </w:rPr>
        <w:t>indebtedness (actual or contingent) under any guarantee, bond security, indemnity or other agreement;</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76"/>
        </w:numPr>
        <w:rPr>
          <w:rFonts w:ascii="Arial" w:cs="Arial" w:eastAsia="Arial" w:hAnsi="Arial"/>
          <w:sz w:val="13"/>
          <w:szCs w:val="13"/>
          <w:color w:val="auto"/>
        </w:rPr>
      </w:pPr>
      <w:r>
        <w:rPr>
          <w:rFonts w:ascii="Arial" w:cs="Arial" w:eastAsia="Arial" w:hAnsi="Arial"/>
          <w:sz w:val="13"/>
          <w:szCs w:val="13"/>
          <w:color w:val="auto"/>
        </w:rPr>
        <w:t>indebtedness (actual or contingent) under any instrument entered into for the purpose of raising finance;</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76"/>
        </w:numPr>
        <w:rPr>
          <w:rFonts w:ascii="Arial" w:cs="Arial" w:eastAsia="Arial" w:hAnsi="Arial"/>
          <w:sz w:val="13"/>
          <w:szCs w:val="13"/>
          <w:color w:val="auto"/>
        </w:rPr>
      </w:pPr>
      <w:r>
        <w:rPr>
          <w:rFonts w:ascii="Arial" w:cs="Arial" w:eastAsia="Arial" w:hAnsi="Arial"/>
          <w:sz w:val="13"/>
          <w:szCs w:val="13"/>
          <w:color w:val="auto"/>
        </w:rPr>
        <w:t>indebtedness in respect of a liability to reimburse a purchaser of any receivables sold or discounted in the event that any amount of those receivables is not paid;</w:t>
      </w:r>
    </w:p>
    <w:p>
      <w:pPr>
        <w:spacing w:after="0" w:line="70" w:lineRule="exact"/>
        <w:rPr>
          <w:rFonts w:ascii="Arial" w:cs="Arial" w:eastAsia="Arial" w:hAnsi="Arial"/>
          <w:sz w:val="13"/>
          <w:szCs w:val="13"/>
          <w:color w:val="auto"/>
        </w:rPr>
      </w:pPr>
    </w:p>
    <w:p>
      <w:pPr>
        <w:ind w:left="1420" w:hanging="700"/>
        <w:spacing w:after="0"/>
        <w:tabs>
          <w:tab w:leader="none" w:pos="1420" w:val="left"/>
        </w:tabs>
        <w:numPr>
          <w:ilvl w:val="0"/>
          <w:numId w:val="376"/>
        </w:numPr>
        <w:rPr>
          <w:rFonts w:ascii="Arial" w:cs="Arial" w:eastAsia="Arial" w:hAnsi="Arial"/>
          <w:sz w:val="13"/>
          <w:szCs w:val="13"/>
          <w:color w:val="auto"/>
        </w:rPr>
      </w:pPr>
      <w:r>
        <w:rPr>
          <w:rFonts w:ascii="Arial" w:cs="Arial" w:eastAsia="Arial" w:hAnsi="Arial"/>
          <w:sz w:val="13"/>
          <w:szCs w:val="13"/>
          <w:color w:val="auto"/>
        </w:rPr>
        <w:t>indebtedness arising under a securitisation; or</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350" w:name="page351"/>
    <w:bookmarkEnd w:id="350"/>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420" w:hanging="700"/>
        <w:spacing w:after="0"/>
        <w:tabs>
          <w:tab w:leader="none" w:pos="1420" w:val="left"/>
        </w:tabs>
        <w:numPr>
          <w:ilvl w:val="0"/>
          <w:numId w:val="377"/>
        </w:numPr>
        <w:rPr>
          <w:rFonts w:ascii="Arial" w:cs="Arial" w:eastAsia="Arial" w:hAnsi="Arial"/>
          <w:sz w:val="13"/>
          <w:szCs w:val="13"/>
          <w:color w:val="auto"/>
        </w:rPr>
      </w:pPr>
      <w:r>
        <w:rPr>
          <w:rFonts w:ascii="Arial" w:cs="Arial" w:eastAsia="Arial" w:hAnsi="Arial"/>
          <w:sz w:val="13"/>
          <w:szCs w:val="13"/>
          <w:color w:val="auto"/>
        </w:rPr>
        <w:t>other transaction which has the commercial effect of borrowing.</w:t>
      </w:r>
    </w:p>
    <w:p>
      <w:pPr>
        <w:spacing w:after="0" w:line="5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Independent Expert</w:t>
      </w:r>
      <w:r>
        <w:rPr>
          <w:rFonts w:ascii="Arial" w:cs="Arial" w:eastAsia="Arial" w:hAnsi="Arial"/>
          <w:sz w:val="13"/>
          <w:szCs w:val="13"/>
          <w:color w:val="auto"/>
        </w:rPr>
        <w:t>" means an investment bank or consultancy firm of international standing and repute, appointed by the Borrower and accepted by the Bank.</w:t>
      </w:r>
    </w:p>
    <w:p>
      <w:pPr>
        <w:spacing w:after="0" w:line="6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Ownership Stake</w:t>
      </w:r>
      <w:r>
        <w:rPr>
          <w:rFonts w:ascii="Arial" w:cs="Arial" w:eastAsia="Arial" w:hAnsi="Arial"/>
          <w:sz w:val="13"/>
          <w:szCs w:val="13"/>
          <w:color w:val="auto"/>
        </w:rPr>
        <w:t xml:space="preserve">" has the meaning given to that term in Paragraph 13 </w:t>
      </w:r>
      <w:hyperlink w:anchor="page389">
        <w:r>
          <w:rPr>
            <w:rFonts w:ascii="Arial" w:cs="Arial" w:eastAsia="Arial" w:hAnsi="Arial"/>
            <w:sz w:val="13"/>
            <w:szCs w:val="13"/>
            <w:u w:val="single" w:color="auto"/>
            <w:color w:val="0000EE"/>
          </w:rPr>
          <w:t>(b)(i)</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of </w:t>
      </w:r>
      <w:hyperlink w:anchor="page387">
        <w:r>
          <w:rPr>
            <w:rFonts w:ascii="Arial" w:cs="Arial" w:eastAsia="Arial" w:hAnsi="Arial"/>
            <w:sz w:val="13"/>
            <w:szCs w:val="13"/>
            <w:u w:val="single" w:color="auto"/>
            <w:color w:val="0000EE"/>
          </w:rPr>
          <w:t>Schedule H</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General Undertakings</w:t>
      </w:r>
      <w:r>
        <w:rPr>
          <w:rFonts w:ascii="Arial" w:cs="Arial" w:eastAsia="Arial" w:hAnsi="Arial"/>
          <w:sz w:val="13"/>
          <w:szCs w:val="13"/>
          <w:color w:val="auto"/>
        </w:rPr>
        <w: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InsO</w:t>
      </w:r>
      <w:r>
        <w:rPr>
          <w:rFonts w:ascii="Arial" w:cs="Arial" w:eastAsia="Arial" w:hAnsi="Arial"/>
          <w:sz w:val="13"/>
          <w:szCs w:val="13"/>
          <w:color w:val="auto"/>
        </w:rPr>
        <w:t>" means the German Insolvency Code (</w:t>
      </w:r>
      <w:r>
        <w:rPr>
          <w:rFonts w:ascii="Arial" w:cs="Arial" w:eastAsia="Arial" w:hAnsi="Arial"/>
          <w:sz w:val="13"/>
          <w:szCs w:val="13"/>
          <w:i w:val="1"/>
          <w:iCs w:val="1"/>
          <w:color w:val="auto"/>
        </w:rPr>
        <w:t>Insolvenzordnung</w:t>
      </w:r>
      <w:r>
        <w:rPr>
          <w:rFonts w:ascii="Arial" w:cs="Arial" w:eastAsia="Arial" w:hAnsi="Arial"/>
          <w:sz w:val="13"/>
          <w:szCs w:val="13"/>
          <w:color w:val="auto"/>
        </w:rPr>
        <w:t>).</w:t>
      </w:r>
    </w:p>
    <w:p>
      <w:pPr>
        <w:spacing w:after="0" w:line="70" w:lineRule="exact"/>
        <w:rPr>
          <w:sz w:val="20"/>
          <w:szCs w:val="20"/>
          <w:color w:val="auto"/>
        </w:rPr>
      </w:pPr>
    </w:p>
    <w:p>
      <w:pPr>
        <w:jc w:val="both"/>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means intellectual property rights (</w:t>
      </w:r>
      <w:r>
        <w:rPr>
          <w:rFonts w:ascii="Arial" w:cs="Arial" w:eastAsia="Arial" w:hAnsi="Arial"/>
          <w:sz w:val="13"/>
          <w:szCs w:val="13"/>
          <w:i w:val="1"/>
          <w:iCs w:val="1"/>
          <w:color w:val="auto"/>
        </w:rPr>
        <w:t>gewerbliche Schutzrechte; Immaterialgüterrechte</w:t>
      </w:r>
      <w:r>
        <w:rPr>
          <w:rFonts w:ascii="Arial" w:cs="Arial" w:eastAsia="Arial" w:hAnsi="Arial"/>
          <w:sz w:val="13"/>
          <w:szCs w:val="13"/>
          <w:color w:val="auto"/>
        </w:rPr>
        <w:t>) of every designation (including, without limitation, patents, utility patents, copyrights, design rights, trademarks, software, service marks and know how) whether capable of registration or not.</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Investment</w:t>
      </w:r>
      <w:r>
        <w:rPr>
          <w:rFonts w:ascii="Arial" w:cs="Arial" w:eastAsia="Arial" w:hAnsi="Arial"/>
          <w:sz w:val="13"/>
          <w:szCs w:val="13"/>
          <w:color w:val="auto"/>
        </w:rPr>
        <w:t>" has the meaning given to that term in Recital (A).</w:t>
      </w:r>
    </w:p>
    <w:p>
      <w:pPr>
        <w:spacing w:after="0" w:line="60" w:lineRule="exact"/>
        <w:rPr>
          <w:sz w:val="20"/>
          <w:szCs w:val="20"/>
          <w:color w:val="auto"/>
        </w:rPr>
      </w:pPr>
    </w:p>
    <w:p>
      <w:pPr>
        <w:jc w:val="both"/>
        <w:ind w:left="720" w:right="12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Land Charge</w:t>
      </w:r>
      <w:r>
        <w:rPr>
          <w:rFonts w:ascii="Arial" w:cs="Arial" w:eastAsia="Arial" w:hAnsi="Arial"/>
          <w:sz w:val="13"/>
          <w:szCs w:val="13"/>
          <w:color w:val="auto"/>
        </w:rPr>
        <w:t>" means the first ranking land charge without certificate (</w:t>
      </w:r>
      <w:r>
        <w:rPr>
          <w:rFonts w:ascii="Arial" w:cs="Arial" w:eastAsia="Arial" w:hAnsi="Arial"/>
          <w:sz w:val="13"/>
          <w:szCs w:val="13"/>
          <w:i w:val="1"/>
          <w:iCs w:val="1"/>
          <w:color w:val="auto"/>
        </w:rPr>
        <w:t>Buchgrundschuld</w:t>
      </w:r>
      <w:r>
        <w:rPr>
          <w:rFonts w:ascii="Arial" w:cs="Arial" w:eastAsia="Arial" w:hAnsi="Arial"/>
          <w:sz w:val="13"/>
          <w:szCs w:val="13"/>
          <w:color w:val="auto"/>
        </w:rPr>
        <w:t>) in the amount of EUR 50,000,000 (plus [***]) created under the Land Charge Creation Deed with which the Borrower will encumber its Property and certain of its assets falling within the statutory scope of the Land Charge (</w:t>
      </w:r>
      <w:r>
        <w:rPr>
          <w:rFonts w:ascii="Arial" w:cs="Arial" w:eastAsia="Arial" w:hAnsi="Arial"/>
          <w:sz w:val="13"/>
          <w:szCs w:val="13"/>
          <w:i w:val="1"/>
          <w:iCs w:val="1"/>
          <w:color w:val="auto"/>
        </w:rPr>
        <w:t>Grundschuldhaftungsverband</w:t>
      </w:r>
      <w:r>
        <w:rPr>
          <w:rFonts w:ascii="Arial" w:cs="Arial" w:eastAsia="Arial" w:hAnsi="Arial"/>
          <w:sz w:val="13"/>
          <w:szCs w:val="13"/>
          <w:color w:val="auto"/>
        </w:rPr>
        <w:t>) in favour of the Bank.</w:t>
      </w:r>
    </w:p>
    <w:p>
      <w:pPr>
        <w:spacing w:after="0" w:line="30" w:lineRule="exact"/>
        <w:rPr>
          <w:sz w:val="20"/>
          <w:szCs w:val="20"/>
          <w:color w:val="auto"/>
        </w:rPr>
      </w:pPr>
    </w:p>
    <w:p>
      <w:pPr>
        <w:jc w:val="both"/>
        <w:ind w:left="720" w:right="120"/>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Land Charge Creation Deed</w:t>
      </w:r>
      <w:r>
        <w:rPr>
          <w:rFonts w:ascii="Arial" w:cs="Arial" w:eastAsia="Arial" w:hAnsi="Arial"/>
          <w:sz w:val="13"/>
          <w:szCs w:val="13"/>
          <w:color w:val="auto"/>
        </w:rPr>
        <w:t xml:space="preserve">" means any document by means of which the Land Charge is created and which includes, </w:t>
      </w:r>
      <w:r>
        <w:rPr>
          <w:rFonts w:ascii="Arial" w:cs="Arial" w:eastAsia="Arial" w:hAnsi="Arial"/>
          <w:sz w:val="13"/>
          <w:szCs w:val="13"/>
          <w:i w:val="1"/>
          <w:iCs w:val="1"/>
          <w:color w:val="auto"/>
        </w:rPr>
        <w:t>inter alia</w:t>
      </w:r>
      <w:r>
        <w:rPr>
          <w:rFonts w:ascii="Arial" w:cs="Arial" w:eastAsia="Arial" w:hAnsi="Arial"/>
          <w:sz w:val="13"/>
          <w:szCs w:val="13"/>
          <w:color w:val="auto"/>
        </w:rPr>
        <w:t>, an abstract acknowledgement of debt of the Borrower in the amount of the Land Charge (in each case subject to the submission to the immediate enforcement (</w:t>
      </w:r>
      <w:r>
        <w:rPr>
          <w:rFonts w:ascii="Arial" w:cs="Arial" w:eastAsia="Arial" w:hAnsi="Arial"/>
          <w:sz w:val="13"/>
          <w:szCs w:val="13"/>
          <w:i w:val="1"/>
          <w:iCs w:val="1"/>
          <w:color w:val="auto"/>
        </w:rPr>
        <w:t>sofortige Zwangsvollstreckungsunterwerfung</w:t>
      </w:r>
      <w:r>
        <w:rPr>
          <w:rFonts w:ascii="Arial" w:cs="Arial" w:eastAsia="Arial" w:hAnsi="Arial"/>
          <w:sz w:val="13"/>
          <w:szCs w:val="13"/>
          <w:color w:val="auto"/>
        </w:rPr>
        <w:t xml:space="preserve">) </w:t>
      </w:r>
      <w:r>
        <w:rPr>
          <w:rFonts w:ascii="Arial" w:cs="Arial" w:eastAsia="Arial" w:hAnsi="Arial"/>
          <w:sz w:val="13"/>
          <w:szCs w:val="13"/>
          <w:i w:val="1"/>
          <w:iCs w:val="1"/>
          <w:color w:val="auto"/>
        </w:rPr>
        <w:t>in personam</w:t>
      </w:r>
      <w:r>
        <w:rPr>
          <w:rFonts w:ascii="Arial" w:cs="Arial" w:eastAsia="Arial" w:hAnsi="Arial"/>
          <w:sz w:val="13"/>
          <w:szCs w:val="13"/>
          <w:color w:val="auto"/>
        </w:rPr>
        <w:t xml:space="preserve"> and </w:t>
      </w:r>
      <w:r>
        <w:rPr>
          <w:rFonts w:ascii="Arial" w:cs="Arial" w:eastAsia="Arial" w:hAnsi="Arial"/>
          <w:sz w:val="13"/>
          <w:szCs w:val="13"/>
          <w:i w:val="1"/>
          <w:iCs w:val="1"/>
          <w:color w:val="auto"/>
        </w:rPr>
        <w:t>in rem</w:t>
      </w:r>
      <w:r>
        <w:rPr>
          <w:rFonts w:ascii="Arial" w:cs="Arial" w:eastAsia="Arial" w:hAnsi="Arial"/>
          <w:sz w:val="13"/>
          <w:szCs w:val="13"/>
          <w:color w:val="auto"/>
        </w:rPr>
        <w:t xml:space="preserve"> for the full Land Charge amount), the Borrower's approval for registration (</w:t>
      </w:r>
      <w:r>
        <w:rPr>
          <w:rFonts w:ascii="Arial" w:cs="Arial" w:eastAsia="Arial" w:hAnsi="Arial"/>
          <w:sz w:val="13"/>
          <w:szCs w:val="13"/>
          <w:i w:val="1"/>
          <w:iCs w:val="1"/>
          <w:color w:val="auto"/>
        </w:rPr>
        <w:t>Eintragungsbewilligung</w:t>
      </w:r>
      <w:r>
        <w:rPr>
          <w:rFonts w:ascii="Arial" w:cs="Arial" w:eastAsia="Arial" w:hAnsi="Arial"/>
          <w:sz w:val="13"/>
          <w:szCs w:val="13"/>
          <w:color w:val="auto"/>
        </w:rPr>
        <w:t>) of the Land Charge in the land register, regardless of whether such document will be officially certified (</w:t>
      </w:r>
      <w:r>
        <w:rPr>
          <w:rFonts w:ascii="Arial" w:cs="Arial" w:eastAsia="Arial" w:hAnsi="Arial"/>
          <w:sz w:val="13"/>
          <w:szCs w:val="13"/>
          <w:i w:val="1"/>
          <w:iCs w:val="1"/>
          <w:color w:val="auto"/>
        </w:rPr>
        <w:t>öffentlich beglaubigt</w:t>
      </w:r>
      <w:r>
        <w:rPr>
          <w:rFonts w:ascii="Arial" w:cs="Arial" w:eastAsia="Arial" w:hAnsi="Arial"/>
          <w:sz w:val="13"/>
          <w:szCs w:val="13"/>
          <w:color w:val="auto"/>
        </w:rPr>
        <w:t>) or notarially recorded (</w:t>
      </w:r>
      <w:r>
        <w:rPr>
          <w:rFonts w:ascii="Arial" w:cs="Arial" w:eastAsia="Arial" w:hAnsi="Arial"/>
          <w:sz w:val="13"/>
          <w:szCs w:val="13"/>
          <w:i w:val="1"/>
          <w:iCs w:val="1"/>
          <w:color w:val="auto"/>
        </w:rPr>
        <w:t>notariell beurkundet</w:t>
      </w:r>
      <w:r>
        <w:rPr>
          <w:rFonts w:ascii="Arial" w:cs="Arial" w:eastAsia="Arial" w:hAnsi="Arial"/>
          <w:sz w:val="13"/>
          <w:szCs w:val="13"/>
          <w:color w:val="auto"/>
        </w:rPr>
        <w:t>).</w:t>
      </w:r>
    </w:p>
    <w:p>
      <w:pPr>
        <w:spacing w:after="0" w:line="35" w:lineRule="exact"/>
        <w:rPr>
          <w:sz w:val="20"/>
          <w:szCs w:val="20"/>
          <w:color w:val="auto"/>
        </w:rPr>
      </w:pPr>
    </w:p>
    <w:p>
      <w:pPr>
        <w:jc w:val="both"/>
        <w:ind w:left="720" w:right="12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Lead Organisation</w:t>
      </w:r>
      <w:r>
        <w:rPr>
          <w:rFonts w:ascii="Arial" w:cs="Arial" w:eastAsia="Arial" w:hAnsi="Arial"/>
          <w:sz w:val="13"/>
          <w:szCs w:val="13"/>
          <w:color w:val="auto"/>
        </w:rPr>
        <w:t>" means the European Union, the United Nations and international standard setting organisations including the International Monetary Fund, the Financial Stability Board, the Financial Action Task Force, the Organisation for Economic Cooperation and Development and the Global Forum on Transparency and Exchange of Information for Tax Purposes and any successor organisations.</w:t>
      </w:r>
    </w:p>
    <w:p>
      <w:pPr>
        <w:spacing w:after="0" w:line="20" w:lineRule="exact"/>
        <w:rPr>
          <w:sz w:val="20"/>
          <w:szCs w:val="20"/>
          <w:color w:val="auto"/>
        </w:rPr>
      </w:pPr>
    </w:p>
    <w:p>
      <w:pPr>
        <w:jc w:val="both"/>
        <w:ind w:left="720" w:right="120"/>
        <w:spacing w:after="0" w:line="25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List of Authorised Signatories and Accounts</w:t>
      </w:r>
      <w:r>
        <w:rPr>
          <w:rFonts w:ascii="Arial" w:cs="Arial" w:eastAsia="Arial" w:hAnsi="Arial"/>
          <w:sz w:val="13"/>
          <w:szCs w:val="13"/>
          <w:color w:val="auto"/>
        </w:rPr>
        <w:t>" means a list (signed by Authorised Signatories), in form and substance satisfactory to the Bank, setting out: (i) the Authorised Signatories, accompanied by evidence of signing authority of the persons named on the list and specifying if they have individual or joint signing authority, (ii) the specimen signatures of such persons, and (iii) the bank account(s) to which disbursements may be made under this Contract (specified by IBAN code if the country is included in the IBAN Registry published by SWIFT, or in the appropriate account format in line with the local banking practice), BIC/SWIFT code of the bank and the name of the bank account(s) beneficiary.</w:t>
      </w:r>
    </w:p>
    <w:p>
      <w:pPr>
        <w:spacing w:after="0" w:line="3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Loan</w:t>
      </w:r>
      <w:r>
        <w:rPr>
          <w:rFonts w:ascii="Arial" w:cs="Arial" w:eastAsia="Arial" w:hAnsi="Arial"/>
          <w:sz w:val="13"/>
          <w:szCs w:val="13"/>
          <w:color w:val="auto"/>
        </w:rPr>
        <w:t>" means the aggregate of the amounts disbursed from time to time by the Bank under this Contract.</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Loan Outstanding</w:t>
      </w:r>
      <w:r>
        <w:rPr>
          <w:rFonts w:ascii="Arial" w:cs="Arial" w:eastAsia="Arial" w:hAnsi="Arial"/>
          <w:sz w:val="13"/>
          <w:szCs w:val="13"/>
          <w:color w:val="auto"/>
        </w:rPr>
        <w:t>" means the aggregate of the amounts disbursed from time to time by the Bank under this Contract that remains outstanding.</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Adverse Change</w:t>
      </w:r>
      <w:r>
        <w:rPr>
          <w:rFonts w:ascii="Arial" w:cs="Arial" w:eastAsia="Arial" w:hAnsi="Arial"/>
          <w:sz w:val="13"/>
          <w:szCs w:val="13"/>
          <w:color w:val="auto"/>
        </w:rPr>
        <w:t>" means, any event or change of condition, which, in the reasonable opinion of the Bank has a material adverse effect on:</w:t>
      </w:r>
    </w:p>
    <w:p>
      <w:pPr>
        <w:spacing w:after="0" w:line="86" w:lineRule="exact"/>
        <w:rPr>
          <w:sz w:val="20"/>
          <w:szCs w:val="20"/>
          <w:color w:val="auto"/>
        </w:rPr>
      </w:pPr>
    </w:p>
    <w:p>
      <w:pPr>
        <w:ind w:left="1420" w:hanging="700"/>
        <w:spacing w:after="0"/>
        <w:tabs>
          <w:tab w:leader="none" w:pos="1420" w:val="left"/>
        </w:tabs>
        <w:numPr>
          <w:ilvl w:val="0"/>
          <w:numId w:val="378"/>
        </w:numPr>
        <w:rPr>
          <w:rFonts w:ascii="Arial" w:cs="Arial" w:eastAsia="Arial" w:hAnsi="Arial"/>
          <w:sz w:val="13"/>
          <w:szCs w:val="13"/>
          <w:color w:val="auto"/>
        </w:rPr>
      </w:pPr>
      <w:r>
        <w:rPr>
          <w:rFonts w:ascii="Arial" w:cs="Arial" w:eastAsia="Arial" w:hAnsi="Arial"/>
          <w:sz w:val="13"/>
          <w:szCs w:val="13"/>
          <w:color w:val="auto"/>
        </w:rPr>
        <w:t>the ability of any Obligor to perform its respective obligations under the Finance Documents;</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378"/>
        </w:numPr>
        <w:rPr>
          <w:rFonts w:ascii="Arial" w:cs="Arial" w:eastAsia="Arial" w:hAnsi="Arial"/>
          <w:sz w:val="13"/>
          <w:szCs w:val="13"/>
          <w:color w:val="auto"/>
        </w:rPr>
      </w:pPr>
      <w:r>
        <w:rPr>
          <w:rFonts w:ascii="Arial" w:cs="Arial" w:eastAsia="Arial" w:hAnsi="Arial"/>
          <w:sz w:val="13"/>
          <w:szCs w:val="13"/>
          <w:color w:val="auto"/>
        </w:rPr>
        <w:t>the business, operations, property or condition (financial or otherwise) of any Obligor or the Group as a whole; or</w:t>
      </w:r>
    </w:p>
    <w:p>
      <w:pPr>
        <w:spacing w:after="0" w:line="70" w:lineRule="exact"/>
        <w:rPr>
          <w:rFonts w:ascii="Arial" w:cs="Arial" w:eastAsia="Arial" w:hAnsi="Arial"/>
          <w:sz w:val="13"/>
          <w:szCs w:val="13"/>
          <w:color w:val="auto"/>
        </w:rPr>
      </w:pPr>
    </w:p>
    <w:p>
      <w:pPr>
        <w:ind w:left="1420" w:right="320" w:hanging="700"/>
        <w:spacing w:after="0" w:line="258" w:lineRule="auto"/>
        <w:tabs>
          <w:tab w:leader="none" w:pos="1420" w:val="left"/>
        </w:tabs>
        <w:numPr>
          <w:ilvl w:val="0"/>
          <w:numId w:val="378"/>
        </w:numPr>
        <w:rPr>
          <w:rFonts w:ascii="Arial" w:cs="Arial" w:eastAsia="Arial" w:hAnsi="Arial"/>
          <w:sz w:val="13"/>
          <w:szCs w:val="13"/>
          <w:color w:val="auto"/>
        </w:rPr>
      </w:pPr>
      <w:r>
        <w:rPr>
          <w:rFonts w:ascii="Arial" w:cs="Arial" w:eastAsia="Arial" w:hAnsi="Arial"/>
          <w:sz w:val="13"/>
          <w:szCs w:val="13"/>
          <w:color w:val="auto"/>
        </w:rPr>
        <w:t>the legality, validity or enforceability of, or the effectiveness or ranking of, or the value of any Security granted to the Bank, or the rights or remedies of the Bank under the Finance Documents.</w:t>
      </w:r>
    </w:p>
    <w:p>
      <w:pPr>
        <w:spacing w:after="0" w:line="33"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Subsidiary</w:t>
      </w:r>
      <w:r>
        <w:rPr>
          <w:rFonts w:ascii="Arial" w:cs="Arial" w:eastAsia="Arial" w:hAnsi="Arial"/>
          <w:sz w:val="13"/>
          <w:szCs w:val="13"/>
          <w:color w:val="auto"/>
        </w:rPr>
        <w:t>" means BioNTech RNA Pharmaceuticals GmbH and any Subsidiary from time to time, whose gross revenues, total assets or EBITDA represents more than 5% of (i) the consolidated gross revenues of the Group or, (ii) the Total Assets, or, (iii) as the</w:t>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51" w:name="page352"/>
    <w:bookmarkEnd w:id="351"/>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case may be, the consolidated EBITDA of the Group, as calculated based on the then latest consolidated audited accounts of the Group.</w:t>
      </w:r>
    </w:p>
    <w:p>
      <w:pPr>
        <w:spacing w:after="0" w:line="44" w:lineRule="exact"/>
        <w:rPr>
          <w:sz w:val="20"/>
          <w:szCs w:val="20"/>
          <w:color w:val="auto"/>
        </w:rPr>
      </w:pPr>
    </w:p>
    <w:p>
      <w:pPr>
        <w:jc w:val="both"/>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Maturity Date</w:t>
      </w:r>
      <w:r>
        <w:rPr>
          <w:rFonts w:ascii="Arial" w:cs="Arial" w:eastAsia="Arial" w:hAnsi="Arial"/>
          <w:sz w:val="13"/>
          <w:szCs w:val="13"/>
          <w:color w:val="auto"/>
        </w:rPr>
        <w:t>" means, for each Tranche, the last Repayment Date of that Tranche as specified in the relevant Disbursement Offer, being the date falling 6 (six) years from the respective Disbursement Date of the relevant Tranche.</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Milestone Events</w:t>
      </w:r>
      <w:r>
        <w:rPr>
          <w:rFonts w:ascii="Arial" w:cs="Arial" w:eastAsia="Arial" w:hAnsi="Arial"/>
          <w:sz w:val="13"/>
          <w:szCs w:val="13"/>
          <w:color w:val="auto"/>
        </w:rPr>
        <w:t>" means collectively the Credit A Milestone Events and the Credit B Milestone Events.</w:t>
      </w:r>
    </w:p>
    <w:p>
      <w:pPr>
        <w:spacing w:after="0" w:line="70" w:lineRule="exact"/>
        <w:rPr>
          <w:sz w:val="20"/>
          <w:szCs w:val="20"/>
          <w:color w:val="auto"/>
        </w:rPr>
      </w:pPr>
    </w:p>
    <w:p>
      <w:pPr>
        <w:jc w:val="both"/>
        <w:ind w:left="720" w:right="12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Non-EIB Financing</w:t>
      </w:r>
      <w:r>
        <w:rPr>
          <w:rFonts w:ascii="Arial" w:cs="Arial" w:eastAsia="Arial" w:hAnsi="Arial"/>
          <w:sz w:val="13"/>
          <w:szCs w:val="13"/>
          <w:color w:val="auto"/>
        </w:rPr>
        <w:t>" includes any loan (save for the Loan and any other direct loans from the Bank to the Borrower (or any other Group Company) or a Guarantor), credit bond or other form of financial indebtedness or any obligation for the payment or repayment of money originally granted to the Borrower (or any other Group Company) or a Guarantor) for a term of more than 3 (three) years.</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Obligor</w:t>
      </w:r>
      <w:r>
        <w:rPr>
          <w:rFonts w:ascii="Arial" w:cs="Arial" w:eastAsia="Arial" w:hAnsi="Arial"/>
          <w:sz w:val="13"/>
          <w:szCs w:val="13"/>
          <w:color w:val="auto"/>
        </w:rPr>
        <w:t>" means the Borrower and each Guarantor.</w:t>
      </w:r>
    </w:p>
    <w:p>
      <w:pPr>
        <w:spacing w:after="0" w:line="80" w:lineRule="exact"/>
        <w:rPr>
          <w:sz w:val="20"/>
          <w:szCs w:val="20"/>
          <w:color w:val="auto"/>
        </w:rPr>
      </w:pPr>
    </w:p>
    <w:p>
      <w:pPr>
        <w:jc w:val="both"/>
        <w:ind w:left="720" w:right="120"/>
        <w:spacing w:after="0" w:line="255"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Payment Date</w:t>
      </w:r>
      <w:r>
        <w:rPr>
          <w:rFonts w:ascii="Arial" w:cs="Arial" w:eastAsia="Arial" w:hAnsi="Arial"/>
          <w:sz w:val="13"/>
          <w:szCs w:val="13"/>
          <w:color w:val="auto"/>
        </w:rPr>
        <w:t xml:space="preserve">" means the quarterly dates specified in the Disbursement Offer until and including the Maturity Date, save that, in case any such date is not a Relevant Business Day, it means the following Relevant Business Day, without adjustment to the interest due under </w:t>
      </w:r>
      <w:hyperlink w:anchor="page357">
        <w:r>
          <w:rPr>
            <w:rFonts w:ascii="Arial" w:cs="Arial" w:eastAsia="Arial" w:hAnsi="Arial"/>
            <w:sz w:val="13"/>
            <w:szCs w:val="13"/>
            <w:color w:val="0000EE"/>
          </w:rPr>
          <w:t>Article 4</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Interest</w:t>
      </w:r>
      <w:r>
        <w:rPr>
          <w:rFonts w:ascii="Arial" w:cs="Arial" w:eastAsia="Arial" w:hAnsi="Arial"/>
          <w:sz w:val="13"/>
          <w:szCs w:val="13"/>
          <w:color w:val="auto"/>
        </w:rPr>
        <w:t xml:space="preserve">), except for those cases where a payment is made as a single instalment in accordance with Article </w:t>
      </w:r>
      <w:hyperlink w:anchor="page359">
        <w:r>
          <w:rPr>
            <w:rFonts w:ascii="Arial" w:cs="Arial" w:eastAsia="Arial" w:hAnsi="Arial"/>
            <w:sz w:val="13"/>
            <w:szCs w:val="13"/>
            <w:u w:val="single" w:color="auto"/>
            <w:color w:val="0000EE"/>
          </w:rPr>
          <w:t>5.1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Normal Repayment</w:t>
      </w:r>
      <w:r>
        <w:rPr>
          <w:rFonts w:ascii="Arial" w:cs="Arial" w:eastAsia="Arial" w:hAnsi="Arial"/>
          <w:sz w:val="13"/>
          <w:szCs w:val="13"/>
          <w:color w:val="auto"/>
        </w:rPr>
        <w:t xml:space="preserve">), and to the final interest payment only, when it shall mean the preceding Relevant Business Day, with adjustment to the interest due under </w:t>
      </w:r>
      <w:hyperlink w:anchor="page357">
        <w:r>
          <w:rPr>
            <w:rFonts w:ascii="Arial" w:cs="Arial" w:eastAsia="Arial" w:hAnsi="Arial"/>
            <w:sz w:val="13"/>
            <w:szCs w:val="13"/>
            <w:u w:val="single" w:color="auto"/>
            <w:color w:val="0000EE"/>
          </w:rPr>
          <w:t>Article 4</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Interest</w:t>
      </w:r>
      <w:r>
        <w:rPr>
          <w:rFonts w:ascii="Arial" w:cs="Arial" w:eastAsia="Arial" w:hAnsi="Arial"/>
          <w:sz w:val="13"/>
          <w:szCs w:val="13"/>
          <w:color w:val="auto"/>
        </w:rPr>
        <w:t>).</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4542790</wp:posOffset>
            </wp:positionH>
            <wp:positionV relativeFrom="paragraph">
              <wp:posOffset>-214630</wp:posOffset>
            </wp:positionV>
            <wp:extent cx="39052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3">
                      <a:extLst>
                        <a:ext uri="{28A0092B-C50C-407E-A947-70E740481C1C}"/>
                      </a:extLst>
                    </a:blip>
                    <a:srcRect/>
                    <a:stretch>
                      <a:fillRect/>
                    </a:stretch>
                  </pic:blipFill>
                  <pic:spPr bwMode="auto">
                    <a:xfrm>
                      <a:off x="0" y="0"/>
                      <a:ext cx="390525" cy="6350"/>
                    </a:xfrm>
                    <a:prstGeom prst="rect">
                      <a:avLst/>
                    </a:prstGeom>
                    <a:noFill/>
                  </pic:spPr>
                </pic:pic>
              </a:graphicData>
            </a:graphic>
          </wp:anchor>
        </w:drawing>
      </w:r>
    </w:p>
    <w:p>
      <w:pPr>
        <w:spacing w:after="0" w:line="25"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Disposal</w:t>
      </w:r>
      <w:r>
        <w:rPr>
          <w:rFonts w:ascii="Arial" w:cs="Arial" w:eastAsia="Arial" w:hAnsi="Arial"/>
          <w:sz w:val="13"/>
          <w:szCs w:val="13"/>
          <w:color w:val="auto"/>
        </w:rPr>
        <w:t>" means each disposal permitted in accordance with Paragraph 7(b) (</w:t>
      </w:r>
      <w:r>
        <w:rPr>
          <w:rFonts w:ascii="Arial" w:cs="Arial" w:eastAsia="Arial" w:hAnsi="Arial"/>
          <w:sz w:val="13"/>
          <w:szCs w:val="13"/>
          <w:i w:val="1"/>
          <w:iCs w:val="1"/>
          <w:color w:val="auto"/>
        </w:rPr>
        <w:t>Disposal of assets</w:t>
      </w:r>
      <w:r>
        <w:rPr>
          <w:rFonts w:ascii="Arial" w:cs="Arial" w:eastAsia="Arial" w:hAnsi="Arial"/>
          <w:sz w:val="13"/>
          <w:szCs w:val="13"/>
          <w:color w:val="auto"/>
        </w:rPr>
        <w:t>) of Schedule H (</w:t>
      </w:r>
      <w:r>
        <w:rPr>
          <w:rFonts w:ascii="Arial" w:cs="Arial" w:eastAsia="Arial" w:hAnsi="Arial"/>
          <w:sz w:val="13"/>
          <w:szCs w:val="13"/>
          <w:i w:val="1"/>
          <w:iCs w:val="1"/>
          <w:color w:val="auto"/>
        </w:rPr>
        <w:t>General Undertakings</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Guarantees</w:t>
      </w:r>
      <w:r>
        <w:rPr>
          <w:rFonts w:ascii="Arial" w:cs="Arial" w:eastAsia="Arial" w:hAnsi="Arial"/>
          <w:sz w:val="13"/>
          <w:szCs w:val="13"/>
          <w:color w:val="auto"/>
        </w:rPr>
        <w:t xml:space="preserve">" means each and every guarantee permitted in accordance with Paragraph </w:t>
      </w:r>
      <w:hyperlink w:anchor="page391">
        <w:r>
          <w:rPr>
            <w:rFonts w:ascii="Arial" w:cs="Arial" w:eastAsia="Arial" w:hAnsi="Arial"/>
            <w:sz w:val="13"/>
            <w:szCs w:val="13"/>
            <w:u w:val="single" w:color="auto"/>
            <w:color w:val="0000EE"/>
          </w:rPr>
          <w:t>16</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of </w:t>
      </w:r>
      <w:hyperlink w:anchor="page387">
        <w:r>
          <w:rPr>
            <w:rFonts w:ascii="Arial" w:cs="Arial" w:eastAsia="Arial" w:hAnsi="Arial"/>
            <w:sz w:val="13"/>
            <w:szCs w:val="13"/>
            <w:u w:val="single" w:color="auto"/>
            <w:color w:val="0000EE"/>
          </w:rPr>
          <w:t>Schedule H</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General Undertakings</w:t>
      </w:r>
      <w:r>
        <w:rPr>
          <w:rFonts w:ascii="Arial" w:cs="Arial" w:eastAsia="Arial" w:hAnsi="Arial"/>
          <w:sz w:val="13"/>
          <w:szCs w:val="13"/>
          <w:color w:val="auto"/>
        </w:rPr>
        <w:t>).</w:t>
      </w:r>
    </w:p>
    <w:p>
      <w:pPr>
        <w:spacing w:after="0" w:line="8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Hedging</w:t>
      </w:r>
      <w:r>
        <w:rPr>
          <w:rFonts w:ascii="Arial" w:cs="Arial" w:eastAsia="Arial" w:hAnsi="Arial"/>
          <w:sz w:val="13"/>
          <w:szCs w:val="13"/>
          <w:color w:val="auto"/>
        </w:rPr>
        <w:t xml:space="preserve">" has the meaning given to such term in Paragraph </w:t>
      </w:r>
      <w:hyperlink w:anchor="page392">
        <w:r>
          <w:rPr>
            <w:rFonts w:ascii="Arial" w:cs="Arial" w:eastAsia="Arial" w:hAnsi="Arial"/>
            <w:sz w:val="13"/>
            <w:szCs w:val="13"/>
            <w:u w:val="single" w:color="auto"/>
            <w:color w:val="0000EE"/>
          </w:rPr>
          <w:t>17</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Hedging</w:t>
      </w:r>
      <w:r>
        <w:rPr>
          <w:rFonts w:ascii="Arial" w:cs="Arial" w:eastAsia="Arial" w:hAnsi="Arial"/>
          <w:sz w:val="13"/>
          <w:szCs w:val="13"/>
          <w:color w:val="auto"/>
        </w:rPr>
        <w:t xml:space="preserve">) of </w:t>
      </w:r>
      <w:hyperlink w:anchor="page387">
        <w:r>
          <w:rPr>
            <w:rFonts w:ascii="Arial" w:cs="Arial" w:eastAsia="Arial" w:hAnsi="Arial"/>
            <w:sz w:val="13"/>
            <w:szCs w:val="13"/>
            <w:u w:val="single" w:color="auto"/>
            <w:color w:val="0000EE"/>
          </w:rPr>
          <w:t>Schedule H</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General Undertakings</w:t>
      </w:r>
      <w:r>
        <w:rPr>
          <w:rFonts w:ascii="Arial" w:cs="Arial" w:eastAsia="Arial" w:hAnsi="Arial"/>
          <w:sz w:val="13"/>
          <w:szCs w:val="13"/>
          <w:color w:val="auto"/>
        </w:rPr>
        <w:t>).</w:t>
      </w:r>
    </w:p>
    <w:p>
      <w:pPr>
        <w:spacing w:after="0" w:line="80" w:lineRule="exact"/>
        <w:rPr>
          <w:sz w:val="20"/>
          <w:szCs w:val="20"/>
          <w:color w:val="auto"/>
        </w:rPr>
      </w:pPr>
    </w:p>
    <w:p>
      <w:pPr>
        <w:ind w:left="720"/>
        <w:spacing w:after="0"/>
        <w:rPr>
          <w:rFonts w:ascii="Arial" w:cs="Arial" w:eastAsia="Arial" w:hAnsi="Arial"/>
          <w:sz w:val="13"/>
          <w:szCs w:val="13"/>
          <w:color w:val="auto"/>
        </w:rPr>
      </w:pPr>
      <w:hyperlink w:anchor="page387">
        <w:r>
          <w:rPr>
            <w:rFonts w:ascii="Arial" w:cs="Arial" w:eastAsia="Arial" w:hAnsi="Arial"/>
            <w:sz w:val="13"/>
            <w:szCs w:val="13"/>
            <w:color w:val="auto"/>
          </w:rPr>
          <w:t>"</w:t>
        </w:r>
        <w:r>
          <w:rPr>
            <w:rFonts w:ascii="Arial" w:cs="Arial" w:eastAsia="Arial" w:hAnsi="Arial"/>
            <w:sz w:val="13"/>
            <w:szCs w:val="13"/>
            <w:b w:val="1"/>
            <w:bCs w:val="1"/>
            <w:color w:val="auto"/>
          </w:rPr>
          <w:t>Permitted Indebtedness</w:t>
        </w:r>
        <w:r>
          <w:rPr>
            <w:rFonts w:ascii="Arial" w:cs="Arial" w:eastAsia="Arial" w:hAnsi="Arial"/>
            <w:sz w:val="13"/>
            <w:szCs w:val="13"/>
            <w:color w:val="auto"/>
          </w:rPr>
          <w:t xml:space="preserve">" means Indebtedness of the Borrower and/or any Group Company which is permitted in accordance with Paragraph </w:t>
        </w:r>
        <w:r>
          <w:rPr>
            <w:rFonts w:ascii="Arial" w:cs="Arial" w:eastAsia="Arial" w:hAnsi="Arial"/>
            <w:sz w:val="13"/>
            <w:szCs w:val="13"/>
            <w:u w:val="single" w:color="auto"/>
            <w:color w:val="0000EE"/>
          </w:rPr>
          <w:t>15</w:t>
        </w:r>
        <w:r>
          <w:rPr>
            <w:rFonts w:ascii="Arial" w:cs="Arial" w:eastAsia="Arial" w:hAnsi="Arial"/>
            <w:sz w:val="13"/>
            <w:szCs w:val="13"/>
            <w:color w:val="auto"/>
          </w:rPr>
          <w:t xml:space="preserve"> (</w:t>
        </w:r>
        <w:r>
          <w:rPr>
            <w:rFonts w:ascii="Arial" w:cs="Arial" w:eastAsia="Arial" w:hAnsi="Arial"/>
            <w:sz w:val="13"/>
            <w:szCs w:val="13"/>
            <w:i w:val="1"/>
            <w:iCs w:val="1"/>
            <w:color w:val="auto"/>
          </w:rPr>
          <w:t>Indebtedness</w:t>
        </w:r>
        <w:r>
          <w:rPr>
            <w:rFonts w:ascii="Arial" w:cs="Arial" w:eastAsia="Arial" w:hAnsi="Arial"/>
            <w:sz w:val="13"/>
            <w:szCs w:val="13"/>
            <w:color w:val="auto"/>
          </w:rPr>
          <w:t xml:space="preserve">) of </w:t>
        </w:r>
        <w:r>
          <w:rPr>
            <w:rFonts w:ascii="Arial" w:cs="Arial" w:eastAsia="Arial" w:hAnsi="Arial"/>
            <w:sz w:val="13"/>
            <w:szCs w:val="13"/>
            <w:u w:val="single" w:color="auto"/>
            <w:color w:val="0000EE"/>
          </w:rPr>
          <w:t>Schedule</w:t>
        </w:r>
      </w:hyperlink>
    </w:p>
    <w:p>
      <w:pPr>
        <w:spacing w:after="0" w:line="16" w:lineRule="exact"/>
        <w:rPr>
          <w:sz w:val="20"/>
          <w:szCs w:val="20"/>
          <w:color w:val="auto"/>
        </w:rPr>
      </w:pPr>
    </w:p>
    <w:p>
      <w:pPr>
        <w:ind w:left="900" w:hanging="172"/>
        <w:spacing w:after="0"/>
        <w:tabs>
          <w:tab w:leader="none" w:pos="900" w:val="left"/>
        </w:tabs>
        <w:numPr>
          <w:ilvl w:val="0"/>
          <w:numId w:val="379"/>
        </w:numPr>
        <w:rPr>
          <w:rFonts w:ascii="Arial" w:cs="Arial" w:eastAsia="Arial" w:hAnsi="Arial"/>
          <w:sz w:val="13"/>
          <w:szCs w:val="13"/>
          <w:color w:val="auto"/>
        </w:rPr>
      </w:pPr>
      <w:hyperlink w:anchor="page387">
        <w:r>
          <w:rPr>
            <w:rFonts w:ascii="Arial" w:cs="Arial" w:eastAsia="Arial" w:hAnsi="Arial"/>
            <w:sz w:val="13"/>
            <w:szCs w:val="13"/>
            <w:color w:val="auto"/>
          </w:rPr>
          <w:t>(</w:t>
        </w:r>
        <w:r>
          <w:rPr>
            <w:rFonts w:ascii="Arial" w:cs="Arial" w:eastAsia="Arial" w:hAnsi="Arial"/>
            <w:sz w:val="13"/>
            <w:szCs w:val="13"/>
            <w:i w:val="1"/>
            <w:iCs w:val="1"/>
            <w:color w:val="auto"/>
          </w:rPr>
          <w:t>General Undertakings</w:t>
        </w:r>
        <w:r>
          <w:rPr>
            <w:rFonts w:ascii="Arial" w:cs="Arial" w:eastAsia="Arial" w:hAnsi="Arial"/>
            <w:sz w:val="13"/>
            <w:szCs w:val="13"/>
            <w:color w:val="auto"/>
          </w:rPr>
          <w:t>).</w:t>
        </w:r>
      </w:hyperlink>
    </w:p>
    <w:p>
      <w:pPr>
        <w:spacing w:after="0" w:line="54" w:lineRule="exact"/>
        <w:rPr>
          <w:sz w:val="20"/>
          <w:szCs w:val="20"/>
          <w:color w:val="auto"/>
        </w:rPr>
      </w:pPr>
    </w:p>
    <w:p>
      <w:pPr>
        <w:ind w:left="720" w:right="120"/>
        <w:spacing w:after="0" w:line="284"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Security</w:t>
      </w:r>
      <w:r>
        <w:rPr>
          <w:rFonts w:ascii="Arial" w:cs="Arial" w:eastAsia="Arial" w:hAnsi="Arial"/>
          <w:sz w:val="13"/>
          <w:szCs w:val="13"/>
          <w:color w:val="auto"/>
        </w:rPr>
        <w:t xml:space="preserve">" means Security of the Borrower and/or any Group Company which is permitted in accordance with Sub-Paragraph (c) Paragraph </w:t>
      </w:r>
      <w:hyperlink w:anchor="page393">
        <w:r>
          <w:rPr>
            <w:rFonts w:ascii="Arial" w:cs="Arial" w:eastAsia="Arial" w:hAnsi="Arial"/>
            <w:sz w:val="13"/>
            <w:szCs w:val="13"/>
            <w:u w:val="single" w:color="auto"/>
            <w:color w:val="0000EE"/>
          </w:rPr>
          <w:t>23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Negative pledge</w:t>
      </w:r>
      <w:r>
        <w:rPr>
          <w:rFonts w:ascii="Arial" w:cs="Arial" w:eastAsia="Arial" w:hAnsi="Arial"/>
          <w:sz w:val="13"/>
          <w:szCs w:val="13"/>
          <w:color w:val="auto"/>
        </w:rPr>
        <w:t xml:space="preserve">) of </w:t>
      </w:r>
      <w:hyperlink w:anchor="page387">
        <w:r>
          <w:rPr>
            <w:rFonts w:ascii="Arial" w:cs="Arial" w:eastAsia="Arial" w:hAnsi="Arial"/>
            <w:sz w:val="13"/>
            <w:szCs w:val="13"/>
            <w:u w:val="single" w:color="auto"/>
            <w:color w:val="0000EE"/>
          </w:rPr>
          <w:t>Schedule H</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General Undertakings</w:t>
      </w:r>
      <w:r>
        <w:rPr>
          <w:rFonts w:ascii="Arial" w:cs="Arial" w:eastAsia="Arial" w:hAnsi="Arial"/>
          <w:sz w:val="13"/>
          <w:szCs w:val="13"/>
          <w:color w:val="auto"/>
        </w:rPr>
        <w:t>).</w:t>
      </w:r>
    </w:p>
    <w:p>
      <w:pPr>
        <w:spacing w:after="0" w:line="26" w:lineRule="exact"/>
        <w:rPr>
          <w:sz w:val="20"/>
          <w:szCs w:val="20"/>
          <w:color w:val="auto"/>
        </w:rPr>
      </w:pPr>
    </w:p>
    <w:p>
      <w:pPr>
        <w:ind w:left="720" w:right="120"/>
        <w:spacing w:after="0" w:line="284" w:lineRule="auto"/>
        <w:rPr>
          <w:rFonts w:ascii="Arial" w:cs="Arial" w:eastAsia="Arial" w:hAnsi="Arial"/>
          <w:sz w:val="13"/>
          <w:szCs w:val="13"/>
          <w:i w:val="1"/>
          <w:iCs w:val="1"/>
          <w:color w:val="auto"/>
        </w:rPr>
      </w:pPr>
      <w:r>
        <w:rPr>
          <w:rFonts w:ascii="Arial" w:cs="Arial" w:eastAsia="Arial" w:hAnsi="Arial"/>
          <w:sz w:val="13"/>
          <w:szCs w:val="13"/>
          <w:color w:val="auto"/>
        </w:rPr>
        <w:t>"</w:t>
      </w:r>
      <w:r>
        <w:rPr>
          <w:rFonts w:ascii="Arial" w:cs="Arial" w:eastAsia="Arial" w:hAnsi="Arial"/>
          <w:sz w:val="13"/>
          <w:szCs w:val="13"/>
          <w:b w:val="1"/>
          <w:bCs w:val="1"/>
          <w:color w:val="auto"/>
        </w:rPr>
        <w:t>Prepayment Amount</w:t>
      </w:r>
      <w:r>
        <w:rPr>
          <w:rFonts w:ascii="Arial" w:cs="Arial" w:eastAsia="Arial" w:hAnsi="Arial"/>
          <w:sz w:val="13"/>
          <w:szCs w:val="13"/>
          <w:color w:val="auto"/>
        </w:rPr>
        <w:t xml:space="preserve">" means the amount of a Tranche to be prepaid by the Borrower in accordance with Articles </w:t>
      </w:r>
      <w:hyperlink w:anchor="page359">
        <w:r>
          <w:rPr>
            <w:rFonts w:ascii="Arial" w:cs="Arial" w:eastAsia="Arial" w:hAnsi="Arial"/>
            <w:sz w:val="13"/>
            <w:szCs w:val="13"/>
            <w:u w:val="single" w:color="auto"/>
            <w:color w:val="0000EE"/>
          </w:rPr>
          <w:t>5.2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Voluntary prepayment</w:t>
      </w:r>
      <w:r>
        <w:rPr>
          <w:rFonts w:ascii="Arial" w:cs="Arial" w:eastAsia="Arial" w:hAnsi="Arial"/>
          <w:sz w:val="13"/>
          <w:szCs w:val="13"/>
          <w:color w:val="auto"/>
        </w:rPr>
        <w:t xml:space="preserve">), </w:t>
      </w:r>
      <w:hyperlink w:anchor="page360">
        <w:r>
          <w:rPr>
            <w:rFonts w:ascii="Arial" w:cs="Arial" w:eastAsia="Arial" w:hAnsi="Arial"/>
            <w:sz w:val="13"/>
            <w:szCs w:val="13"/>
            <w:u w:val="single" w:color="auto"/>
            <w:color w:val="0000EE"/>
          </w:rPr>
          <w:t>5.3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Compulsory</w:t>
      </w:r>
      <w:r>
        <w:rPr>
          <w:rFonts w:ascii="Arial" w:cs="Arial" w:eastAsia="Arial" w:hAnsi="Arial"/>
          <w:sz w:val="13"/>
          <w:szCs w:val="13"/>
          <w:color w:val="auto"/>
        </w:rPr>
        <w:t xml:space="preserve"> </w:t>
      </w:r>
      <w:r>
        <w:rPr>
          <w:rFonts w:ascii="Arial" w:cs="Arial" w:eastAsia="Arial" w:hAnsi="Arial"/>
          <w:sz w:val="13"/>
          <w:szCs w:val="13"/>
          <w:i w:val="1"/>
          <w:iCs w:val="1"/>
          <w:color w:val="auto"/>
        </w:rPr>
        <w:t>prepayment</w:t>
      </w:r>
      <w:r>
        <w:rPr>
          <w:rFonts w:ascii="Arial" w:cs="Arial" w:eastAsia="Arial" w:hAnsi="Arial"/>
          <w:sz w:val="13"/>
          <w:szCs w:val="13"/>
          <w:color w:val="auto"/>
        </w:rPr>
        <w:t>) or</w:t>
      </w:r>
      <w:r>
        <w:rPr>
          <w:rFonts w:ascii="Arial" w:cs="Arial" w:eastAsia="Arial" w:hAnsi="Arial"/>
          <w:sz w:val="13"/>
          <w:szCs w:val="13"/>
          <w:i w:val="1"/>
          <w:iCs w:val="1"/>
          <w:color w:val="auto"/>
        </w:rPr>
        <w:t xml:space="preserve"> </w:t>
      </w:r>
      <w:hyperlink w:anchor="page364">
        <w:r>
          <w:rPr>
            <w:rFonts w:ascii="Arial" w:cs="Arial" w:eastAsia="Arial" w:hAnsi="Arial"/>
            <w:sz w:val="13"/>
            <w:szCs w:val="13"/>
            <w:u w:val="single" w:color="auto"/>
            <w:color w:val="0000EE"/>
          </w:rPr>
          <w:t>9.1</w:t>
        </w:r>
        <w:r>
          <w:rPr>
            <w:rFonts w:ascii="Arial" w:cs="Arial" w:eastAsia="Arial" w:hAnsi="Arial"/>
            <w:sz w:val="13"/>
            <w:szCs w:val="13"/>
            <w:i w:val="1"/>
            <w:iCs w:val="1"/>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Right to demand repayment</w:t>
      </w:r>
      <w:r>
        <w:rPr>
          <w:rFonts w:ascii="Arial" w:cs="Arial" w:eastAsia="Arial" w:hAnsi="Arial"/>
          <w:sz w:val="13"/>
          <w:szCs w:val="13"/>
          <w:color w:val="auto"/>
        </w:rPr>
        <w:t>).</w:t>
      </w:r>
    </w:p>
    <w:p>
      <w:pPr>
        <w:spacing w:after="0" w:line="26"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Prepayment Date</w:t>
      </w:r>
      <w:r>
        <w:rPr>
          <w:rFonts w:ascii="Arial" w:cs="Arial" w:eastAsia="Arial" w:hAnsi="Arial"/>
          <w:sz w:val="13"/>
          <w:szCs w:val="13"/>
          <w:color w:val="auto"/>
        </w:rPr>
        <w:t>" means the date on which the Borrower proposes or is requested by the Bank, as applicable, to effect prepayment of a Prepayment Amount.</w:t>
      </w:r>
    </w:p>
    <w:p>
      <w:pPr>
        <w:spacing w:after="0" w:line="70" w:lineRule="exact"/>
        <w:rPr>
          <w:rFonts w:ascii="Arial" w:cs="Arial" w:eastAsia="Arial" w:hAnsi="Arial"/>
          <w:sz w:val="13"/>
          <w:szCs w:val="13"/>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Prepayment Event</w:t>
      </w:r>
      <w:r>
        <w:rPr>
          <w:rFonts w:ascii="Arial" w:cs="Arial" w:eastAsia="Arial" w:hAnsi="Arial"/>
          <w:sz w:val="13"/>
          <w:szCs w:val="13"/>
          <w:color w:val="auto"/>
        </w:rPr>
        <w:t xml:space="preserve">" means any of the events described in Article </w:t>
      </w:r>
      <w:hyperlink w:anchor="page360">
        <w:r>
          <w:rPr>
            <w:rFonts w:ascii="Arial" w:cs="Arial" w:eastAsia="Arial" w:hAnsi="Arial"/>
            <w:sz w:val="13"/>
            <w:szCs w:val="13"/>
            <w:u w:val="single" w:color="auto"/>
            <w:color w:val="0000EE"/>
          </w:rPr>
          <w:t>5.3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Compulsory  Prepayment</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Prepayment Fee</w:t>
      </w:r>
      <w:r>
        <w:rPr>
          <w:rFonts w:ascii="Arial" w:cs="Arial" w:eastAsia="Arial" w:hAnsi="Arial"/>
          <w:sz w:val="13"/>
          <w:szCs w:val="13"/>
          <w:color w:val="auto"/>
        </w:rPr>
        <w:t>" means, in relation to a Prepayment Amount in respect of a Tranche, a fee as follows:</w:t>
      </w:r>
    </w:p>
    <w:p>
      <w:pPr>
        <w:spacing w:after="0" w:line="96" w:lineRule="exact"/>
        <w:rPr>
          <w:rFonts w:ascii="Arial" w:cs="Arial" w:eastAsia="Arial" w:hAnsi="Arial"/>
          <w:sz w:val="13"/>
          <w:szCs w:val="13"/>
          <w:color w:val="auto"/>
        </w:rPr>
      </w:pPr>
    </w:p>
    <w:p>
      <w:pPr>
        <w:ind w:left="1420" w:right="180" w:hanging="700"/>
        <w:spacing w:after="0" w:line="258" w:lineRule="auto"/>
        <w:tabs>
          <w:tab w:leader="none" w:pos="1420" w:val="left"/>
        </w:tabs>
        <w:numPr>
          <w:ilvl w:val="0"/>
          <w:numId w:val="380"/>
        </w:numPr>
        <w:rPr>
          <w:rFonts w:ascii="Arial" w:cs="Arial" w:eastAsia="Arial" w:hAnsi="Arial"/>
          <w:sz w:val="13"/>
          <w:szCs w:val="13"/>
          <w:color w:val="auto"/>
        </w:rPr>
      </w:pPr>
      <w:r>
        <w:rPr>
          <w:rFonts w:ascii="Arial" w:cs="Arial" w:eastAsia="Arial" w:hAnsi="Arial"/>
          <w:sz w:val="13"/>
          <w:szCs w:val="13"/>
          <w:color w:val="auto"/>
        </w:rPr>
        <w:t>a fee of 4% (400 basis points) of the Prepayment Amount if the Prepayment Date is after the relevant Disbursement Date but before or on the first anniversary of such Disbursement Date;</w:t>
      </w:r>
    </w:p>
    <w:p>
      <w:pPr>
        <w:spacing w:after="0" w:line="58" w:lineRule="exact"/>
        <w:rPr>
          <w:rFonts w:ascii="Arial" w:cs="Arial" w:eastAsia="Arial" w:hAnsi="Arial"/>
          <w:sz w:val="13"/>
          <w:szCs w:val="13"/>
          <w:color w:val="auto"/>
        </w:rPr>
      </w:pPr>
    </w:p>
    <w:p>
      <w:pPr>
        <w:ind w:left="1420" w:right="140" w:hanging="700"/>
        <w:spacing w:after="0" w:line="258" w:lineRule="auto"/>
        <w:tabs>
          <w:tab w:leader="none" w:pos="1420" w:val="left"/>
        </w:tabs>
        <w:numPr>
          <w:ilvl w:val="0"/>
          <w:numId w:val="380"/>
        </w:numPr>
        <w:rPr>
          <w:rFonts w:ascii="Arial" w:cs="Arial" w:eastAsia="Arial" w:hAnsi="Arial"/>
          <w:sz w:val="13"/>
          <w:szCs w:val="13"/>
          <w:color w:val="auto"/>
        </w:rPr>
      </w:pPr>
      <w:r>
        <w:rPr>
          <w:rFonts w:ascii="Arial" w:cs="Arial" w:eastAsia="Arial" w:hAnsi="Arial"/>
          <w:sz w:val="13"/>
          <w:szCs w:val="13"/>
          <w:color w:val="auto"/>
        </w:rPr>
        <w:t>a fee of 3% (300 basis points) of the Prepayment Amount if the Prepayment Date is after the first anniversary of the relevant Disbursement Date but before or on the second anniversary of such Disbursement Date;</w:t>
      </w:r>
    </w:p>
    <w:p>
      <w:pPr>
        <w:spacing w:after="0" w:line="58" w:lineRule="exact"/>
        <w:rPr>
          <w:rFonts w:ascii="Arial" w:cs="Arial" w:eastAsia="Arial" w:hAnsi="Arial"/>
          <w:sz w:val="13"/>
          <w:szCs w:val="13"/>
          <w:color w:val="auto"/>
        </w:rPr>
      </w:pPr>
    </w:p>
    <w:p>
      <w:pPr>
        <w:ind w:left="1420" w:right="280" w:hanging="700"/>
        <w:spacing w:after="0" w:line="258" w:lineRule="auto"/>
        <w:tabs>
          <w:tab w:leader="none" w:pos="1420" w:val="left"/>
        </w:tabs>
        <w:numPr>
          <w:ilvl w:val="0"/>
          <w:numId w:val="380"/>
        </w:numPr>
        <w:rPr>
          <w:rFonts w:ascii="Arial" w:cs="Arial" w:eastAsia="Arial" w:hAnsi="Arial"/>
          <w:sz w:val="13"/>
          <w:szCs w:val="13"/>
          <w:color w:val="auto"/>
        </w:rPr>
      </w:pPr>
      <w:r>
        <w:rPr>
          <w:rFonts w:ascii="Arial" w:cs="Arial" w:eastAsia="Arial" w:hAnsi="Arial"/>
          <w:sz w:val="13"/>
          <w:szCs w:val="13"/>
          <w:color w:val="auto"/>
        </w:rPr>
        <w:t>a fee of 2% (200 basis points) of the Prepayment Amount if the Prepayment Date is after the second anniversary of the relevant Disbursement Date but before or on the third anniversary of such Disbursement Date;</w:t>
      </w:r>
    </w:p>
    <w:p>
      <w:pPr>
        <w:spacing w:after="0" w:line="30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13</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420" w:right="120" w:hanging="700"/>
        <w:spacing w:after="0" w:line="258" w:lineRule="auto"/>
        <w:tabs>
          <w:tab w:leader="none" w:pos="1420" w:val="left"/>
        </w:tabs>
        <w:numPr>
          <w:ilvl w:val="0"/>
          <w:numId w:val="381"/>
        </w:numPr>
        <w:rPr>
          <w:rFonts w:ascii="Arial" w:cs="Arial" w:eastAsia="Arial" w:hAnsi="Arial"/>
          <w:sz w:val="13"/>
          <w:szCs w:val="13"/>
          <w:color w:val="auto"/>
        </w:rPr>
      </w:pPr>
      <w:r>
        <w:rPr>
          <w:rFonts w:ascii="Arial" w:cs="Arial" w:eastAsia="Arial" w:hAnsi="Arial"/>
          <w:sz w:val="13"/>
          <w:szCs w:val="13"/>
          <w:color w:val="auto"/>
        </w:rPr>
        <w:t>a fee of 1% (100 basis points) of the Prepayment Amount if the Prepayment Date is after the third anniversary of the relevant Disbursement Date but before or on the fourth anniversary of such Disbursement Date; or</w:t>
      </w:r>
    </w:p>
    <w:p>
      <w:pPr>
        <w:spacing w:after="0" w:line="58" w:lineRule="exact"/>
        <w:rPr>
          <w:rFonts w:ascii="Arial" w:cs="Arial" w:eastAsia="Arial" w:hAnsi="Arial"/>
          <w:sz w:val="13"/>
          <w:szCs w:val="13"/>
          <w:color w:val="auto"/>
        </w:rPr>
      </w:pPr>
    </w:p>
    <w:p>
      <w:pPr>
        <w:ind w:left="1420" w:right="200" w:hanging="700"/>
        <w:spacing w:after="0" w:line="258" w:lineRule="auto"/>
        <w:tabs>
          <w:tab w:leader="none" w:pos="1420" w:val="left"/>
        </w:tabs>
        <w:numPr>
          <w:ilvl w:val="0"/>
          <w:numId w:val="381"/>
        </w:numPr>
        <w:rPr>
          <w:rFonts w:ascii="Arial" w:cs="Arial" w:eastAsia="Arial" w:hAnsi="Arial"/>
          <w:sz w:val="13"/>
          <w:szCs w:val="13"/>
          <w:color w:val="auto"/>
        </w:rPr>
      </w:pPr>
      <w:r>
        <w:rPr>
          <w:rFonts w:ascii="Arial" w:cs="Arial" w:eastAsia="Arial" w:hAnsi="Arial"/>
          <w:sz w:val="13"/>
          <w:szCs w:val="13"/>
          <w:color w:val="auto"/>
        </w:rPr>
        <w:t>a fee of 0.5% (50 basis points) of the Prepayment Amount if the Prepayment Date is after the fourth anniversary of the relevant Disbursement Date but before the Maturity Date,</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with such fee being payable on the applicable Prepayment Date.</w:t>
      </w:r>
    </w:p>
    <w:p>
      <w:pPr>
        <w:spacing w:after="0" w:line="4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Prepayment Notice</w:t>
      </w:r>
      <w:r>
        <w:rPr>
          <w:rFonts w:ascii="Arial" w:cs="Arial" w:eastAsia="Arial" w:hAnsi="Arial"/>
          <w:sz w:val="13"/>
          <w:szCs w:val="13"/>
          <w:color w:val="auto"/>
        </w:rPr>
        <w:t xml:space="preserve">" means a written notice from the Bank to the Borrower in accordance with Article </w:t>
      </w:r>
      <w:r>
        <w:rPr>
          <w:rFonts w:ascii="Arial" w:cs="Arial" w:eastAsia="Arial" w:hAnsi="Arial"/>
          <w:sz w:val="13"/>
          <w:szCs w:val="13"/>
          <w:u w:val="single" w:color="auto"/>
          <w:color w:val="0000EE"/>
        </w:rPr>
        <w:t>5.2.3</w:t>
      </w:r>
      <w:r>
        <w:rPr>
          <w:rFonts w:ascii="Arial" w:cs="Arial" w:eastAsia="Arial" w:hAnsi="Arial"/>
          <w:sz w:val="13"/>
          <w:szCs w:val="13"/>
          <w:color w:val="auto"/>
        </w:rPr>
        <w:t xml:space="preserve"> (</w:t>
      </w:r>
      <w:r>
        <w:rPr>
          <w:rFonts w:ascii="Arial" w:cs="Arial" w:eastAsia="Arial" w:hAnsi="Arial"/>
          <w:sz w:val="13"/>
          <w:szCs w:val="13"/>
          <w:i w:val="1"/>
          <w:iCs w:val="1"/>
          <w:color w:val="auto"/>
        </w:rPr>
        <w:t>Prepayment mechanics</w:t>
      </w:r>
      <w:r>
        <w:rPr>
          <w:rFonts w:ascii="Arial" w:cs="Arial" w:eastAsia="Arial" w:hAnsi="Arial"/>
          <w:sz w:val="13"/>
          <w:szCs w:val="13"/>
          <w:color w:val="auto"/>
        </w:rPr>
        <w: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Prepayment Request</w:t>
      </w:r>
      <w:r>
        <w:rPr>
          <w:rFonts w:ascii="Arial" w:cs="Arial" w:eastAsia="Arial" w:hAnsi="Arial"/>
          <w:sz w:val="13"/>
          <w:szCs w:val="13"/>
          <w:color w:val="auto"/>
        </w:rPr>
        <w:t xml:space="preserve">" means a written request from the Borrower to the Bank to prepay all or part of the Loan Outstanding, in accordance with Article </w:t>
      </w:r>
      <w:r>
        <w:rPr>
          <w:rFonts w:ascii="Arial" w:cs="Arial" w:eastAsia="Arial" w:hAnsi="Arial"/>
          <w:sz w:val="13"/>
          <w:szCs w:val="13"/>
          <w:u w:val="single" w:color="auto"/>
          <w:color w:val="0000EE"/>
        </w:rPr>
        <w:t>5.2.1</w:t>
      </w:r>
      <w:r>
        <w:rPr>
          <w:rFonts w:ascii="Arial" w:cs="Arial" w:eastAsia="Arial" w:hAnsi="Arial"/>
          <w:sz w:val="13"/>
          <w:szCs w:val="13"/>
          <w:color w:val="auto"/>
        </w:rPr>
        <w:t xml:space="preserve"> (</w:t>
      </w:r>
      <w:r>
        <w:rPr>
          <w:rFonts w:ascii="Arial" w:cs="Arial" w:eastAsia="Arial" w:hAnsi="Arial"/>
          <w:sz w:val="13"/>
          <w:szCs w:val="13"/>
          <w:i w:val="1"/>
          <w:iCs w:val="1"/>
          <w:color w:val="auto"/>
        </w:rPr>
        <w:t>Prepayment option</w:t>
      </w:r>
      <w:r>
        <w:rPr>
          <w:rFonts w:ascii="Arial" w:cs="Arial" w:eastAsia="Arial" w:hAnsi="Arial"/>
          <w:sz w:val="13"/>
          <w:szCs w:val="13"/>
          <w:color w:val="auto"/>
        </w:rPr>
        <w:t>).</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Profit Participation Cap</w:t>
      </w:r>
      <w:r>
        <w:rPr>
          <w:rFonts w:ascii="Arial" w:cs="Arial" w:eastAsia="Arial" w:hAnsi="Arial"/>
          <w:sz w:val="13"/>
          <w:szCs w:val="13"/>
          <w:color w:val="auto"/>
        </w:rPr>
        <w:t>" means, at any time, an amount of EUR 15,000,000 (fifteen million euro) or any other amount agreed between the Bank and the Borrower in writing.</w:t>
      </w:r>
    </w:p>
    <w:p>
      <w:pPr>
        <w:spacing w:after="0" w:line="7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Profit Participation Payments</w:t>
      </w:r>
      <w:r>
        <w:rPr>
          <w:rFonts w:ascii="Arial" w:cs="Arial" w:eastAsia="Arial" w:hAnsi="Arial"/>
          <w:sz w:val="13"/>
          <w:szCs w:val="13"/>
          <w:color w:val="auto"/>
        </w:rPr>
        <w:t xml:space="preserve">" has the meaning given to it in Article </w:t>
      </w:r>
      <w:hyperlink w:anchor="page358">
        <w:r>
          <w:rPr>
            <w:rFonts w:ascii="Arial" w:cs="Arial" w:eastAsia="Arial" w:hAnsi="Arial"/>
            <w:sz w:val="13"/>
            <w:szCs w:val="13"/>
            <w:u w:val="single" w:color="auto"/>
            <w:color w:val="0000EE"/>
          </w:rPr>
          <w:t>4.3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Profit Participation</w:t>
      </w:r>
      <w:r>
        <w:rPr>
          <w:rFonts w:ascii="Arial" w:cs="Arial" w:eastAsia="Arial" w:hAnsi="Arial"/>
          <w:sz w:val="13"/>
          <w:szCs w:val="13"/>
          <w:color w:val="auto"/>
        </w:rPr>
        <w:t>).</w:t>
      </w:r>
    </w:p>
    <w:p>
      <w:pPr>
        <w:spacing w:after="0" w:line="80"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Property</w:t>
      </w:r>
      <w:r>
        <w:rPr>
          <w:rFonts w:ascii="Arial" w:cs="Arial" w:eastAsia="Arial" w:hAnsi="Arial"/>
          <w:sz w:val="13"/>
          <w:szCs w:val="13"/>
          <w:color w:val="auto"/>
        </w:rPr>
        <w:t>" means the property of BioNTech Real Estate GmbH &amp; Co. KG at Hechtsheimer Straße, Mainz-Weisenau,Rheinland-Pfalz, Germany, consisting of building and land, registered with the land register (</w:t>
      </w:r>
      <w:r>
        <w:rPr>
          <w:rFonts w:ascii="Arial" w:cs="Arial" w:eastAsia="Arial" w:hAnsi="Arial"/>
          <w:sz w:val="13"/>
          <w:szCs w:val="13"/>
          <w:i w:val="1"/>
          <w:iCs w:val="1"/>
          <w:color w:val="auto"/>
        </w:rPr>
        <w:t>Grundbuch</w:t>
      </w:r>
      <w:r>
        <w:rPr>
          <w:rFonts w:ascii="Arial" w:cs="Arial" w:eastAsia="Arial" w:hAnsi="Arial"/>
          <w:sz w:val="13"/>
          <w:szCs w:val="13"/>
          <w:color w:val="auto"/>
        </w:rPr>
        <w:t>) of the local court (</w:t>
      </w:r>
      <w:r>
        <w:rPr>
          <w:rFonts w:ascii="Arial" w:cs="Arial" w:eastAsia="Arial" w:hAnsi="Arial"/>
          <w:sz w:val="13"/>
          <w:szCs w:val="13"/>
          <w:i w:val="1"/>
          <w:iCs w:val="1"/>
          <w:color w:val="auto"/>
        </w:rPr>
        <w:t>Amtsgericht</w:t>
      </w:r>
      <w:r>
        <w:rPr>
          <w:rFonts w:ascii="Arial" w:cs="Arial" w:eastAsia="Arial" w:hAnsi="Arial"/>
          <w:sz w:val="13"/>
          <w:szCs w:val="13"/>
          <w:color w:val="auto"/>
        </w:rPr>
        <w:t>) of Mainz, folio 6393, district of Weisenau, plot (Flur) 2, parcels (Flurstück) 35/67.</w:t>
      </w:r>
    </w:p>
    <w:p>
      <w:pPr>
        <w:spacing w:after="0" w:line="6"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Relevant Business Day</w:t>
      </w:r>
      <w:r>
        <w:rPr>
          <w:rFonts w:ascii="Arial" w:cs="Arial" w:eastAsia="Arial" w:hAnsi="Arial"/>
          <w:sz w:val="13"/>
          <w:szCs w:val="13"/>
          <w:color w:val="auto"/>
        </w:rPr>
        <w:t>" means a day on which the Trans-European Automated Real-time Gross Settlement Express Transfer payment system which utilises a single shared platform and which was launched on 19 November 2007 (TARGET2) is open for the settlement of payments in EUR.</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Relevant Period</w:t>
      </w:r>
      <w:r>
        <w:rPr>
          <w:rFonts w:ascii="Arial" w:cs="Arial" w:eastAsia="Arial" w:hAnsi="Arial"/>
          <w:sz w:val="13"/>
          <w:szCs w:val="13"/>
          <w:color w:val="auto"/>
        </w:rPr>
        <w:t>" means each period of 12 (twelve) months ending on or about the last day of the financial year.</w:t>
      </w:r>
    </w:p>
    <w:p>
      <w:pPr>
        <w:spacing w:after="0" w:line="70"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Repayment Date</w:t>
      </w:r>
      <w:r>
        <w:rPr>
          <w:rFonts w:ascii="Arial" w:cs="Arial" w:eastAsia="Arial" w:hAnsi="Arial"/>
          <w:sz w:val="13"/>
          <w:szCs w:val="13"/>
          <w:color w:val="auto"/>
        </w:rPr>
        <w:t xml:space="preserve">" shall mean the sole Payment Date specified in the Disbursement Offer for the repayment of a Tranche in accordance with Article </w:t>
      </w:r>
      <w:hyperlink w:anchor="page359">
        <w:r>
          <w:rPr>
            <w:rFonts w:ascii="Arial" w:cs="Arial" w:eastAsia="Arial" w:hAnsi="Arial"/>
            <w:sz w:val="13"/>
            <w:szCs w:val="13"/>
            <w:u w:val="single" w:color="auto"/>
            <w:color w:val="0000EE"/>
          </w:rPr>
          <w:t>5.1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Normal repayment</w:t>
      </w:r>
      <w:r>
        <w:rPr>
          <w:rFonts w:ascii="Arial" w:cs="Arial" w:eastAsia="Arial" w:hAnsi="Arial"/>
          <w:sz w:val="13"/>
          <w:szCs w:val="13"/>
          <w:color w:val="auto"/>
        </w:rPr>
        <w:t>).</w:t>
      </w:r>
    </w:p>
    <w:p>
      <w:pPr>
        <w:spacing w:after="0" w:line="80" w:lineRule="exact"/>
        <w:rPr>
          <w:sz w:val="20"/>
          <w:szCs w:val="20"/>
          <w:color w:val="auto"/>
        </w:rPr>
      </w:pPr>
    </w:p>
    <w:p>
      <w:pPr>
        <w:ind w:left="720" w:right="120"/>
        <w:spacing w:after="0" w:line="284"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Repeating Representations</w:t>
      </w:r>
      <w:r>
        <w:rPr>
          <w:rFonts w:ascii="Arial" w:cs="Arial" w:eastAsia="Arial" w:hAnsi="Arial"/>
          <w:sz w:val="13"/>
          <w:szCs w:val="13"/>
          <w:color w:val="auto"/>
        </w:rPr>
        <w:t xml:space="preserve">" means each of the representations set out in </w:t>
      </w:r>
      <w:hyperlink w:anchor="page384">
        <w:r>
          <w:rPr>
            <w:rFonts w:ascii="Arial" w:cs="Arial" w:eastAsia="Arial" w:hAnsi="Arial"/>
            <w:sz w:val="13"/>
            <w:szCs w:val="13"/>
            <w:u w:val="single" w:color="auto"/>
            <w:color w:val="0000EE"/>
          </w:rPr>
          <w:t>Schedule G</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Representations and Warranties</w:t>
      </w:r>
      <w:r>
        <w:rPr>
          <w:rFonts w:ascii="Arial" w:cs="Arial" w:eastAsia="Arial" w:hAnsi="Arial"/>
          <w:sz w:val="13"/>
          <w:szCs w:val="13"/>
          <w:color w:val="auto"/>
        </w:rPr>
        <w:t>) other than those Paragraphs thereof which are identified with the words "</w:t>
      </w:r>
      <w:r>
        <w:rPr>
          <w:rFonts w:ascii="Arial" w:cs="Arial" w:eastAsia="Arial" w:hAnsi="Arial"/>
          <w:sz w:val="13"/>
          <w:szCs w:val="13"/>
          <w:i w:val="1"/>
          <w:iCs w:val="1"/>
          <w:color w:val="auto"/>
        </w:rPr>
        <w:t>(Non-repeating)</w:t>
      </w:r>
      <w:r>
        <w:rPr>
          <w:rFonts w:ascii="Arial" w:cs="Arial" w:eastAsia="Arial" w:hAnsi="Arial"/>
          <w:sz w:val="13"/>
          <w:szCs w:val="13"/>
          <w:color w:val="auto"/>
        </w:rPr>
        <w:t>" at the end of the Paragraphs.</w:t>
      </w:r>
    </w:p>
    <w:p>
      <w:pPr>
        <w:spacing w:after="0" w:line="26"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Security</w:t>
      </w:r>
      <w:r>
        <w:rPr>
          <w:rFonts w:ascii="Arial" w:cs="Arial" w:eastAsia="Arial" w:hAnsi="Arial"/>
          <w:sz w:val="13"/>
          <w:szCs w:val="13"/>
          <w:color w:val="auto"/>
        </w:rPr>
        <w:t>" means any mortgage, land charge (</w:t>
      </w:r>
      <w:r>
        <w:rPr>
          <w:rFonts w:ascii="Arial" w:cs="Arial" w:eastAsia="Arial" w:hAnsi="Arial"/>
          <w:sz w:val="13"/>
          <w:szCs w:val="13"/>
          <w:i w:val="1"/>
          <w:iCs w:val="1"/>
          <w:color w:val="auto"/>
        </w:rPr>
        <w:t>Grundschuld</w:t>
      </w:r>
      <w:r>
        <w:rPr>
          <w:rFonts w:ascii="Arial" w:cs="Arial" w:eastAsia="Arial" w:hAnsi="Arial"/>
          <w:sz w:val="13"/>
          <w:szCs w:val="13"/>
          <w:color w:val="auto"/>
        </w:rPr>
        <w:t>), pledge, lien, charge, assignment, security transfer (</w:t>
      </w:r>
      <w:r>
        <w:rPr>
          <w:rFonts w:ascii="Arial" w:cs="Arial" w:eastAsia="Arial" w:hAnsi="Arial"/>
          <w:sz w:val="13"/>
          <w:szCs w:val="13"/>
          <w:i w:val="1"/>
          <w:iCs w:val="1"/>
          <w:color w:val="auto"/>
        </w:rPr>
        <w:t>Sicherungsübereignung</w:t>
      </w:r>
      <w:r>
        <w:rPr>
          <w:rFonts w:ascii="Arial" w:cs="Arial" w:eastAsia="Arial" w:hAnsi="Arial"/>
          <w:sz w:val="13"/>
          <w:szCs w:val="13"/>
          <w:color w:val="auto"/>
        </w:rPr>
        <w:t>), retention of title arrangements, hypothecation, or other security interest securing any obligation of any person or any other agreement or arrangement having a similar effect.</w:t>
      </w:r>
    </w:p>
    <w:p>
      <w:pPr>
        <w:spacing w:after="0" w:line="6"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Security Purpose Agreement</w:t>
      </w:r>
      <w:r>
        <w:rPr>
          <w:rFonts w:ascii="Arial" w:cs="Arial" w:eastAsia="Arial" w:hAnsi="Arial"/>
          <w:sz w:val="13"/>
          <w:szCs w:val="13"/>
          <w:color w:val="auto"/>
        </w:rPr>
        <w:t>" means the security purpose agreement (</w:t>
      </w:r>
      <w:r>
        <w:rPr>
          <w:rFonts w:ascii="Arial" w:cs="Arial" w:eastAsia="Arial" w:hAnsi="Arial"/>
          <w:sz w:val="13"/>
          <w:szCs w:val="13"/>
          <w:i w:val="1"/>
          <w:iCs w:val="1"/>
          <w:color w:val="auto"/>
        </w:rPr>
        <w:t>Sicherungszweckvereinbarung</w:t>
      </w:r>
      <w:r>
        <w:rPr>
          <w:rFonts w:ascii="Arial" w:cs="Arial" w:eastAsia="Arial" w:hAnsi="Arial"/>
          <w:sz w:val="13"/>
          <w:szCs w:val="13"/>
          <w:color w:val="auto"/>
        </w:rPr>
        <w:t>) to be entered into by the Borrower as security grantor and the Bank as beneficiary in relation to the Land Charge.</w:t>
      </w:r>
    </w:p>
    <w:p>
      <w:pPr>
        <w:spacing w:after="0" w:line="16"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Security Documents</w:t>
      </w:r>
      <w:r>
        <w:rPr>
          <w:rFonts w:ascii="Arial" w:cs="Arial" w:eastAsia="Arial" w:hAnsi="Arial"/>
          <w:sz w:val="13"/>
          <w:szCs w:val="13"/>
          <w:color w:val="auto"/>
        </w:rPr>
        <w:t>" means the Land Charge Creation Deed, the Security Purpose Agreement, each Guarantee Agreement and any other document entered into by any person creating or expressed to create any Security over all or any part of its assets in respect of the obligations of any of the Obligors under any of the Finance Documents.</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Semi-Annual Date</w:t>
      </w:r>
      <w:r>
        <w:rPr>
          <w:rFonts w:ascii="Arial" w:cs="Arial" w:eastAsia="Arial" w:hAnsi="Arial"/>
          <w:sz w:val="13"/>
          <w:szCs w:val="13"/>
          <w:color w:val="auto"/>
        </w:rPr>
        <w:t>" means each of 30 June and 31 December.</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Standby Fee</w:t>
      </w:r>
      <w:r>
        <w:rPr>
          <w:rFonts w:ascii="Arial" w:cs="Arial" w:eastAsia="Arial" w:hAnsi="Arial"/>
          <w:sz w:val="13"/>
          <w:szCs w:val="13"/>
          <w:color w:val="auto"/>
        </w:rPr>
        <w:t>" has the meaning given to such term in Article 2. (</w:t>
      </w:r>
      <w:r>
        <w:rPr>
          <w:rFonts w:ascii="Arial" w:cs="Arial" w:eastAsia="Arial" w:hAnsi="Arial"/>
          <w:sz w:val="13"/>
          <w:szCs w:val="13"/>
          <w:i w:val="1"/>
          <w:iCs w:val="1"/>
          <w:color w:val="auto"/>
        </w:rPr>
        <w:t>Standby fee</w:t>
      </w:r>
      <w:r>
        <w:rPr>
          <w:rFonts w:ascii="Arial" w:cs="Arial" w:eastAsia="Arial" w:hAnsi="Arial"/>
          <w:sz w:val="13"/>
          <w:szCs w:val="13"/>
          <w:color w:val="auto"/>
        </w:rPr>
        <w:t>) of the Finance Fee Letter.</w:t>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a subsidiary within the meaning of Sections 15 to 17 AktG and an entity of which the Borrower has direct or indirect Control.</w:t>
      </w:r>
    </w:p>
    <w:p>
      <w:pPr>
        <w:spacing w:after="0" w:line="70"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w:t>
      </w:r>
      <w:r>
        <w:rPr>
          <w:rFonts w:ascii="Arial" w:cs="Arial" w:eastAsia="Arial" w:hAnsi="Arial"/>
          <w:sz w:val="13"/>
          <w:szCs w:val="13"/>
          <w:color w:val="auto"/>
        </w:rPr>
        <w:t>" means any tax, levy, impost, duty or other charge or withholding of a similar nature (including any penalty or interest payable in connection with any failure to pay or any delay in paying any of the same).</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Technical Description</w:t>
      </w:r>
      <w:r>
        <w:rPr>
          <w:rFonts w:ascii="Arial" w:cs="Arial" w:eastAsia="Arial" w:hAnsi="Arial"/>
          <w:sz w:val="13"/>
          <w:szCs w:val="13"/>
          <w:color w:val="auto"/>
        </w:rPr>
        <w:t>" has the meaning given to it in Recital (A).</w:t>
      </w: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53" w:name="page354"/>
    <w:bookmarkEnd w:id="353"/>
    <w:p>
      <w:pPr>
        <w:ind w:left="10580"/>
        <w:spacing w:after="0"/>
        <w:rPr>
          <w:sz w:val="20"/>
          <w:szCs w:val="20"/>
          <w:color w:val="auto"/>
        </w:rPr>
      </w:pPr>
      <w:r>
        <w:rPr>
          <w:rFonts w:ascii="Arial" w:cs="Arial" w:eastAsia="Arial" w:hAnsi="Arial"/>
          <w:sz w:val="12"/>
          <w:szCs w:val="12"/>
          <w:b w:val="1"/>
          <w:bCs w:val="1"/>
          <w:color w:val="auto"/>
        </w:rPr>
        <w:t>Exhibit 4.41</w:t>
      </w:r>
    </w:p>
    <w:p>
      <w:pPr>
        <w:spacing w:after="0" w:line="48" w:lineRule="exact"/>
        <w:rPr>
          <w:sz w:val="20"/>
          <w:szCs w:val="20"/>
          <w:color w:val="auto"/>
        </w:rPr>
      </w:pPr>
    </w:p>
    <w:p>
      <w:pPr>
        <w:ind w:left="1160" w:right="12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Total Assets</w:t>
      </w:r>
      <w:r>
        <w:rPr>
          <w:rFonts w:ascii="Arial" w:cs="Arial" w:eastAsia="Arial" w:hAnsi="Arial"/>
          <w:sz w:val="13"/>
          <w:szCs w:val="13"/>
          <w:color w:val="auto"/>
        </w:rPr>
        <w:t>" means the total consolidated assets of the Group, as shown in the Borrower’s latest consolidated financial statements, as at the end of any Relevant Period.</w:t>
      </w:r>
    </w:p>
    <w:p>
      <w:pPr>
        <w:spacing w:after="0" w:line="197" w:lineRule="exact"/>
        <w:rPr>
          <w:sz w:val="20"/>
          <w:szCs w:val="20"/>
          <w:color w:val="auto"/>
        </w:rPr>
      </w:pPr>
    </w:p>
    <w:p>
      <w:pPr>
        <w:ind w:left="116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Tranche</w:t>
      </w:r>
      <w:r>
        <w:rPr>
          <w:rFonts w:ascii="Arial" w:cs="Arial" w:eastAsia="Arial" w:hAnsi="Arial"/>
          <w:sz w:val="13"/>
          <w:szCs w:val="13"/>
          <w:color w:val="auto"/>
        </w:rPr>
        <w:t xml:space="preserve">" means each disbursement made or to be made under this Contract. In the event that no Disbursement Acceptance has been received, Tranche shall mean a Tranche as offered under Article </w:t>
      </w:r>
      <w:r>
        <w:rPr>
          <w:rFonts w:ascii="Arial" w:cs="Arial" w:eastAsia="Arial" w:hAnsi="Arial"/>
          <w:sz w:val="13"/>
          <w:szCs w:val="13"/>
          <w:u w:val="single" w:color="auto"/>
          <w:color w:val="0000EE"/>
        </w:rPr>
        <w:t>2.2.2</w:t>
      </w:r>
      <w:r>
        <w:rPr>
          <w:rFonts w:ascii="Arial" w:cs="Arial" w:eastAsia="Arial" w:hAnsi="Arial"/>
          <w:sz w:val="13"/>
          <w:szCs w:val="13"/>
          <w:color w:val="auto"/>
        </w:rPr>
        <w:t xml:space="preserve"> (</w:t>
      </w:r>
      <w:r>
        <w:rPr>
          <w:rFonts w:ascii="Arial" w:cs="Arial" w:eastAsia="Arial" w:hAnsi="Arial"/>
          <w:sz w:val="13"/>
          <w:szCs w:val="13"/>
          <w:i w:val="1"/>
          <w:iCs w:val="1"/>
          <w:color w:val="auto"/>
        </w:rPr>
        <w:t>Disbursement Offer</w:t>
      </w:r>
      <w:r>
        <w:rPr>
          <w:rFonts w:ascii="Arial" w:cs="Arial" w:eastAsia="Arial" w:hAnsi="Arial"/>
          <w:sz w:val="13"/>
          <w:szCs w:val="13"/>
          <w:color w:val="auto"/>
        </w:rPr>
        <w:t>).</w:t>
      </w:r>
    </w:p>
    <w:p>
      <w:pPr>
        <w:spacing w:after="0" w:line="26" w:lineRule="exact"/>
        <w:rPr>
          <w:sz w:val="20"/>
          <w:szCs w:val="20"/>
          <w:color w:val="auto"/>
        </w:rPr>
      </w:pPr>
    </w:p>
    <w:p>
      <w:pPr>
        <w:ind w:left="1160" w:right="12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Voluntary Non EIB Prepayment</w:t>
      </w:r>
      <w:r>
        <w:rPr>
          <w:rFonts w:ascii="Arial" w:cs="Arial" w:eastAsia="Arial" w:hAnsi="Arial"/>
          <w:sz w:val="13"/>
          <w:szCs w:val="13"/>
          <w:color w:val="auto"/>
        </w:rPr>
        <w:t>" means a voluntary prepayment by any Group Company or any Guarantor (for the avoidance of doubt, prepayment shall include a repurchase, redemption or cancellation where applicable) of a part or the whole of any Non-EIB Financing where:</w:t>
      </w:r>
    </w:p>
    <w:p>
      <w:pPr>
        <w:spacing w:after="0" w:line="42" w:lineRule="exact"/>
        <w:rPr>
          <w:sz w:val="20"/>
          <w:szCs w:val="20"/>
          <w:color w:val="auto"/>
        </w:rPr>
      </w:pPr>
    </w:p>
    <w:p>
      <w:pPr>
        <w:ind w:left="1820" w:hanging="670"/>
        <w:spacing w:after="0"/>
        <w:tabs>
          <w:tab w:leader="none" w:pos="1820" w:val="left"/>
        </w:tabs>
        <w:numPr>
          <w:ilvl w:val="0"/>
          <w:numId w:val="382"/>
        </w:numPr>
        <w:rPr>
          <w:rFonts w:ascii="Arial" w:cs="Arial" w:eastAsia="Arial" w:hAnsi="Arial"/>
          <w:sz w:val="13"/>
          <w:szCs w:val="13"/>
          <w:color w:val="auto"/>
        </w:rPr>
      </w:pPr>
      <w:r>
        <w:rPr>
          <w:rFonts w:ascii="Arial" w:cs="Arial" w:eastAsia="Arial" w:hAnsi="Arial"/>
          <w:sz w:val="13"/>
          <w:szCs w:val="13"/>
          <w:color w:val="auto"/>
        </w:rPr>
        <w:t>such prepayment is not made within a revolving credit facility (save for the cancellation of a revolving credit facility); or</w:t>
      </w:r>
    </w:p>
    <w:p>
      <w:pPr>
        <w:spacing w:after="0" w:line="70" w:lineRule="exact"/>
        <w:rPr>
          <w:rFonts w:ascii="Arial" w:cs="Arial" w:eastAsia="Arial" w:hAnsi="Arial"/>
          <w:sz w:val="13"/>
          <w:szCs w:val="13"/>
          <w:color w:val="auto"/>
        </w:rPr>
      </w:pPr>
    </w:p>
    <w:p>
      <w:pPr>
        <w:ind w:left="1820" w:right="560" w:hanging="670"/>
        <w:spacing w:after="0" w:line="258" w:lineRule="auto"/>
        <w:tabs>
          <w:tab w:leader="none" w:pos="1820" w:val="left"/>
        </w:tabs>
        <w:numPr>
          <w:ilvl w:val="0"/>
          <w:numId w:val="382"/>
        </w:numPr>
        <w:rPr>
          <w:rFonts w:ascii="Arial" w:cs="Arial" w:eastAsia="Arial" w:hAnsi="Arial"/>
          <w:sz w:val="13"/>
          <w:szCs w:val="13"/>
          <w:color w:val="auto"/>
        </w:rPr>
      </w:pPr>
      <w:r>
        <w:rPr>
          <w:rFonts w:ascii="Arial" w:cs="Arial" w:eastAsia="Arial" w:hAnsi="Arial"/>
          <w:sz w:val="13"/>
          <w:szCs w:val="13"/>
          <w:color w:val="auto"/>
        </w:rPr>
        <w:t>such prepayment is not made out of the proceeds of a loan or other indebtedness having a term at least equal to the unexpired term of the Non-EIB Financing prepaid.</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ARTICLE 2</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Credit and Disbursements</w:t>
      </w:r>
    </w:p>
    <w:p>
      <w:pPr>
        <w:spacing w:after="0" w:line="24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3"/>
          <w:szCs w:val="13"/>
          <w:b w:val="1"/>
          <w:bCs w:val="1"/>
          <w:u w:val="single" w:color="auto"/>
          <w:color w:val="auto"/>
        </w:rPr>
        <w:t>Amount of Credit</w:t>
      </w:r>
    </w:p>
    <w:p>
      <w:pPr>
        <w:spacing w:after="0" w:line="11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By this Contract, the Bank establishes in favour of the Borrower, and the Borrower accepts, a credit (including a profit participation credit (</w:t>
      </w:r>
      <w:r>
        <w:rPr>
          <w:rFonts w:ascii="Arial" w:cs="Arial" w:eastAsia="Arial" w:hAnsi="Arial"/>
          <w:sz w:val="13"/>
          <w:szCs w:val="13"/>
          <w:i w:val="1"/>
          <w:iCs w:val="1"/>
          <w:color w:val="auto"/>
        </w:rPr>
        <w:t>partiarisches Darlehen</w:t>
      </w:r>
      <w:r>
        <w:rPr>
          <w:rFonts w:ascii="Arial" w:cs="Arial" w:eastAsia="Arial" w:hAnsi="Arial"/>
          <w:sz w:val="13"/>
          <w:szCs w:val="13"/>
          <w:color w:val="auto"/>
        </w:rPr>
        <w:t>))</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in an aggregate amount of EUR 50,000,000 (fifty million euro) for the financing of the Investment (the "</w:t>
      </w:r>
      <w:r>
        <w:rPr>
          <w:rFonts w:ascii="Arial" w:cs="Arial" w:eastAsia="Arial" w:hAnsi="Arial"/>
          <w:sz w:val="13"/>
          <w:szCs w:val="13"/>
          <w:b w:val="1"/>
          <w:bCs w:val="1"/>
          <w:color w:val="auto"/>
        </w:rPr>
        <w:t>Credit</w:t>
      </w:r>
      <w:r>
        <w:rPr>
          <w:rFonts w:ascii="Arial" w:cs="Arial" w:eastAsia="Arial" w:hAnsi="Arial"/>
          <w:sz w:val="13"/>
          <w:szCs w:val="13"/>
          <w:color w:val="auto"/>
        </w:rPr>
        <w:t>"), consisting of:</w:t>
      </w:r>
    </w:p>
    <w:p>
      <w:pPr>
        <w:spacing w:after="0" w:line="64" w:lineRule="exact"/>
        <w:rPr>
          <w:sz w:val="20"/>
          <w:szCs w:val="20"/>
          <w:color w:val="auto"/>
        </w:rPr>
      </w:pPr>
    </w:p>
    <w:p>
      <w:pPr>
        <w:ind w:left="1820" w:hanging="670"/>
        <w:spacing w:after="0"/>
        <w:tabs>
          <w:tab w:leader="none" w:pos="1820" w:val="left"/>
        </w:tabs>
        <w:numPr>
          <w:ilvl w:val="0"/>
          <w:numId w:val="383"/>
        </w:numPr>
        <w:rPr>
          <w:rFonts w:ascii="Arial" w:cs="Arial" w:eastAsia="Arial" w:hAnsi="Arial"/>
          <w:sz w:val="13"/>
          <w:szCs w:val="13"/>
          <w:color w:val="auto"/>
        </w:rPr>
      </w:pPr>
      <w:r>
        <w:rPr>
          <w:rFonts w:ascii="Arial" w:cs="Arial" w:eastAsia="Arial" w:hAnsi="Arial"/>
          <w:sz w:val="13"/>
          <w:szCs w:val="13"/>
          <w:color w:val="auto"/>
        </w:rPr>
        <w:t>a term loan in an amount of EUR 25,000,000 (twenty five million euro) ("</w:t>
      </w:r>
      <w:r>
        <w:rPr>
          <w:rFonts w:ascii="Arial" w:cs="Arial" w:eastAsia="Arial" w:hAnsi="Arial"/>
          <w:sz w:val="13"/>
          <w:szCs w:val="13"/>
          <w:b w:val="1"/>
          <w:bCs w:val="1"/>
          <w:color w:val="auto"/>
        </w:rPr>
        <w:t>Credit A</w:t>
      </w:r>
      <w:r>
        <w:rPr>
          <w:rFonts w:ascii="Arial" w:cs="Arial" w:eastAsia="Arial" w:hAnsi="Arial"/>
          <w:sz w:val="13"/>
          <w:szCs w:val="13"/>
          <w:color w:val="auto"/>
        </w:rPr>
        <w:t>"); and</w:t>
      </w:r>
    </w:p>
    <w:p>
      <w:pPr>
        <w:spacing w:after="0" w:line="70" w:lineRule="exact"/>
        <w:rPr>
          <w:rFonts w:ascii="Arial" w:cs="Arial" w:eastAsia="Arial" w:hAnsi="Arial"/>
          <w:sz w:val="13"/>
          <w:szCs w:val="13"/>
          <w:color w:val="auto"/>
        </w:rPr>
      </w:pPr>
    </w:p>
    <w:p>
      <w:pPr>
        <w:ind w:left="1820" w:hanging="670"/>
        <w:spacing w:after="0"/>
        <w:tabs>
          <w:tab w:leader="none" w:pos="1820" w:val="left"/>
        </w:tabs>
        <w:numPr>
          <w:ilvl w:val="0"/>
          <w:numId w:val="383"/>
        </w:numPr>
        <w:rPr>
          <w:rFonts w:ascii="Arial" w:cs="Arial" w:eastAsia="Arial" w:hAnsi="Arial"/>
          <w:sz w:val="13"/>
          <w:szCs w:val="13"/>
          <w:color w:val="auto"/>
        </w:rPr>
      </w:pPr>
      <w:r>
        <w:rPr>
          <w:rFonts w:ascii="Arial" w:cs="Arial" w:eastAsia="Arial" w:hAnsi="Arial"/>
          <w:sz w:val="13"/>
          <w:szCs w:val="13"/>
          <w:color w:val="auto"/>
        </w:rPr>
        <w:t>a term loan in an amount of EUR 25,000,000 (twenty five million euro) ("</w:t>
      </w:r>
      <w:r>
        <w:rPr>
          <w:rFonts w:ascii="Arial" w:cs="Arial" w:eastAsia="Arial" w:hAnsi="Arial"/>
          <w:sz w:val="13"/>
          <w:szCs w:val="13"/>
          <w:b w:val="1"/>
          <w:bCs w:val="1"/>
          <w:color w:val="auto"/>
        </w:rPr>
        <w:t>Credit B</w:t>
      </w:r>
      <w:r>
        <w:rPr>
          <w:rFonts w:ascii="Arial" w:cs="Arial" w:eastAsia="Arial" w:hAnsi="Arial"/>
          <w:sz w:val="13"/>
          <w:szCs w:val="13"/>
          <w:color w:val="auto"/>
        </w:rPr>
        <w:t>").</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b w:val="1"/>
                <w:bCs w:val="1"/>
                <w:color w:val="auto"/>
              </w:rPr>
              <w:t>2.2</w:t>
            </w: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Disbursement procedure</w:t>
            </w: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2.2.1</w:t>
            </w:r>
          </w:p>
        </w:tc>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Tranches</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19"/>
        </w:trPr>
        <w:tc>
          <w:tcPr>
            <w:tcW w:w="1020" w:type="dxa"/>
            <w:vAlign w:val="bottom"/>
          </w:tcPr>
          <w:p>
            <w:pPr>
              <w:spacing w:after="0"/>
              <w:rPr>
                <w:sz w:val="19"/>
                <w:szCs w:val="19"/>
                <w:color w:val="auto"/>
              </w:rPr>
            </w:pPr>
          </w:p>
        </w:tc>
        <w:tc>
          <w:tcPr>
            <w:tcW w:w="10000" w:type="dxa"/>
            <w:vAlign w:val="bottom"/>
            <w:gridSpan w:val="8"/>
          </w:tcPr>
          <w:p>
            <w:pPr>
              <w:ind w:left="20"/>
              <w:spacing w:after="0"/>
              <w:rPr>
                <w:sz w:val="20"/>
                <w:szCs w:val="20"/>
                <w:color w:val="auto"/>
              </w:rPr>
            </w:pPr>
            <w:r>
              <w:rPr>
                <w:rFonts w:ascii="Arial" w:cs="Arial" w:eastAsia="Arial" w:hAnsi="Arial"/>
                <w:sz w:val="13"/>
                <w:szCs w:val="13"/>
                <w:color w:val="auto"/>
              </w:rPr>
              <w:t>The Bank shall disburse the Credit in Euros in up to five Tranches. Credit A can only be drawn in full, in an amount of EUR 25,000,000 (twenty five million euro). The</w:t>
            </w:r>
          </w:p>
        </w:tc>
      </w:tr>
      <w:tr>
        <w:trPr>
          <w:trHeight w:val="161"/>
        </w:trPr>
        <w:tc>
          <w:tcPr>
            <w:tcW w:w="1020" w:type="dxa"/>
            <w:vAlign w:val="bottom"/>
          </w:tcPr>
          <w:p>
            <w:pPr>
              <w:spacing w:after="0"/>
              <w:rPr>
                <w:sz w:val="13"/>
                <w:szCs w:val="13"/>
                <w:color w:val="auto"/>
              </w:rPr>
            </w:pPr>
          </w:p>
        </w:tc>
        <w:tc>
          <w:tcPr>
            <w:tcW w:w="6440" w:type="dxa"/>
            <w:vAlign w:val="bottom"/>
            <w:gridSpan w:val="5"/>
          </w:tcPr>
          <w:p>
            <w:pPr>
              <w:ind w:left="20"/>
              <w:spacing w:after="0"/>
              <w:rPr>
                <w:sz w:val="20"/>
                <w:szCs w:val="20"/>
                <w:color w:val="auto"/>
              </w:rPr>
            </w:pPr>
            <w:r>
              <w:rPr>
                <w:rFonts w:ascii="Arial" w:cs="Arial" w:eastAsia="Arial" w:hAnsi="Arial"/>
                <w:sz w:val="13"/>
                <w:szCs w:val="13"/>
                <w:color w:val="auto"/>
              </w:rPr>
              <w:t>amount of each Tranche under Credit B, shall be in a minimum amount of EUR 5,000,000 (five million euro)</w:t>
            </w:r>
          </w:p>
        </w:tc>
        <w:tc>
          <w:tcPr>
            <w:tcW w:w="3560" w:type="dxa"/>
            <w:vAlign w:val="bottom"/>
            <w:gridSpan w:val="3"/>
          </w:tcPr>
          <w:p>
            <w:pPr>
              <w:ind w:left="60"/>
              <w:spacing w:after="0"/>
              <w:rPr>
                <w:sz w:val="20"/>
                <w:szCs w:val="20"/>
                <w:color w:val="auto"/>
              </w:rPr>
            </w:pPr>
            <w:r>
              <w:rPr>
                <w:rFonts w:ascii="Arial" w:cs="Arial" w:eastAsia="Arial" w:hAnsi="Arial"/>
                <w:sz w:val="13"/>
                <w:szCs w:val="13"/>
                <w:color w:val="auto"/>
              </w:rPr>
              <w:t>or (if less) the entire undrawn balance of the Credit B.</w:t>
            </w: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2.2.2</w:t>
            </w:r>
          </w:p>
        </w:tc>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Disbursement Offer</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90"/>
        </w:trPr>
        <w:tc>
          <w:tcPr>
            <w:tcW w:w="102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Upon request by the Borrower and subject to</w:t>
            </w:r>
          </w:p>
        </w:tc>
        <w:tc>
          <w:tcPr>
            <w:tcW w:w="3460" w:type="dxa"/>
            <w:vAlign w:val="bottom"/>
            <w:gridSpan w:val="3"/>
          </w:tcPr>
          <w:p>
            <w:pPr>
              <w:ind w:left="40"/>
              <w:spacing w:after="0"/>
              <w:rPr>
                <w:rFonts w:ascii="Arial" w:cs="Arial" w:eastAsia="Arial" w:hAnsi="Arial"/>
                <w:sz w:val="13"/>
                <w:szCs w:val="13"/>
                <w:color w:val="auto"/>
              </w:rPr>
            </w:pPr>
            <w:r>
              <w:rPr>
                <w:rFonts w:ascii="Arial" w:cs="Arial" w:eastAsia="Arial" w:hAnsi="Arial"/>
                <w:sz w:val="13"/>
                <w:szCs w:val="13"/>
                <w:color w:val="auto"/>
              </w:rPr>
              <w:t xml:space="preserve">Article </w:t>
            </w:r>
            <w:hyperlink w:anchor="page355">
              <w:r>
                <w:rPr>
                  <w:rFonts w:ascii="Arial" w:cs="Arial" w:eastAsia="Arial" w:hAnsi="Arial"/>
                  <w:sz w:val="13"/>
                  <w:szCs w:val="13"/>
                  <w:color w:val="0000EE"/>
                </w:rPr>
                <w:t>2.5</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Conditions of Disbursement</w:t>
            </w:r>
            <w:r>
              <w:rPr>
                <w:rFonts w:ascii="Arial" w:cs="Arial" w:eastAsia="Arial" w:hAnsi="Arial"/>
                <w:sz w:val="13"/>
                <w:szCs w:val="13"/>
                <w:color w:val="auto"/>
              </w:rPr>
              <w:t>), provided that</w:t>
            </w:r>
          </w:p>
        </w:tc>
        <w:tc>
          <w:tcPr>
            <w:tcW w:w="200" w:type="dxa"/>
            <w:vAlign w:val="bottom"/>
          </w:tcPr>
          <w:p>
            <w:pPr>
              <w:ind w:left="40"/>
              <w:spacing w:after="0"/>
              <w:rPr>
                <w:sz w:val="20"/>
                <w:szCs w:val="20"/>
                <w:color w:val="auto"/>
              </w:rPr>
            </w:pPr>
            <w:r>
              <w:rPr>
                <w:rFonts w:ascii="Arial" w:cs="Arial" w:eastAsia="Arial" w:hAnsi="Arial"/>
                <w:sz w:val="13"/>
                <w:szCs w:val="13"/>
                <w:color w:val="auto"/>
                <w:w w:val="96"/>
              </w:rPr>
              <w:t>no</w:t>
            </w:r>
          </w:p>
        </w:tc>
        <w:tc>
          <w:tcPr>
            <w:tcW w:w="3360" w:type="dxa"/>
            <w:vAlign w:val="bottom"/>
            <w:gridSpan w:val="2"/>
          </w:tcPr>
          <w:p>
            <w:pPr>
              <w:ind w:left="60"/>
              <w:spacing w:after="0"/>
              <w:rPr>
                <w:rFonts w:ascii="Arial" w:cs="Arial" w:eastAsia="Arial" w:hAnsi="Arial"/>
                <w:sz w:val="13"/>
                <w:szCs w:val="13"/>
                <w:color w:val="auto"/>
              </w:rPr>
            </w:pPr>
            <w:r>
              <w:rPr>
                <w:rFonts w:ascii="Arial" w:cs="Arial" w:eastAsia="Arial" w:hAnsi="Arial"/>
                <w:sz w:val="13"/>
                <w:szCs w:val="13"/>
                <w:color w:val="auto"/>
              </w:rPr>
              <w:t xml:space="preserve">event mentioned in Sub-Paragraph (b) of Article </w:t>
            </w:r>
            <w:hyperlink w:anchor="page356">
              <w:r>
                <w:rPr>
                  <w:rFonts w:ascii="Arial" w:cs="Arial" w:eastAsia="Arial" w:hAnsi="Arial"/>
                  <w:sz w:val="13"/>
                  <w:szCs w:val="13"/>
                  <w:color w:val="0000EE"/>
                </w:rPr>
                <w:t>2.6</w:t>
              </w:r>
            </w:hyperlink>
          </w:p>
        </w:tc>
      </w:tr>
      <w:tr>
        <w:trPr>
          <w:trHeight w:val="20"/>
        </w:trPr>
        <w:tc>
          <w:tcPr>
            <w:tcW w:w="102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3620" w:type="dxa"/>
            <w:vAlign w:val="bottom"/>
            <w:gridSpan w:val="4"/>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Cancellation</w:t>
            </w:r>
            <w:r>
              <w:rPr>
                <w:rFonts w:ascii="Arial" w:cs="Arial" w:eastAsia="Arial" w:hAnsi="Arial"/>
                <w:sz w:val="13"/>
                <w:szCs w:val="13"/>
                <w:color w:val="auto"/>
              </w:rPr>
              <w:t>) has occurred and is continuing, the Bank shall</w:t>
            </w:r>
          </w:p>
        </w:tc>
        <w:tc>
          <w:tcPr>
            <w:tcW w:w="3020" w:type="dxa"/>
            <w:vAlign w:val="bottom"/>
            <w:gridSpan w:val="2"/>
          </w:tcPr>
          <w:p>
            <w:pPr>
              <w:ind w:left="40"/>
              <w:spacing w:after="0"/>
              <w:rPr>
                <w:sz w:val="20"/>
                <w:szCs w:val="20"/>
                <w:color w:val="auto"/>
              </w:rPr>
            </w:pPr>
            <w:r>
              <w:rPr>
                <w:rFonts w:ascii="Arial" w:cs="Arial" w:eastAsia="Arial" w:hAnsi="Arial"/>
                <w:sz w:val="13"/>
                <w:szCs w:val="13"/>
                <w:color w:val="auto"/>
              </w:rPr>
              <w:t>send to the Borrower a Disbursement Offer for the</w:t>
            </w:r>
          </w:p>
        </w:tc>
        <w:tc>
          <w:tcPr>
            <w:tcW w:w="3360" w:type="dxa"/>
            <w:vAlign w:val="bottom"/>
            <w:gridSpan w:val="2"/>
          </w:tcPr>
          <w:p>
            <w:pPr>
              <w:ind w:left="60"/>
              <w:spacing w:after="0"/>
              <w:rPr>
                <w:sz w:val="20"/>
                <w:szCs w:val="20"/>
                <w:color w:val="auto"/>
              </w:rPr>
            </w:pPr>
            <w:r>
              <w:rPr>
                <w:rFonts w:ascii="Arial" w:cs="Arial" w:eastAsia="Arial" w:hAnsi="Arial"/>
                <w:sz w:val="13"/>
                <w:szCs w:val="13"/>
                <w:color w:val="auto"/>
              </w:rPr>
              <w:t>disbursement of a Tranche. The latest time for receipt</w:t>
            </w:r>
          </w:p>
        </w:tc>
      </w:tr>
      <w:tr>
        <w:trPr>
          <w:trHeight w:val="161"/>
        </w:trPr>
        <w:tc>
          <w:tcPr>
            <w:tcW w:w="1020" w:type="dxa"/>
            <w:vAlign w:val="bottom"/>
          </w:tcPr>
          <w:p>
            <w:pPr>
              <w:spacing w:after="0"/>
              <w:rPr>
                <w:sz w:val="13"/>
                <w:szCs w:val="13"/>
                <w:color w:val="auto"/>
              </w:rPr>
            </w:pP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by the Borrower of a Disbursement Offer is [***]</w:t>
            </w:r>
          </w:p>
        </w:tc>
        <w:tc>
          <w:tcPr>
            <w:tcW w:w="3660" w:type="dxa"/>
            <w:vAlign w:val="bottom"/>
            <w:gridSpan w:val="4"/>
          </w:tcPr>
          <w:p>
            <w:pPr>
              <w:ind w:left="40"/>
              <w:spacing w:after="0"/>
              <w:rPr>
                <w:sz w:val="20"/>
                <w:szCs w:val="20"/>
                <w:color w:val="auto"/>
              </w:rPr>
            </w:pPr>
            <w:r>
              <w:rPr>
                <w:rFonts w:ascii="Arial" w:cs="Arial" w:eastAsia="Arial" w:hAnsi="Arial"/>
                <w:sz w:val="13"/>
                <w:szCs w:val="13"/>
                <w:color w:val="auto"/>
              </w:rPr>
              <w:t>days before the Final Availability Date. The Disbursement</w:t>
            </w:r>
          </w:p>
        </w:tc>
        <w:tc>
          <w:tcPr>
            <w:tcW w:w="3360" w:type="dxa"/>
            <w:vAlign w:val="bottom"/>
            <w:gridSpan w:val="2"/>
          </w:tcPr>
          <w:p>
            <w:pPr>
              <w:ind w:left="40"/>
              <w:spacing w:after="0"/>
              <w:rPr>
                <w:sz w:val="20"/>
                <w:szCs w:val="20"/>
                <w:color w:val="auto"/>
              </w:rPr>
            </w:pPr>
            <w:r>
              <w:rPr>
                <w:rFonts w:ascii="Arial" w:cs="Arial" w:eastAsia="Arial" w:hAnsi="Arial"/>
                <w:sz w:val="13"/>
                <w:szCs w:val="13"/>
                <w:color w:val="auto"/>
              </w:rPr>
              <w:t>Offer shall specify:</w:t>
            </w:r>
          </w:p>
        </w:tc>
      </w:tr>
    </w:tbl>
    <w:p>
      <w:pPr>
        <w:spacing w:after="0" w:line="69" w:lineRule="exact"/>
        <w:rPr>
          <w:sz w:val="20"/>
          <w:szCs w:val="20"/>
          <w:color w:val="auto"/>
        </w:rPr>
      </w:pPr>
    </w:p>
    <w:p>
      <w:pPr>
        <w:ind w:left="1820" w:hanging="670"/>
        <w:spacing w:after="0"/>
        <w:tabs>
          <w:tab w:leader="none" w:pos="1820" w:val="left"/>
        </w:tabs>
        <w:numPr>
          <w:ilvl w:val="0"/>
          <w:numId w:val="384"/>
        </w:numPr>
        <w:rPr>
          <w:rFonts w:ascii="Arial" w:cs="Arial" w:eastAsia="Arial" w:hAnsi="Arial"/>
          <w:sz w:val="13"/>
          <w:szCs w:val="13"/>
          <w:color w:val="auto"/>
        </w:rPr>
      </w:pPr>
      <w:r>
        <w:rPr>
          <w:rFonts w:ascii="Arial" w:cs="Arial" w:eastAsia="Arial" w:hAnsi="Arial"/>
          <w:sz w:val="13"/>
          <w:szCs w:val="13"/>
          <w:color w:val="auto"/>
        </w:rPr>
        <w:t>the amount of the Tranche;</w:t>
      </w:r>
    </w:p>
    <w:p>
      <w:pPr>
        <w:spacing w:after="0" w:line="80" w:lineRule="exact"/>
        <w:rPr>
          <w:rFonts w:ascii="Arial" w:cs="Arial" w:eastAsia="Arial" w:hAnsi="Arial"/>
          <w:sz w:val="13"/>
          <w:szCs w:val="13"/>
          <w:color w:val="auto"/>
        </w:rPr>
      </w:pPr>
    </w:p>
    <w:p>
      <w:pPr>
        <w:ind w:left="1820" w:right="280" w:hanging="670"/>
        <w:spacing w:after="0" w:line="258" w:lineRule="auto"/>
        <w:tabs>
          <w:tab w:leader="none" w:pos="1820" w:val="left"/>
        </w:tabs>
        <w:numPr>
          <w:ilvl w:val="0"/>
          <w:numId w:val="384"/>
        </w:numPr>
        <w:rPr>
          <w:rFonts w:ascii="Arial" w:cs="Arial" w:eastAsia="Arial" w:hAnsi="Arial"/>
          <w:sz w:val="13"/>
          <w:szCs w:val="13"/>
          <w:color w:val="auto"/>
        </w:rPr>
      </w:pPr>
      <w:r>
        <w:rPr>
          <w:rFonts w:ascii="Arial" w:cs="Arial" w:eastAsia="Arial" w:hAnsi="Arial"/>
          <w:sz w:val="13"/>
          <w:szCs w:val="13"/>
          <w:color w:val="auto"/>
        </w:rPr>
        <w:t>the Disbursement Date, which shall be a Relevant Business Day, falling at least [***] days after the date of the Disbursement Offer and on or before the Final Availability Date;</w:t>
      </w:r>
    </w:p>
    <w:p>
      <w:pPr>
        <w:spacing w:after="0" w:line="48" w:lineRule="exact"/>
        <w:rPr>
          <w:rFonts w:ascii="Arial" w:cs="Arial" w:eastAsia="Arial" w:hAnsi="Arial"/>
          <w:sz w:val="13"/>
          <w:szCs w:val="13"/>
          <w:color w:val="auto"/>
        </w:rPr>
      </w:pPr>
    </w:p>
    <w:p>
      <w:pPr>
        <w:ind w:left="1820" w:hanging="670"/>
        <w:spacing w:after="0"/>
        <w:tabs>
          <w:tab w:leader="none" w:pos="1820" w:val="left"/>
        </w:tabs>
        <w:numPr>
          <w:ilvl w:val="0"/>
          <w:numId w:val="384"/>
        </w:numPr>
        <w:rPr>
          <w:rFonts w:ascii="Arial" w:cs="Arial" w:eastAsia="Arial" w:hAnsi="Arial"/>
          <w:sz w:val="13"/>
          <w:szCs w:val="13"/>
          <w:color w:val="auto"/>
        </w:rPr>
      </w:pPr>
      <w:r>
        <w:rPr>
          <w:rFonts w:ascii="Arial" w:cs="Arial" w:eastAsia="Arial" w:hAnsi="Arial"/>
          <w:sz w:val="13"/>
          <w:szCs w:val="13"/>
          <w:color w:val="auto"/>
        </w:rPr>
        <w:t>the interest rate basis of the Tranche, namely:</w:t>
      </w:r>
    </w:p>
    <w:p>
      <w:pPr>
        <w:spacing w:after="0" w:line="80" w:lineRule="exact"/>
        <w:rPr>
          <w:rFonts w:ascii="Arial" w:cs="Arial" w:eastAsia="Arial" w:hAnsi="Arial"/>
          <w:sz w:val="13"/>
          <w:szCs w:val="13"/>
          <w:color w:val="auto"/>
        </w:rPr>
      </w:pPr>
    </w:p>
    <w:p>
      <w:pPr>
        <w:ind w:left="2520" w:hanging="680"/>
        <w:spacing w:after="0"/>
        <w:tabs>
          <w:tab w:leader="none" w:pos="2520" w:val="left"/>
        </w:tabs>
        <w:numPr>
          <w:ilvl w:val="1"/>
          <w:numId w:val="384"/>
        </w:numPr>
        <w:rPr>
          <w:rFonts w:ascii="Arial" w:cs="Arial" w:eastAsia="Arial" w:hAnsi="Arial"/>
          <w:sz w:val="13"/>
          <w:szCs w:val="13"/>
          <w:color w:val="auto"/>
        </w:rPr>
      </w:pPr>
      <w:r>
        <w:rPr>
          <w:rFonts w:ascii="Arial" w:cs="Arial" w:eastAsia="Arial" w:hAnsi="Arial"/>
          <w:sz w:val="13"/>
          <w:szCs w:val="13"/>
          <w:color w:val="auto"/>
        </w:rPr>
        <w:t>the Cash Interest Fixed Rate applicable to such Tranche;</w:t>
      </w:r>
    </w:p>
    <w:p>
      <w:pPr>
        <w:spacing w:after="0" w:line="80" w:lineRule="exact"/>
        <w:rPr>
          <w:rFonts w:ascii="Arial" w:cs="Arial" w:eastAsia="Arial" w:hAnsi="Arial"/>
          <w:sz w:val="13"/>
          <w:szCs w:val="13"/>
          <w:color w:val="auto"/>
        </w:rPr>
      </w:pPr>
    </w:p>
    <w:p>
      <w:pPr>
        <w:ind w:left="2520" w:hanging="680"/>
        <w:spacing w:after="0"/>
        <w:tabs>
          <w:tab w:leader="none" w:pos="2520" w:val="left"/>
        </w:tabs>
        <w:numPr>
          <w:ilvl w:val="1"/>
          <w:numId w:val="384"/>
        </w:numPr>
        <w:rPr>
          <w:rFonts w:ascii="Arial" w:cs="Arial" w:eastAsia="Arial" w:hAnsi="Arial"/>
          <w:sz w:val="13"/>
          <w:szCs w:val="13"/>
          <w:color w:val="auto"/>
        </w:rPr>
      </w:pPr>
      <w:r>
        <w:rPr>
          <w:rFonts w:ascii="Arial" w:cs="Arial" w:eastAsia="Arial" w:hAnsi="Arial"/>
          <w:sz w:val="13"/>
          <w:szCs w:val="13"/>
          <w:color w:val="auto"/>
        </w:rPr>
        <w:t>if relevant, the Deferred Interest Fixed Rate; and</w:t>
      </w:r>
    </w:p>
    <w:p>
      <w:pPr>
        <w:spacing w:after="0" w:line="80" w:lineRule="exact"/>
        <w:rPr>
          <w:rFonts w:ascii="Arial" w:cs="Arial" w:eastAsia="Arial" w:hAnsi="Arial"/>
          <w:sz w:val="13"/>
          <w:szCs w:val="13"/>
          <w:color w:val="auto"/>
        </w:rPr>
      </w:pPr>
    </w:p>
    <w:p>
      <w:pPr>
        <w:ind w:left="2520" w:hanging="680"/>
        <w:spacing w:after="0"/>
        <w:tabs>
          <w:tab w:leader="none" w:pos="2520" w:val="left"/>
        </w:tabs>
        <w:numPr>
          <w:ilvl w:val="1"/>
          <w:numId w:val="384"/>
        </w:numPr>
        <w:rPr>
          <w:rFonts w:ascii="Arial" w:cs="Arial" w:eastAsia="Arial" w:hAnsi="Arial"/>
          <w:sz w:val="13"/>
          <w:szCs w:val="13"/>
          <w:color w:val="auto"/>
        </w:rPr>
      </w:pPr>
      <w:r>
        <w:rPr>
          <w:rFonts w:ascii="Arial" w:cs="Arial" w:eastAsia="Arial" w:hAnsi="Arial"/>
          <w:sz w:val="13"/>
          <w:szCs w:val="13"/>
          <w:color w:val="auto"/>
        </w:rPr>
        <w:t>the Payment Dates;</w:t>
      </w:r>
    </w:p>
    <w:p>
      <w:pPr>
        <w:spacing w:after="0" w:line="80" w:lineRule="exact"/>
        <w:rPr>
          <w:rFonts w:ascii="Arial" w:cs="Arial" w:eastAsia="Arial" w:hAnsi="Arial"/>
          <w:sz w:val="13"/>
          <w:szCs w:val="13"/>
          <w:color w:val="auto"/>
        </w:rPr>
      </w:pPr>
    </w:p>
    <w:p>
      <w:pPr>
        <w:ind w:left="1820" w:hanging="670"/>
        <w:spacing w:after="0"/>
        <w:tabs>
          <w:tab w:leader="none" w:pos="1820" w:val="left"/>
        </w:tabs>
        <w:numPr>
          <w:ilvl w:val="0"/>
          <w:numId w:val="384"/>
        </w:numPr>
        <w:rPr>
          <w:rFonts w:ascii="Arial" w:cs="Arial" w:eastAsia="Arial" w:hAnsi="Arial"/>
          <w:sz w:val="13"/>
          <w:szCs w:val="13"/>
          <w:color w:val="auto"/>
        </w:rPr>
      </w:pPr>
      <w:r>
        <w:rPr>
          <w:rFonts w:ascii="Arial" w:cs="Arial" w:eastAsia="Arial" w:hAnsi="Arial"/>
          <w:sz w:val="13"/>
          <w:szCs w:val="13"/>
          <w:color w:val="auto"/>
        </w:rPr>
        <w:t>the terms and frequency for repayment of principal (bullet);</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54" w:name="page355"/>
    <w:bookmarkEnd w:id="354"/>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820" w:hanging="670"/>
        <w:spacing w:after="0"/>
        <w:tabs>
          <w:tab w:leader="none" w:pos="1820" w:val="left"/>
        </w:tabs>
        <w:numPr>
          <w:ilvl w:val="0"/>
          <w:numId w:val="385"/>
        </w:numPr>
        <w:rPr>
          <w:rFonts w:ascii="Arial" w:cs="Arial" w:eastAsia="Arial" w:hAnsi="Arial"/>
          <w:sz w:val="13"/>
          <w:szCs w:val="13"/>
          <w:color w:val="auto"/>
        </w:rPr>
      </w:pPr>
      <w:r>
        <w:rPr>
          <w:rFonts w:ascii="Arial" w:cs="Arial" w:eastAsia="Arial" w:hAnsi="Arial"/>
          <w:sz w:val="13"/>
          <w:szCs w:val="13"/>
          <w:color w:val="auto"/>
        </w:rPr>
        <w:t>the Maturity Date; and</w:t>
      </w:r>
    </w:p>
    <w:p>
      <w:pPr>
        <w:spacing w:after="0" w:line="80" w:lineRule="exact"/>
        <w:rPr>
          <w:rFonts w:ascii="Arial" w:cs="Arial" w:eastAsia="Arial" w:hAnsi="Arial"/>
          <w:sz w:val="13"/>
          <w:szCs w:val="13"/>
          <w:color w:val="auto"/>
        </w:rPr>
      </w:pPr>
    </w:p>
    <w:p>
      <w:pPr>
        <w:ind w:left="1820" w:hanging="670"/>
        <w:spacing w:after="0"/>
        <w:tabs>
          <w:tab w:leader="none" w:pos="1820" w:val="left"/>
        </w:tabs>
        <w:numPr>
          <w:ilvl w:val="0"/>
          <w:numId w:val="385"/>
        </w:numPr>
        <w:rPr>
          <w:rFonts w:ascii="Arial" w:cs="Arial" w:eastAsia="Arial" w:hAnsi="Arial"/>
          <w:sz w:val="13"/>
          <w:szCs w:val="13"/>
          <w:color w:val="auto"/>
        </w:rPr>
      </w:pPr>
      <w:r>
        <w:rPr>
          <w:rFonts w:ascii="Arial" w:cs="Arial" w:eastAsia="Arial" w:hAnsi="Arial"/>
          <w:sz w:val="13"/>
          <w:szCs w:val="13"/>
          <w:color w:val="auto"/>
        </w:rPr>
        <w:t>the Disbursement Acceptance Deadline.</w:t>
      </w:r>
    </w:p>
    <w:p>
      <w:pPr>
        <w:spacing w:after="0" w:line="104"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2.2.3</w:t>
      </w:r>
      <w:r>
        <w:rPr>
          <w:sz w:val="20"/>
          <w:szCs w:val="20"/>
          <w:color w:val="auto"/>
        </w:rPr>
        <w:tab/>
      </w:r>
      <w:r>
        <w:rPr>
          <w:rFonts w:ascii="Arial" w:cs="Arial" w:eastAsia="Arial" w:hAnsi="Arial"/>
          <w:sz w:val="13"/>
          <w:szCs w:val="13"/>
          <w:b w:val="1"/>
          <w:bCs w:val="1"/>
          <w:color w:val="auto"/>
        </w:rPr>
        <w:t>Disbursement Acceptance</w:t>
      </w:r>
    </w:p>
    <w:p>
      <w:pPr>
        <w:spacing w:after="0" w:line="96" w:lineRule="exact"/>
        <w:rPr>
          <w:sz w:val="20"/>
          <w:szCs w:val="20"/>
          <w:color w:val="auto"/>
        </w:rPr>
      </w:pPr>
    </w:p>
    <w:p>
      <w:pPr>
        <w:jc w:val="both"/>
        <w:ind w:left="1820" w:right="520" w:hanging="670"/>
        <w:spacing w:after="0" w:line="246" w:lineRule="auto"/>
        <w:tabs>
          <w:tab w:leader="none" w:pos="1820" w:val="left"/>
        </w:tabs>
        <w:numPr>
          <w:ilvl w:val="0"/>
          <w:numId w:val="386"/>
        </w:numPr>
        <w:rPr>
          <w:rFonts w:ascii="Arial" w:cs="Arial" w:eastAsia="Arial" w:hAnsi="Arial"/>
          <w:sz w:val="13"/>
          <w:szCs w:val="13"/>
          <w:color w:val="auto"/>
        </w:rPr>
      </w:pPr>
      <w:r>
        <w:rPr>
          <w:rFonts w:ascii="Arial" w:cs="Arial" w:eastAsia="Arial" w:hAnsi="Arial"/>
          <w:sz w:val="13"/>
          <w:szCs w:val="13"/>
          <w:color w:val="auto"/>
        </w:rPr>
        <w:t xml:space="preserve">The Borrower may accept a Disbursement Offer by delivering a Disbursement Acceptance to the Bank no later than the Disbursement Acceptance Deadline. The Disbursement Acceptance shall be signed by an Authorised Signatory with individual representation right or 2 (two) or more Authorised Signatories with joint representation rights and shall specify the Disbursement Account to which disbursement of the Tranche should be made in accordance with Article </w:t>
      </w:r>
      <w:hyperlink w:anchor="page355">
        <w:r>
          <w:rPr>
            <w:rFonts w:ascii="Arial" w:cs="Arial" w:eastAsia="Arial" w:hAnsi="Arial"/>
            <w:sz w:val="13"/>
            <w:szCs w:val="13"/>
            <w:u w:val="single" w:color="auto"/>
            <w:color w:val="0000EE"/>
          </w:rPr>
          <w:t>2.3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Disbursement Account</w:t>
      </w:r>
      <w:r>
        <w:rPr>
          <w:rFonts w:ascii="Arial" w:cs="Arial" w:eastAsia="Arial" w:hAnsi="Arial"/>
          <w:sz w:val="13"/>
          <w:szCs w:val="13"/>
          <w:color w:val="auto"/>
        </w:rPr>
        <w:t>).</w:t>
      </w:r>
    </w:p>
    <w:p>
      <w:pPr>
        <w:spacing w:after="0" w:line="66" w:lineRule="exact"/>
        <w:rPr>
          <w:rFonts w:ascii="Arial" w:cs="Arial" w:eastAsia="Arial" w:hAnsi="Arial"/>
          <w:sz w:val="13"/>
          <w:szCs w:val="13"/>
          <w:color w:val="auto"/>
        </w:rPr>
      </w:pPr>
    </w:p>
    <w:p>
      <w:pPr>
        <w:ind w:left="1820" w:right="320" w:hanging="670"/>
        <w:spacing w:after="0" w:line="249" w:lineRule="auto"/>
        <w:tabs>
          <w:tab w:leader="none" w:pos="1820" w:val="left"/>
        </w:tabs>
        <w:numPr>
          <w:ilvl w:val="0"/>
          <w:numId w:val="386"/>
        </w:numPr>
        <w:rPr>
          <w:rFonts w:ascii="Arial" w:cs="Arial" w:eastAsia="Arial" w:hAnsi="Arial"/>
          <w:sz w:val="13"/>
          <w:szCs w:val="13"/>
          <w:color w:val="auto"/>
        </w:rPr>
      </w:pPr>
      <w:r>
        <w:rPr>
          <w:rFonts w:ascii="Arial" w:cs="Arial" w:eastAsia="Arial" w:hAnsi="Arial"/>
          <w:sz w:val="13"/>
          <w:szCs w:val="13"/>
          <w:color w:val="auto"/>
        </w:rPr>
        <w:t xml:space="preserve">If a Disbursement Offer is duly accepted by the Borrower in accordance with its terms on or before the Disbursement Acceptance Deadline, and provided the conditions in Article </w:t>
      </w:r>
      <w:r>
        <w:rPr>
          <w:rFonts w:ascii="Arial" w:cs="Arial" w:eastAsia="Arial" w:hAnsi="Arial"/>
          <w:sz w:val="13"/>
          <w:szCs w:val="13"/>
          <w:u w:val="single" w:color="auto"/>
          <w:color w:val="0000EE"/>
        </w:rPr>
        <w:t>2.5.4</w:t>
      </w:r>
      <w:r>
        <w:rPr>
          <w:rFonts w:ascii="Arial" w:cs="Arial" w:eastAsia="Arial" w:hAnsi="Arial"/>
          <w:sz w:val="13"/>
          <w:szCs w:val="13"/>
          <w:color w:val="auto"/>
        </w:rPr>
        <w:t xml:space="preserve"> (</w:t>
      </w:r>
      <w:r>
        <w:rPr>
          <w:rFonts w:ascii="Arial" w:cs="Arial" w:eastAsia="Arial" w:hAnsi="Arial"/>
          <w:sz w:val="13"/>
          <w:szCs w:val="13"/>
          <w:i w:val="1"/>
          <w:iCs w:val="1"/>
          <w:color w:val="auto"/>
        </w:rPr>
        <w:t>All Tranches – Other Conditions</w:t>
      </w:r>
      <w:r>
        <w:rPr>
          <w:rFonts w:ascii="Arial" w:cs="Arial" w:eastAsia="Arial" w:hAnsi="Arial"/>
          <w:sz w:val="13"/>
          <w:szCs w:val="13"/>
          <w:color w:val="auto"/>
        </w:rPr>
        <w:t>) are met, the Bank shall make the Accepted Tranche available to the Borrower in accordance with the relevant Disbursement Offer and subject to the terms and conditions of this Contract.</w:t>
      </w:r>
    </w:p>
    <w:p>
      <w:pPr>
        <w:spacing w:after="0" w:line="64" w:lineRule="exact"/>
        <w:rPr>
          <w:rFonts w:ascii="Arial" w:cs="Arial" w:eastAsia="Arial" w:hAnsi="Arial"/>
          <w:sz w:val="13"/>
          <w:szCs w:val="13"/>
          <w:color w:val="auto"/>
        </w:rPr>
      </w:pPr>
    </w:p>
    <w:p>
      <w:pPr>
        <w:ind w:left="1820" w:right="180" w:hanging="670"/>
        <w:spacing w:after="0" w:line="252" w:lineRule="auto"/>
        <w:tabs>
          <w:tab w:leader="none" w:pos="1820" w:val="left"/>
        </w:tabs>
        <w:numPr>
          <w:ilvl w:val="0"/>
          <w:numId w:val="386"/>
        </w:numPr>
        <w:rPr>
          <w:rFonts w:ascii="Arial" w:cs="Arial" w:eastAsia="Arial" w:hAnsi="Arial"/>
          <w:sz w:val="13"/>
          <w:szCs w:val="13"/>
          <w:color w:val="auto"/>
        </w:rPr>
      </w:pPr>
      <w:r>
        <w:rPr>
          <w:rFonts w:ascii="Arial" w:cs="Arial" w:eastAsia="Arial" w:hAnsi="Arial"/>
          <w:sz w:val="13"/>
          <w:szCs w:val="13"/>
          <w:color w:val="auto"/>
        </w:rPr>
        <w:t>The Borrower shall be deemed to have refused any Disbursement Offer which has not been duly accepted in accordance with its terms on or before the Disbursement Acceptance Deadline, in which case the Tranche shall not be made available to the Borrower by the Bank, and the Credit shall not be affected.</w:t>
      </w:r>
    </w:p>
    <w:p>
      <w:pPr>
        <w:spacing w:after="0" w:line="28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2.3</w:t>
      </w:r>
      <w:r>
        <w:rPr>
          <w:sz w:val="20"/>
          <w:szCs w:val="20"/>
          <w:color w:val="auto"/>
        </w:rPr>
        <w:tab/>
      </w:r>
      <w:r>
        <w:rPr>
          <w:rFonts w:ascii="Arial" w:cs="Arial" w:eastAsia="Arial" w:hAnsi="Arial"/>
          <w:sz w:val="13"/>
          <w:szCs w:val="13"/>
          <w:b w:val="1"/>
          <w:bCs w:val="1"/>
          <w:u w:val="single" w:color="auto"/>
          <w:color w:val="auto"/>
        </w:rPr>
        <w:t>Disbursement Account</w:t>
      </w:r>
    </w:p>
    <w:p>
      <w:pPr>
        <w:spacing w:after="0" w:line="126" w:lineRule="exact"/>
        <w:rPr>
          <w:sz w:val="20"/>
          <w:szCs w:val="20"/>
          <w:color w:val="auto"/>
        </w:rPr>
      </w:pPr>
    </w:p>
    <w:p>
      <w:pPr>
        <w:ind w:left="1820" w:right="240" w:hanging="670"/>
        <w:spacing w:after="0" w:line="258" w:lineRule="auto"/>
        <w:tabs>
          <w:tab w:leader="none" w:pos="1820" w:val="left"/>
        </w:tabs>
        <w:numPr>
          <w:ilvl w:val="0"/>
          <w:numId w:val="387"/>
        </w:numPr>
        <w:rPr>
          <w:rFonts w:ascii="Arial" w:cs="Arial" w:eastAsia="Arial" w:hAnsi="Arial"/>
          <w:sz w:val="13"/>
          <w:szCs w:val="13"/>
          <w:color w:val="auto"/>
        </w:rPr>
      </w:pPr>
      <w:r>
        <w:rPr>
          <w:rFonts w:ascii="Arial" w:cs="Arial" w:eastAsia="Arial" w:hAnsi="Arial"/>
          <w:sz w:val="13"/>
          <w:szCs w:val="13"/>
          <w:color w:val="auto"/>
        </w:rPr>
        <w:t>Disbursement shall be made to the Disbursement Account specified in the relevant Disbursement Acceptance, provided that such Disbursement Account is acceptable to the Bank in accordance with Article 6.2(d) (</w:t>
      </w:r>
      <w:r>
        <w:rPr>
          <w:rFonts w:ascii="Arial" w:cs="Arial" w:eastAsia="Arial" w:hAnsi="Arial"/>
          <w:sz w:val="13"/>
          <w:szCs w:val="13"/>
          <w:i w:val="1"/>
          <w:iCs w:val="1"/>
          <w:color w:val="auto"/>
        </w:rPr>
        <w:t>Time and place of payment</w:t>
      </w:r>
      <w:r>
        <w:rPr>
          <w:rFonts w:ascii="Arial" w:cs="Arial" w:eastAsia="Arial" w:hAnsi="Arial"/>
          <w:sz w:val="13"/>
          <w:szCs w:val="13"/>
          <w:color w:val="auto"/>
        </w:rPr>
        <w:t>).</w:t>
      </w:r>
    </w:p>
    <w:p>
      <w:pPr>
        <w:spacing w:after="0" w:line="58" w:lineRule="exact"/>
        <w:rPr>
          <w:rFonts w:ascii="Arial" w:cs="Arial" w:eastAsia="Arial" w:hAnsi="Arial"/>
          <w:sz w:val="13"/>
          <w:szCs w:val="13"/>
          <w:color w:val="auto"/>
        </w:rPr>
      </w:pPr>
    </w:p>
    <w:p>
      <w:pPr>
        <w:ind w:left="1820" w:hanging="670"/>
        <w:spacing w:after="0"/>
        <w:tabs>
          <w:tab w:leader="none" w:pos="1820" w:val="left"/>
        </w:tabs>
        <w:numPr>
          <w:ilvl w:val="0"/>
          <w:numId w:val="387"/>
        </w:numPr>
        <w:rPr>
          <w:rFonts w:ascii="Arial" w:cs="Arial" w:eastAsia="Arial" w:hAnsi="Arial"/>
          <w:sz w:val="13"/>
          <w:szCs w:val="13"/>
          <w:color w:val="auto"/>
        </w:rPr>
      </w:pPr>
      <w:r>
        <w:rPr>
          <w:rFonts w:ascii="Arial" w:cs="Arial" w:eastAsia="Arial" w:hAnsi="Arial"/>
          <w:sz w:val="13"/>
          <w:szCs w:val="13"/>
          <w:color w:val="auto"/>
        </w:rPr>
        <w:t>Only one Disbursement Account may be specified for each Tranche.</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b w:val="1"/>
                <w:bCs w:val="1"/>
                <w:color w:val="auto"/>
              </w:rPr>
              <w:t>2.4</w:t>
            </w:r>
          </w:p>
        </w:tc>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Currency of disbursement</w:t>
            </w:r>
          </w:p>
        </w:tc>
        <w:tc>
          <w:tcPr>
            <w:tcW w:w="3800" w:type="dxa"/>
            <w:vAlign w:val="bottom"/>
            <w:gridSpan w:val="2"/>
          </w:tcPr>
          <w:p>
            <w:pPr>
              <w:spacing w:after="0"/>
              <w:rPr>
                <w:sz w:val="13"/>
                <w:szCs w:val="13"/>
                <w:color w:val="auto"/>
              </w:rPr>
            </w:pPr>
          </w:p>
        </w:tc>
        <w:tc>
          <w:tcPr>
            <w:tcW w:w="4560" w:type="dxa"/>
            <w:vAlign w:val="bottom"/>
          </w:tcPr>
          <w:p>
            <w:pPr>
              <w:spacing w:after="0"/>
              <w:rPr>
                <w:sz w:val="13"/>
                <w:szCs w:val="13"/>
                <w:color w:val="auto"/>
              </w:rPr>
            </w:pPr>
          </w:p>
        </w:tc>
      </w:tr>
      <w:tr>
        <w:trPr>
          <w:trHeight w:val="270"/>
        </w:trPr>
        <w:tc>
          <w:tcPr>
            <w:tcW w:w="1020" w:type="dxa"/>
            <w:vAlign w:val="bottom"/>
          </w:tcPr>
          <w:p>
            <w:pPr>
              <w:spacing w:after="0"/>
              <w:rPr>
                <w:sz w:val="23"/>
                <w:szCs w:val="23"/>
                <w:color w:val="auto"/>
              </w:rPr>
            </w:pPr>
          </w:p>
        </w:tc>
        <w:tc>
          <w:tcPr>
            <w:tcW w:w="5440" w:type="dxa"/>
            <w:vAlign w:val="bottom"/>
            <w:gridSpan w:val="3"/>
          </w:tcPr>
          <w:p>
            <w:pPr>
              <w:ind w:left="20"/>
              <w:spacing w:after="0"/>
              <w:rPr>
                <w:sz w:val="20"/>
                <w:szCs w:val="20"/>
                <w:color w:val="auto"/>
              </w:rPr>
            </w:pPr>
            <w:r>
              <w:rPr>
                <w:rFonts w:ascii="Arial" w:cs="Arial" w:eastAsia="Arial" w:hAnsi="Arial"/>
                <w:sz w:val="13"/>
                <w:szCs w:val="13"/>
                <w:color w:val="auto"/>
              </w:rPr>
              <w:t>The Bank shall disburse each Tranche in EUR.</w:t>
            </w:r>
          </w:p>
        </w:tc>
        <w:tc>
          <w:tcPr>
            <w:tcW w:w="4560" w:type="dxa"/>
            <w:vAlign w:val="bottom"/>
          </w:tcPr>
          <w:p>
            <w:pPr>
              <w:spacing w:after="0"/>
              <w:rPr>
                <w:sz w:val="23"/>
                <w:szCs w:val="23"/>
                <w:color w:val="auto"/>
              </w:rPr>
            </w:pPr>
          </w:p>
        </w:tc>
      </w:tr>
      <w:tr>
        <w:trPr>
          <w:trHeight w:val="280"/>
        </w:trPr>
        <w:tc>
          <w:tcPr>
            <w:tcW w:w="1020" w:type="dxa"/>
            <w:vAlign w:val="bottom"/>
          </w:tcPr>
          <w:p>
            <w:pPr>
              <w:spacing w:after="0"/>
              <w:rPr>
                <w:sz w:val="20"/>
                <w:szCs w:val="20"/>
                <w:color w:val="auto"/>
              </w:rPr>
            </w:pPr>
            <w:r>
              <w:rPr>
                <w:rFonts w:ascii="Arial" w:cs="Arial" w:eastAsia="Arial" w:hAnsi="Arial"/>
                <w:sz w:val="13"/>
                <w:szCs w:val="13"/>
                <w:b w:val="1"/>
                <w:bCs w:val="1"/>
                <w:color w:val="auto"/>
              </w:rPr>
              <w:t>2.5</w:t>
            </w: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9"/>
              </w:rPr>
              <w:t>Conditions of Disbursement</w:t>
            </w:r>
          </w:p>
        </w:tc>
        <w:tc>
          <w:tcPr>
            <w:tcW w:w="36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2.5.1</w:t>
            </w:r>
          </w:p>
        </w:tc>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Initial Documentary Conditions Precedent</w:t>
            </w:r>
          </w:p>
        </w:tc>
        <w:tc>
          <w:tcPr>
            <w:tcW w:w="4560" w:type="dxa"/>
            <w:vAlign w:val="bottom"/>
          </w:tcPr>
          <w:p>
            <w:pPr>
              <w:spacing w:after="0"/>
              <w:rPr>
                <w:sz w:val="23"/>
                <w:szCs w:val="23"/>
                <w:color w:val="auto"/>
              </w:rPr>
            </w:pPr>
          </w:p>
        </w:tc>
      </w:tr>
      <w:tr>
        <w:trPr>
          <w:trHeight w:val="205"/>
        </w:trPr>
        <w:tc>
          <w:tcPr>
            <w:tcW w:w="1020" w:type="dxa"/>
            <w:vAlign w:val="bottom"/>
          </w:tcPr>
          <w:p>
            <w:pPr>
              <w:spacing w:after="0"/>
              <w:rPr>
                <w:sz w:val="17"/>
                <w:szCs w:val="17"/>
                <w:color w:val="auto"/>
              </w:rPr>
            </w:pPr>
          </w:p>
        </w:tc>
        <w:tc>
          <w:tcPr>
            <w:tcW w:w="5440" w:type="dxa"/>
            <w:vAlign w:val="bottom"/>
            <w:gridSpan w:val="3"/>
          </w:tcPr>
          <w:p>
            <w:pPr>
              <w:ind w:left="20"/>
              <w:spacing w:after="0"/>
              <w:rPr>
                <w:sz w:val="20"/>
                <w:szCs w:val="20"/>
                <w:color w:val="auto"/>
              </w:rPr>
            </w:pPr>
            <w:r>
              <w:rPr>
                <w:rFonts w:ascii="Arial" w:cs="Arial" w:eastAsia="Arial" w:hAnsi="Arial"/>
                <w:sz w:val="13"/>
                <w:szCs w:val="13"/>
                <w:color w:val="auto"/>
              </w:rPr>
              <w:t>Without prejudice to Article 2.5.2 below, no Disbursement Offer will be provided by the Bank</w:t>
            </w:r>
          </w:p>
        </w:tc>
        <w:tc>
          <w:tcPr>
            <w:tcW w:w="4560" w:type="dxa"/>
            <w:vAlign w:val="bottom"/>
          </w:tcPr>
          <w:p>
            <w:pPr>
              <w:jc w:val="right"/>
              <w:spacing w:after="0"/>
              <w:rPr>
                <w:sz w:val="20"/>
                <w:szCs w:val="20"/>
                <w:color w:val="auto"/>
              </w:rPr>
            </w:pPr>
            <w:r>
              <w:rPr>
                <w:rFonts w:ascii="Arial" w:cs="Arial" w:eastAsia="Arial" w:hAnsi="Arial"/>
                <w:sz w:val="13"/>
                <w:szCs w:val="13"/>
                <w:color w:val="auto"/>
              </w:rPr>
              <w:t>under this Contract unless the Bank has received all of the documents and</w:t>
            </w:r>
          </w:p>
        </w:tc>
      </w:tr>
      <w:tr>
        <w:trPr>
          <w:trHeight w:val="164"/>
        </w:trPr>
        <w:tc>
          <w:tcPr>
            <w:tcW w:w="1020" w:type="dxa"/>
            <w:vAlign w:val="bottom"/>
          </w:tcPr>
          <w:p>
            <w:pPr>
              <w:spacing w:after="0"/>
              <w:rPr>
                <w:sz w:val="14"/>
                <w:szCs w:val="14"/>
                <w:color w:val="auto"/>
              </w:rPr>
            </w:pPr>
          </w:p>
        </w:tc>
        <w:tc>
          <w:tcPr>
            <w:tcW w:w="10000" w:type="dxa"/>
            <w:vAlign w:val="bottom"/>
            <w:gridSpan w:val="4"/>
          </w:tcPr>
          <w:p>
            <w:pPr>
              <w:ind w:left="20"/>
              <w:spacing w:after="0"/>
              <w:rPr>
                <w:sz w:val="20"/>
                <w:szCs w:val="20"/>
                <w:color w:val="auto"/>
              </w:rPr>
            </w:pPr>
            <w:r>
              <w:rPr>
                <w:rFonts w:ascii="Arial" w:cs="Arial" w:eastAsia="Arial" w:hAnsi="Arial"/>
                <w:sz w:val="13"/>
                <w:szCs w:val="13"/>
                <w:color w:val="auto"/>
              </w:rPr>
              <w:t>other evidence listed in Schedule F, Part A (</w:t>
            </w:r>
            <w:r>
              <w:rPr>
                <w:rFonts w:ascii="Arial" w:cs="Arial" w:eastAsia="Arial" w:hAnsi="Arial"/>
                <w:sz w:val="13"/>
                <w:szCs w:val="13"/>
                <w:i w:val="1"/>
                <w:iCs w:val="1"/>
                <w:color w:val="auto"/>
              </w:rPr>
              <w:t>Initial Documentary Conditions Precedent and Credit A Conditions Precedents</w:t>
            </w:r>
            <w:r>
              <w:rPr>
                <w:rFonts w:ascii="Arial" w:cs="Arial" w:eastAsia="Arial" w:hAnsi="Arial"/>
                <w:sz w:val="13"/>
                <w:szCs w:val="13"/>
                <w:color w:val="auto"/>
              </w:rPr>
              <w:t>) in agreed form or otherwise in form and</w:t>
            </w:r>
          </w:p>
        </w:tc>
      </w:tr>
      <w:tr>
        <w:trPr>
          <w:trHeight w:val="161"/>
        </w:trPr>
        <w:tc>
          <w:tcPr>
            <w:tcW w:w="1020" w:type="dxa"/>
            <w:vAlign w:val="bottom"/>
          </w:tcPr>
          <w:p>
            <w:pPr>
              <w:spacing w:after="0"/>
              <w:rPr>
                <w:sz w:val="13"/>
                <w:szCs w:val="13"/>
                <w:color w:val="auto"/>
              </w:rPr>
            </w:pPr>
          </w:p>
        </w:tc>
        <w:tc>
          <w:tcPr>
            <w:tcW w:w="5440" w:type="dxa"/>
            <w:vAlign w:val="bottom"/>
            <w:gridSpan w:val="3"/>
          </w:tcPr>
          <w:p>
            <w:pPr>
              <w:ind w:left="20"/>
              <w:spacing w:after="0"/>
              <w:rPr>
                <w:sz w:val="20"/>
                <w:szCs w:val="20"/>
                <w:color w:val="auto"/>
              </w:rPr>
            </w:pPr>
            <w:r>
              <w:rPr>
                <w:rFonts w:ascii="Arial" w:cs="Arial" w:eastAsia="Arial" w:hAnsi="Arial"/>
                <w:sz w:val="13"/>
                <w:szCs w:val="13"/>
                <w:color w:val="auto"/>
              </w:rPr>
              <w:t>substance satisfactory to the  Bank, including the Credit A Milestone Events.</w:t>
            </w:r>
          </w:p>
        </w:tc>
        <w:tc>
          <w:tcPr>
            <w:tcW w:w="4560" w:type="dxa"/>
            <w:vAlign w:val="bottom"/>
          </w:tcPr>
          <w:p>
            <w:pPr>
              <w:spacing w:after="0"/>
              <w:rPr>
                <w:sz w:val="13"/>
                <w:szCs w:val="13"/>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2.5.2</w:t>
            </w:r>
          </w:p>
        </w:tc>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Credit B – Further Conditions Precedent</w:t>
            </w:r>
          </w:p>
        </w:tc>
        <w:tc>
          <w:tcPr>
            <w:tcW w:w="4560" w:type="dxa"/>
            <w:vAlign w:val="bottom"/>
          </w:tcPr>
          <w:p>
            <w:pPr>
              <w:spacing w:after="0"/>
              <w:rPr>
                <w:sz w:val="23"/>
                <w:szCs w:val="23"/>
                <w:color w:val="auto"/>
              </w:rPr>
            </w:pPr>
          </w:p>
        </w:tc>
      </w:tr>
      <w:tr>
        <w:trPr>
          <w:trHeight w:val="205"/>
        </w:trPr>
        <w:tc>
          <w:tcPr>
            <w:tcW w:w="1020" w:type="dxa"/>
            <w:vAlign w:val="bottom"/>
          </w:tcPr>
          <w:p>
            <w:pPr>
              <w:spacing w:after="0"/>
              <w:rPr>
                <w:sz w:val="17"/>
                <w:szCs w:val="17"/>
                <w:color w:val="auto"/>
              </w:rPr>
            </w:pPr>
          </w:p>
        </w:tc>
        <w:tc>
          <w:tcPr>
            <w:tcW w:w="5440" w:type="dxa"/>
            <w:vAlign w:val="bottom"/>
            <w:gridSpan w:val="3"/>
          </w:tcPr>
          <w:p>
            <w:pPr>
              <w:ind w:left="20"/>
              <w:spacing w:after="0"/>
              <w:rPr>
                <w:sz w:val="20"/>
                <w:szCs w:val="20"/>
                <w:color w:val="auto"/>
              </w:rPr>
            </w:pPr>
            <w:r>
              <w:rPr>
                <w:rFonts w:ascii="Arial" w:cs="Arial" w:eastAsia="Arial" w:hAnsi="Arial"/>
                <w:sz w:val="13"/>
                <w:szCs w:val="13"/>
                <w:color w:val="auto"/>
              </w:rPr>
              <w:t>No Disbursement Offer will be provided by the Bank under this Contract in relation to</w:t>
            </w:r>
          </w:p>
        </w:tc>
        <w:tc>
          <w:tcPr>
            <w:tcW w:w="4560" w:type="dxa"/>
            <w:vAlign w:val="bottom"/>
          </w:tcPr>
          <w:p>
            <w:pPr>
              <w:jc w:val="right"/>
              <w:spacing w:after="0"/>
              <w:rPr>
                <w:sz w:val="20"/>
                <w:szCs w:val="20"/>
                <w:color w:val="auto"/>
              </w:rPr>
            </w:pPr>
            <w:r>
              <w:rPr>
                <w:rFonts w:ascii="Arial" w:cs="Arial" w:eastAsia="Arial" w:hAnsi="Arial"/>
                <w:sz w:val="13"/>
                <w:szCs w:val="13"/>
                <w:color w:val="auto"/>
              </w:rPr>
              <w:t>Credit B unless the Bank has received all of the additional documents and</w:t>
            </w:r>
          </w:p>
        </w:tc>
      </w:tr>
      <w:tr>
        <w:trPr>
          <w:trHeight w:val="164"/>
        </w:trPr>
        <w:tc>
          <w:tcPr>
            <w:tcW w:w="1020" w:type="dxa"/>
            <w:vAlign w:val="bottom"/>
          </w:tcPr>
          <w:p>
            <w:pPr>
              <w:spacing w:after="0"/>
              <w:rPr>
                <w:sz w:val="14"/>
                <w:szCs w:val="14"/>
                <w:color w:val="auto"/>
              </w:rPr>
            </w:pPr>
          </w:p>
        </w:tc>
        <w:tc>
          <w:tcPr>
            <w:tcW w:w="10000" w:type="dxa"/>
            <w:vAlign w:val="bottom"/>
            <w:gridSpan w:val="4"/>
          </w:tcPr>
          <w:p>
            <w:pPr>
              <w:ind w:left="20"/>
              <w:spacing w:after="0"/>
              <w:rPr>
                <w:sz w:val="20"/>
                <w:szCs w:val="20"/>
                <w:color w:val="auto"/>
              </w:rPr>
            </w:pPr>
            <w:r>
              <w:rPr>
                <w:rFonts w:ascii="Arial" w:cs="Arial" w:eastAsia="Arial" w:hAnsi="Arial"/>
                <w:sz w:val="13"/>
                <w:szCs w:val="13"/>
                <w:color w:val="auto"/>
              </w:rPr>
              <w:t>other evidence listed in Schedule F, Part B (</w:t>
            </w:r>
            <w:r>
              <w:rPr>
                <w:rFonts w:ascii="Arial" w:cs="Arial" w:eastAsia="Arial" w:hAnsi="Arial"/>
                <w:sz w:val="13"/>
                <w:szCs w:val="13"/>
                <w:i w:val="1"/>
                <w:iCs w:val="1"/>
                <w:color w:val="auto"/>
              </w:rPr>
              <w:t>Credit B – Conditions Precedent</w:t>
            </w:r>
            <w:r>
              <w:rPr>
                <w:rFonts w:ascii="Arial" w:cs="Arial" w:eastAsia="Arial" w:hAnsi="Arial"/>
                <w:sz w:val="13"/>
                <w:szCs w:val="13"/>
                <w:color w:val="auto"/>
              </w:rPr>
              <w:t>) in agreed form or otherwise in form and substance satisfactory to the Bank, including the</w:t>
            </w:r>
          </w:p>
        </w:tc>
      </w:tr>
      <w:tr>
        <w:trPr>
          <w:trHeight w:val="161"/>
        </w:trPr>
        <w:tc>
          <w:tcPr>
            <w:tcW w:w="1020" w:type="dxa"/>
            <w:vAlign w:val="bottom"/>
          </w:tcPr>
          <w:p>
            <w:pPr>
              <w:spacing w:after="0"/>
              <w:rPr>
                <w:sz w:val="13"/>
                <w:szCs w:val="13"/>
                <w:color w:val="auto"/>
              </w:rPr>
            </w:pPr>
          </w:p>
        </w:tc>
        <w:tc>
          <w:tcPr>
            <w:tcW w:w="5440" w:type="dxa"/>
            <w:vAlign w:val="bottom"/>
            <w:gridSpan w:val="3"/>
          </w:tcPr>
          <w:p>
            <w:pPr>
              <w:ind w:left="20"/>
              <w:spacing w:after="0"/>
              <w:rPr>
                <w:sz w:val="20"/>
                <w:szCs w:val="20"/>
                <w:color w:val="auto"/>
              </w:rPr>
            </w:pPr>
            <w:r>
              <w:rPr>
                <w:rFonts w:ascii="Arial" w:cs="Arial" w:eastAsia="Arial" w:hAnsi="Arial"/>
                <w:sz w:val="13"/>
                <w:szCs w:val="13"/>
                <w:color w:val="auto"/>
              </w:rPr>
              <w:t>Credit B Milestone Events.</w:t>
            </w:r>
          </w:p>
        </w:tc>
        <w:tc>
          <w:tcPr>
            <w:tcW w:w="4560" w:type="dxa"/>
            <w:vAlign w:val="bottom"/>
          </w:tcPr>
          <w:p>
            <w:pPr>
              <w:spacing w:after="0"/>
              <w:rPr>
                <w:sz w:val="13"/>
                <w:szCs w:val="13"/>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2.5.3</w:t>
            </w:r>
          </w:p>
        </w:tc>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All Tranches - Documentary Conditions Precedent</w:t>
            </w:r>
          </w:p>
        </w:tc>
        <w:tc>
          <w:tcPr>
            <w:tcW w:w="4560" w:type="dxa"/>
            <w:vAlign w:val="bottom"/>
          </w:tcPr>
          <w:p>
            <w:pPr>
              <w:spacing w:after="0"/>
              <w:rPr>
                <w:sz w:val="23"/>
                <w:szCs w:val="23"/>
                <w:color w:val="auto"/>
              </w:rPr>
            </w:pPr>
          </w:p>
        </w:tc>
      </w:tr>
      <w:tr>
        <w:trPr>
          <w:trHeight w:val="219"/>
        </w:trPr>
        <w:tc>
          <w:tcPr>
            <w:tcW w:w="1020" w:type="dxa"/>
            <w:vAlign w:val="bottom"/>
          </w:tcPr>
          <w:p>
            <w:pPr>
              <w:spacing w:after="0"/>
              <w:rPr>
                <w:sz w:val="19"/>
                <w:szCs w:val="19"/>
                <w:color w:val="auto"/>
              </w:rPr>
            </w:pPr>
          </w:p>
        </w:tc>
        <w:tc>
          <w:tcPr>
            <w:tcW w:w="10000" w:type="dxa"/>
            <w:vAlign w:val="bottom"/>
            <w:gridSpan w:val="4"/>
          </w:tcPr>
          <w:p>
            <w:pPr>
              <w:ind w:left="20"/>
              <w:spacing w:after="0"/>
              <w:rPr>
                <w:sz w:val="20"/>
                <w:szCs w:val="20"/>
                <w:color w:val="auto"/>
              </w:rPr>
            </w:pPr>
            <w:r>
              <w:rPr>
                <w:rFonts w:ascii="Arial" w:cs="Arial" w:eastAsia="Arial" w:hAnsi="Arial"/>
                <w:sz w:val="13"/>
                <w:szCs w:val="13"/>
                <w:color w:val="auto"/>
              </w:rPr>
              <w:t>No Disbursement Offer, including the first Disbursement Offer, will be provided by the Bank under this Contract unless the Bank has confirmed that it has received, in</w:t>
            </w:r>
          </w:p>
        </w:tc>
      </w:tr>
      <w:tr>
        <w:trPr>
          <w:trHeight w:val="161"/>
        </w:trPr>
        <w:tc>
          <w:tcPr>
            <w:tcW w:w="1020" w:type="dxa"/>
            <w:vAlign w:val="bottom"/>
          </w:tcPr>
          <w:p>
            <w:pPr>
              <w:spacing w:after="0"/>
              <w:rPr>
                <w:sz w:val="13"/>
                <w:szCs w:val="13"/>
                <w:color w:val="auto"/>
              </w:rPr>
            </w:pPr>
          </w:p>
        </w:tc>
        <w:tc>
          <w:tcPr>
            <w:tcW w:w="5440" w:type="dxa"/>
            <w:vAlign w:val="bottom"/>
            <w:gridSpan w:val="3"/>
          </w:tcPr>
          <w:p>
            <w:pPr>
              <w:ind w:left="20"/>
              <w:spacing w:after="0"/>
              <w:rPr>
                <w:sz w:val="20"/>
                <w:szCs w:val="20"/>
                <w:color w:val="auto"/>
              </w:rPr>
            </w:pPr>
            <w:r>
              <w:rPr>
                <w:rFonts w:ascii="Arial" w:cs="Arial" w:eastAsia="Arial" w:hAnsi="Arial"/>
                <w:sz w:val="13"/>
                <w:szCs w:val="13"/>
                <w:color w:val="auto"/>
              </w:rPr>
              <w:t>form and substance satisfactory to it:</w:t>
            </w:r>
          </w:p>
        </w:tc>
        <w:tc>
          <w:tcPr>
            <w:tcW w:w="4560" w:type="dxa"/>
            <w:vAlign w:val="bottom"/>
          </w:tcPr>
          <w:p>
            <w:pPr>
              <w:spacing w:after="0"/>
              <w:rPr>
                <w:sz w:val="13"/>
                <w:szCs w:val="13"/>
                <w:color w:val="auto"/>
              </w:rPr>
            </w:pPr>
          </w:p>
        </w:tc>
      </w:tr>
    </w:tbl>
    <w:p>
      <w:pPr>
        <w:spacing w:after="0" w:line="45" w:lineRule="exact"/>
        <w:rPr>
          <w:sz w:val="20"/>
          <w:szCs w:val="20"/>
          <w:color w:val="auto"/>
        </w:rPr>
      </w:pPr>
    </w:p>
    <w:p>
      <w:pPr>
        <w:ind w:left="1820" w:hanging="670"/>
        <w:spacing w:after="0"/>
        <w:tabs>
          <w:tab w:leader="none" w:pos="1820" w:val="left"/>
        </w:tabs>
        <w:numPr>
          <w:ilvl w:val="0"/>
          <w:numId w:val="388"/>
        </w:numPr>
        <w:rPr>
          <w:rFonts w:ascii="Arial" w:cs="Arial" w:eastAsia="Arial" w:hAnsi="Arial"/>
          <w:sz w:val="13"/>
          <w:szCs w:val="13"/>
          <w:color w:val="auto"/>
        </w:rPr>
      </w:pPr>
      <w:r>
        <w:rPr>
          <w:rFonts w:ascii="Arial" w:cs="Arial" w:eastAsia="Arial" w:hAnsi="Arial"/>
          <w:sz w:val="13"/>
          <w:szCs w:val="13"/>
          <w:color w:val="auto"/>
        </w:rPr>
        <w:t xml:space="preserve">a certificate from the Borrower in the form of </w:t>
      </w:r>
      <w:hyperlink w:anchor="page379">
        <w:r>
          <w:rPr>
            <w:rFonts w:ascii="Arial" w:cs="Arial" w:eastAsia="Arial" w:hAnsi="Arial"/>
            <w:sz w:val="13"/>
            <w:szCs w:val="13"/>
            <w:u w:val="single" w:color="auto"/>
            <w:color w:val="0000EE"/>
          </w:rPr>
          <w:t>Schedule D</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Form of Drawdown Certificate</w:t>
      </w:r>
      <w:r>
        <w:rPr>
          <w:rFonts w:ascii="Arial" w:cs="Arial" w:eastAsia="Arial" w:hAnsi="Arial"/>
          <w:sz w:val="13"/>
          <w:szCs w:val="13"/>
          <w:color w:val="auto"/>
        </w:rPr>
        <w:t>), signed by an Authorised Signatory of the Borrower and dated no</w:t>
      </w:r>
    </w:p>
    <w:p>
      <w:pPr>
        <w:spacing w:after="0" w:line="14" w:lineRule="exact"/>
        <w:rPr>
          <w:sz w:val="20"/>
          <w:szCs w:val="20"/>
          <w:color w:val="auto"/>
        </w:rPr>
      </w:pPr>
    </w:p>
    <w:p>
      <w:pPr>
        <w:ind w:left="1820"/>
        <w:spacing w:after="0"/>
        <w:rPr>
          <w:sz w:val="20"/>
          <w:szCs w:val="20"/>
          <w:color w:val="auto"/>
        </w:rPr>
      </w:pPr>
      <w:r>
        <w:rPr>
          <w:rFonts w:ascii="Arial" w:cs="Arial" w:eastAsia="Arial" w:hAnsi="Arial"/>
          <w:sz w:val="13"/>
          <w:szCs w:val="13"/>
          <w:color w:val="auto"/>
        </w:rPr>
        <w:t>earlier  than the date falling 14 (fourteen) days before the respective Disbursement Date; and</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55" w:name="page356"/>
    <w:bookmarkEnd w:id="355"/>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820" w:hanging="670"/>
        <w:spacing w:after="0"/>
        <w:tabs>
          <w:tab w:leader="none" w:pos="1820" w:val="left"/>
        </w:tabs>
        <w:numPr>
          <w:ilvl w:val="0"/>
          <w:numId w:val="389"/>
        </w:numPr>
        <w:rPr>
          <w:rFonts w:ascii="Arial" w:cs="Arial" w:eastAsia="Arial" w:hAnsi="Arial"/>
          <w:sz w:val="13"/>
          <w:szCs w:val="13"/>
          <w:color w:val="auto"/>
        </w:rPr>
      </w:pPr>
      <w:r>
        <w:rPr>
          <w:rFonts w:ascii="Arial" w:cs="Arial" w:eastAsia="Arial" w:hAnsi="Arial"/>
          <w:sz w:val="13"/>
          <w:szCs w:val="13"/>
          <w:color w:val="auto"/>
        </w:rPr>
        <w:t>a certificate (signed by one or more Authorised Signatories of the Borrower as appropriate) from the Borrower which confirms that the Borrower has</w:t>
      </w:r>
    </w:p>
    <w:tbl>
      <w:tblPr>
        <w:tblLayout w:type="fixed"/>
        <w:tblInd w:w="120" w:type="dxa"/>
        <w:tblCellMar>
          <w:top w:w="0" w:type="dxa"/>
          <w:left w:w="0" w:type="dxa"/>
          <w:bottom w:w="0" w:type="dxa"/>
          <w:right w:w="0" w:type="dxa"/>
        </w:tblCellMar>
      </w:tblPr>
      <w:tr>
        <w:trPr>
          <w:trHeight w:val="136"/>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240"/>
              <w:spacing w:after="0" w:line="137" w:lineRule="exact"/>
              <w:rPr>
                <w:sz w:val="20"/>
                <w:szCs w:val="20"/>
                <w:color w:val="auto"/>
              </w:rPr>
            </w:pPr>
            <w:r>
              <w:rPr>
                <w:rFonts w:ascii="Arial" w:cs="Arial" w:eastAsia="Arial" w:hAnsi="Arial"/>
                <w:sz w:val="13"/>
                <w:szCs w:val="13"/>
                <w:color w:val="auto"/>
              </w:rPr>
              <w:t>sufficient</w:t>
            </w:r>
          </w:p>
        </w:tc>
        <w:tc>
          <w:tcPr>
            <w:tcW w:w="860" w:type="dxa"/>
            <w:vAlign w:val="bottom"/>
            <w:gridSpan w:val="2"/>
          </w:tcPr>
          <w:p>
            <w:pPr>
              <w:ind w:left="40"/>
              <w:spacing w:after="0" w:line="137" w:lineRule="exact"/>
              <w:rPr>
                <w:sz w:val="20"/>
                <w:szCs w:val="20"/>
                <w:color w:val="auto"/>
              </w:rPr>
            </w:pPr>
            <w:r>
              <w:rPr>
                <w:rFonts w:ascii="Arial" w:cs="Arial" w:eastAsia="Arial" w:hAnsi="Arial"/>
                <w:sz w:val="13"/>
                <w:szCs w:val="13"/>
                <w:color w:val="auto"/>
              </w:rPr>
              <w:t>resources to</w:t>
            </w:r>
          </w:p>
        </w:tc>
        <w:tc>
          <w:tcPr>
            <w:tcW w:w="3660" w:type="dxa"/>
            <w:vAlign w:val="bottom"/>
            <w:gridSpan w:val="2"/>
          </w:tcPr>
          <w:p>
            <w:pPr>
              <w:spacing w:after="0" w:line="137" w:lineRule="exact"/>
              <w:rPr>
                <w:sz w:val="20"/>
                <w:szCs w:val="20"/>
                <w:color w:val="auto"/>
              </w:rPr>
            </w:pPr>
            <w:r>
              <w:rPr>
                <w:rFonts w:ascii="Arial" w:cs="Arial" w:eastAsia="Arial" w:hAnsi="Arial"/>
                <w:sz w:val="13"/>
                <w:szCs w:val="13"/>
                <w:color w:val="auto"/>
              </w:rPr>
              <w:t>pay its debts as they fall due for at least 6 (six) months</w:t>
            </w:r>
          </w:p>
        </w:tc>
        <w:tc>
          <w:tcPr>
            <w:tcW w:w="4180" w:type="dxa"/>
            <w:vAlign w:val="bottom"/>
          </w:tcPr>
          <w:p>
            <w:pPr>
              <w:ind w:left="40"/>
              <w:spacing w:after="0" w:line="137" w:lineRule="exact"/>
              <w:rPr>
                <w:sz w:val="20"/>
                <w:szCs w:val="20"/>
                <w:color w:val="auto"/>
              </w:rPr>
            </w:pPr>
            <w:r>
              <w:rPr>
                <w:rFonts w:ascii="Arial" w:cs="Arial" w:eastAsia="Arial" w:hAnsi="Arial"/>
                <w:sz w:val="13"/>
                <w:szCs w:val="13"/>
                <w:color w:val="auto"/>
              </w:rPr>
              <w:t>from the Disbursement Date not taking into account the disbursement</w:t>
            </w:r>
          </w:p>
        </w:tc>
      </w:tr>
      <w:tr>
        <w:trPr>
          <w:trHeight w:val="164"/>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3"/>
          </w:tcPr>
          <w:p>
            <w:pPr>
              <w:ind w:left="240"/>
              <w:spacing w:after="0"/>
              <w:rPr>
                <w:sz w:val="20"/>
                <w:szCs w:val="20"/>
                <w:color w:val="auto"/>
              </w:rPr>
            </w:pPr>
            <w:r>
              <w:rPr>
                <w:rFonts w:ascii="Arial" w:cs="Arial" w:eastAsia="Arial" w:hAnsi="Arial"/>
                <w:sz w:val="13"/>
                <w:szCs w:val="13"/>
                <w:color w:val="auto"/>
              </w:rPr>
              <w:t>of the proposed Tranche</w:t>
            </w:r>
          </w:p>
        </w:tc>
        <w:tc>
          <w:tcPr>
            <w:tcW w:w="7840" w:type="dxa"/>
            <w:vAlign w:val="bottom"/>
            <w:gridSpan w:val="3"/>
          </w:tcPr>
          <w:p>
            <w:pPr>
              <w:ind w:left="80"/>
              <w:spacing w:after="0"/>
              <w:rPr>
                <w:sz w:val="20"/>
                <w:szCs w:val="20"/>
                <w:color w:val="auto"/>
              </w:rPr>
            </w:pPr>
            <w:r>
              <w:rPr>
                <w:rFonts w:ascii="Arial" w:cs="Arial" w:eastAsia="Arial" w:hAnsi="Arial"/>
                <w:sz w:val="13"/>
                <w:szCs w:val="13"/>
                <w:color w:val="auto"/>
              </w:rPr>
              <w:t>with a current extract from the commercial register (</w:t>
            </w:r>
            <w:r>
              <w:rPr>
                <w:rFonts w:ascii="Arial" w:cs="Arial" w:eastAsia="Arial" w:hAnsi="Arial"/>
                <w:sz w:val="13"/>
                <w:szCs w:val="13"/>
                <w:i w:val="1"/>
                <w:iCs w:val="1"/>
                <w:color w:val="auto"/>
              </w:rPr>
              <w:t>Handelsregisterauszug</w:t>
            </w:r>
            <w:r>
              <w:rPr>
                <w:rFonts w:ascii="Arial" w:cs="Arial" w:eastAsia="Arial" w:hAnsi="Arial"/>
                <w:sz w:val="13"/>
                <w:szCs w:val="13"/>
                <w:color w:val="auto"/>
              </w:rPr>
              <w:t>) of the  Borrower and an up-to-date search on</w:t>
            </w:r>
          </w:p>
        </w:tc>
      </w:tr>
      <w:tr>
        <w:trPr>
          <w:trHeight w:val="161"/>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340" w:type="dxa"/>
            <w:vAlign w:val="bottom"/>
            <w:gridSpan w:val="5"/>
          </w:tcPr>
          <w:p>
            <w:pPr>
              <w:ind w:left="240"/>
              <w:spacing w:after="0"/>
              <w:rPr>
                <w:sz w:val="20"/>
                <w:szCs w:val="20"/>
                <w:color w:val="auto"/>
              </w:rPr>
            </w:pPr>
            <w:r>
              <w:rPr>
                <w:rFonts w:ascii="Arial" w:cs="Arial" w:eastAsia="Arial" w:hAnsi="Arial"/>
                <w:sz w:val="13"/>
                <w:szCs w:val="13"/>
                <w:color w:val="auto"/>
              </w:rPr>
              <w:t>www.insolvenzbekanntmachungen.de in relation to the Borrower attached.</w:t>
            </w:r>
          </w:p>
        </w:tc>
        <w:tc>
          <w:tcPr>
            <w:tcW w:w="4180" w:type="dxa"/>
            <w:vAlign w:val="bottom"/>
          </w:tcPr>
          <w:p>
            <w:pPr>
              <w:spacing w:after="0"/>
              <w:rPr>
                <w:sz w:val="13"/>
                <w:szCs w:val="13"/>
                <w:color w:val="auto"/>
              </w:rPr>
            </w:pPr>
          </w:p>
        </w:tc>
      </w:tr>
      <w:tr>
        <w:trPr>
          <w:trHeight w:val="270"/>
        </w:trPr>
        <w:tc>
          <w:tcPr>
            <w:tcW w:w="660" w:type="dxa"/>
            <w:vAlign w:val="bottom"/>
          </w:tcPr>
          <w:p>
            <w:pPr>
              <w:jc w:val="right"/>
              <w:ind w:right="293"/>
              <w:spacing w:after="0"/>
              <w:rPr>
                <w:sz w:val="20"/>
                <w:szCs w:val="20"/>
                <w:color w:val="auto"/>
              </w:rPr>
            </w:pPr>
            <w:r>
              <w:rPr>
                <w:rFonts w:ascii="Arial" w:cs="Arial" w:eastAsia="Arial" w:hAnsi="Arial"/>
                <w:sz w:val="13"/>
                <w:szCs w:val="13"/>
                <w:b w:val="1"/>
                <w:bCs w:val="1"/>
                <w:color w:val="auto"/>
                <w:w w:val="96"/>
              </w:rPr>
              <w:t>2.5.4</w:t>
            </w:r>
          </w:p>
        </w:tc>
        <w:tc>
          <w:tcPr>
            <w:tcW w:w="2480" w:type="dxa"/>
            <w:vAlign w:val="bottom"/>
            <w:gridSpan w:val="4"/>
          </w:tcPr>
          <w:p>
            <w:pPr>
              <w:ind w:left="360"/>
              <w:spacing w:after="0"/>
              <w:rPr>
                <w:sz w:val="20"/>
                <w:szCs w:val="20"/>
                <w:color w:val="auto"/>
              </w:rPr>
            </w:pPr>
            <w:r>
              <w:rPr>
                <w:rFonts w:ascii="Arial" w:cs="Arial" w:eastAsia="Arial" w:hAnsi="Arial"/>
                <w:sz w:val="13"/>
                <w:szCs w:val="13"/>
                <w:b w:val="1"/>
                <w:bCs w:val="1"/>
                <w:color w:val="auto"/>
              </w:rPr>
              <w:t>All Tranches – Other Conditions</w:t>
            </w:r>
          </w:p>
        </w:tc>
        <w:tc>
          <w:tcPr>
            <w:tcW w:w="1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180" w:type="dxa"/>
            <w:vAlign w:val="bottom"/>
          </w:tcPr>
          <w:p>
            <w:pPr>
              <w:spacing w:after="0"/>
              <w:rPr>
                <w:sz w:val="23"/>
                <w:szCs w:val="23"/>
                <w:color w:val="auto"/>
              </w:rPr>
            </w:pPr>
          </w:p>
        </w:tc>
      </w:tr>
      <w:tr>
        <w:trPr>
          <w:trHeight w:val="230"/>
        </w:trPr>
        <w:tc>
          <w:tcPr>
            <w:tcW w:w="660" w:type="dxa"/>
            <w:vAlign w:val="bottom"/>
          </w:tcPr>
          <w:p>
            <w:pPr>
              <w:spacing w:after="0"/>
              <w:rPr>
                <w:sz w:val="19"/>
                <w:szCs w:val="19"/>
                <w:color w:val="auto"/>
              </w:rPr>
            </w:pPr>
          </w:p>
        </w:tc>
        <w:tc>
          <w:tcPr>
            <w:tcW w:w="10320" w:type="dxa"/>
            <w:vAlign w:val="bottom"/>
            <w:gridSpan w:val="7"/>
          </w:tcPr>
          <w:p>
            <w:pPr>
              <w:ind w:left="380"/>
              <w:spacing w:after="0"/>
              <w:rPr>
                <w:sz w:val="20"/>
                <w:szCs w:val="20"/>
                <w:color w:val="auto"/>
              </w:rPr>
            </w:pPr>
            <w:r>
              <w:rPr>
                <w:rFonts w:ascii="Arial" w:cs="Arial" w:eastAsia="Arial" w:hAnsi="Arial"/>
                <w:sz w:val="13"/>
                <w:szCs w:val="13"/>
                <w:color w:val="auto"/>
              </w:rPr>
              <w:t>The Bank will only be obliged to make any Accepted Tranche available to the Borrower if on the Disbursement Date for the proposed Tranche:</w:t>
            </w:r>
          </w:p>
        </w:tc>
      </w:tr>
      <w:tr>
        <w:trPr>
          <w:trHeight w:val="230"/>
        </w:trPr>
        <w:tc>
          <w:tcPr>
            <w:tcW w:w="660" w:type="dxa"/>
            <w:vAlign w:val="bottom"/>
          </w:tcPr>
          <w:p>
            <w:pPr>
              <w:spacing w:after="0"/>
              <w:rPr>
                <w:sz w:val="19"/>
                <w:szCs w:val="19"/>
                <w:color w:val="auto"/>
              </w:rPr>
            </w:pPr>
          </w:p>
        </w:tc>
        <w:tc>
          <w:tcPr>
            <w:tcW w:w="800" w:type="dxa"/>
            <w:vAlign w:val="bottom"/>
          </w:tcPr>
          <w:p>
            <w:pPr>
              <w:ind w:left="360"/>
              <w:spacing w:after="0"/>
              <w:rPr>
                <w:sz w:val="20"/>
                <w:szCs w:val="20"/>
                <w:color w:val="auto"/>
              </w:rPr>
            </w:pPr>
            <w:r>
              <w:rPr>
                <w:rFonts w:ascii="Arial" w:cs="Arial" w:eastAsia="Arial" w:hAnsi="Arial"/>
                <w:sz w:val="13"/>
                <w:szCs w:val="13"/>
                <w:color w:val="auto"/>
              </w:rPr>
              <w:t>(a)</w:t>
            </w:r>
          </w:p>
        </w:tc>
        <w:tc>
          <w:tcPr>
            <w:tcW w:w="5340" w:type="dxa"/>
            <w:vAlign w:val="bottom"/>
            <w:gridSpan w:val="5"/>
          </w:tcPr>
          <w:p>
            <w:pPr>
              <w:ind w:left="240"/>
              <w:spacing w:after="0"/>
              <w:rPr>
                <w:sz w:val="20"/>
                <w:szCs w:val="20"/>
                <w:color w:val="auto"/>
              </w:rPr>
            </w:pPr>
            <w:r>
              <w:rPr>
                <w:rFonts w:ascii="Arial" w:cs="Arial" w:eastAsia="Arial" w:hAnsi="Arial"/>
                <w:sz w:val="13"/>
                <w:szCs w:val="13"/>
                <w:color w:val="auto"/>
              </w:rPr>
              <w:t>the Repeating Representations made by the Borrower (in respect of itself and, where</w:t>
            </w:r>
          </w:p>
        </w:tc>
        <w:tc>
          <w:tcPr>
            <w:tcW w:w="4180" w:type="dxa"/>
            <w:vAlign w:val="bottom"/>
          </w:tcPr>
          <w:p>
            <w:pPr>
              <w:ind w:left="20"/>
              <w:spacing w:after="0"/>
              <w:rPr>
                <w:sz w:val="20"/>
                <w:szCs w:val="20"/>
                <w:color w:val="auto"/>
              </w:rPr>
            </w:pPr>
            <w:r>
              <w:rPr>
                <w:rFonts w:ascii="Arial" w:cs="Arial" w:eastAsia="Arial" w:hAnsi="Arial"/>
                <w:sz w:val="13"/>
                <w:szCs w:val="13"/>
                <w:color w:val="auto"/>
              </w:rPr>
              <w:t>applicable, the other Obligors) are correct in all respects;</w:t>
            </w:r>
          </w:p>
        </w:tc>
      </w:tr>
      <w:tr>
        <w:trPr>
          <w:trHeight w:val="230"/>
        </w:trPr>
        <w:tc>
          <w:tcPr>
            <w:tcW w:w="660" w:type="dxa"/>
            <w:vAlign w:val="bottom"/>
          </w:tcPr>
          <w:p>
            <w:pPr>
              <w:spacing w:after="0"/>
              <w:rPr>
                <w:sz w:val="19"/>
                <w:szCs w:val="19"/>
                <w:color w:val="auto"/>
              </w:rPr>
            </w:pPr>
          </w:p>
        </w:tc>
        <w:tc>
          <w:tcPr>
            <w:tcW w:w="800" w:type="dxa"/>
            <w:vAlign w:val="bottom"/>
          </w:tcPr>
          <w:p>
            <w:pPr>
              <w:ind w:left="360"/>
              <w:spacing w:after="0"/>
              <w:rPr>
                <w:sz w:val="20"/>
                <w:szCs w:val="20"/>
                <w:color w:val="auto"/>
              </w:rPr>
            </w:pPr>
            <w:r>
              <w:rPr>
                <w:rFonts w:ascii="Arial" w:cs="Arial" w:eastAsia="Arial" w:hAnsi="Arial"/>
                <w:sz w:val="13"/>
                <w:szCs w:val="13"/>
                <w:color w:val="auto"/>
              </w:rPr>
              <w:t>(b)</w:t>
            </w:r>
          </w:p>
        </w:tc>
        <w:tc>
          <w:tcPr>
            <w:tcW w:w="5340" w:type="dxa"/>
            <w:vAlign w:val="bottom"/>
            <w:gridSpan w:val="5"/>
          </w:tcPr>
          <w:p>
            <w:pPr>
              <w:ind w:left="240"/>
              <w:spacing w:after="0"/>
              <w:rPr>
                <w:sz w:val="20"/>
                <w:szCs w:val="20"/>
                <w:color w:val="auto"/>
              </w:rPr>
            </w:pPr>
            <w:r>
              <w:rPr>
                <w:rFonts w:ascii="Arial" w:cs="Arial" w:eastAsia="Arial" w:hAnsi="Arial"/>
                <w:sz w:val="13"/>
                <w:szCs w:val="13"/>
                <w:color w:val="auto"/>
              </w:rPr>
              <w:t>no event or circumstance has occurred and is continuing which constitutes:</w:t>
            </w:r>
          </w:p>
        </w:tc>
        <w:tc>
          <w:tcPr>
            <w:tcW w:w="4180" w:type="dxa"/>
            <w:vAlign w:val="bottom"/>
          </w:tcPr>
          <w:p>
            <w:pPr>
              <w:spacing w:after="0"/>
              <w:rPr>
                <w:sz w:val="19"/>
                <w:szCs w:val="19"/>
                <w:color w:val="auto"/>
              </w:rPr>
            </w:pPr>
          </w:p>
        </w:tc>
      </w:tr>
      <w:tr>
        <w:trPr>
          <w:trHeight w:val="195"/>
        </w:trPr>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ind w:left="260"/>
              <w:spacing w:after="0"/>
              <w:rPr>
                <w:sz w:val="20"/>
                <w:szCs w:val="20"/>
                <w:color w:val="auto"/>
              </w:rPr>
            </w:pPr>
            <w:r>
              <w:rPr>
                <w:rFonts w:ascii="Arial" w:cs="Arial" w:eastAsia="Arial" w:hAnsi="Arial"/>
                <w:sz w:val="13"/>
                <w:szCs w:val="13"/>
                <w:color w:val="auto"/>
              </w:rPr>
              <w:t>(i)</w:t>
            </w:r>
          </w:p>
        </w:tc>
        <w:tc>
          <w:tcPr>
            <w:tcW w:w="8700" w:type="dxa"/>
            <w:vAlign w:val="bottom"/>
            <w:gridSpan w:val="5"/>
          </w:tcPr>
          <w:p>
            <w:pPr>
              <w:ind w:left="120"/>
              <w:spacing w:after="0"/>
              <w:rPr>
                <w:sz w:val="20"/>
                <w:szCs w:val="20"/>
                <w:color w:val="auto"/>
              </w:rPr>
            </w:pPr>
            <w:r>
              <w:rPr>
                <w:rFonts w:ascii="Arial" w:cs="Arial" w:eastAsia="Arial" w:hAnsi="Arial"/>
                <w:sz w:val="13"/>
                <w:szCs w:val="13"/>
                <w:color w:val="auto"/>
              </w:rPr>
              <w:t>or would with the expiry of a grace period and/or the giving of notice under this Contract constitute a Prepayment Event other than pursuant</w:t>
            </w:r>
          </w:p>
        </w:tc>
      </w:tr>
      <w:tr>
        <w:trPr>
          <w:trHeight w:val="145"/>
        </w:trPr>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520" w:type="dxa"/>
            <w:vAlign w:val="bottom"/>
            <w:gridSpan w:val="4"/>
          </w:tcPr>
          <w:p>
            <w:pPr>
              <w:ind w:left="120"/>
              <w:spacing w:after="0" w:line="145" w:lineRule="exact"/>
              <w:rPr>
                <w:sz w:val="20"/>
                <w:szCs w:val="20"/>
                <w:color w:val="auto"/>
              </w:rPr>
            </w:pPr>
            <w:r>
              <w:rPr>
                <w:rFonts w:ascii="Arial" w:cs="Arial" w:eastAsia="Arial" w:hAnsi="Arial"/>
                <w:sz w:val="13"/>
                <w:szCs w:val="13"/>
                <w:color w:val="auto"/>
              </w:rPr>
              <w:t xml:space="preserve">to Article </w:t>
            </w:r>
            <w:r>
              <w:rPr>
                <w:rFonts w:ascii="Arial" w:cs="Arial" w:eastAsia="Arial" w:hAnsi="Arial"/>
                <w:sz w:val="13"/>
                <w:szCs w:val="13"/>
                <w:color w:val="0000EE"/>
              </w:rPr>
              <w:t>5.3.1</w:t>
            </w:r>
            <w:r>
              <w:rPr>
                <w:rFonts w:ascii="Arial" w:cs="Arial" w:eastAsia="Arial" w:hAnsi="Arial"/>
                <w:sz w:val="13"/>
                <w:szCs w:val="13"/>
                <w:color w:val="auto"/>
              </w:rPr>
              <w:t xml:space="preserve">  (</w:t>
            </w:r>
            <w:r>
              <w:rPr>
                <w:rFonts w:ascii="Arial" w:cs="Arial" w:eastAsia="Arial" w:hAnsi="Arial"/>
                <w:sz w:val="13"/>
                <w:szCs w:val="13"/>
                <w:i w:val="1"/>
                <w:iCs w:val="1"/>
                <w:color w:val="auto"/>
              </w:rPr>
              <w:t>Cost Reduction</w:t>
            </w:r>
            <w:r>
              <w:rPr>
                <w:rFonts w:ascii="Arial" w:cs="Arial" w:eastAsia="Arial" w:hAnsi="Arial"/>
                <w:sz w:val="13"/>
                <w:szCs w:val="13"/>
                <w:color w:val="auto"/>
              </w:rPr>
              <w:t>); or</w:t>
            </w:r>
          </w:p>
        </w:tc>
        <w:tc>
          <w:tcPr>
            <w:tcW w:w="4180" w:type="dxa"/>
            <w:vAlign w:val="bottom"/>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4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ind w:left="260"/>
              <w:spacing w:after="0"/>
              <w:rPr>
                <w:sz w:val="20"/>
                <w:szCs w:val="20"/>
                <w:color w:val="auto"/>
              </w:rPr>
            </w:pPr>
            <w:r>
              <w:rPr>
                <w:rFonts w:ascii="Arial" w:cs="Arial" w:eastAsia="Arial" w:hAnsi="Arial"/>
                <w:sz w:val="13"/>
                <w:szCs w:val="13"/>
                <w:color w:val="auto"/>
              </w:rPr>
              <w:t>(ii)</w:t>
            </w:r>
          </w:p>
        </w:tc>
        <w:tc>
          <w:tcPr>
            <w:tcW w:w="4520" w:type="dxa"/>
            <w:vAlign w:val="bottom"/>
            <w:gridSpan w:val="4"/>
          </w:tcPr>
          <w:p>
            <w:pPr>
              <w:ind w:left="120"/>
              <w:spacing w:after="0"/>
              <w:rPr>
                <w:sz w:val="20"/>
                <w:szCs w:val="20"/>
                <w:color w:val="auto"/>
              </w:rPr>
            </w:pPr>
            <w:r>
              <w:rPr>
                <w:rFonts w:ascii="Arial" w:cs="Arial" w:eastAsia="Arial" w:hAnsi="Arial"/>
                <w:sz w:val="13"/>
                <w:szCs w:val="13"/>
                <w:color w:val="auto"/>
              </w:rPr>
              <w:t>a Default or an Event of Default,</w:t>
            </w:r>
          </w:p>
        </w:tc>
        <w:tc>
          <w:tcPr>
            <w:tcW w:w="4180" w:type="dxa"/>
            <w:vAlign w:val="bottom"/>
          </w:tcPr>
          <w:p>
            <w:pPr>
              <w:spacing w:after="0"/>
              <w:rPr>
                <w:sz w:val="20"/>
                <w:szCs w:val="20"/>
                <w:color w:val="auto"/>
              </w:rPr>
            </w:pPr>
          </w:p>
        </w:tc>
      </w:tr>
    </w:tbl>
    <w:p>
      <w:pPr>
        <w:spacing w:after="0" w:line="69"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or would, in each case, result from the disbursement of the proposed Tranche; and</w:t>
      </w:r>
    </w:p>
    <w:p>
      <w:pPr>
        <w:spacing w:after="0" w:line="80" w:lineRule="exact"/>
        <w:rPr>
          <w:sz w:val="20"/>
          <w:szCs w:val="20"/>
          <w:color w:val="auto"/>
        </w:rPr>
      </w:pPr>
    </w:p>
    <w:p>
      <w:pPr>
        <w:ind w:left="1820" w:hanging="670"/>
        <w:spacing w:after="0"/>
        <w:tabs>
          <w:tab w:leader="none" w:pos="1820" w:val="left"/>
        </w:tabs>
        <w:numPr>
          <w:ilvl w:val="0"/>
          <w:numId w:val="390"/>
        </w:numPr>
        <w:rPr>
          <w:rFonts w:ascii="Arial" w:cs="Arial" w:eastAsia="Arial" w:hAnsi="Arial"/>
          <w:sz w:val="13"/>
          <w:szCs w:val="13"/>
          <w:color w:val="auto"/>
        </w:rPr>
      </w:pPr>
      <w:r>
        <w:rPr>
          <w:rFonts w:ascii="Arial" w:cs="Arial" w:eastAsia="Arial" w:hAnsi="Arial"/>
          <w:sz w:val="13"/>
          <w:szCs w:val="13"/>
          <w:color w:val="auto"/>
        </w:rPr>
        <w:t>the Borrower complies with all preceding and already achieved Milestone Events.</w:t>
      </w:r>
    </w:p>
    <w:p>
      <w:pPr>
        <w:spacing w:after="0" w:line="144"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3"/>
          <w:szCs w:val="13"/>
          <w:b w:val="1"/>
          <w:bCs w:val="1"/>
          <w:u w:val="single" w:color="auto"/>
          <w:color w:val="auto"/>
        </w:rPr>
        <w:t>Cancellation</w:t>
      </w:r>
    </w:p>
    <w:p>
      <w:pPr>
        <w:spacing w:after="0" w:line="136" w:lineRule="exact"/>
        <w:rPr>
          <w:sz w:val="20"/>
          <w:szCs w:val="20"/>
          <w:color w:val="auto"/>
        </w:rPr>
      </w:pPr>
    </w:p>
    <w:p>
      <w:pPr>
        <w:ind w:left="1820" w:hanging="670"/>
        <w:spacing w:after="0"/>
        <w:tabs>
          <w:tab w:leader="none" w:pos="1820" w:val="left"/>
        </w:tabs>
        <w:numPr>
          <w:ilvl w:val="0"/>
          <w:numId w:val="391"/>
        </w:numPr>
        <w:rPr>
          <w:rFonts w:ascii="Arial" w:cs="Arial" w:eastAsia="Arial" w:hAnsi="Arial"/>
          <w:sz w:val="13"/>
          <w:szCs w:val="13"/>
          <w:color w:val="auto"/>
        </w:rPr>
      </w:pPr>
      <w:r>
        <w:rPr>
          <w:rFonts w:ascii="Arial" w:cs="Arial" w:eastAsia="Arial" w:hAnsi="Arial"/>
          <w:sz w:val="13"/>
          <w:szCs w:val="13"/>
          <w:color w:val="auto"/>
        </w:rPr>
        <w:t>The Borrower may send a written notice to the Bank requesting the cancellation of the undisbursed portion of the Credit. The written notice:</w:t>
      </w:r>
    </w:p>
    <w:p>
      <w:pPr>
        <w:spacing w:after="0" w:line="70" w:lineRule="exact"/>
        <w:rPr>
          <w:rFonts w:ascii="Arial" w:cs="Arial" w:eastAsia="Arial" w:hAnsi="Arial"/>
          <w:sz w:val="13"/>
          <w:szCs w:val="13"/>
          <w:color w:val="auto"/>
        </w:rPr>
      </w:pPr>
    </w:p>
    <w:p>
      <w:pPr>
        <w:ind w:left="2520" w:right="240" w:hanging="680"/>
        <w:spacing w:after="0" w:line="258" w:lineRule="auto"/>
        <w:tabs>
          <w:tab w:leader="none" w:pos="2520" w:val="left"/>
        </w:tabs>
        <w:numPr>
          <w:ilvl w:val="1"/>
          <w:numId w:val="391"/>
        </w:numPr>
        <w:rPr>
          <w:rFonts w:ascii="Arial" w:cs="Arial" w:eastAsia="Arial" w:hAnsi="Arial"/>
          <w:sz w:val="13"/>
          <w:szCs w:val="13"/>
          <w:color w:val="auto"/>
        </w:rPr>
      </w:pPr>
      <w:r>
        <w:rPr>
          <w:rFonts w:ascii="Arial" w:cs="Arial" w:eastAsia="Arial" w:hAnsi="Arial"/>
          <w:sz w:val="13"/>
          <w:szCs w:val="13"/>
          <w:color w:val="auto"/>
        </w:rPr>
        <w:t>must specify whether the Borrower would like to cancel the undisbursed portion of the Credit in whole or in part and, if in part, the amount of the Credit the Borrower would like to cancel; and</w:t>
      </w:r>
    </w:p>
    <w:p>
      <w:pPr>
        <w:spacing w:after="0" w:line="58" w:lineRule="exact"/>
        <w:rPr>
          <w:rFonts w:ascii="Arial" w:cs="Arial" w:eastAsia="Arial" w:hAnsi="Arial"/>
          <w:sz w:val="13"/>
          <w:szCs w:val="13"/>
          <w:color w:val="auto"/>
        </w:rPr>
      </w:pPr>
    </w:p>
    <w:p>
      <w:pPr>
        <w:ind w:left="2520" w:hanging="680"/>
        <w:spacing w:after="0"/>
        <w:tabs>
          <w:tab w:leader="none" w:pos="2520" w:val="left"/>
        </w:tabs>
        <w:numPr>
          <w:ilvl w:val="1"/>
          <w:numId w:val="391"/>
        </w:numPr>
        <w:rPr>
          <w:rFonts w:ascii="Arial" w:cs="Arial" w:eastAsia="Arial" w:hAnsi="Arial"/>
          <w:sz w:val="13"/>
          <w:szCs w:val="13"/>
          <w:color w:val="auto"/>
        </w:rPr>
      </w:pPr>
      <w:r>
        <w:rPr>
          <w:rFonts w:ascii="Arial" w:cs="Arial" w:eastAsia="Arial" w:hAnsi="Arial"/>
          <w:sz w:val="13"/>
          <w:szCs w:val="13"/>
          <w:color w:val="auto"/>
        </w:rPr>
        <w:t>must not relate to an Accepted Tranche which has a Disbursement Date falling within [***] Business Days of the date of the written notice.</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Upon receipt of such written notice, the Bank shall cancel the requested undisbursed portion of the Credit with immediate effect.</w:t>
      </w:r>
    </w:p>
    <w:p>
      <w:pPr>
        <w:spacing w:after="0" w:line="80" w:lineRule="exact"/>
        <w:rPr>
          <w:sz w:val="20"/>
          <w:szCs w:val="20"/>
          <w:color w:val="auto"/>
        </w:rPr>
      </w:pPr>
    </w:p>
    <w:p>
      <w:pPr>
        <w:ind w:left="1820" w:right="280" w:hanging="670"/>
        <w:spacing w:after="0" w:line="258" w:lineRule="auto"/>
        <w:tabs>
          <w:tab w:leader="none" w:pos="182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At any time upon the occurrence of the following events, the Bank may notify the Borrower in writing that the undisbursed portion of the Credit shall be cancelled in whole or in part:</w:t>
      </w:r>
    </w:p>
    <w:p>
      <w:pPr>
        <w:spacing w:after="0" w:line="24" w:lineRule="exact"/>
        <w:rPr>
          <w:rFonts w:ascii="Arial" w:cs="Arial" w:eastAsia="Arial" w:hAnsi="Arial"/>
          <w:sz w:val="13"/>
          <w:szCs w:val="13"/>
          <w:color w:val="auto"/>
        </w:rPr>
      </w:pPr>
    </w:p>
    <w:p>
      <w:pPr>
        <w:ind w:left="2520" w:right="220" w:hanging="680"/>
        <w:spacing w:after="0" w:line="281" w:lineRule="auto"/>
        <w:tabs>
          <w:tab w:leader="none" w:pos="2520" w:val="left"/>
        </w:tabs>
        <w:numPr>
          <w:ilvl w:val="1"/>
          <w:numId w:val="392"/>
        </w:numPr>
        <w:rPr>
          <w:rFonts w:ascii="Arial" w:cs="Arial" w:eastAsia="Arial" w:hAnsi="Arial"/>
          <w:sz w:val="13"/>
          <w:szCs w:val="13"/>
          <w:color w:val="auto"/>
        </w:rPr>
      </w:pPr>
      <w:r>
        <w:rPr>
          <w:rFonts w:ascii="Arial" w:cs="Arial" w:eastAsia="Arial" w:hAnsi="Arial"/>
          <w:sz w:val="13"/>
          <w:szCs w:val="13"/>
          <w:color w:val="auto"/>
        </w:rPr>
        <w:t xml:space="preserve">a Prepayment Event, which for the avoidance of doubt and only in case of event pursuant to Article </w:t>
      </w:r>
      <w:r>
        <w:rPr>
          <w:rFonts w:ascii="Arial" w:cs="Arial" w:eastAsia="Arial" w:hAnsi="Arial"/>
          <w:sz w:val="13"/>
          <w:szCs w:val="13"/>
          <w:u w:val="single" w:color="auto"/>
          <w:color w:val="0000EE"/>
        </w:rPr>
        <w:t>5.3.1</w:t>
      </w:r>
      <w:r>
        <w:rPr>
          <w:rFonts w:ascii="Arial" w:cs="Arial" w:eastAsia="Arial" w:hAnsi="Arial"/>
          <w:sz w:val="13"/>
          <w:szCs w:val="13"/>
          <w:color w:val="auto"/>
        </w:rPr>
        <w:t xml:space="preserve"> (</w:t>
      </w:r>
      <w:r>
        <w:rPr>
          <w:rFonts w:ascii="Arial" w:cs="Arial" w:eastAsia="Arial" w:hAnsi="Arial"/>
          <w:sz w:val="13"/>
          <w:szCs w:val="13"/>
          <w:i w:val="1"/>
          <w:iCs w:val="1"/>
          <w:color w:val="auto"/>
        </w:rPr>
        <w:t>Cost Reduction</w:t>
      </w:r>
      <w:r>
        <w:rPr>
          <w:rFonts w:ascii="Arial" w:cs="Arial" w:eastAsia="Arial" w:hAnsi="Arial"/>
          <w:sz w:val="13"/>
          <w:szCs w:val="13"/>
          <w:color w:val="auto"/>
        </w:rPr>
        <w:t>), by an amount equal to the amount by which it is entitled to cancel the Credit;</w:t>
      </w:r>
    </w:p>
    <w:p>
      <w:pPr>
        <w:spacing w:after="0" w:line="53" w:lineRule="exact"/>
        <w:rPr>
          <w:rFonts w:ascii="Arial" w:cs="Arial" w:eastAsia="Arial" w:hAnsi="Arial"/>
          <w:sz w:val="13"/>
          <w:szCs w:val="13"/>
          <w:color w:val="auto"/>
        </w:rPr>
      </w:pPr>
    </w:p>
    <w:p>
      <w:pPr>
        <w:ind w:left="2520" w:hanging="680"/>
        <w:spacing w:after="0"/>
        <w:tabs>
          <w:tab w:leader="none" w:pos="2520" w:val="left"/>
        </w:tabs>
        <w:numPr>
          <w:ilvl w:val="1"/>
          <w:numId w:val="392"/>
        </w:numPr>
        <w:rPr>
          <w:rFonts w:ascii="Arial" w:cs="Arial" w:eastAsia="Arial" w:hAnsi="Arial"/>
          <w:sz w:val="13"/>
          <w:szCs w:val="13"/>
          <w:color w:val="auto"/>
        </w:rPr>
      </w:pPr>
      <w:r>
        <w:rPr>
          <w:rFonts w:ascii="Arial" w:cs="Arial" w:eastAsia="Arial" w:hAnsi="Arial"/>
          <w:sz w:val="13"/>
          <w:szCs w:val="13"/>
          <w:color w:val="auto"/>
        </w:rPr>
        <w:t>an Event of Default; or</w:t>
      </w:r>
    </w:p>
    <w:p>
      <w:pPr>
        <w:spacing w:after="0" w:line="80" w:lineRule="exact"/>
        <w:rPr>
          <w:rFonts w:ascii="Arial" w:cs="Arial" w:eastAsia="Arial" w:hAnsi="Arial"/>
          <w:sz w:val="13"/>
          <w:szCs w:val="13"/>
          <w:color w:val="auto"/>
        </w:rPr>
      </w:pPr>
    </w:p>
    <w:p>
      <w:pPr>
        <w:ind w:left="2520" w:right="340" w:hanging="680"/>
        <w:spacing w:after="0" w:line="258" w:lineRule="auto"/>
        <w:tabs>
          <w:tab w:leader="none" w:pos="2520" w:val="left"/>
        </w:tabs>
        <w:numPr>
          <w:ilvl w:val="1"/>
          <w:numId w:val="392"/>
        </w:numPr>
        <w:rPr>
          <w:rFonts w:ascii="Arial" w:cs="Arial" w:eastAsia="Arial" w:hAnsi="Arial"/>
          <w:sz w:val="13"/>
          <w:szCs w:val="13"/>
          <w:color w:val="auto"/>
        </w:rPr>
      </w:pPr>
      <w:r>
        <w:rPr>
          <w:rFonts w:ascii="Arial" w:cs="Arial" w:eastAsia="Arial" w:hAnsi="Arial"/>
          <w:sz w:val="13"/>
          <w:szCs w:val="13"/>
          <w:color w:val="auto"/>
        </w:rPr>
        <w:t xml:space="preserve">an event or circumstance which would with the passage of time or giving of notice under this Contract constitute a Prepayment Event other than pursuant to Article </w:t>
      </w:r>
      <w:r>
        <w:rPr>
          <w:rFonts w:ascii="Arial" w:cs="Arial" w:eastAsia="Arial" w:hAnsi="Arial"/>
          <w:sz w:val="13"/>
          <w:szCs w:val="13"/>
          <w:u w:val="single" w:color="auto"/>
          <w:color w:val="0000EE"/>
        </w:rPr>
        <w:t>5.3.1</w:t>
      </w:r>
      <w:r>
        <w:rPr>
          <w:rFonts w:ascii="Arial" w:cs="Arial" w:eastAsia="Arial" w:hAnsi="Arial"/>
          <w:sz w:val="13"/>
          <w:szCs w:val="13"/>
          <w:color w:val="auto"/>
        </w:rPr>
        <w:t xml:space="preserve"> (</w:t>
      </w:r>
      <w:r>
        <w:rPr>
          <w:rFonts w:ascii="Arial" w:cs="Arial" w:eastAsia="Arial" w:hAnsi="Arial"/>
          <w:sz w:val="13"/>
          <w:szCs w:val="13"/>
          <w:i w:val="1"/>
          <w:iCs w:val="1"/>
          <w:color w:val="auto"/>
        </w:rPr>
        <w:t>Cost Reduction</w:t>
      </w:r>
      <w:r>
        <w:rPr>
          <w:rFonts w:ascii="Arial" w:cs="Arial" w:eastAsia="Arial" w:hAnsi="Arial"/>
          <w:sz w:val="13"/>
          <w:szCs w:val="13"/>
          <w:color w:val="auto"/>
        </w:rPr>
        <w:t>) or an Event of Default.</w:t>
      </w:r>
    </w:p>
    <w:p>
      <w:pPr>
        <w:spacing w:after="0" w:line="59"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On the date of such written notification the relevant undisbursed portion of the Credit shall be cancelled with immediate effect.</w:t>
      </w:r>
    </w:p>
    <w:p>
      <w:pPr>
        <w:spacing w:after="0" w:line="144"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2.7</w:t>
      </w:r>
      <w:r>
        <w:rPr>
          <w:sz w:val="20"/>
          <w:szCs w:val="20"/>
          <w:color w:val="auto"/>
        </w:rPr>
        <w:tab/>
      </w:r>
      <w:r>
        <w:rPr>
          <w:rFonts w:ascii="Arial" w:cs="Arial" w:eastAsia="Arial" w:hAnsi="Arial"/>
          <w:sz w:val="13"/>
          <w:szCs w:val="13"/>
          <w:b w:val="1"/>
          <w:bCs w:val="1"/>
          <w:u w:val="single" w:color="auto"/>
          <w:color w:val="auto"/>
        </w:rPr>
        <w:t>Fee for cancellation of an Accepted Tranche</w:t>
      </w:r>
    </w:p>
    <w:p>
      <w:pPr>
        <w:spacing w:after="0" w:line="112" w:lineRule="exact"/>
        <w:rPr>
          <w:sz w:val="20"/>
          <w:szCs w:val="20"/>
          <w:color w:val="auto"/>
        </w:rPr>
      </w:pPr>
    </w:p>
    <w:p>
      <w:pPr>
        <w:ind w:left="1820" w:right="140" w:hanging="670"/>
        <w:spacing w:after="0" w:line="281" w:lineRule="auto"/>
        <w:tabs>
          <w:tab w:leader="none" w:pos="1820" w:val="left"/>
        </w:tabs>
        <w:numPr>
          <w:ilvl w:val="0"/>
          <w:numId w:val="393"/>
        </w:numPr>
        <w:rPr>
          <w:rFonts w:ascii="Arial" w:cs="Arial" w:eastAsia="Arial" w:hAnsi="Arial"/>
          <w:sz w:val="13"/>
          <w:szCs w:val="13"/>
          <w:color w:val="auto"/>
        </w:rPr>
      </w:pPr>
      <w:r>
        <w:rPr>
          <w:rFonts w:ascii="Arial" w:cs="Arial" w:eastAsia="Arial" w:hAnsi="Arial"/>
          <w:sz w:val="13"/>
          <w:szCs w:val="13"/>
          <w:color w:val="auto"/>
        </w:rPr>
        <w:t xml:space="preserve">If pursuant to Sub-Paragraph (a) of Article </w:t>
      </w:r>
      <w:hyperlink w:anchor="page356">
        <w:r>
          <w:rPr>
            <w:rFonts w:ascii="Arial" w:cs="Arial" w:eastAsia="Arial" w:hAnsi="Arial"/>
            <w:sz w:val="13"/>
            <w:szCs w:val="13"/>
            <w:u w:val="single" w:color="auto"/>
            <w:color w:val="0000EE"/>
          </w:rPr>
          <w:t>2.6</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Cancellation</w:t>
      </w:r>
      <w:r>
        <w:rPr>
          <w:rFonts w:ascii="Arial" w:cs="Arial" w:eastAsia="Arial" w:hAnsi="Arial"/>
          <w:sz w:val="13"/>
          <w:szCs w:val="13"/>
          <w:color w:val="auto"/>
        </w:rPr>
        <w:t>) the Borrower cancels an Accepted Tranche, the Borrower shall pay to the Bank the Cancellation Fee in accordance with the terms of the Finance Fee Letter.</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56" w:name="page357"/>
    <w:bookmarkEnd w:id="356"/>
    <w:tbl>
      <w:tblPr>
        <w:tblLayout w:type="fixed"/>
        <w:tblInd w:w="114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80" w:type="dxa"/>
            <w:vAlign w:val="bottom"/>
          </w:tcPr>
          <w:p>
            <w:pPr>
              <w:ind w:left="6000"/>
              <w:spacing w:after="0"/>
              <w:rPr>
                <w:sz w:val="20"/>
                <w:szCs w:val="20"/>
                <w:color w:val="auto"/>
              </w:rPr>
            </w:pPr>
            <w:r>
              <w:rPr>
                <w:rFonts w:ascii="Arial" w:cs="Arial" w:eastAsia="Arial" w:hAnsi="Arial"/>
                <w:sz w:val="13"/>
                <w:szCs w:val="13"/>
                <w:b w:val="1"/>
                <w:bCs w:val="1"/>
                <w:color w:val="auto"/>
                <w:w w:val="91"/>
              </w:rPr>
              <w:t>Exhibit 4.41</w:t>
            </w:r>
          </w:p>
        </w:tc>
      </w:tr>
      <w:tr>
        <w:trPr>
          <w:trHeight w:val="160"/>
        </w:trPr>
        <w:tc>
          <w:tcPr>
            <w:tcW w:w="440" w:type="dxa"/>
            <w:vAlign w:val="bottom"/>
          </w:tcPr>
          <w:p>
            <w:pPr>
              <w:spacing w:after="0"/>
              <w:rPr>
                <w:sz w:val="20"/>
                <w:szCs w:val="20"/>
                <w:color w:val="auto"/>
              </w:rPr>
            </w:pPr>
            <w:r>
              <w:rPr>
                <w:rFonts w:ascii="Arial" w:cs="Arial" w:eastAsia="Arial" w:hAnsi="Arial"/>
                <w:sz w:val="13"/>
                <w:szCs w:val="13"/>
                <w:color w:val="auto"/>
              </w:rPr>
              <w:t>(b)</w:t>
            </w:r>
          </w:p>
        </w:tc>
        <w:tc>
          <w:tcPr>
            <w:tcW w:w="9680" w:type="dxa"/>
            <w:vAlign w:val="bottom"/>
            <w:gridSpan w:val="3"/>
          </w:tcPr>
          <w:p>
            <w:pPr>
              <w:ind w:left="240"/>
              <w:spacing w:after="0"/>
              <w:rPr>
                <w:rFonts w:ascii="Arial" w:cs="Arial" w:eastAsia="Arial" w:hAnsi="Arial"/>
                <w:sz w:val="13"/>
                <w:szCs w:val="13"/>
                <w:color w:val="auto"/>
              </w:rPr>
            </w:pPr>
            <w:r>
              <w:rPr>
                <w:rFonts w:ascii="Arial" w:cs="Arial" w:eastAsia="Arial" w:hAnsi="Arial"/>
                <w:sz w:val="13"/>
                <w:szCs w:val="13"/>
                <w:color w:val="auto"/>
              </w:rPr>
              <w:t xml:space="preserve">If pursuant to Sub-Paragraph (b) of Article </w:t>
            </w:r>
            <w:hyperlink w:anchor="page356">
              <w:r>
                <w:rPr>
                  <w:rFonts w:ascii="Arial" w:cs="Arial" w:eastAsia="Arial" w:hAnsi="Arial"/>
                  <w:sz w:val="13"/>
                  <w:szCs w:val="13"/>
                  <w:color w:val="0000EE"/>
                </w:rPr>
                <w:t>2.6</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Cancellation</w:t>
            </w:r>
            <w:r>
              <w:rPr>
                <w:rFonts w:ascii="Arial" w:cs="Arial" w:eastAsia="Arial" w:hAnsi="Arial"/>
                <w:sz w:val="13"/>
                <w:szCs w:val="13"/>
                <w:color w:val="auto"/>
              </w:rPr>
              <w:t>) the Bank cancels all or  part of an Accepted Tranche, the Borrower shall pay to the Bank the</w:t>
            </w:r>
          </w:p>
        </w:tc>
      </w:tr>
      <w:tr>
        <w:trPr>
          <w:trHeight w:val="20"/>
        </w:trPr>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9680" w:type="dxa"/>
            <w:vAlign w:val="bottom"/>
            <w:gridSpan w:val="3"/>
          </w:tcPr>
          <w:p>
            <w:pPr>
              <w:ind w:left="240"/>
              <w:spacing w:after="0"/>
              <w:rPr>
                <w:sz w:val="20"/>
                <w:szCs w:val="20"/>
                <w:color w:val="auto"/>
              </w:rPr>
            </w:pPr>
            <w:r>
              <w:rPr>
                <w:rFonts w:ascii="Arial" w:cs="Arial" w:eastAsia="Arial" w:hAnsi="Arial"/>
                <w:sz w:val="13"/>
                <w:szCs w:val="13"/>
                <w:color w:val="auto"/>
              </w:rPr>
              <w:t>Cancellation Fee in accordance with the terms of the Finance Fee Letter.</w:t>
            </w:r>
          </w:p>
        </w:tc>
      </w:tr>
    </w:tbl>
    <w:p>
      <w:pPr>
        <w:spacing w:after="0" w:line="45" w:lineRule="exact"/>
        <w:rPr>
          <w:sz w:val="20"/>
          <w:szCs w:val="20"/>
          <w:color w:val="auto"/>
        </w:rPr>
      </w:pPr>
    </w:p>
    <w:p>
      <w:pPr>
        <w:ind w:left="1820" w:right="480" w:hanging="670"/>
        <w:spacing w:after="0" w:line="260" w:lineRule="auto"/>
        <w:tabs>
          <w:tab w:leader="none" w:pos="1820" w:val="left"/>
        </w:tabs>
        <w:numPr>
          <w:ilvl w:val="0"/>
          <w:numId w:val="394"/>
        </w:numPr>
        <w:rPr>
          <w:rFonts w:ascii="Arial" w:cs="Arial" w:eastAsia="Arial" w:hAnsi="Arial"/>
          <w:sz w:val="13"/>
          <w:szCs w:val="13"/>
          <w:color w:val="auto"/>
        </w:rPr>
      </w:pPr>
      <w:r>
        <w:rPr>
          <w:rFonts w:ascii="Arial" w:cs="Arial" w:eastAsia="Arial" w:hAnsi="Arial"/>
          <w:sz w:val="13"/>
          <w:szCs w:val="13"/>
          <w:color w:val="auto"/>
        </w:rPr>
        <w:t xml:space="preserve">If an Accepted Tranche is not disbursed on the Disbursement Date because the conditions precedent set out in Article </w:t>
      </w:r>
      <w:r>
        <w:rPr>
          <w:rFonts w:ascii="Arial" w:cs="Arial" w:eastAsia="Arial" w:hAnsi="Arial"/>
          <w:sz w:val="13"/>
          <w:szCs w:val="13"/>
          <w:u w:val="single" w:color="auto"/>
          <w:color w:val="0000EE"/>
        </w:rPr>
        <w:t>2.5.4</w:t>
      </w:r>
      <w:r>
        <w:rPr>
          <w:rFonts w:ascii="Arial" w:cs="Arial" w:eastAsia="Arial" w:hAnsi="Arial"/>
          <w:sz w:val="13"/>
          <w:szCs w:val="13"/>
          <w:color w:val="auto"/>
        </w:rPr>
        <w:t xml:space="preserve"> (</w:t>
      </w:r>
      <w:r>
        <w:rPr>
          <w:rFonts w:ascii="Arial" w:cs="Arial" w:eastAsia="Arial" w:hAnsi="Arial"/>
          <w:sz w:val="13"/>
          <w:szCs w:val="13"/>
          <w:i w:val="1"/>
          <w:iCs w:val="1"/>
          <w:color w:val="auto"/>
        </w:rPr>
        <w:t>All Tranches – Other</w:t>
      </w:r>
      <w:r>
        <w:rPr>
          <w:rFonts w:ascii="Arial" w:cs="Arial" w:eastAsia="Arial" w:hAnsi="Arial"/>
          <w:sz w:val="13"/>
          <w:szCs w:val="13"/>
          <w:color w:val="auto"/>
        </w:rPr>
        <w:t xml:space="preserve"> </w:t>
      </w:r>
      <w:r>
        <w:rPr>
          <w:rFonts w:ascii="Arial" w:cs="Arial" w:eastAsia="Arial" w:hAnsi="Arial"/>
          <w:sz w:val="13"/>
          <w:szCs w:val="13"/>
          <w:i w:val="1"/>
          <w:iCs w:val="1"/>
          <w:color w:val="auto"/>
        </w:rPr>
        <w:t>Conditions</w:t>
      </w:r>
      <w:r>
        <w:rPr>
          <w:rFonts w:ascii="Arial" w:cs="Arial" w:eastAsia="Arial" w:hAnsi="Arial"/>
          <w:sz w:val="13"/>
          <w:szCs w:val="13"/>
          <w:color w:val="auto"/>
        </w:rPr>
        <w:t>) are not satisfied on such date, such Tranche shall be cancelled and the Borrower shall pay to the Bank the relevant Cancellation Fee in</w:t>
      </w:r>
      <w:r>
        <w:rPr>
          <w:rFonts w:ascii="Arial" w:cs="Arial" w:eastAsia="Arial" w:hAnsi="Arial"/>
          <w:sz w:val="13"/>
          <w:szCs w:val="13"/>
          <w:i w:val="1"/>
          <w:iCs w:val="1"/>
          <w:color w:val="auto"/>
        </w:rPr>
        <w:t xml:space="preserve"> </w:t>
      </w:r>
      <w:r>
        <w:rPr>
          <w:rFonts w:ascii="Arial" w:cs="Arial" w:eastAsia="Arial" w:hAnsi="Arial"/>
          <w:sz w:val="13"/>
          <w:szCs w:val="13"/>
          <w:color w:val="auto"/>
        </w:rPr>
        <w:t>accordance with the terms of the Finance Fee Letter.</w:t>
      </w:r>
    </w:p>
    <w:p>
      <w:pPr>
        <w:spacing w:after="0" w:line="122"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2.8</w:t>
      </w:r>
      <w:r>
        <w:rPr>
          <w:sz w:val="20"/>
          <w:szCs w:val="20"/>
          <w:color w:val="auto"/>
        </w:rPr>
        <w:tab/>
      </w:r>
      <w:r>
        <w:rPr>
          <w:rFonts w:ascii="Arial" w:cs="Arial" w:eastAsia="Arial" w:hAnsi="Arial"/>
          <w:sz w:val="13"/>
          <w:szCs w:val="13"/>
          <w:b w:val="1"/>
          <w:bCs w:val="1"/>
          <w:u w:val="single" w:color="auto"/>
          <w:color w:val="auto"/>
        </w:rPr>
        <w:t>Cancellation after expiry of the Credit</w:t>
      </w:r>
    </w:p>
    <w:p>
      <w:pPr>
        <w:spacing w:after="0" w:line="126" w:lineRule="exact"/>
        <w:rPr>
          <w:sz w:val="20"/>
          <w:szCs w:val="20"/>
          <w:color w:val="auto"/>
        </w:rPr>
      </w:pPr>
    </w:p>
    <w:p>
      <w:pPr>
        <w:jc w:val="both"/>
        <w:ind w:left="1160" w:right="120"/>
        <w:spacing w:after="0" w:line="249" w:lineRule="auto"/>
        <w:rPr>
          <w:sz w:val="20"/>
          <w:szCs w:val="20"/>
          <w:color w:val="auto"/>
        </w:rPr>
      </w:pPr>
      <w:r>
        <w:rPr>
          <w:rFonts w:ascii="Arial" w:cs="Arial" w:eastAsia="Arial" w:hAnsi="Arial"/>
          <w:sz w:val="13"/>
          <w:szCs w:val="13"/>
          <w:color w:val="auto"/>
        </w:rPr>
        <w:t xml:space="preserve">On the day following the Final Availability Date, and unless otherwise specifically agreed to in writing by the Bank, any part of the Credit in respect of which no Disbursement Acceptance has been received in accordance with Article </w:t>
      </w:r>
      <w:r>
        <w:rPr>
          <w:rFonts w:ascii="Arial" w:cs="Arial" w:eastAsia="Arial" w:hAnsi="Arial"/>
          <w:sz w:val="13"/>
          <w:szCs w:val="13"/>
          <w:u w:val="single" w:color="auto"/>
          <w:color w:val="0000EE"/>
        </w:rPr>
        <w:t>2.2.3</w:t>
      </w:r>
      <w:r>
        <w:rPr>
          <w:rFonts w:ascii="Arial" w:cs="Arial" w:eastAsia="Arial" w:hAnsi="Arial"/>
          <w:sz w:val="13"/>
          <w:szCs w:val="13"/>
          <w:color w:val="auto"/>
        </w:rPr>
        <w:t xml:space="preserve"> (</w:t>
      </w:r>
      <w:r>
        <w:rPr>
          <w:rFonts w:ascii="Arial" w:cs="Arial" w:eastAsia="Arial" w:hAnsi="Arial"/>
          <w:sz w:val="13"/>
          <w:szCs w:val="13"/>
          <w:i w:val="1"/>
          <w:iCs w:val="1"/>
          <w:color w:val="auto"/>
        </w:rPr>
        <w:t>Disbursement Acceptance</w:t>
      </w:r>
      <w:r>
        <w:rPr>
          <w:rFonts w:ascii="Arial" w:cs="Arial" w:eastAsia="Arial" w:hAnsi="Arial"/>
          <w:sz w:val="13"/>
          <w:szCs w:val="13"/>
          <w:color w:val="auto"/>
        </w:rPr>
        <w:t>) shall be automatically cancelled, without any notice being served by the Bank to the Borrower.</w:t>
      </w:r>
    </w:p>
    <w:p>
      <w:pPr>
        <w:spacing w:after="0" w:line="129"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2.9</w:t>
      </w:r>
      <w:r>
        <w:rPr>
          <w:sz w:val="20"/>
          <w:szCs w:val="20"/>
          <w:color w:val="auto"/>
        </w:rPr>
        <w:tab/>
      </w:r>
      <w:r>
        <w:rPr>
          <w:rFonts w:ascii="Arial" w:cs="Arial" w:eastAsia="Arial" w:hAnsi="Arial"/>
          <w:sz w:val="13"/>
          <w:szCs w:val="13"/>
          <w:b w:val="1"/>
          <w:bCs w:val="1"/>
          <w:u w:val="single" w:color="auto"/>
          <w:color w:val="auto"/>
        </w:rPr>
        <w:t>Standby fee</w:t>
      </w:r>
    </w:p>
    <w:p>
      <w:pPr>
        <w:spacing w:after="0" w:line="126" w:lineRule="exact"/>
        <w:rPr>
          <w:sz w:val="20"/>
          <w:szCs w:val="20"/>
          <w:color w:val="auto"/>
        </w:rPr>
      </w:pPr>
    </w:p>
    <w:p>
      <w:pPr>
        <w:ind w:left="1820" w:hanging="670"/>
        <w:spacing w:after="0"/>
        <w:tabs>
          <w:tab w:leader="none" w:pos="1820" w:val="left"/>
        </w:tabs>
        <w:numPr>
          <w:ilvl w:val="0"/>
          <w:numId w:val="395"/>
        </w:numPr>
        <w:rPr>
          <w:rFonts w:ascii="Arial" w:cs="Arial" w:eastAsia="Arial" w:hAnsi="Arial"/>
          <w:sz w:val="13"/>
          <w:szCs w:val="13"/>
          <w:color w:val="auto"/>
        </w:rPr>
      </w:pPr>
      <w:r>
        <w:rPr>
          <w:rFonts w:ascii="Arial" w:cs="Arial" w:eastAsia="Arial" w:hAnsi="Arial"/>
          <w:sz w:val="13"/>
          <w:szCs w:val="13"/>
          <w:color w:val="auto"/>
        </w:rPr>
        <w:t>The Borrower shall pay to the Bank the Standby Fee in accordance with the terms of the Finance Fee Letter.</w:t>
      </w:r>
    </w:p>
    <w:p>
      <w:pPr>
        <w:spacing w:after="0" w:line="56" w:lineRule="exact"/>
        <w:rPr>
          <w:rFonts w:ascii="Arial" w:cs="Arial" w:eastAsia="Arial" w:hAnsi="Arial"/>
          <w:sz w:val="13"/>
          <w:szCs w:val="13"/>
          <w:color w:val="auto"/>
        </w:rPr>
      </w:pPr>
    </w:p>
    <w:p>
      <w:pPr>
        <w:ind w:left="1820" w:hanging="670"/>
        <w:spacing w:after="0"/>
        <w:tabs>
          <w:tab w:leader="none" w:pos="1820" w:val="left"/>
        </w:tabs>
        <w:numPr>
          <w:ilvl w:val="0"/>
          <w:numId w:val="395"/>
        </w:numPr>
        <w:rPr>
          <w:rFonts w:ascii="Arial" w:cs="Arial" w:eastAsia="Arial" w:hAnsi="Arial"/>
          <w:sz w:val="13"/>
          <w:szCs w:val="13"/>
          <w:color w:val="auto"/>
        </w:rPr>
      </w:pPr>
      <w:r>
        <w:rPr>
          <w:rFonts w:ascii="Arial" w:cs="Arial" w:eastAsia="Arial" w:hAnsi="Arial"/>
          <w:sz w:val="13"/>
          <w:szCs w:val="13"/>
          <w:color w:val="auto"/>
        </w:rPr>
        <w:t xml:space="preserve">For the avoidance of doubt, the Standby Fee payable under this Article </w:t>
      </w:r>
      <w:hyperlink w:anchor="page357">
        <w:r>
          <w:rPr>
            <w:rFonts w:ascii="Arial" w:cs="Arial" w:eastAsia="Arial" w:hAnsi="Arial"/>
            <w:sz w:val="13"/>
            <w:szCs w:val="13"/>
            <w:u w:val="single" w:color="auto"/>
            <w:color w:val="0000EE"/>
          </w:rPr>
          <w:t>2.9</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Standby fee</w:t>
      </w:r>
      <w:r>
        <w:rPr>
          <w:rFonts w:ascii="Arial" w:cs="Arial" w:eastAsia="Arial" w:hAnsi="Arial"/>
          <w:sz w:val="13"/>
          <w:szCs w:val="13"/>
          <w:color w:val="auto"/>
        </w:rPr>
        <w:t>) is independent of any other fees stipulated in this Contract.</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b w:val="1"/>
                <w:bCs w:val="1"/>
                <w:color w:val="auto"/>
              </w:rPr>
              <w:t>2.10</w:t>
            </w:r>
          </w:p>
        </w:tc>
        <w:tc>
          <w:tcPr>
            <w:tcW w:w="2020" w:type="dxa"/>
            <w:vAlign w:val="bottom"/>
            <w:gridSpan w:val="4"/>
          </w:tcPr>
          <w:p>
            <w:pPr>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Sums due under </w:t>
            </w:r>
            <w:hyperlink w:anchor="page354">
              <w:r>
                <w:rPr>
                  <w:rFonts w:ascii="Arial" w:cs="Arial" w:eastAsia="Arial" w:hAnsi="Arial"/>
                  <w:sz w:val="13"/>
                  <w:szCs w:val="13"/>
                  <w:b w:val="1"/>
                  <w:bCs w:val="1"/>
                  <w:color w:val="0000EE"/>
                </w:rPr>
                <w:t>Article 2</w:t>
              </w:r>
            </w:hyperlink>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r>
      <w:tr>
        <w:trPr>
          <w:trHeight w:val="259"/>
        </w:trPr>
        <w:tc>
          <w:tcPr>
            <w:tcW w:w="1020" w:type="dxa"/>
            <w:vAlign w:val="bottom"/>
          </w:tcPr>
          <w:p>
            <w:pPr>
              <w:spacing w:after="0"/>
              <w:rPr>
                <w:sz w:val="22"/>
                <w:szCs w:val="22"/>
                <w:color w:val="auto"/>
              </w:rPr>
            </w:pPr>
          </w:p>
        </w:tc>
        <w:tc>
          <w:tcPr>
            <w:tcW w:w="5460" w:type="dxa"/>
            <w:vAlign w:val="bottom"/>
            <w:gridSpan w:val="12"/>
          </w:tcPr>
          <w:p>
            <w:pPr>
              <w:ind w:left="20"/>
              <w:spacing w:after="0"/>
              <w:rPr>
                <w:sz w:val="20"/>
                <w:szCs w:val="20"/>
                <w:color w:val="auto"/>
              </w:rPr>
            </w:pPr>
            <w:r>
              <w:rPr>
                <w:rFonts w:ascii="Arial" w:cs="Arial" w:eastAsia="Arial" w:hAnsi="Arial"/>
                <w:sz w:val="13"/>
                <w:szCs w:val="13"/>
                <w:color w:val="auto"/>
              </w:rPr>
              <w:t>Sums due under this Article 2 shall be payable in EUR. Sums due under this Article 2 shall</w:t>
            </w:r>
          </w:p>
        </w:tc>
        <w:tc>
          <w:tcPr>
            <w:tcW w:w="4540" w:type="dxa"/>
            <w:vAlign w:val="bottom"/>
            <w:gridSpan w:val="4"/>
          </w:tcPr>
          <w:p>
            <w:pPr>
              <w:jc w:val="right"/>
              <w:spacing w:after="0"/>
              <w:rPr>
                <w:sz w:val="20"/>
                <w:szCs w:val="20"/>
                <w:color w:val="auto"/>
              </w:rPr>
            </w:pPr>
            <w:r>
              <w:rPr>
                <w:rFonts w:ascii="Arial" w:cs="Arial" w:eastAsia="Arial" w:hAnsi="Arial"/>
                <w:sz w:val="13"/>
                <w:szCs w:val="13"/>
                <w:color w:val="auto"/>
              </w:rPr>
              <w:t>be payable within [***] days of the Borrower's receipt of the Bank's demand</w:t>
            </w:r>
          </w:p>
        </w:tc>
      </w:tr>
      <w:tr>
        <w:trPr>
          <w:trHeight w:val="161"/>
        </w:trPr>
        <w:tc>
          <w:tcPr>
            <w:tcW w:w="10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or within</w:t>
            </w:r>
          </w:p>
        </w:tc>
        <w:tc>
          <w:tcPr>
            <w:tcW w:w="4900" w:type="dxa"/>
            <w:vAlign w:val="bottom"/>
            <w:gridSpan w:val="11"/>
          </w:tcPr>
          <w:p>
            <w:pPr>
              <w:ind w:left="40"/>
              <w:spacing w:after="0"/>
              <w:rPr>
                <w:sz w:val="20"/>
                <w:szCs w:val="20"/>
                <w:color w:val="auto"/>
              </w:rPr>
            </w:pPr>
            <w:r>
              <w:rPr>
                <w:rFonts w:ascii="Arial" w:cs="Arial" w:eastAsia="Arial" w:hAnsi="Arial"/>
                <w:sz w:val="13"/>
                <w:szCs w:val="13"/>
                <w:color w:val="auto"/>
              </w:rPr>
              <w:t>any longer period specified in the Bank's demand.</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60"/>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6"/>
          </w:tcPr>
          <w:p>
            <w:pPr>
              <w:jc w:val="center"/>
              <w:ind w:right="640"/>
              <w:spacing w:after="0"/>
              <w:rPr>
                <w:sz w:val="20"/>
                <w:szCs w:val="20"/>
                <w:color w:val="auto"/>
              </w:rPr>
            </w:pPr>
            <w:r>
              <w:rPr>
                <w:rFonts w:ascii="Arial" w:cs="Arial" w:eastAsia="Arial" w:hAnsi="Arial"/>
                <w:sz w:val="13"/>
                <w:szCs w:val="13"/>
                <w:b w:val="1"/>
                <w:bCs w:val="1"/>
                <w:color w:val="auto"/>
              </w:rPr>
              <w:t>ARTICLE 3</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rPr>
              <w:t>The Loan</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70"/>
        </w:trPr>
        <w:tc>
          <w:tcPr>
            <w:tcW w:w="1020" w:type="dxa"/>
            <w:vAlign w:val="bottom"/>
          </w:tcPr>
          <w:p>
            <w:pPr>
              <w:spacing w:after="0"/>
              <w:rPr>
                <w:sz w:val="20"/>
                <w:szCs w:val="20"/>
                <w:color w:val="auto"/>
              </w:rPr>
            </w:pPr>
            <w:r>
              <w:rPr>
                <w:rFonts w:ascii="Arial" w:cs="Arial" w:eastAsia="Arial" w:hAnsi="Arial"/>
                <w:sz w:val="13"/>
                <w:szCs w:val="13"/>
                <w:b w:val="1"/>
                <w:bCs w:val="1"/>
                <w:color w:val="auto"/>
              </w:rPr>
              <w:t>3.1</w:t>
            </w: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Amount of Loan</w:t>
            </w:r>
          </w:p>
        </w:tc>
        <w:tc>
          <w:tcPr>
            <w:tcW w:w="94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5460" w:type="dxa"/>
            <w:vAlign w:val="bottom"/>
            <w:gridSpan w:val="12"/>
          </w:tcPr>
          <w:p>
            <w:pPr>
              <w:ind w:left="20"/>
              <w:spacing w:after="0"/>
              <w:rPr>
                <w:sz w:val="20"/>
                <w:szCs w:val="20"/>
                <w:color w:val="auto"/>
              </w:rPr>
            </w:pPr>
            <w:r>
              <w:rPr>
                <w:rFonts w:ascii="Arial" w:cs="Arial" w:eastAsia="Arial" w:hAnsi="Arial"/>
                <w:sz w:val="13"/>
                <w:szCs w:val="13"/>
                <w:color w:val="auto"/>
              </w:rPr>
              <w:t>The Loan shall comprise the aggregate amount of Tranches disbursed by the Bank under</w:t>
            </w:r>
          </w:p>
        </w:tc>
        <w:tc>
          <w:tcPr>
            <w:tcW w:w="1880" w:type="dxa"/>
            <w:vAlign w:val="bottom"/>
            <w:gridSpan w:val="3"/>
          </w:tcPr>
          <w:p>
            <w:pPr>
              <w:ind w:left="40"/>
              <w:spacing w:after="0"/>
              <w:rPr>
                <w:sz w:val="20"/>
                <w:szCs w:val="20"/>
                <w:color w:val="auto"/>
              </w:rPr>
            </w:pPr>
            <w:r>
              <w:rPr>
                <w:rFonts w:ascii="Arial" w:cs="Arial" w:eastAsia="Arial" w:hAnsi="Arial"/>
                <w:sz w:val="13"/>
                <w:szCs w:val="13"/>
                <w:color w:val="auto"/>
              </w:rPr>
              <w:t>the Credit.</w:t>
            </w:r>
          </w:p>
        </w:tc>
        <w:tc>
          <w:tcPr>
            <w:tcW w:w="2660" w:type="dxa"/>
            <w:vAlign w:val="bottom"/>
          </w:tcPr>
          <w:p>
            <w:pPr>
              <w:spacing w:after="0"/>
              <w:rPr>
                <w:sz w:val="23"/>
                <w:szCs w:val="23"/>
                <w:color w:val="auto"/>
              </w:rPr>
            </w:pPr>
          </w:p>
        </w:tc>
      </w:tr>
      <w:tr>
        <w:trPr>
          <w:trHeight w:val="280"/>
        </w:trPr>
        <w:tc>
          <w:tcPr>
            <w:tcW w:w="1020" w:type="dxa"/>
            <w:vAlign w:val="bottom"/>
          </w:tcPr>
          <w:p>
            <w:pPr>
              <w:spacing w:after="0"/>
              <w:rPr>
                <w:sz w:val="20"/>
                <w:szCs w:val="20"/>
                <w:color w:val="auto"/>
              </w:rPr>
            </w:pPr>
            <w:r>
              <w:rPr>
                <w:rFonts w:ascii="Arial" w:cs="Arial" w:eastAsia="Arial" w:hAnsi="Arial"/>
                <w:sz w:val="13"/>
                <w:szCs w:val="13"/>
                <w:b w:val="1"/>
                <w:bCs w:val="1"/>
                <w:color w:val="auto"/>
              </w:rPr>
              <w:t>3.2</w:t>
            </w:r>
          </w:p>
        </w:tc>
        <w:tc>
          <w:tcPr>
            <w:tcW w:w="316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Currency of repayment, interest and other charges</w:t>
            </w:r>
          </w:p>
        </w:tc>
        <w:tc>
          <w:tcPr>
            <w:tcW w:w="2300" w:type="dxa"/>
            <w:vAlign w:val="bottom"/>
            <w:gridSpan w:val="7"/>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(a)</w:t>
            </w:r>
          </w:p>
        </w:tc>
        <w:tc>
          <w:tcPr>
            <w:tcW w:w="9440" w:type="dxa"/>
            <w:vAlign w:val="bottom"/>
            <w:gridSpan w:val="15"/>
          </w:tcPr>
          <w:p>
            <w:pPr>
              <w:ind w:left="120"/>
              <w:spacing w:after="0"/>
              <w:rPr>
                <w:sz w:val="20"/>
                <w:szCs w:val="20"/>
                <w:color w:val="auto"/>
              </w:rPr>
            </w:pPr>
            <w:r>
              <w:rPr>
                <w:rFonts w:ascii="Arial" w:cs="Arial" w:eastAsia="Arial" w:hAnsi="Arial"/>
                <w:sz w:val="13"/>
                <w:szCs w:val="13"/>
                <w:color w:val="auto"/>
              </w:rPr>
              <w:t>Interest, Participation Payments, repayments and other charges payable in respect of each Tranche shall be made by the Borrower in EUR.</w:t>
            </w:r>
          </w:p>
        </w:tc>
      </w:tr>
      <w:tr>
        <w:trPr>
          <w:trHeight w:val="199"/>
        </w:trPr>
        <w:tc>
          <w:tcPr>
            <w:tcW w:w="10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(b)</w:t>
            </w:r>
          </w:p>
        </w:tc>
        <w:tc>
          <w:tcPr>
            <w:tcW w:w="9440" w:type="dxa"/>
            <w:vAlign w:val="bottom"/>
            <w:gridSpan w:val="15"/>
          </w:tcPr>
          <w:p>
            <w:pPr>
              <w:ind w:left="120"/>
              <w:spacing w:after="0"/>
              <w:rPr>
                <w:sz w:val="20"/>
                <w:szCs w:val="20"/>
                <w:color w:val="auto"/>
              </w:rPr>
            </w:pPr>
            <w:r>
              <w:rPr>
                <w:rFonts w:ascii="Arial" w:cs="Arial" w:eastAsia="Arial" w:hAnsi="Arial"/>
                <w:sz w:val="13"/>
                <w:szCs w:val="13"/>
                <w:color w:val="auto"/>
              </w:rPr>
              <w:t>Any other payment shall be made in the currency specified by the Bank having regard to the currency of the expenditure to be reimbursed by means of that</w:t>
            </w:r>
          </w:p>
        </w:tc>
      </w:tr>
      <w:tr>
        <w:trPr>
          <w:trHeight w:val="161"/>
        </w:trPr>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gridSpan w:val="3"/>
          </w:tcPr>
          <w:p>
            <w:pPr>
              <w:ind w:left="120"/>
              <w:spacing w:after="0"/>
              <w:rPr>
                <w:sz w:val="20"/>
                <w:szCs w:val="20"/>
                <w:color w:val="auto"/>
              </w:rPr>
            </w:pPr>
            <w:r>
              <w:rPr>
                <w:rFonts w:ascii="Arial" w:cs="Arial" w:eastAsia="Arial" w:hAnsi="Arial"/>
                <w:sz w:val="13"/>
                <w:szCs w:val="13"/>
                <w:color w:val="auto"/>
              </w:rPr>
              <w:t>payment.</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360"/>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6"/>
          </w:tcPr>
          <w:p>
            <w:pPr>
              <w:jc w:val="center"/>
              <w:ind w:right="640"/>
              <w:spacing w:after="0"/>
              <w:rPr>
                <w:sz w:val="20"/>
                <w:szCs w:val="20"/>
                <w:color w:val="auto"/>
              </w:rPr>
            </w:pPr>
            <w:r>
              <w:rPr>
                <w:rFonts w:ascii="Arial" w:cs="Arial" w:eastAsia="Arial" w:hAnsi="Arial"/>
                <w:sz w:val="13"/>
                <w:szCs w:val="13"/>
                <w:b w:val="1"/>
                <w:bCs w:val="1"/>
                <w:color w:val="auto"/>
              </w:rPr>
              <w:t>ARTICLE 4</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rPr>
              <w:t>Interest</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70"/>
        </w:trPr>
        <w:tc>
          <w:tcPr>
            <w:tcW w:w="1020" w:type="dxa"/>
            <w:vAlign w:val="bottom"/>
          </w:tcPr>
          <w:p>
            <w:pPr>
              <w:spacing w:after="0"/>
              <w:rPr>
                <w:sz w:val="20"/>
                <w:szCs w:val="20"/>
                <w:color w:val="auto"/>
              </w:rPr>
            </w:pPr>
            <w:r>
              <w:rPr>
                <w:rFonts w:ascii="Arial" w:cs="Arial" w:eastAsia="Arial" w:hAnsi="Arial"/>
                <w:sz w:val="13"/>
                <w:szCs w:val="13"/>
                <w:b w:val="1"/>
                <w:bCs w:val="1"/>
                <w:color w:val="auto"/>
              </w:rPr>
              <w:t>4.1</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Cash Interest Fixed Rate</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5460" w:type="dxa"/>
            <w:vAlign w:val="bottom"/>
            <w:gridSpan w:val="12"/>
          </w:tcPr>
          <w:p>
            <w:pPr>
              <w:ind w:left="20"/>
              <w:spacing w:after="0"/>
              <w:rPr>
                <w:sz w:val="20"/>
                <w:szCs w:val="20"/>
                <w:color w:val="auto"/>
              </w:rPr>
            </w:pPr>
            <w:r>
              <w:rPr>
                <w:rFonts w:ascii="Arial" w:cs="Arial" w:eastAsia="Arial" w:hAnsi="Arial"/>
                <w:sz w:val="13"/>
                <w:szCs w:val="13"/>
                <w:color w:val="auto"/>
              </w:rPr>
              <w:t>The Borrower shall pay interest on the outstanding balance of each Tranche under Credit A</w:t>
            </w:r>
          </w:p>
        </w:tc>
        <w:tc>
          <w:tcPr>
            <w:tcW w:w="4540" w:type="dxa"/>
            <w:vAlign w:val="bottom"/>
            <w:gridSpan w:val="4"/>
          </w:tcPr>
          <w:p>
            <w:pPr>
              <w:jc w:val="right"/>
              <w:spacing w:after="0"/>
              <w:rPr>
                <w:sz w:val="20"/>
                <w:szCs w:val="20"/>
                <w:color w:val="auto"/>
              </w:rPr>
            </w:pPr>
            <w:r>
              <w:rPr>
                <w:rFonts w:ascii="Arial" w:cs="Arial" w:eastAsia="Arial" w:hAnsi="Arial"/>
                <w:sz w:val="13"/>
                <w:szCs w:val="13"/>
                <w:color w:val="auto"/>
              </w:rPr>
              <w:t>and Credit B at the respective Cash Interest Fixed Rate quarterly in arrear</w:t>
            </w:r>
          </w:p>
        </w:tc>
      </w:tr>
      <w:tr>
        <w:trPr>
          <w:trHeight w:val="145"/>
        </w:trPr>
        <w:tc>
          <w:tcPr>
            <w:tcW w:w="1020" w:type="dxa"/>
            <w:vAlign w:val="bottom"/>
          </w:tcPr>
          <w:p>
            <w:pPr>
              <w:spacing w:after="0"/>
              <w:rPr>
                <w:sz w:val="12"/>
                <w:szCs w:val="12"/>
                <w:color w:val="auto"/>
              </w:rPr>
            </w:pPr>
          </w:p>
        </w:tc>
        <w:tc>
          <w:tcPr>
            <w:tcW w:w="2020" w:type="dxa"/>
            <w:vAlign w:val="bottom"/>
            <w:gridSpan w:val="4"/>
          </w:tcPr>
          <w:p>
            <w:pPr>
              <w:ind w:left="20"/>
              <w:spacing w:after="0" w:line="145" w:lineRule="exact"/>
              <w:rPr>
                <w:sz w:val="20"/>
                <w:szCs w:val="20"/>
                <w:color w:val="auto"/>
              </w:rPr>
            </w:pPr>
            <w:r>
              <w:rPr>
                <w:rFonts w:ascii="Arial" w:cs="Arial" w:eastAsia="Arial" w:hAnsi="Arial"/>
                <w:sz w:val="13"/>
                <w:szCs w:val="13"/>
                <w:color w:val="auto"/>
              </w:rPr>
              <w:t>on the relevant Payment Dates</w:t>
            </w:r>
          </w:p>
        </w:tc>
        <w:tc>
          <w:tcPr>
            <w:tcW w:w="5320" w:type="dxa"/>
            <w:vAlign w:val="bottom"/>
            <w:gridSpan w:val="11"/>
          </w:tcPr>
          <w:p>
            <w:pPr>
              <w:ind w:left="20"/>
              <w:spacing w:after="0" w:line="145" w:lineRule="exact"/>
              <w:rPr>
                <w:rFonts w:ascii="Arial" w:cs="Arial" w:eastAsia="Arial" w:hAnsi="Arial"/>
                <w:sz w:val="13"/>
                <w:szCs w:val="13"/>
                <w:color w:val="auto"/>
              </w:rPr>
            </w:pPr>
            <w:r>
              <w:rPr>
                <w:rFonts w:ascii="Arial" w:cs="Arial" w:eastAsia="Arial" w:hAnsi="Arial"/>
                <w:sz w:val="13"/>
                <w:szCs w:val="13"/>
                <w:color w:val="auto"/>
              </w:rPr>
              <w:t xml:space="preserve">specified in the Disbursement Offer, and calculated on the basis of Article </w:t>
            </w:r>
            <w:hyperlink w:anchor="page361">
              <w:r>
                <w:rPr>
                  <w:rFonts w:ascii="Arial" w:cs="Arial" w:eastAsia="Arial" w:hAnsi="Arial"/>
                  <w:sz w:val="13"/>
                  <w:szCs w:val="13"/>
                  <w:color w:val="0000EE"/>
                </w:rPr>
                <w:t>6.1</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Day</w:t>
            </w:r>
          </w:p>
        </w:tc>
        <w:tc>
          <w:tcPr>
            <w:tcW w:w="2660" w:type="dxa"/>
            <w:vAlign w:val="bottom"/>
          </w:tcPr>
          <w:p>
            <w:pPr>
              <w:jc w:val="right"/>
              <w:spacing w:after="0" w:line="145" w:lineRule="exact"/>
              <w:rPr>
                <w:sz w:val="20"/>
                <w:szCs w:val="20"/>
                <w:color w:val="auto"/>
              </w:rPr>
            </w:pPr>
            <w:r>
              <w:rPr>
                <w:rFonts w:ascii="Arial" w:cs="Arial" w:eastAsia="Arial" w:hAnsi="Arial"/>
                <w:sz w:val="13"/>
                <w:szCs w:val="13"/>
                <w:i w:val="1"/>
                <w:iCs w:val="1"/>
                <w:color w:val="auto"/>
              </w:rPr>
              <w:t>count convention</w:t>
            </w:r>
            <w:r>
              <w:rPr>
                <w:rFonts w:ascii="Arial" w:cs="Arial" w:eastAsia="Arial" w:hAnsi="Arial"/>
                <w:sz w:val="13"/>
                <w:szCs w:val="13"/>
                <w:color w:val="auto"/>
              </w:rPr>
              <w:t>).  If  the period  from  the</w:t>
            </w:r>
          </w:p>
        </w:tc>
      </w:tr>
      <w:tr>
        <w:trPr>
          <w:trHeight w:val="20"/>
        </w:trPr>
        <w:tc>
          <w:tcPr>
            <w:tcW w:w="10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2020" w:type="dxa"/>
            <w:vAlign w:val="bottom"/>
            <w:gridSpan w:val="4"/>
          </w:tcPr>
          <w:p>
            <w:pPr>
              <w:ind w:left="20"/>
              <w:spacing w:after="0"/>
              <w:rPr>
                <w:sz w:val="20"/>
                <w:szCs w:val="20"/>
                <w:color w:val="auto"/>
              </w:rPr>
            </w:pPr>
            <w:r>
              <w:rPr>
                <w:rFonts w:ascii="Arial" w:cs="Arial" w:eastAsia="Arial" w:hAnsi="Arial"/>
                <w:sz w:val="13"/>
                <w:szCs w:val="13"/>
                <w:color w:val="auto"/>
              </w:rPr>
              <w:t>Disbursement Date to the first</w:t>
            </w:r>
          </w:p>
        </w:tc>
        <w:tc>
          <w:tcPr>
            <w:tcW w:w="5320" w:type="dxa"/>
            <w:vAlign w:val="bottom"/>
            <w:gridSpan w:val="11"/>
          </w:tcPr>
          <w:p>
            <w:pPr>
              <w:ind w:left="40"/>
              <w:spacing w:after="0"/>
              <w:rPr>
                <w:sz w:val="20"/>
                <w:szCs w:val="20"/>
                <w:color w:val="auto"/>
              </w:rPr>
            </w:pPr>
            <w:r>
              <w:rPr>
                <w:rFonts w:ascii="Arial" w:cs="Arial" w:eastAsia="Arial" w:hAnsi="Arial"/>
                <w:sz w:val="13"/>
                <w:szCs w:val="13"/>
                <w:color w:val="auto"/>
              </w:rPr>
              <w:t>Payment Date is [***] days or less then the payment of interest accrued during such</w:t>
            </w:r>
          </w:p>
        </w:tc>
        <w:tc>
          <w:tcPr>
            <w:tcW w:w="2660" w:type="dxa"/>
            <w:vAlign w:val="bottom"/>
          </w:tcPr>
          <w:p>
            <w:pPr>
              <w:jc w:val="right"/>
              <w:spacing w:after="0"/>
              <w:rPr>
                <w:sz w:val="20"/>
                <w:szCs w:val="20"/>
                <w:color w:val="auto"/>
              </w:rPr>
            </w:pPr>
            <w:r>
              <w:rPr>
                <w:rFonts w:ascii="Arial" w:cs="Arial" w:eastAsia="Arial" w:hAnsi="Arial"/>
                <w:sz w:val="13"/>
                <w:szCs w:val="13"/>
                <w:color w:val="auto"/>
              </w:rPr>
              <w:t>period shall be postponed to the following</w:t>
            </w:r>
          </w:p>
        </w:tc>
      </w:tr>
      <w:tr>
        <w:trPr>
          <w:trHeight w:val="161"/>
        </w:trPr>
        <w:tc>
          <w:tcPr>
            <w:tcW w:w="1020" w:type="dxa"/>
            <w:vAlign w:val="bottom"/>
          </w:tcPr>
          <w:p>
            <w:pPr>
              <w:spacing w:after="0"/>
              <w:rPr>
                <w:sz w:val="13"/>
                <w:szCs w:val="13"/>
                <w:color w:val="auto"/>
              </w:rPr>
            </w:pPr>
          </w:p>
        </w:tc>
        <w:tc>
          <w:tcPr>
            <w:tcW w:w="2020" w:type="dxa"/>
            <w:vAlign w:val="bottom"/>
            <w:gridSpan w:val="4"/>
          </w:tcPr>
          <w:p>
            <w:pPr>
              <w:ind w:left="20"/>
              <w:spacing w:after="0"/>
              <w:rPr>
                <w:sz w:val="20"/>
                <w:szCs w:val="20"/>
                <w:color w:val="auto"/>
              </w:rPr>
            </w:pPr>
            <w:r>
              <w:rPr>
                <w:rFonts w:ascii="Arial" w:cs="Arial" w:eastAsia="Arial" w:hAnsi="Arial"/>
                <w:sz w:val="13"/>
                <w:szCs w:val="13"/>
                <w:color w:val="auto"/>
              </w:rPr>
              <w:t>Payment Date.</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60" w:type="dxa"/>
            <w:vAlign w:val="bottom"/>
          </w:tcPr>
          <w:p>
            <w:pPr>
              <w:spacing w:after="0"/>
              <w:rPr>
                <w:sz w:val="13"/>
                <w:szCs w:val="13"/>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57" w:name="page358"/>
    <w:bookmarkEnd w:id="357"/>
    <w:tbl>
      <w:tblPr>
        <w:tblLayout w:type="fixed"/>
        <w:tblInd w:w="12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80" w:type="dxa"/>
            <w:vAlign w:val="bottom"/>
          </w:tcPr>
          <w:p>
            <w:pPr>
              <w:ind w:left="4800"/>
              <w:spacing w:after="0"/>
              <w:rPr>
                <w:sz w:val="20"/>
                <w:szCs w:val="20"/>
                <w:color w:val="auto"/>
              </w:rPr>
            </w:pPr>
            <w:r>
              <w:rPr>
                <w:rFonts w:ascii="Arial" w:cs="Arial" w:eastAsia="Arial" w:hAnsi="Arial"/>
                <w:sz w:val="13"/>
                <w:szCs w:val="13"/>
                <w:b w:val="1"/>
                <w:bCs w:val="1"/>
                <w:color w:val="auto"/>
                <w:w w:val="91"/>
              </w:rPr>
              <w:t>Exhibit 4.41</w:t>
            </w:r>
          </w:p>
        </w:tc>
      </w:tr>
      <w:tr>
        <w:trPr>
          <w:trHeight w:val="160"/>
        </w:trPr>
        <w:tc>
          <w:tcPr>
            <w:tcW w:w="1020" w:type="dxa"/>
            <w:vAlign w:val="bottom"/>
          </w:tcPr>
          <w:p>
            <w:pPr>
              <w:jc w:val="right"/>
              <w:ind w:right="773"/>
              <w:spacing w:after="0"/>
              <w:rPr>
                <w:sz w:val="20"/>
                <w:szCs w:val="20"/>
                <w:color w:val="auto"/>
              </w:rPr>
            </w:pPr>
            <w:r>
              <w:rPr>
                <w:rFonts w:ascii="Arial" w:cs="Arial" w:eastAsia="Arial" w:hAnsi="Arial"/>
                <w:sz w:val="13"/>
                <w:szCs w:val="13"/>
                <w:b w:val="1"/>
                <w:bCs w:val="1"/>
                <w:color w:val="auto"/>
                <w:w w:val="88"/>
              </w:rPr>
              <w:t>4.2</w:t>
            </w: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Deferred Interest Fixed Rate</w:t>
            </w:r>
          </w:p>
        </w:tc>
        <w:tc>
          <w:tcPr>
            <w:tcW w:w="8360" w:type="dxa"/>
            <w:vAlign w:val="bottom"/>
            <w:gridSpan w:val="3"/>
          </w:tcPr>
          <w:p>
            <w:pPr>
              <w:spacing w:after="0"/>
              <w:rPr>
                <w:sz w:val="13"/>
                <w:szCs w:val="13"/>
                <w:color w:val="auto"/>
              </w:rPr>
            </w:pPr>
          </w:p>
        </w:tc>
      </w:tr>
      <w:tr>
        <w:trPr>
          <w:trHeight w:val="245"/>
        </w:trPr>
        <w:tc>
          <w:tcPr>
            <w:tcW w:w="1020" w:type="dxa"/>
            <w:vAlign w:val="bottom"/>
          </w:tcPr>
          <w:p>
            <w:pPr>
              <w:spacing w:after="0"/>
              <w:rPr>
                <w:sz w:val="21"/>
                <w:szCs w:val="21"/>
                <w:color w:val="auto"/>
              </w:rPr>
            </w:pPr>
          </w:p>
        </w:tc>
        <w:tc>
          <w:tcPr>
            <w:tcW w:w="10120" w:type="dxa"/>
            <w:vAlign w:val="bottom"/>
            <w:gridSpan w:val="5"/>
          </w:tcPr>
          <w:p>
            <w:pPr>
              <w:ind w:left="20"/>
              <w:spacing w:after="0"/>
              <w:rPr>
                <w:sz w:val="20"/>
                <w:szCs w:val="20"/>
                <w:color w:val="auto"/>
              </w:rPr>
            </w:pPr>
            <w:r>
              <w:rPr>
                <w:rFonts w:ascii="Arial" w:cs="Arial" w:eastAsia="Arial" w:hAnsi="Arial"/>
                <w:sz w:val="13"/>
                <w:szCs w:val="13"/>
                <w:color w:val="auto"/>
              </w:rPr>
              <w:t>In addition to the interest payable pursuant to Article 4.1 (</w:t>
            </w:r>
            <w:r>
              <w:rPr>
                <w:rFonts w:ascii="Arial" w:cs="Arial" w:eastAsia="Arial" w:hAnsi="Arial"/>
                <w:sz w:val="13"/>
                <w:szCs w:val="13"/>
                <w:i w:val="1"/>
                <w:iCs w:val="1"/>
                <w:color w:val="auto"/>
              </w:rPr>
              <w:t>Cash Interest Fixed Rate</w:t>
            </w:r>
            <w:r>
              <w:rPr>
                <w:rFonts w:ascii="Arial" w:cs="Arial" w:eastAsia="Arial" w:hAnsi="Arial"/>
                <w:sz w:val="13"/>
                <w:szCs w:val="13"/>
                <w:color w:val="auto"/>
              </w:rPr>
              <w:t>), interest  shall accrue on the outstanding balance of each Tranche under Credit A</w:t>
            </w:r>
          </w:p>
        </w:tc>
      </w:tr>
      <w:tr>
        <w:trPr>
          <w:trHeight w:val="145"/>
        </w:trPr>
        <w:tc>
          <w:tcPr>
            <w:tcW w:w="1020" w:type="dxa"/>
            <w:vAlign w:val="bottom"/>
          </w:tcPr>
          <w:p>
            <w:pPr>
              <w:spacing w:after="0"/>
              <w:rPr>
                <w:sz w:val="12"/>
                <w:szCs w:val="12"/>
                <w:color w:val="auto"/>
              </w:rPr>
            </w:pPr>
          </w:p>
        </w:tc>
        <w:tc>
          <w:tcPr>
            <w:tcW w:w="10120" w:type="dxa"/>
            <w:vAlign w:val="bottom"/>
            <w:gridSpan w:val="5"/>
          </w:tcPr>
          <w:p>
            <w:pPr>
              <w:ind w:left="20"/>
              <w:spacing w:after="0" w:line="145" w:lineRule="exact"/>
              <w:rPr>
                <w:rFonts w:ascii="Arial" w:cs="Arial" w:eastAsia="Arial" w:hAnsi="Arial"/>
                <w:sz w:val="13"/>
                <w:szCs w:val="13"/>
                <w:color w:val="auto"/>
              </w:rPr>
            </w:pPr>
            <w:r>
              <w:rPr>
                <w:rFonts w:ascii="Arial" w:cs="Arial" w:eastAsia="Arial" w:hAnsi="Arial"/>
                <w:sz w:val="13"/>
                <w:szCs w:val="13"/>
                <w:color w:val="auto"/>
              </w:rPr>
              <w:t xml:space="preserve">at the Deferred Interest Fixed Rate, and calculated on the basis of Article </w:t>
            </w:r>
            <w:hyperlink w:anchor="page361">
              <w:r>
                <w:rPr>
                  <w:rFonts w:ascii="Arial" w:cs="Arial" w:eastAsia="Arial" w:hAnsi="Arial"/>
                  <w:sz w:val="13"/>
                  <w:szCs w:val="13"/>
                  <w:color w:val="0000EE"/>
                </w:rPr>
                <w:t>6.1</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Day count convention</w:t>
            </w:r>
            <w:r>
              <w:rPr>
                <w:rFonts w:ascii="Arial" w:cs="Arial" w:eastAsia="Arial" w:hAnsi="Arial"/>
                <w:sz w:val="13"/>
                <w:szCs w:val="13"/>
                <w:color w:val="auto"/>
              </w:rPr>
              <w:t>), and such interest shall be due and payable on the Maturity Date</w:t>
            </w:r>
          </w:p>
        </w:tc>
      </w:tr>
      <w:tr>
        <w:trPr>
          <w:trHeight w:val="20"/>
        </w:trPr>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10120" w:type="dxa"/>
            <w:vAlign w:val="bottom"/>
            <w:gridSpan w:val="5"/>
          </w:tcPr>
          <w:p>
            <w:pPr>
              <w:ind w:left="20"/>
              <w:spacing w:after="0"/>
              <w:rPr>
                <w:sz w:val="20"/>
                <w:szCs w:val="20"/>
                <w:color w:val="auto"/>
              </w:rPr>
            </w:pPr>
            <w:r>
              <w:rPr>
                <w:rFonts w:ascii="Arial" w:cs="Arial" w:eastAsia="Arial" w:hAnsi="Arial"/>
                <w:sz w:val="13"/>
                <w:szCs w:val="13"/>
                <w:color w:val="auto"/>
              </w:rPr>
              <w:t>of such Tranche or, where such Tranche is cancelled or prepaid, on the date of cancellation or Prepayment Date. For the  avoidance of doubt, any such interest shall</w:t>
            </w:r>
          </w:p>
        </w:tc>
      </w:tr>
      <w:tr>
        <w:trPr>
          <w:trHeight w:val="161"/>
        </w:trPr>
        <w:tc>
          <w:tcPr>
            <w:tcW w:w="1020" w:type="dxa"/>
            <w:vAlign w:val="bottom"/>
          </w:tcPr>
          <w:p>
            <w:pPr>
              <w:spacing w:after="0"/>
              <w:rPr>
                <w:sz w:val="13"/>
                <w:szCs w:val="13"/>
                <w:color w:val="auto"/>
              </w:rPr>
            </w:pPr>
          </w:p>
        </w:tc>
        <w:tc>
          <w:tcPr>
            <w:tcW w:w="10120" w:type="dxa"/>
            <w:vAlign w:val="bottom"/>
            <w:gridSpan w:val="5"/>
          </w:tcPr>
          <w:p>
            <w:pPr>
              <w:ind w:left="20"/>
              <w:spacing w:after="0"/>
              <w:rPr>
                <w:sz w:val="20"/>
                <w:szCs w:val="20"/>
                <w:color w:val="auto"/>
              </w:rPr>
            </w:pPr>
            <w:r>
              <w:rPr>
                <w:rFonts w:ascii="Arial" w:cs="Arial" w:eastAsia="Arial" w:hAnsi="Arial"/>
                <w:sz w:val="13"/>
                <w:szCs w:val="13"/>
                <w:color w:val="auto"/>
              </w:rPr>
              <w:t>not be capitalised and shall not bear interest.</w:t>
            </w:r>
          </w:p>
        </w:tc>
      </w:tr>
      <w:tr>
        <w:trPr>
          <w:trHeight w:val="280"/>
        </w:trPr>
        <w:tc>
          <w:tcPr>
            <w:tcW w:w="1020" w:type="dxa"/>
            <w:vAlign w:val="bottom"/>
          </w:tcPr>
          <w:p>
            <w:pPr>
              <w:jc w:val="right"/>
              <w:ind w:right="773"/>
              <w:spacing w:after="0"/>
              <w:rPr>
                <w:sz w:val="20"/>
                <w:szCs w:val="20"/>
                <w:color w:val="auto"/>
              </w:rPr>
            </w:pPr>
            <w:r>
              <w:rPr>
                <w:rFonts w:ascii="Arial" w:cs="Arial" w:eastAsia="Arial" w:hAnsi="Arial"/>
                <w:sz w:val="13"/>
                <w:szCs w:val="13"/>
                <w:b w:val="1"/>
                <w:bCs w:val="1"/>
                <w:color w:val="auto"/>
                <w:w w:val="88"/>
              </w:rPr>
              <w:t>4.3</w:t>
            </w:r>
          </w:p>
        </w:tc>
        <w:tc>
          <w:tcPr>
            <w:tcW w:w="1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Profit Participation</w:t>
            </w:r>
          </w:p>
        </w:tc>
        <w:tc>
          <w:tcPr>
            <w:tcW w:w="8940" w:type="dxa"/>
            <w:vAlign w:val="bottom"/>
            <w:gridSpan w:val="4"/>
          </w:tcPr>
          <w:p>
            <w:pPr>
              <w:spacing w:after="0"/>
              <w:rPr>
                <w:sz w:val="24"/>
                <w:szCs w:val="24"/>
                <w:color w:val="auto"/>
              </w:rPr>
            </w:pPr>
          </w:p>
        </w:tc>
      </w:tr>
    </w:tbl>
    <w:p>
      <w:pPr>
        <w:spacing w:after="0" w:line="105" w:lineRule="exact"/>
        <w:rPr>
          <w:sz w:val="20"/>
          <w:szCs w:val="20"/>
          <w:color w:val="auto"/>
        </w:rPr>
      </w:pPr>
    </w:p>
    <w:p>
      <w:pPr>
        <w:ind w:left="1820" w:hanging="670"/>
        <w:spacing w:after="0"/>
        <w:tabs>
          <w:tab w:leader="none" w:pos="1820" w:val="left"/>
        </w:tabs>
        <w:numPr>
          <w:ilvl w:val="0"/>
          <w:numId w:val="396"/>
        </w:numPr>
        <w:rPr>
          <w:rFonts w:ascii="Arial" w:cs="Arial" w:eastAsia="Arial" w:hAnsi="Arial"/>
          <w:sz w:val="13"/>
          <w:szCs w:val="13"/>
          <w:color w:val="auto"/>
        </w:rPr>
      </w:pPr>
      <w:r>
        <w:rPr>
          <w:rFonts w:ascii="Arial" w:cs="Arial" w:eastAsia="Arial" w:hAnsi="Arial"/>
          <w:sz w:val="13"/>
          <w:szCs w:val="13"/>
          <w:color w:val="auto"/>
        </w:rPr>
        <w:t xml:space="preserve">Subject to Paragraph (b) below and in addition to the interest payable pursuant to Articles </w:t>
      </w:r>
      <w:hyperlink w:anchor="page357">
        <w:r>
          <w:rPr>
            <w:rFonts w:ascii="Arial" w:cs="Arial" w:eastAsia="Arial" w:hAnsi="Arial"/>
            <w:sz w:val="13"/>
            <w:szCs w:val="13"/>
            <w:u w:val="single" w:color="auto"/>
            <w:color w:val="0000EE"/>
          </w:rPr>
          <w:t>4.1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Cash Interest Fixed Rate</w:t>
      </w:r>
      <w:r>
        <w:rPr>
          <w:rFonts w:ascii="Arial" w:cs="Arial" w:eastAsia="Arial" w:hAnsi="Arial"/>
          <w:sz w:val="13"/>
          <w:szCs w:val="13"/>
          <w:color w:val="auto"/>
        </w:rPr>
        <w:t xml:space="preserve">) and Article </w:t>
      </w:r>
      <w:hyperlink w:anchor="page358">
        <w:r>
          <w:rPr>
            <w:rFonts w:ascii="Arial" w:cs="Arial" w:eastAsia="Arial" w:hAnsi="Arial"/>
            <w:sz w:val="13"/>
            <w:szCs w:val="13"/>
            <w:u w:val="single" w:color="auto"/>
            <w:color w:val="0000EE"/>
          </w:rPr>
          <w:t>4.2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Deferred</w:t>
      </w:r>
    </w:p>
    <w:p>
      <w:pPr>
        <w:spacing w:after="0" w:line="14" w:lineRule="exact"/>
        <w:rPr>
          <w:rFonts w:ascii="Arial" w:cs="Arial" w:eastAsia="Arial" w:hAnsi="Arial"/>
          <w:sz w:val="13"/>
          <w:szCs w:val="13"/>
          <w:color w:val="auto"/>
        </w:rPr>
      </w:pPr>
    </w:p>
    <w:p>
      <w:pPr>
        <w:ind w:left="1820" w:right="180"/>
        <w:spacing w:after="0" w:line="249" w:lineRule="auto"/>
        <w:rPr>
          <w:sz w:val="20"/>
          <w:szCs w:val="20"/>
          <w:color w:val="auto"/>
        </w:rPr>
      </w:pPr>
      <w:r>
        <w:rPr>
          <w:rFonts w:ascii="Arial" w:cs="Arial" w:eastAsia="Arial" w:hAnsi="Arial"/>
          <w:sz w:val="13"/>
          <w:szCs w:val="13"/>
          <w:i w:val="1"/>
          <w:iCs w:val="1"/>
          <w:color w:val="auto"/>
        </w:rPr>
        <w:t>Interest Fixed Rate</w:t>
      </w:r>
      <w:r>
        <w:rPr>
          <w:rFonts w:ascii="Arial" w:cs="Arial" w:eastAsia="Arial" w:hAnsi="Arial"/>
          <w:sz w:val="13"/>
          <w:szCs w:val="13"/>
          <w:color w:val="auto"/>
        </w:rPr>
        <w:t>) above and in consideration of the Bank making the Credit available to the Borrower in accordance with this Contract, the Borrower</w:t>
      </w:r>
      <w:r>
        <w:rPr>
          <w:rFonts w:ascii="Arial" w:cs="Arial" w:eastAsia="Arial" w:hAnsi="Arial"/>
          <w:sz w:val="13"/>
          <w:szCs w:val="13"/>
          <w:i w:val="1"/>
          <w:iCs w:val="1"/>
          <w:color w:val="auto"/>
        </w:rPr>
        <w:t xml:space="preserve"> </w:t>
      </w:r>
      <w:r>
        <w:rPr>
          <w:rFonts w:ascii="Arial" w:cs="Arial" w:eastAsia="Arial" w:hAnsi="Arial"/>
          <w:sz w:val="13"/>
          <w:szCs w:val="13"/>
          <w:color w:val="auto"/>
        </w:rPr>
        <w:t>hereby grants and reserves for the benefit of the Bank, a participation in the Drug Product Revenues for the period starting with the financial year 2023 until and including the financial year 2028 (6 years) (the "</w:t>
      </w:r>
      <w:r>
        <w:rPr>
          <w:rFonts w:ascii="Arial" w:cs="Arial" w:eastAsia="Arial" w:hAnsi="Arial"/>
          <w:sz w:val="13"/>
          <w:szCs w:val="13"/>
          <w:b w:val="1"/>
          <w:bCs w:val="1"/>
          <w:color w:val="auto"/>
        </w:rPr>
        <w:t>Profit Participation Period</w:t>
      </w:r>
      <w:r>
        <w:rPr>
          <w:rFonts w:ascii="Arial" w:cs="Arial" w:eastAsia="Arial" w:hAnsi="Arial"/>
          <w:sz w:val="13"/>
          <w:szCs w:val="13"/>
          <w:color w:val="auto"/>
        </w:rPr>
        <w:t>") equal to:</w:t>
      </w:r>
    </w:p>
    <w:p>
      <w:pPr>
        <w:spacing w:after="0" w:line="65" w:lineRule="exact"/>
        <w:rPr>
          <w:rFonts w:ascii="Arial" w:cs="Arial" w:eastAsia="Arial" w:hAnsi="Arial"/>
          <w:sz w:val="13"/>
          <w:szCs w:val="13"/>
          <w:color w:val="auto"/>
        </w:rPr>
      </w:pPr>
    </w:p>
    <w:p>
      <w:pPr>
        <w:ind w:left="2520" w:hanging="680"/>
        <w:spacing w:after="0"/>
        <w:tabs>
          <w:tab w:leader="none" w:pos="252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 of the annual Drug Product Revenues below EUR 100,000,000;</w:t>
      </w:r>
    </w:p>
    <w:p>
      <w:pPr>
        <w:spacing w:after="0" w:line="80" w:lineRule="exact"/>
        <w:rPr>
          <w:rFonts w:ascii="Arial" w:cs="Arial" w:eastAsia="Arial" w:hAnsi="Arial"/>
          <w:sz w:val="13"/>
          <w:szCs w:val="13"/>
          <w:color w:val="auto"/>
        </w:rPr>
      </w:pPr>
    </w:p>
    <w:p>
      <w:pPr>
        <w:ind w:left="2520" w:hanging="680"/>
        <w:spacing w:after="0"/>
        <w:tabs>
          <w:tab w:leader="none" w:pos="252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 of the annual Drug Product Revenues between EUR 100,000,000 and EUR 250,000,000; and</w:t>
      </w:r>
    </w:p>
    <w:p>
      <w:pPr>
        <w:spacing w:after="0" w:line="80" w:lineRule="exact"/>
        <w:rPr>
          <w:rFonts w:ascii="Arial" w:cs="Arial" w:eastAsia="Arial" w:hAnsi="Arial"/>
          <w:sz w:val="13"/>
          <w:szCs w:val="13"/>
          <w:color w:val="auto"/>
        </w:rPr>
      </w:pPr>
    </w:p>
    <w:p>
      <w:pPr>
        <w:ind w:left="2520" w:hanging="680"/>
        <w:spacing w:after="0"/>
        <w:tabs>
          <w:tab w:leader="none" w:pos="252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 of the annual Drug Product Revenues between EUR 250,000,000 and EUR 500,000,000,</w:t>
      </w:r>
    </w:p>
    <w:p>
      <w:pPr>
        <w:spacing w:after="0" w:line="54" w:lineRule="exact"/>
        <w:rPr>
          <w:rFonts w:ascii="Arial" w:cs="Arial" w:eastAsia="Arial" w:hAnsi="Arial"/>
          <w:sz w:val="13"/>
          <w:szCs w:val="13"/>
          <w:color w:val="auto"/>
        </w:rPr>
      </w:pPr>
    </w:p>
    <w:p>
      <w:pPr>
        <w:jc w:val="both"/>
        <w:ind w:left="1840" w:right="120"/>
        <w:spacing w:after="0" w:line="262"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Profit Participation Payments</w:t>
      </w:r>
      <w:r>
        <w:rPr>
          <w:rFonts w:ascii="Arial" w:cs="Arial" w:eastAsia="Arial" w:hAnsi="Arial"/>
          <w:sz w:val="13"/>
          <w:szCs w:val="13"/>
          <w:color w:val="auto"/>
        </w:rPr>
        <w:t>") and hereby undertakes to pay the respective Profit Participation Payments to the Bank subject to the terms of this Contract. For the avoidance of doubt and by way of distinction from a silent partnership (</w:t>
      </w:r>
      <w:r>
        <w:rPr>
          <w:rFonts w:ascii="Arial" w:cs="Arial" w:eastAsia="Arial" w:hAnsi="Arial"/>
          <w:sz w:val="13"/>
          <w:szCs w:val="13"/>
          <w:i w:val="1"/>
          <w:iCs w:val="1"/>
          <w:color w:val="auto"/>
        </w:rPr>
        <w:t>stille Beteiligung</w:t>
      </w:r>
      <w:r>
        <w:rPr>
          <w:rFonts w:ascii="Arial" w:cs="Arial" w:eastAsia="Arial" w:hAnsi="Arial"/>
          <w:sz w:val="13"/>
          <w:szCs w:val="13"/>
          <w:color w:val="auto"/>
        </w:rPr>
        <w:t>), the Bank does not participate in any loss of the Borrower or any other Group Company.</w:t>
      </w:r>
    </w:p>
    <w:p>
      <w:pPr>
        <w:spacing w:after="0" w:line="56" w:lineRule="exact"/>
        <w:rPr>
          <w:rFonts w:ascii="Arial" w:cs="Arial" w:eastAsia="Arial" w:hAnsi="Arial"/>
          <w:sz w:val="13"/>
          <w:szCs w:val="13"/>
          <w:color w:val="auto"/>
        </w:rPr>
      </w:pPr>
    </w:p>
    <w:p>
      <w:pPr>
        <w:ind w:left="1820" w:right="720" w:hanging="670"/>
        <w:spacing w:after="0" w:line="258" w:lineRule="auto"/>
        <w:tabs>
          <w:tab w:leader="none" w:pos="1820" w:val="left"/>
        </w:tabs>
        <w:numPr>
          <w:ilvl w:val="0"/>
          <w:numId w:val="398"/>
        </w:numPr>
        <w:rPr>
          <w:rFonts w:ascii="Arial" w:cs="Arial" w:eastAsia="Arial" w:hAnsi="Arial"/>
          <w:sz w:val="13"/>
          <w:szCs w:val="13"/>
          <w:color w:val="auto"/>
        </w:rPr>
      </w:pPr>
      <w:r>
        <w:rPr>
          <w:rFonts w:ascii="Arial" w:cs="Arial" w:eastAsia="Arial" w:hAnsi="Arial"/>
          <w:sz w:val="13"/>
          <w:szCs w:val="13"/>
          <w:color w:val="auto"/>
        </w:rPr>
        <w:t>The obligation of the Borrower to make Profit Participation Payments pursuant to Paragraph (a) above shall exist only for so long as the Profit Participation Cap is not reached.</w:t>
      </w:r>
    </w:p>
    <w:p>
      <w:pPr>
        <w:spacing w:after="0" w:line="58" w:lineRule="exact"/>
        <w:rPr>
          <w:rFonts w:ascii="Arial" w:cs="Arial" w:eastAsia="Arial" w:hAnsi="Arial"/>
          <w:sz w:val="13"/>
          <w:szCs w:val="13"/>
          <w:color w:val="auto"/>
        </w:rPr>
      </w:pPr>
    </w:p>
    <w:p>
      <w:pPr>
        <w:ind w:left="1820" w:right="120" w:hanging="670"/>
        <w:spacing w:after="0" w:line="258" w:lineRule="auto"/>
        <w:tabs>
          <w:tab w:leader="none" w:pos="1820" w:val="left"/>
        </w:tabs>
        <w:numPr>
          <w:ilvl w:val="0"/>
          <w:numId w:val="398"/>
        </w:numPr>
        <w:rPr>
          <w:rFonts w:ascii="Arial" w:cs="Arial" w:eastAsia="Arial" w:hAnsi="Arial"/>
          <w:sz w:val="13"/>
          <w:szCs w:val="13"/>
          <w:color w:val="auto"/>
        </w:rPr>
      </w:pPr>
      <w:r>
        <w:rPr>
          <w:rFonts w:ascii="Arial" w:cs="Arial" w:eastAsia="Arial" w:hAnsi="Arial"/>
          <w:sz w:val="13"/>
          <w:szCs w:val="13"/>
          <w:color w:val="auto"/>
        </w:rPr>
        <w:t>Each Profit Participation Payment shall become due and payable on the Payment Date immediately following the delivery date of the Approved Financial Statement for the respective financial year.</w:t>
      </w:r>
    </w:p>
    <w:p>
      <w:pPr>
        <w:spacing w:after="0" w:line="24" w:lineRule="exact"/>
        <w:rPr>
          <w:rFonts w:ascii="Arial" w:cs="Arial" w:eastAsia="Arial" w:hAnsi="Arial"/>
          <w:sz w:val="13"/>
          <w:szCs w:val="13"/>
          <w:color w:val="auto"/>
        </w:rPr>
      </w:pPr>
    </w:p>
    <w:p>
      <w:pPr>
        <w:ind w:left="1820" w:right="220" w:hanging="670"/>
        <w:spacing w:after="0" w:line="248" w:lineRule="auto"/>
        <w:tabs>
          <w:tab w:leader="none" w:pos="1820" w:val="left"/>
        </w:tabs>
        <w:numPr>
          <w:ilvl w:val="0"/>
          <w:numId w:val="398"/>
        </w:numPr>
        <w:rPr>
          <w:rFonts w:ascii="Arial" w:cs="Arial" w:eastAsia="Arial" w:hAnsi="Arial"/>
          <w:sz w:val="13"/>
          <w:szCs w:val="13"/>
          <w:color w:val="auto"/>
        </w:rPr>
      </w:pPr>
      <w:r>
        <w:rPr>
          <w:rFonts w:ascii="Arial" w:cs="Arial" w:eastAsia="Arial" w:hAnsi="Arial"/>
          <w:sz w:val="13"/>
          <w:szCs w:val="13"/>
          <w:color w:val="auto"/>
        </w:rPr>
        <w:t xml:space="preserve">In case a Tranche is cancelled or prepaid pursuant to Articles </w:t>
      </w:r>
      <w:hyperlink w:anchor="page359">
        <w:r>
          <w:rPr>
            <w:rFonts w:ascii="Arial" w:cs="Arial" w:eastAsia="Arial" w:hAnsi="Arial"/>
            <w:sz w:val="13"/>
            <w:szCs w:val="13"/>
            <w:u w:val="single" w:color="auto"/>
            <w:color w:val="0000EE"/>
          </w:rPr>
          <w:t>5.2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Voluntary prepayment</w:t>
      </w:r>
      <w:r>
        <w:rPr>
          <w:rFonts w:ascii="Arial" w:cs="Arial" w:eastAsia="Arial" w:hAnsi="Arial"/>
          <w:sz w:val="13"/>
          <w:szCs w:val="13"/>
          <w:color w:val="auto"/>
        </w:rPr>
        <w:t xml:space="preserve">) or </w:t>
      </w:r>
      <w:hyperlink w:anchor="page360">
        <w:r>
          <w:rPr>
            <w:rFonts w:ascii="Arial" w:cs="Arial" w:eastAsia="Arial" w:hAnsi="Arial"/>
            <w:sz w:val="13"/>
            <w:szCs w:val="13"/>
            <w:u w:val="single" w:color="auto"/>
            <w:color w:val="0000EE"/>
          </w:rPr>
          <w:t>5.3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Compulsory prepayment</w:t>
      </w:r>
      <w:r>
        <w:rPr>
          <w:rFonts w:ascii="Arial" w:cs="Arial" w:eastAsia="Arial" w:hAnsi="Arial"/>
          <w:sz w:val="13"/>
          <w:szCs w:val="13"/>
          <w:color w:val="auto"/>
        </w:rPr>
        <w:t>) within the Profit Participation Period, the Bank shall have the right (but not the obligation) to demand from the Borrower the payment of the present value of all future Profit Participation Payments (up to the Profit Participation Cap), as determined by an Independent Expert (the "</w:t>
      </w:r>
      <w:r>
        <w:rPr>
          <w:rFonts w:ascii="Arial" w:cs="Arial" w:eastAsia="Arial" w:hAnsi="Arial"/>
          <w:sz w:val="13"/>
          <w:szCs w:val="13"/>
          <w:b w:val="1"/>
          <w:bCs w:val="1"/>
          <w:color w:val="auto"/>
        </w:rPr>
        <w:t>Expert Determination</w:t>
      </w:r>
      <w:r>
        <w:rPr>
          <w:rFonts w:ascii="Arial" w:cs="Arial" w:eastAsia="Arial" w:hAnsi="Arial"/>
          <w:sz w:val="13"/>
          <w:szCs w:val="13"/>
          <w:color w:val="auto"/>
        </w:rPr>
        <w:t>"). The costs related to the Expert’s Determination shall be borne by the Borrower and the Expert’s Determination shall, in the absence of manifest error, be conclusive and binding on all parties to this Contract as to the matters to which it relates. The Borrower shall, within [***] Business Days of delivery of the Expert’s Determination and upon the Bank's demand, pay to the Bank the amount determined by the Expert Determination.</w:t>
      </w:r>
    </w:p>
    <w:p>
      <w:pPr>
        <w:spacing w:after="0" w:line="43" w:lineRule="exact"/>
        <w:rPr>
          <w:rFonts w:ascii="Arial" w:cs="Arial" w:eastAsia="Arial" w:hAnsi="Arial"/>
          <w:sz w:val="13"/>
          <w:szCs w:val="13"/>
          <w:color w:val="auto"/>
        </w:rPr>
      </w:pPr>
    </w:p>
    <w:tbl>
      <w:tblPr>
        <w:tblLayout w:type="fixed"/>
        <w:tblInd w:w="120" w:type="dxa"/>
        <w:tblCellMar>
          <w:top w:w="0" w:type="dxa"/>
          <w:left w:w="0" w:type="dxa"/>
          <w:bottom w:w="0" w:type="dxa"/>
          <w:right w:w="0" w:type="dxa"/>
        </w:tblCellMar>
      </w:tblPr>
      <w:tr>
        <w:trPr>
          <w:trHeight w:val="164"/>
        </w:trPr>
        <w:tc>
          <w:tcPr>
            <w:tcW w:w="10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(e)</w:t>
            </w:r>
          </w:p>
        </w:tc>
        <w:tc>
          <w:tcPr>
            <w:tcW w:w="5320" w:type="dxa"/>
            <w:vAlign w:val="bottom"/>
            <w:gridSpan w:val="2"/>
          </w:tcPr>
          <w:p>
            <w:pPr>
              <w:ind w:left="240"/>
              <w:spacing w:after="0"/>
              <w:rPr>
                <w:sz w:val="20"/>
                <w:szCs w:val="20"/>
                <w:color w:val="auto"/>
              </w:rPr>
            </w:pPr>
            <w:r>
              <w:rPr>
                <w:rFonts w:ascii="Arial" w:cs="Arial" w:eastAsia="Arial" w:hAnsi="Arial"/>
                <w:sz w:val="13"/>
                <w:szCs w:val="13"/>
                <w:color w:val="auto"/>
              </w:rPr>
              <w:t>The Borrower shall withhold any statutory withholding tax (</w:t>
            </w:r>
            <w:r>
              <w:rPr>
                <w:rFonts w:ascii="Arial" w:cs="Arial" w:eastAsia="Arial" w:hAnsi="Arial"/>
                <w:sz w:val="13"/>
                <w:szCs w:val="13"/>
                <w:i w:val="1"/>
                <w:iCs w:val="1"/>
                <w:color w:val="auto"/>
              </w:rPr>
              <w:t>Kapitalertragssteuer</w:t>
            </w:r>
            <w:r>
              <w:rPr>
                <w:rFonts w:ascii="Arial" w:cs="Arial" w:eastAsia="Arial" w:hAnsi="Arial"/>
                <w:sz w:val="13"/>
                <w:szCs w:val="13"/>
                <w:color w:val="auto"/>
              </w:rPr>
              <w:t>) from</w:t>
            </w:r>
          </w:p>
        </w:tc>
        <w:tc>
          <w:tcPr>
            <w:tcW w:w="4080" w:type="dxa"/>
            <w:vAlign w:val="bottom"/>
          </w:tcPr>
          <w:p>
            <w:pPr>
              <w:ind w:left="40"/>
              <w:spacing w:after="0"/>
              <w:rPr>
                <w:sz w:val="20"/>
                <w:szCs w:val="20"/>
                <w:color w:val="auto"/>
              </w:rPr>
            </w:pPr>
            <w:r>
              <w:rPr>
                <w:rFonts w:ascii="Arial" w:cs="Arial" w:eastAsia="Arial" w:hAnsi="Arial"/>
                <w:sz w:val="13"/>
                <w:szCs w:val="13"/>
                <w:color w:val="auto"/>
              </w:rPr>
              <w:t>the Profit Participation Payments and shall pay it to the competent tax</w:t>
            </w:r>
          </w:p>
        </w:tc>
      </w:tr>
      <w:tr>
        <w:trPr>
          <w:trHeight w:val="161"/>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20" w:type="dxa"/>
            <w:vAlign w:val="bottom"/>
            <w:gridSpan w:val="2"/>
          </w:tcPr>
          <w:p>
            <w:pPr>
              <w:ind w:left="240"/>
              <w:spacing w:after="0"/>
              <w:rPr>
                <w:sz w:val="20"/>
                <w:szCs w:val="20"/>
                <w:color w:val="auto"/>
              </w:rPr>
            </w:pPr>
            <w:r>
              <w:rPr>
                <w:rFonts w:ascii="Arial" w:cs="Arial" w:eastAsia="Arial" w:hAnsi="Arial"/>
                <w:sz w:val="13"/>
                <w:szCs w:val="13"/>
                <w:color w:val="auto"/>
              </w:rPr>
              <w:t>office.</w:t>
            </w:r>
          </w:p>
        </w:tc>
        <w:tc>
          <w:tcPr>
            <w:tcW w:w="4080" w:type="dxa"/>
            <w:vAlign w:val="bottom"/>
          </w:tcPr>
          <w:p>
            <w:pPr>
              <w:spacing w:after="0"/>
              <w:rPr>
                <w:sz w:val="13"/>
                <w:szCs w:val="13"/>
                <w:color w:val="auto"/>
              </w:rPr>
            </w:pPr>
          </w:p>
        </w:tc>
      </w:tr>
      <w:tr>
        <w:trPr>
          <w:trHeight w:val="290"/>
        </w:trPr>
        <w:tc>
          <w:tcPr>
            <w:tcW w:w="1020" w:type="dxa"/>
            <w:vAlign w:val="bottom"/>
          </w:tcPr>
          <w:p>
            <w:pPr>
              <w:jc w:val="right"/>
              <w:ind w:right="773"/>
              <w:spacing w:after="0"/>
              <w:rPr>
                <w:sz w:val="20"/>
                <w:szCs w:val="20"/>
                <w:color w:val="auto"/>
              </w:rPr>
            </w:pPr>
            <w:r>
              <w:rPr>
                <w:rFonts w:ascii="Arial" w:cs="Arial" w:eastAsia="Arial" w:hAnsi="Arial"/>
                <w:sz w:val="13"/>
                <w:szCs w:val="13"/>
                <w:b w:val="1"/>
                <w:bCs w:val="1"/>
                <w:color w:val="auto"/>
                <w:w w:val="88"/>
              </w:rPr>
              <w:t>4.4</w:t>
            </w:r>
          </w:p>
        </w:tc>
        <w:tc>
          <w:tcPr>
            <w:tcW w:w="5760" w:type="dxa"/>
            <w:vAlign w:val="bottom"/>
            <w:gridSpan w:val="3"/>
          </w:tcPr>
          <w:p>
            <w:pPr>
              <w:spacing w:after="0"/>
              <w:rPr>
                <w:sz w:val="20"/>
                <w:szCs w:val="20"/>
                <w:color w:val="auto"/>
              </w:rPr>
            </w:pPr>
            <w:r>
              <w:rPr>
                <w:rFonts w:ascii="Arial" w:cs="Arial" w:eastAsia="Arial" w:hAnsi="Arial"/>
                <w:sz w:val="13"/>
                <w:szCs w:val="13"/>
                <w:b w:val="1"/>
                <w:bCs w:val="1"/>
                <w:color w:val="auto"/>
              </w:rPr>
              <w:t>Interest on overdue sums</w:t>
            </w:r>
          </w:p>
        </w:tc>
        <w:tc>
          <w:tcPr>
            <w:tcW w:w="40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59"/>
        </w:trPr>
        <w:tc>
          <w:tcPr>
            <w:tcW w:w="102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(a)</w:t>
            </w:r>
          </w:p>
        </w:tc>
        <w:tc>
          <w:tcPr>
            <w:tcW w:w="5320" w:type="dxa"/>
            <w:vAlign w:val="bottom"/>
            <w:gridSpan w:val="2"/>
          </w:tcPr>
          <w:p>
            <w:pPr>
              <w:ind w:left="240"/>
              <w:spacing w:after="0"/>
              <w:rPr>
                <w:sz w:val="20"/>
                <w:szCs w:val="20"/>
                <w:color w:val="auto"/>
              </w:rPr>
            </w:pPr>
            <w:r>
              <w:rPr>
                <w:rFonts w:ascii="Arial" w:cs="Arial" w:eastAsia="Arial" w:hAnsi="Arial"/>
                <w:sz w:val="13"/>
                <w:szCs w:val="13"/>
                <w:color w:val="auto"/>
              </w:rPr>
              <w:t>Without prejudice to Article 9 (</w:t>
            </w:r>
            <w:r>
              <w:rPr>
                <w:rFonts w:ascii="Arial" w:cs="Arial" w:eastAsia="Arial" w:hAnsi="Arial"/>
                <w:sz w:val="13"/>
                <w:szCs w:val="13"/>
                <w:i w:val="1"/>
                <w:iCs w:val="1"/>
                <w:color w:val="auto"/>
              </w:rPr>
              <w:t>Events of default</w:t>
            </w:r>
            <w:r>
              <w:rPr>
                <w:rFonts w:ascii="Arial" w:cs="Arial" w:eastAsia="Arial" w:hAnsi="Arial"/>
                <w:sz w:val="13"/>
                <w:szCs w:val="13"/>
                <w:color w:val="auto"/>
              </w:rPr>
              <w:t>) and by way of exception to Article 4.1</w:t>
            </w:r>
          </w:p>
        </w:tc>
        <w:tc>
          <w:tcPr>
            <w:tcW w:w="4080" w:type="dxa"/>
            <w:vAlign w:val="bottom"/>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Cash Interest Fixed Rate</w:t>
            </w:r>
            <w:r>
              <w:rPr>
                <w:rFonts w:ascii="Arial" w:cs="Arial" w:eastAsia="Arial" w:hAnsi="Arial"/>
                <w:sz w:val="13"/>
                <w:szCs w:val="13"/>
                <w:color w:val="auto"/>
              </w:rPr>
              <w:t>) and Article 4.2 (</w:t>
            </w:r>
            <w:r>
              <w:rPr>
                <w:rFonts w:ascii="Arial" w:cs="Arial" w:eastAsia="Arial" w:hAnsi="Arial"/>
                <w:sz w:val="13"/>
                <w:szCs w:val="13"/>
                <w:i w:val="1"/>
                <w:iCs w:val="1"/>
                <w:color w:val="auto"/>
              </w:rPr>
              <w:t>Deferred Interest Fixed</w:t>
            </w:r>
          </w:p>
        </w:tc>
      </w:tr>
    </w:tbl>
    <w:p>
      <w:pPr>
        <w:ind w:left="1820" w:right="220"/>
        <w:spacing w:after="0" w:line="258" w:lineRule="auto"/>
        <w:rPr>
          <w:sz w:val="20"/>
          <w:szCs w:val="20"/>
          <w:color w:val="auto"/>
        </w:rPr>
      </w:pPr>
      <w:r>
        <w:rPr>
          <w:rFonts w:ascii="Arial" w:cs="Arial" w:eastAsia="Arial" w:hAnsi="Arial"/>
          <w:sz w:val="13"/>
          <w:szCs w:val="13"/>
          <w:i w:val="1"/>
          <w:iCs w:val="1"/>
          <w:color w:val="auto"/>
        </w:rPr>
        <w:t>Rate</w:t>
      </w:r>
      <w:r>
        <w:rPr>
          <w:rFonts w:ascii="Arial" w:cs="Arial" w:eastAsia="Arial" w:hAnsi="Arial"/>
          <w:sz w:val="13"/>
          <w:szCs w:val="13"/>
          <w:color w:val="auto"/>
        </w:rPr>
        <w:t>), if the Borrower fails to pay any amount (other than any interest amount) payable by it under the Contract on its due date, interest shall accrue on any</w:t>
      </w:r>
      <w:r>
        <w:rPr>
          <w:rFonts w:ascii="Arial" w:cs="Arial" w:eastAsia="Arial" w:hAnsi="Arial"/>
          <w:sz w:val="13"/>
          <w:szCs w:val="13"/>
          <w:i w:val="1"/>
          <w:iCs w:val="1"/>
          <w:color w:val="auto"/>
        </w:rPr>
        <w:t xml:space="preserve"> </w:t>
      </w:r>
      <w:r>
        <w:rPr>
          <w:rFonts w:ascii="Arial" w:cs="Arial" w:eastAsia="Arial" w:hAnsi="Arial"/>
          <w:sz w:val="13"/>
          <w:szCs w:val="13"/>
          <w:color w:val="auto"/>
        </w:rPr>
        <w:t>such overdue amount (other than any interest amount) from the due date to the date of actual payment at an annual rate equal to:</w:t>
      </w:r>
    </w:p>
    <w:p>
      <w:pPr>
        <w:spacing w:after="0" w:line="30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2"/>
          <w:szCs w:val="12"/>
          <w:color w:val="auto"/>
        </w:rPr>
        <w:t>19</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58" w:name="page359"/>
    <w:bookmarkEnd w:id="358"/>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2520" w:right="280" w:hanging="680"/>
        <w:spacing w:after="0" w:line="258" w:lineRule="auto"/>
        <w:tabs>
          <w:tab w:leader="none" w:pos="2520" w:val="left"/>
        </w:tabs>
        <w:numPr>
          <w:ilvl w:val="1"/>
          <w:numId w:val="399"/>
        </w:numPr>
        <w:rPr>
          <w:rFonts w:ascii="Arial" w:cs="Arial" w:eastAsia="Arial" w:hAnsi="Arial"/>
          <w:sz w:val="13"/>
          <w:szCs w:val="13"/>
          <w:color w:val="auto"/>
        </w:rPr>
      </w:pPr>
      <w:r>
        <w:rPr>
          <w:rFonts w:ascii="Arial" w:cs="Arial" w:eastAsia="Arial" w:hAnsi="Arial"/>
          <w:sz w:val="13"/>
          <w:szCs w:val="13"/>
          <w:color w:val="auto"/>
        </w:rPr>
        <w:t>for overdue sums related to a Tranche, the higher of (A) the applicable Cash Interest Fixed Rate and Deferred Interest Fixed Rate plus [***]% ([***] basis points) or (B) EURIBOR plus [***]% ([***] basis points);</w:t>
      </w:r>
    </w:p>
    <w:p>
      <w:pPr>
        <w:spacing w:after="0" w:line="34" w:lineRule="exact"/>
        <w:rPr>
          <w:rFonts w:ascii="Arial" w:cs="Arial" w:eastAsia="Arial" w:hAnsi="Arial"/>
          <w:sz w:val="13"/>
          <w:szCs w:val="13"/>
          <w:color w:val="auto"/>
        </w:rPr>
      </w:pPr>
    </w:p>
    <w:p>
      <w:pPr>
        <w:ind w:left="1840" w:right="300"/>
        <w:spacing w:after="0" w:line="372" w:lineRule="auto"/>
        <w:tabs>
          <w:tab w:leader="none" w:pos="2514" w:val="left"/>
        </w:tabs>
        <w:numPr>
          <w:ilvl w:val="1"/>
          <w:numId w:val="399"/>
        </w:numPr>
        <w:rPr>
          <w:rFonts w:ascii="Arial" w:cs="Arial" w:eastAsia="Arial" w:hAnsi="Arial"/>
          <w:sz w:val="13"/>
          <w:szCs w:val="13"/>
          <w:color w:val="auto"/>
        </w:rPr>
      </w:pPr>
      <w:r>
        <w:rPr>
          <w:rFonts w:ascii="Arial" w:cs="Arial" w:eastAsia="Arial" w:hAnsi="Arial"/>
          <w:sz w:val="13"/>
          <w:szCs w:val="13"/>
          <w:color w:val="auto"/>
        </w:rPr>
        <w:t>for overdue sums other than under sub-paragraph (a) of Article 4.4 (</w:t>
      </w:r>
      <w:r>
        <w:rPr>
          <w:rFonts w:ascii="Arial" w:cs="Arial" w:eastAsia="Arial" w:hAnsi="Arial"/>
          <w:sz w:val="13"/>
          <w:szCs w:val="13"/>
          <w:i w:val="1"/>
          <w:iCs w:val="1"/>
          <w:color w:val="auto"/>
        </w:rPr>
        <w:t>Interest on overdue sums</w:t>
      </w:r>
      <w:r>
        <w:rPr>
          <w:rFonts w:ascii="Arial" w:cs="Arial" w:eastAsia="Arial" w:hAnsi="Arial"/>
          <w:sz w:val="13"/>
          <w:szCs w:val="13"/>
          <w:color w:val="auto"/>
        </w:rPr>
        <w:t>) above, EURIBOR plus [***]% ([***] basis points), and shall be payable in accordance with the demand of the Bank.</w:t>
      </w:r>
    </w:p>
    <w:p>
      <w:pPr>
        <w:ind w:left="1820" w:hanging="670"/>
        <w:spacing w:after="0"/>
        <w:tabs>
          <w:tab w:leader="none" w:pos="1820" w:val="left"/>
        </w:tabs>
        <w:numPr>
          <w:ilvl w:val="0"/>
          <w:numId w:val="400"/>
        </w:numPr>
        <w:rPr>
          <w:rFonts w:ascii="Arial" w:cs="Arial" w:eastAsia="Arial" w:hAnsi="Arial"/>
          <w:sz w:val="13"/>
          <w:szCs w:val="13"/>
          <w:color w:val="auto"/>
        </w:rPr>
      </w:pPr>
      <w:r>
        <w:rPr>
          <w:rFonts w:ascii="Arial" w:cs="Arial" w:eastAsia="Arial" w:hAnsi="Arial"/>
          <w:sz w:val="13"/>
          <w:szCs w:val="13"/>
          <w:color w:val="auto"/>
        </w:rPr>
        <w:t>If the Borrower fails to pay any interest amount payable by it under this Contract on its due date, it shall make a liquidated damages payment</w:t>
      </w:r>
    </w:p>
    <w:p>
      <w:pPr>
        <w:ind w:left="1820" w:right="140"/>
        <w:spacing w:after="0" w:line="246"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pauschalierter Schadensersatz</w:t>
      </w:r>
      <w:r>
        <w:rPr>
          <w:rFonts w:ascii="Arial" w:cs="Arial" w:eastAsia="Arial" w:hAnsi="Arial"/>
          <w:sz w:val="13"/>
          <w:szCs w:val="13"/>
          <w:color w:val="auto"/>
        </w:rPr>
        <w:t>) from the due date up to the date of actual payment at an annual rate equal to the higher of (i) the applicable Fixed Rate plus [***]% ([***] basis points) or (ii) EURIBOR plus [***]% ([***] basis points), provided that the Borrower shall have the right to prove that no damages have arisen, or that damages have not arisen in the asserted amount. The amount determined in accordance with this Article 4.4(b) shall be payable in accordance with the demand of the Bank</w:t>
      </w:r>
    </w:p>
    <w:p>
      <w:pPr>
        <w:spacing w:after="0" w:line="43" w:lineRule="exact"/>
        <w:rPr>
          <w:sz w:val="20"/>
          <w:szCs w:val="20"/>
          <w:color w:val="auto"/>
        </w:rPr>
      </w:pPr>
    </w:p>
    <w:p>
      <w:pPr>
        <w:ind w:left="1000" w:right="120"/>
        <w:spacing w:after="0" w:line="281" w:lineRule="auto"/>
        <w:rPr>
          <w:sz w:val="20"/>
          <w:szCs w:val="20"/>
          <w:color w:val="auto"/>
        </w:rPr>
      </w:pPr>
      <w:r>
        <w:rPr>
          <w:rFonts w:ascii="Arial" w:cs="Arial" w:eastAsia="Arial" w:hAnsi="Arial"/>
          <w:sz w:val="13"/>
          <w:szCs w:val="13"/>
          <w:color w:val="auto"/>
        </w:rPr>
        <w:t>For the purpose of determining EURIBOR in relation to this Article 4.4 (</w:t>
      </w:r>
      <w:r>
        <w:rPr>
          <w:rFonts w:ascii="Arial" w:cs="Arial" w:eastAsia="Arial" w:hAnsi="Arial"/>
          <w:sz w:val="13"/>
          <w:szCs w:val="13"/>
          <w:i w:val="1"/>
          <w:iCs w:val="1"/>
          <w:color w:val="auto"/>
        </w:rPr>
        <w:t>Interest on overdue sums</w:t>
      </w:r>
      <w:r>
        <w:rPr>
          <w:rFonts w:ascii="Arial" w:cs="Arial" w:eastAsia="Arial" w:hAnsi="Arial"/>
          <w:sz w:val="13"/>
          <w:szCs w:val="13"/>
          <w:color w:val="auto"/>
        </w:rPr>
        <w:t>), the relevant periods within the meaning of Schedule B (</w:t>
      </w:r>
      <w:r>
        <w:rPr>
          <w:rFonts w:ascii="Arial" w:cs="Arial" w:eastAsia="Arial" w:hAnsi="Arial"/>
          <w:sz w:val="13"/>
          <w:szCs w:val="13"/>
          <w:i w:val="1"/>
          <w:iCs w:val="1"/>
          <w:color w:val="auto"/>
        </w:rPr>
        <w:t>Definition of</w:t>
      </w:r>
      <w:r>
        <w:rPr>
          <w:rFonts w:ascii="Arial" w:cs="Arial" w:eastAsia="Arial" w:hAnsi="Arial"/>
          <w:sz w:val="13"/>
          <w:szCs w:val="13"/>
          <w:color w:val="auto"/>
        </w:rPr>
        <w:t xml:space="preserve"> </w:t>
      </w:r>
      <w:r>
        <w:rPr>
          <w:rFonts w:ascii="Arial" w:cs="Arial" w:eastAsia="Arial" w:hAnsi="Arial"/>
          <w:sz w:val="13"/>
          <w:szCs w:val="13"/>
          <w:i w:val="1"/>
          <w:iCs w:val="1"/>
          <w:color w:val="auto"/>
        </w:rPr>
        <w:t>EURIBOR</w:t>
      </w:r>
      <w:r>
        <w:rPr>
          <w:rFonts w:ascii="Arial" w:cs="Arial" w:eastAsia="Arial" w:hAnsi="Arial"/>
          <w:sz w:val="13"/>
          <w:szCs w:val="13"/>
          <w:color w:val="auto"/>
        </w:rPr>
        <w:t>) shall be successive periods of one month commencing on the due date.</w:t>
      </w:r>
    </w:p>
    <w:p>
      <w:pPr>
        <w:spacing w:after="0" w:line="24" w:lineRule="exact"/>
        <w:rPr>
          <w:sz w:val="20"/>
          <w:szCs w:val="20"/>
          <w:color w:val="auto"/>
        </w:rPr>
      </w:pPr>
    </w:p>
    <w:p>
      <w:pPr>
        <w:ind w:left="1000" w:right="120"/>
        <w:spacing w:after="0" w:line="258" w:lineRule="auto"/>
        <w:rPr>
          <w:sz w:val="20"/>
          <w:szCs w:val="20"/>
          <w:color w:val="auto"/>
        </w:rPr>
      </w:pPr>
      <w:r>
        <w:rPr>
          <w:rFonts w:ascii="Arial" w:cs="Arial" w:eastAsia="Arial" w:hAnsi="Arial"/>
          <w:sz w:val="13"/>
          <w:szCs w:val="13"/>
          <w:color w:val="auto"/>
        </w:rPr>
        <w:t>If the overdue sum is in a currency other than the currency of the Loan, the relevant interbank rate that is generally retained by the Bank for transactions in that currency plus [***]% ([***] basis points) shall apply, calculated in accordance with the market practice for such rate.</w:t>
      </w: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3"/>
          <w:szCs w:val="13"/>
          <w:b w:val="1"/>
          <w:bCs w:val="1"/>
          <w:u w:val="single" w:color="auto"/>
          <w:color w:val="auto"/>
        </w:rPr>
        <w:t>ARTICLE 5</w:t>
      </w:r>
    </w:p>
    <w:p>
      <w:pPr>
        <w:spacing w:after="0" w:line="80" w:lineRule="exact"/>
        <w:rPr>
          <w:sz w:val="20"/>
          <w:szCs w:val="20"/>
          <w:color w:val="auto"/>
        </w:rPr>
      </w:pPr>
    </w:p>
    <w:p>
      <w:pPr>
        <w:ind w:left="5260"/>
        <w:spacing w:after="0"/>
        <w:rPr>
          <w:sz w:val="20"/>
          <w:szCs w:val="20"/>
          <w:color w:val="auto"/>
        </w:rPr>
      </w:pPr>
      <w:r>
        <w:rPr>
          <w:rFonts w:ascii="Arial" w:cs="Arial" w:eastAsia="Arial" w:hAnsi="Arial"/>
          <w:sz w:val="13"/>
          <w:szCs w:val="13"/>
          <w:b w:val="1"/>
          <w:bCs w:val="1"/>
          <w:u w:val="single" w:color="auto"/>
          <w:color w:val="auto"/>
        </w:rPr>
        <w:t>Repayment</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b w:val="1"/>
                <w:bCs w:val="1"/>
                <w:color w:val="auto"/>
              </w:rPr>
              <w:t>5.1</w:t>
            </w: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9"/>
              </w:rPr>
              <w:t>Normal repayment</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r>
      <w:tr>
        <w:trPr>
          <w:trHeight w:val="259"/>
        </w:trPr>
        <w:tc>
          <w:tcPr>
            <w:tcW w:w="1020" w:type="dxa"/>
            <w:vAlign w:val="bottom"/>
          </w:tcPr>
          <w:p>
            <w:pPr>
              <w:spacing w:after="0"/>
              <w:rPr>
                <w:sz w:val="22"/>
                <w:szCs w:val="22"/>
                <w:color w:val="auto"/>
              </w:rPr>
            </w:pPr>
          </w:p>
        </w:tc>
        <w:tc>
          <w:tcPr>
            <w:tcW w:w="10000" w:type="dxa"/>
            <w:vAlign w:val="bottom"/>
            <w:gridSpan w:val="13"/>
          </w:tcPr>
          <w:p>
            <w:pPr>
              <w:ind w:left="20"/>
              <w:spacing w:after="0"/>
              <w:rPr>
                <w:sz w:val="20"/>
                <w:szCs w:val="20"/>
                <w:color w:val="auto"/>
              </w:rPr>
            </w:pPr>
            <w:r>
              <w:rPr>
                <w:rFonts w:ascii="Arial" w:cs="Arial" w:eastAsia="Arial" w:hAnsi="Arial"/>
                <w:sz w:val="13"/>
                <w:szCs w:val="13"/>
                <w:color w:val="auto"/>
              </w:rPr>
              <w:t>The Borrower shall repay each Tranche, together with all other amounts outstanding under  this Contract in relation to that Tranche, in a single instalment on the</w:t>
            </w:r>
          </w:p>
        </w:tc>
      </w:tr>
      <w:tr>
        <w:trPr>
          <w:trHeight w:val="161"/>
        </w:trPr>
        <w:tc>
          <w:tcPr>
            <w:tcW w:w="1020" w:type="dxa"/>
            <w:vAlign w:val="bottom"/>
          </w:tcPr>
          <w:p>
            <w:pPr>
              <w:spacing w:after="0"/>
              <w:rPr>
                <w:sz w:val="13"/>
                <w:szCs w:val="13"/>
                <w:color w:val="auto"/>
              </w:rPr>
            </w:pPr>
          </w:p>
        </w:tc>
        <w:tc>
          <w:tcPr>
            <w:tcW w:w="5740" w:type="dxa"/>
            <w:vAlign w:val="bottom"/>
            <w:gridSpan w:val="12"/>
          </w:tcPr>
          <w:p>
            <w:pPr>
              <w:ind w:left="20"/>
              <w:spacing w:after="0"/>
              <w:rPr>
                <w:sz w:val="20"/>
                <w:szCs w:val="20"/>
                <w:color w:val="auto"/>
              </w:rPr>
            </w:pPr>
            <w:r>
              <w:rPr>
                <w:rFonts w:ascii="Arial" w:cs="Arial" w:eastAsia="Arial" w:hAnsi="Arial"/>
                <w:sz w:val="13"/>
                <w:szCs w:val="13"/>
                <w:color w:val="auto"/>
              </w:rPr>
              <w:t>Maturity Date of that Tranche.</w:t>
            </w:r>
          </w:p>
        </w:tc>
        <w:tc>
          <w:tcPr>
            <w:tcW w:w="4260" w:type="dxa"/>
            <w:vAlign w:val="bottom"/>
          </w:tcPr>
          <w:p>
            <w:pPr>
              <w:spacing w:after="0"/>
              <w:rPr>
                <w:sz w:val="13"/>
                <w:szCs w:val="13"/>
                <w:color w:val="auto"/>
              </w:rPr>
            </w:pPr>
          </w:p>
        </w:tc>
      </w:tr>
      <w:tr>
        <w:trPr>
          <w:trHeight w:val="280"/>
        </w:trPr>
        <w:tc>
          <w:tcPr>
            <w:tcW w:w="1020" w:type="dxa"/>
            <w:vAlign w:val="bottom"/>
          </w:tcPr>
          <w:p>
            <w:pPr>
              <w:spacing w:after="0"/>
              <w:rPr>
                <w:sz w:val="20"/>
                <w:szCs w:val="20"/>
                <w:color w:val="auto"/>
              </w:rPr>
            </w:pPr>
            <w:r>
              <w:rPr>
                <w:rFonts w:ascii="Arial" w:cs="Arial" w:eastAsia="Arial" w:hAnsi="Arial"/>
                <w:sz w:val="13"/>
                <w:szCs w:val="13"/>
                <w:b w:val="1"/>
                <w:bCs w:val="1"/>
                <w:color w:val="auto"/>
              </w:rPr>
              <w:t>5.2</w:t>
            </w:r>
          </w:p>
        </w:tc>
        <w:tc>
          <w:tcPr>
            <w:tcW w:w="138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9"/>
              </w:rPr>
              <w:t>Voluntary prepayment</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5.2.1</w:t>
            </w:r>
          </w:p>
        </w:tc>
        <w:tc>
          <w:tcPr>
            <w:tcW w:w="1380" w:type="dxa"/>
            <w:vAlign w:val="bottom"/>
            <w:gridSpan w:val="5"/>
          </w:tcPr>
          <w:p>
            <w:pPr>
              <w:spacing w:after="0"/>
              <w:rPr>
                <w:sz w:val="20"/>
                <w:szCs w:val="20"/>
                <w:color w:val="auto"/>
              </w:rPr>
            </w:pPr>
            <w:r>
              <w:rPr>
                <w:rFonts w:ascii="Arial" w:cs="Arial" w:eastAsia="Arial" w:hAnsi="Arial"/>
                <w:sz w:val="13"/>
                <w:szCs w:val="13"/>
                <w:b w:val="1"/>
                <w:bCs w:val="1"/>
                <w:color w:val="auto"/>
              </w:rPr>
              <w:t>Prepayment option</w:t>
            </w: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r>
      <w:tr>
        <w:trPr>
          <w:trHeight w:val="200"/>
        </w:trPr>
        <w:tc>
          <w:tcPr>
            <w:tcW w:w="10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(a)</w:t>
            </w:r>
          </w:p>
        </w:tc>
        <w:tc>
          <w:tcPr>
            <w:tcW w:w="5300" w:type="dxa"/>
            <w:vAlign w:val="bottom"/>
            <w:gridSpan w:val="11"/>
          </w:tcPr>
          <w:p>
            <w:pPr>
              <w:ind w:left="240"/>
              <w:spacing w:after="0"/>
              <w:rPr>
                <w:rFonts w:ascii="Arial" w:cs="Arial" w:eastAsia="Arial" w:hAnsi="Arial"/>
                <w:sz w:val="13"/>
                <w:szCs w:val="13"/>
                <w:color w:val="auto"/>
              </w:rPr>
            </w:pPr>
            <w:r>
              <w:rPr>
                <w:rFonts w:ascii="Arial" w:cs="Arial" w:eastAsia="Arial" w:hAnsi="Arial"/>
                <w:sz w:val="13"/>
                <w:szCs w:val="13"/>
                <w:color w:val="auto"/>
              </w:rPr>
              <w:t xml:space="preserve">Subject to Articles </w:t>
            </w:r>
            <w:r>
              <w:rPr>
                <w:rFonts w:ascii="Arial" w:cs="Arial" w:eastAsia="Arial" w:hAnsi="Arial"/>
                <w:sz w:val="13"/>
                <w:szCs w:val="13"/>
                <w:color w:val="0000EE"/>
              </w:rPr>
              <w:t>5.2.2</w:t>
            </w:r>
            <w:r>
              <w:rPr>
                <w:rFonts w:ascii="Arial" w:cs="Arial" w:eastAsia="Arial" w:hAnsi="Arial"/>
                <w:sz w:val="13"/>
                <w:szCs w:val="13"/>
                <w:color w:val="auto"/>
              </w:rPr>
              <w:t xml:space="preserve"> (</w:t>
            </w:r>
            <w:r>
              <w:rPr>
                <w:rFonts w:ascii="Arial" w:cs="Arial" w:eastAsia="Arial" w:hAnsi="Arial"/>
                <w:sz w:val="13"/>
                <w:szCs w:val="13"/>
                <w:i w:val="1"/>
                <w:iCs w:val="1"/>
                <w:color w:val="auto"/>
              </w:rPr>
              <w:t>Prepayment Fee</w:t>
            </w:r>
            <w:r>
              <w:rPr>
                <w:rFonts w:ascii="Arial" w:cs="Arial" w:eastAsia="Arial" w:hAnsi="Arial"/>
                <w:sz w:val="13"/>
                <w:szCs w:val="13"/>
                <w:color w:val="auto"/>
              </w:rPr>
              <w:t>), 5.2.3 (</w:t>
            </w:r>
            <w:r>
              <w:rPr>
                <w:rFonts w:ascii="Arial" w:cs="Arial" w:eastAsia="Arial" w:hAnsi="Arial"/>
                <w:sz w:val="13"/>
                <w:szCs w:val="13"/>
                <w:i w:val="1"/>
                <w:iCs w:val="1"/>
                <w:color w:val="auto"/>
              </w:rPr>
              <w:t>Prepayment mechanics</w:t>
            </w:r>
            <w:r>
              <w:rPr>
                <w:rFonts w:ascii="Arial" w:cs="Arial" w:eastAsia="Arial" w:hAnsi="Arial"/>
                <w:sz w:val="13"/>
                <w:szCs w:val="13"/>
                <w:color w:val="auto"/>
              </w:rPr>
              <w:t xml:space="preserve">) and </w:t>
            </w:r>
            <w:hyperlink w:anchor="page361">
              <w:r>
                <w:rPr>
                  <w:rFonts w:ascii="Arial" w:cs="Arial" w:eastAsia="Arial" w:hAnsi="Arial"/>
                  <w:sz w:val="13"/>
                  <w:szCs w:val="13"/>
                  <w:color w:val="0000EE"/>
                </w:rPr>
                <w:t>5.4</w:t>
              </w:r>
            </w:hyperlink>
          </w:p>
        </w:tc>
        <w:tc>
          <w:tcPr>
            <w:tcW w:w="4260" w:type="dxa"/>
            <w:vAlign w:val="bottom"/>
          </w:tcPr>
          <w:p>
            <w:pPr>
              <w:ind w:left="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General</w:t>
            </w:r>
            <w:r>
              <w:rPr>
                <w:rFonts w:ascii="Arial" w:cs="Arial" w:eastAsia="Arial" w:hAnsi="Arial"/>
                <w:sz w:val="13"/>
                <w:szCs w:val="13"/>
                <w:color w:val="auto"/>
              </w:rPr>
              <w:t>), the Borrower may prepay all or part of any Tranche,</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130"/>
        </w:trPr>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6"/>
          </w:tcPr>
          <w:p>
            <w:pPr>
              <w:ind w:left="240"/>
              <w:spacing w:after="0" w:line="130" w:lineRule="exact"/>
              <w:rPr>
                <w:sz w:val="20"/>
                <w:szCs w:val="20"/>
                <w:color w:val="auto"/>
              </w:rPr>
            </w:pPr>
            <w:r>
              <w:rPr>
                <w:rFonts w:ascii="Arial" w:cs="Arial" w:eastAsia="Arial" w:hAnsi="Arial"/>
                <w:sz w:val="13"/>
                <w:szCs w:val="13"/>
                <w:color w:val="auto"/>
              </w:rPr>
              <w:t>together with accrued</w:t>
            </w:r>
          </w:p>
        </w:tc>
        <w:tc>
          <w:tcPr>
            <w:tcW w:w="7880" w:type="dxa"/>
            <w:vAlign w:val="bottom"/>
            <w:gridSpan w:val="6"/>
          </w:tcPr>
          <w:p>
            <w:pPr>
              <w:spacing w:after="0" w:line="130" w:lineRule="exact"/>
              <w:rPr>
                <w:rFonts w:ascii="Arial" w:cs="Arial" w:eastAsia="Arial" w:hAnsi="Arial"/>
                <w:sz w:val="13"/>
                <w:szCs w:val="13"/>
                <w:color w:val="auto"/>
              </w:rPr>
            </w:pPr>
            <w:r>
              <w:rPr>
                <w:rFonts w:ascii="Arial" w:cs="Arial" w:eastAsia="Arial" w:hAnsi="Arial"/>
                <w:sz w:val="13"/>
                <w:szCs w:val="13"/>
                <w:color w:val="auto"/>
              </w:rPr>
              <w:t xml:space="preserve">interest (including any interest under Article </w:t>
            </w:r>
            <w:hyperlink w:anchor="page358">
              <w:r>
                <w:rPr>
                  <w:rFonts w:ascii="Arial" w:cs="Arial" w:eastAsia="Arial" w:hAnsi="Arial"/>
                  <w:sz w:val="13"/>
                  <w:szCs w:val="13"/>
                  <w:color w:val="0000EE"/>
                </w:rPr>
                <w:t>4.2</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Deferred Interest Fixed Rate</w:t>
            </w:r>
            <w:r>
              <w:rPr>
                <w:rFonts w:ascii="Arial" w:cs="Arial" w:eastAsia="Arial" w:hAnsi="Arial"/>
                <w:sz w:val="13"/>
                <w:szCs w:val="13"/>
                <w:color w:val="auto"/>
              </w:rPr>
              <w:t>), any Profit Participation Payment (up to the Profit</w:t>
            </w:r>
          </w:p>
        </w:tc>
      </w:tr>
      <w:tr>
        <w:trPr>
          <w:trHeight w:val="135"/>
        </w:trPr>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80" w:type="dxa"/>
            <w:vAlign w:val="bottom"/>
            <w:gridSpan w:val="7"/>
          </w:tcPr>
          <w:p>
            <w:pPr>
              <w:ind w:left="240"/>
              <w:spacing w:after="0" w:line="136" w:lineRule="exact"/>
              <w:rPr>
                <w:sz w:val="20"/>
                <w:szCs w:val="20"/>
                <w:color w:val="auto"/>
              </w:rPr>
            </w:pPr>
            <w:r>
              <w:rPr>
                <w:rFonts w:ascii="Arial" w:cs="Arial" w:eastAsia="Arial" w:hAnsi="Arial"/>
                <w:sz w:val="13"/>
                <w:szCs w:val="13"/>
                <w:color w:val="auto"/>
              </w:rPr>
              <w:t>Participation Cap) specified under Article</w:t>
            </w:r>
          </w:p>
        </w:tc>
        <w:tc>
          <w:tcPr>
            <w:tcW w:w="200" w:type="dxa"/>
            <w:vAlign w:val="bottom"/>
            <w:tcBorders>
              <w:top w:val="single" w:sz="8" w:color="0000EE"/>
            </w:tcBorders>
          </w:tcPr>
          <w:p>
            <w:pPr>
              <w:spacing w:after="0"/>
              <w:rPr>
                <w:sz w:val="11"/>
                <w:szCs w:val="11"/>
                <w:color w:val="auto"/>
              </w:rPr>
            </w:pPr>
          </w:p>
        </w:tc>
        <w:tc>
          <w:tcPr>
            <w:tcW w:w="820" w:type="dxa"/>
            <w:vAlign w:val="bottom"/>
            <w:gridSpan w:val="3"/>
          </w:tcPr>
          <w:p>
            <w:pPr>
              <w:spacing w:after="0"/>
              <w:rPr>
                <w:sz w:val="11"/>
                <w:szCs w:val="11"/>
                <w:color w:val="auto"/>
              </w:rPr>
            </w:pPr>
          </w:p>
        </w:tc>
        <w:tc>
          <w:tcPr>
            <w:tcW w:w="4260" w:type="dxa"/>
            <w:vAlign w:val="bottom"/>
          </w:tcPr>
          <w:p>
            <w:pPr>
              <w:spacing w:after="0"/>
              <w:rPr>
                <w:sz w:val="11"/>
                <w:szCs w:val="11"/>
                <w:color w:val="auto"/>
              </w:rPr>
            </w:pPr>
          </w:p>
        </w:tc>
      </w:tr>
      <w:tr>
        <w:trPr>
          <w:trHeight w:val="145"/>
        </w:trPr>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40" w:type="dxa"/>
            <w:vAlign w:val="bottom"/>
            <w:gridSpan w:val="10"/>
          </w:tcPr>
          <w:p>
            <w:pPr>
              <w:spacing w:after="0" w:line="145" w:lineRule="exact"/>
              <w:rPr>
                <w:rFonts w:ascii="Arial" w:cs="Arial" w:eastAsia="Arial" w:hAnsi="Arial"/>
                <w:sz w:val="13"/>
                <w:szCs w:val="13"/>
                <w:color w:val="0000EE"/>
              </w:rPr>
            </w:pPr>
            <w:hyperlink w:anchor="page358">
              <w:r>
                <w:rPr>
                  <w:rFonts w:ascii="Arial" w:cs="Arial" w:eastAsia="Arial" w:hAnsi="Arial"/>
                  <w:sz w:val="13"/>
                  <w:szCs w:val="13"/>
                  <w:color w:val="0000EE"/>
                </w:rPr>
                <w:t>4.</w:t>
              </w:r>
              <w:r>
                <w:rPr>
                  <w:rFonts w:ascii="Arial" w:cs="Arial" w:eastAsia="Arial" w:hAnsi="Arial"/>
                  <w:sz w:val="13"/>
                  <w:szCs w:val="13"/>
                  <w:u w:val="single" w:color="auto"/>
                  <w:color w:val="0000EE"/>
                </w:rPr>
                <w:t>3</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i w:val="1"/>
                <w:iCs w:val="1"/>
                <w:color w:val="000000"/>
              </w:rPr>
              <w:t>Profit Participation</w:t>
            </w:r>
            <w:r>
              <w:rPr>
                <w:rFonts w:ascii="Arial" w:cs="Arial" w:eastAsia="Arial" w:hAnsi="Arial"/>
                <w:sz w:val="13"/>
                <w:szCs w:val="13"/>
                <w:color w:val="000000"/>
              </w:rPr>
              <w:t>), any Prepayment Fee and indemnities if any, upon giving a</w:t>
            </w:r>
          </w:p>
        </w:tc>
        <w:tc>
          <w:tcPr>
            <w:tcW w:w="4260" w:type="dxa"/>
            <w:vAlign w:val="bottom"/>
          </w:tcPr>
          <w:p>
            <w:pPr>
              <w:ind w:left="20"/>
              <w:spacing w:after="0" w:line="145" w:lineRule="exact"/>
              <w:rPr>
                <w:sz w:val="20"/>
                <w:szCs w:val="20"/>
                <w:color w:val="auto"/>
              </w:rPr>
            </w:pPr>
            <w:r>
              <w:rPr>
                <w:rFonts w:ascii="Arial" w:cs="Arial" w:eastAsia="Arial" w:hAnsi="Arial"/>
                <w:sz w:val="13"/>
                <w:szCs w:val="13"/>
                <w:color w:val="auto"/>
              </w:rPr>
              <w:t>Prepayment Request with at least 30 (thirty) calendar days prior notice</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6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color w:val="auto"/>
              </w:rPr>
              <w:t>specifying:</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r>
      <w:tr>
        <w:trPr>
          <w:trHeight w:val="220"/>
        </w:trPr>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4"/>
          </w:tcPr>
          <w:p>
            <w:pPr>
              <w:ind w:left="260"/>
              <w:spacing w:after="0"/>
              <w:rPr>
                <w:sz w:val="20"/>
                <w:szCs w:val="20"/>
                <w:color w:val="auto"/>
              </w:rPr>
            </w:pPr>
            <w:r>
              <w:rPr>
                <w:rFonts w:ascii="Arial" w:cs="Arial" w:eastAsia="Arial" w:hAnsi="Arial"/>
                <w:sz w:val="13"/>
                <w:szCs w:val="13"/>
                <w:color w:val="auto"/>
              </w:rPr>
              <w:t>(i)</w:t>
            </w:r>
          </w:p>
        </w:tc>
        <w:tc>
          <w:tcPr>
            <w:tcW w:w="4360" w:type="dxa"/>
            <w:vAlign w:val="bottom"/>
            <w:gridSpan w:val="7"/>
          </w:tcPr>
          <w:p>
            <w:pPr>
              <w:spacing w:after="0"/>
              <w:rPr>
                <w:sz w:val="20"/>
                <w:szCs w:val="20"/>
                <w:color w:val="auto"/>
              </w:rPr>
            </w:pPr>
            <w:r>
              <w:rPr>
                <w:rFonts w:ascii="Arial" w:cs="Arial" w:eastAsia="Arial" w:hAnsi="Arial"/>
                <w:sz w:val="13"/>
                <w:szCs w:val="13"/>
                <w:color w:val="auto"/>
              </w:rPr>
              <w:t>the Prepayment Amount;</w:t>
            </w:r>
          </w:p>
        </w:tc>
        <w:tc>
          <w:tcPr>
            <w:tcW w:w="4260" w:type="dxa"/>
            <w:vAlign w:val="bottom"/>
          </w:tcPr>
          <w:p>
            <w:pPr>
              <w:spacing w:after="0"/>
              <w:rPr>
                <w:sz w:val="19"/>
                <w:szCs w:val="19"/>
                <w:color w:val="auto"/>
              </w:rPr>
            </w:pPr>
          </w:p>
        </w:tc>
      </w:tr>
      <w:tr>
        <w:trPr>
          <w:trHeight w:val="230"/>
        </w:trPr>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4"/>
          </w:tcPr>
          <w:p>
            <w:pPr>
              <w:ind w:left="260"/>
              <w:spacing w:after="0"/>
              <w:rPr>
                <w:sz w:val="20"/>
                <w:szCs w:val="20"/>
                <w:color w:val="auto"/>
              </w:rPr>
            </w:pPr>
            <w:r>
              <w:rPr>
                <w:rFonts w:ascii="Arial" w:cs="Arial" w:eastAsia="Arial" w:hAnsi="Arial"/>
                <w:sz w:val="13"/>
                <w:szCs w:val="13"/>
                <w:color w:val="auto"/>
              </w:rPr>
              <w:t>(ii)</w:t>
            </w:r>
          </w:p>
        </w:tc>
        <w:tc>
          <w:tcPr>
            <w:tcW w:w="4360" w:type="dxa"/>
            <w:vAlign w:val="bottom"/>
            <w:gridSpan w:val="7"/>
          </w:tcPr>
          <w:p>
            <w:pPr>
              <w:spacing w:after="0"/>
              <w:rPr>
                <w:sz w:val="20"/>
                <w:szCs w:val="20"/>
                <w:color w:val="auto"/>
              </w:rPr>
            </w:pPr>
            <w:r>
              <w:rPr>
                <w:rFonts w:ascii="Arial" w:cs="Arial" w:eastAsia="Arial" w:hAnsi="Arial"/>
                <w:sz w:val="13"/>
                <w:szCs w:val="13"/>
                <w:color w:val="auto"/>
              </w:rPr>
              <w:t>the Prepayment Date; and</w:t>
            </w:r>
          </w:p>
        </w:tc>
        <w:tc>
          <w:tcPr>
            <w:tcW w:w="4260" w:type="dxa"/>
            <w:vAlign w:val="bottom"/>
          </w:tcPr>
          <w:p>
            <w:pPr>
              <w:spacing w:after="0"/>
              <w:rPr>
                <w:sz w:val="19"/>
                <w:szCs w:val="19"/>
                <w:color w:val="auto"/>
              </w:rPr>
            </w:pPr>
          </w:p>
        </w:tc>
      </w:tr>
      <w:tr>
        <w:trPr>
          <w:trHeight w:val="230"/>
        </w:trPr>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4"/>
          </w:tcPr>
          <w:p>
            <w:pPr>
              <w:ind w:left="260"/>
              <w:spacing w:after="0"/>
              <w:rPr>
                <w:sz w:val="20"/>
                <w:szCs w:val="20"/>
                <w:color w:val="auto"/>
              </w:rPr>
            </w:pPr>
            <w:r>
              <w:rPr>
                <w:rFonts w:ascii="Arial" w:cs="Arial" w:eastAsia="Arial" w:hAnsi="Arial"/>
                <w:sz w:val="13"/>
                <w:szCs w:val="13"/>
                <w:color w:val="auto"/>
              </w:rPr>
              <w:t>(iii)</w:t>
            </w:r>
          </w:p>
        </w:tc>
        <w:tc>
          <w:tcPr>
            <w:tcW w:w="4360" w:type="dxa"/>
            <w:vAlign w:val="bottom"/>
            <w:gridSpan w:val="7"/>
          </w:tcPr>
          <w:p>
            <w:pPr>
              <w:spacing w:after="0"/>
              <w:rPr>
                <w:sz w:val="20"/>
                <w:szCs w:val="20"/>
                <w:color w:val="auto"/>
              </w:rPr>
            </w:pPr>
            <w:r>
              <w:rPr>
                <w:rFonts w:ascii="Arial" w:cs="Arial" w:eastAsia="Arial" w:hAnsi="Arial"/>
                <w:sz w:val="13"/>
                <w:szCs w:val="13"/>
                <w:color w:val="auto"/>
              </w:rPr>
              <w:t>each Contract Number.</w:t>
            </w:r>
          </w:p>
        </w:tc>
        <w:tc>
          <w:tcPr>
            <w:tcW w:w="4260" w:type="dxa"/>
            <w:vAlign w:val="bottom"/>
          </w:tcPr>
          <w:p>
            <w:pPr>
              <w:spacing w:after="0"/>
              <w:rPr>
                <w:sz w:val="19"/>
                <w:szCs w:val="19"/>
                <w:color w:val="auto"/>
              </w:rPr>
            </w:pPr>
          </w:p>
        </w:tc>
      </w:tr>
      <w:tr>
        <w:trPr>
          <w:trHeight w:val="230"/>
        </w:trPr>
        <w:tc>
          <w:tcPr>
            <w:tcW w:w="10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(b)</w:t>
            </w:r>
          </w:p>
        </w:tc>
        <w:tc>
          <w:tcPr>
            <w:tcW w:w="5300" w:type="dxa"/>
            <w:vAlign w:val="bottom"/>
            <w:gridSpan w:val="11"/>
          </w:tcPr>
          <w:p>
            <w:pPr>
              <w:ind w:left="240"/>
              <w:spacing w:after="0"/>
              <w:rPr>
                <w:sz w:val="20"/>
                <w:szCs w:val="20"/>
                <w:color w:val="auto"/>
              </w:rPr>
            </w:pPr>
            <w:r>
              <w:rPr>
                <w:rFonts w:ascii="Arial" w:cs="Arial" w:eastAsia="Arial" w:hAnsi="Arial"/>
                <w:sz w:val="13"/>
                <w:szCs w:val="13"/>
                <w:color w:val="auto"/>
              </w:rPr>
              <w:t>The Prepayment Request shall be irrevocable.</w:t>
            </w:r>
          </w:p>
        </w:tc>
        <w:tc>
          <w:tcPr>
            <w:tcW w:w="4260" w:type="dxa"/>
            <w:vAlign w:val="bottom"/>
          </w:tcPr>
          <w:p>
            <w:pPr>
              <w:spacing w:after="0"/>
              <w:rPr>
                <w:sz w:val="19"/>
                <w:szCs w:val="19"/>
                <w:color w:val="auto"/>
              </w:rPr>
            </w:pPr>
          </w:p>
        </w:tc>
      </w:tr>
    </w:tbl>
    <w:p>
      <w:pPr>
        <w:spacing w:after="0" w:line="9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5.2.2</w:t>
      </w:r>
      <w:r>
        <w:rPr>
          <w:sz w:val="20"/>
          <w:szCs w:val="20"/>
          <w:color w:val="auto"/>
        </w:rPr>
        <w:tab/>
      </w:r>
      <w:r>
        <w:rPr>
          <w:rFonts w:ascii="Arial" w:cs="Arial" w:eastAsia="Arial" w:hAnsi="Arial"/>
          <w:sz w:val="13"/>
          <w:szCs w:val="13"/>
          <w:b w:val="1"/>
          <w:bCs w:val="1"/>
          <w:color w:val="auto"/>
        </w:rPr>
        <w:t>Prepayment Fee</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If the Borrower prepays a Tranche, the Borrower shall pay the relevant Prepayment Fee on the Prepayment Date.</w:t>
      </w:r>
    </w:p>
    <w:p>
      <w:pPr>
        <w:spacing w:after="0" w:line="104"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5.2.3</w:t>
      </w:r>
      <w:r>
        <w:rPr>
          <w:sz w:val="20"/>
          <w:szCs w:val="20"/>
          <w:color w:val="auto"/>
        </w:rPr>
        <w:tab/>
      </w:r>
      <w:r>
        <w:rPr>
          <w:rFonts w:ascii="Arial" w:cs="Arial" w:eastAsia="Arial" w:hAnsi="Arial"/>
          <w:sz w:val="13"/>
          <w:szCs w:val="13"/>
          <w:b w:val="1"/>
          <w:bCs w:val="1"/>
          <w:color w:val="auto"/>
        </w:rPr>
        <w:t>Prepayment mechanics</w:t>
      </w:r>
    </w:p>
    <w:p>
      <w:pPr>
        <w:spacing w:after="0" w:line="96" w:lineRule="exact"/>
        <w:rPr>
          <w:sz w:val="20"/>
          <w:szCs w:val="20"/>
          <w:color w:val="auto"/>
        </w:rPr>
      </w:pPr>
    </w:p>
    <w:p>
      <w:pPr>
        <w:jc w:val="both"/>
        <w:ind w:left="1160" w:right="120"/>
        <w:spacing w:after="0" w:line="249" w:lineRule="auto"/>
        <w:rPr>
          <w:sz w:val="20"/>
          <w:szCs w:val="20"/>
          <w:color w:val="auto"/>
        </w:rPr>
      </w:pPr>
      <w:r>
        <w:rPr>
          <w:rFonts w:ascii="Arial" w:cs="Arial" w:eastAsia="Arial" w:hAnsi="Arial"/>
          <w:sz w:val="13"/>
          <w:szCs w:val="13"/>
          <w:color w:val="auto"/>
        </w:rPr>
        <w:t>Upon presentation by the Borrower to the Bank of a Prepayment Request, the Bank shall issue a Prepayment Notice to the Borrower, not later than [***] days prior to the Prepayment Date. If the Borrower evidences to the Bank that – taking into account the time for procuring of the Expert Determination - takes longer than [***] days, the Borrower</w:t>
      </w: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59" w:name="page360"/>
    <w:bookmarkEnd w:id="359"/>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tbl>
      <w:tblPr>
        <w:tblLayout w:type="fixed"/>
        <w:tblInd w:w="12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and the Bank will agree on a longer deadline. The Prepayment Notice shall specify the Prepayment Amount, the accrued interest due thereon, the Prepayment</w:t>
            </w:r>
          </w:p>
        </w:tc>
      </w:tr>
      <w:tr>
        <w:trPr>
          <w:trHeight w:val="150"/>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Fee. If the  Prepayment Notice specifies Prepayment Fee, it shall also specify the deadline by which the  Borrower may accept the Prepayment Notice, and  the</w:t>
            </w:r>
          </w:p>
        </w:tc>
      </w:tr>
      <w:tr>
        <w:trPr>
          <w:trHeight w:val="161"/>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Borrower must accept the Prepayment Notice no later than such deadline as a condition to prepayment.</w:t>
            </w:r>
          </w:p>
        </w:tc>
      </w:tr>
      <w:tr>
        <w:trPr>
          <w:trHeight w:val="205"/>
        </w:trPr>
        <w:tc>
          <w:tcPr>
            <w:tcW w:w="1020" w:type="dxa"/>
            <w:vAlign w:val="bottom"/>
          </w:tcPr>
          <w:p>
            <w:pPr>
              <w:spacing w:after="0"/>
              <w:rPr>
                <w:sz w:val="17"/>
                <w:szCs w:val="17"/>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The Borrower shall make a prepayment in accordance with the Prepayment Notice and shall accompany the prepayment by the payment of accrued interest (including</w:t>
            </w:r>
          </w:p>
        </w:tc>
      </w:tr>
      <w:tr>
        <w:trPr>
          <w:trHeight w:val="145"/>
        </w:trPr>
        <w:tc>
          <w:tcPr>
            <w:tcW w:w="1020" w:type="dxa"/>
            <w:vAlign w:val="bottom"/>
          </w:tcPr>
          <w:p>
            <w:pPr>
              <w:spacing w:after="0"/>
              <w:rPr>
                <w:sz w:val="12"/>
                <w:szCs w:val="12"/>
                <w:color w:val="auto"/>
              </w:rPr>
            </w:pPr>
          </w:p>
        </w:tc>
        <w:tc>
          <w:tcPr>
            <w:tcW w:w="10000" w:type="dxa"/>
            <w:vAlign w:val="bottom"/>
            <w:gridSpan w:val="11"/>
          </w:tcPr>
          <w:p>
            <w:pPr>
              <w:ind w:left="20"/>
              <w:spacing w:after="0" w:line="145" w:lineRule="exact"/>
              <w:rPr>
                <w:rFonts w:ascii="Arial" w:cs="Arial" w:eastAsia="Arial" w:hAnsi="Arial"/>
                <w:sz w:val="13"/>
                <w:szCs w:val="13"/>
                <w:color w:val="auto"/>
              </w:rPr>
            </w:pPr>
            <w:r>
              <w:rPr>
                <w:rFonts w:ascii="Arial" w:cs="Arial" w:eastAsia="Arial" w:hAnsi="Arial"/>
                <w:sz w:val="13"/>
                <w:szCs w:val="13"/>
                <w:color w:val="auto"/>
              </w:rPr>
              <w:t xml:space="preserve">any interest under Article </w:t>
            </w:r>
            <w:hyperlink w:anchor="page358">
              <w:r>
                <w:rPr>
                  <w:rFonts w:ascii="Arial" w:cs="Arial" w:eastAsia="Arial" w:hAnsi="Arial"/>
                  <w:sz w:val="13"/>
                  <w:szCs w:val="13"/>
                  <w:color w:val="0000EE"/>
                </w:rPr>
                <w:t>4.2</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Deferred Interest Fixed Rate)</w:t>
            </w:r>
            <w:r>
              <w:rPr>
                <w:rFonts w:ascii="Arial" w:cs="Arial" w:eastAsia="Arial" w:hAnsi="Arial"/>
                <w:sz w:val="13"/>
                <w:szCs w:val="13"/>
                <w:color w:val="auto"/>
              </w:rPr>
              <w:t xml:space="preserve"> and any Profit Participation Payment specified  under Sub-Paragraph (d) of Article </w:t>
            </w:r>
            <w:hyperlink w:anchor="page358">
              <w:r>
                <w:rPr>
                  <w:rFonts w:ascii="Arial" w:cs="Arial" w:eastAsia="Arial" w:hAnsi="Arial"/>
                  <w:sz w:val="13"/>
                  <w:szCs w:val="13"/>
                  <w:color w:val="0000EE"/>
                </w:rPr>
                <w:t>4.3</w:t>
              </w:r>
              <w:r>
                <w:rPr>
                  <w:rFonts w:ascii="Arial" w:cs="Arial" w:eastAsia="Arial" w:hAnsi="Arial"/>
                  <w:sz w:val="13"/>
                  <w:szCs w:val="13"/>
                  <w:color w:val="auto"/>
                </w:rPr>
                <w:t xml:space="preserve"> </w:t>
              </w:r>
            </w:hyperlink>
            <w:r>
              <w:rPr>
                <w:rFonts w:ascii="Arial" w:cs="Arial" w:eastAsia="Arial" w:hAnsi="Arial"/>
                <w:sz w:val="13"/>
                <w:szCs w:val="13"/>
                <w:color w:val="auto"/>
              </w:rPr>
              <w:t>and Prepayment</w:t>
            </w:r>
          </w:p>
        </w:tc>
      </w:tr>
      <w:tr>
        <w:trPr>
          <w:trHeight w:val="20"/>
        </w:trPr>
        <w:tc>
          <w:tcPr>
            <w:tcW w:w="10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Fee or indemnity, if any, due on the Prepayment Amount, as specified in the Prepayment Notice, and shall identify each Contract Number in the prepayment transfer.</w:t>
            </w:r>
          </w:p>
        </w:tc>
      </w:tr>
      <w:tr>
        <w:trPr>
          <w:trHeight w:val="280"/>
        </w:trPr>
        <w:tc>
          <w:tcPr>
            <w:tcW w:w="1020" w:type="dxa"/>
            <w:vAlign w:val="bottom"/>
          </w:tcPr>
          <w:p>
            <w:pPr>
              <w:spacing w:after="0"/>
              <w:rPr>
                <w:sz w:val="20"/>
                <w:szCs w:val="20"/>
                <w:color w:val="auto"/>
              </w:rPr>
            </w:pPr>
            <w:r>
              <w:rPr>
                <w:rFonts w:ascii="Arial" w:cs="Arial" w:eastAsia="Arial" w:hAnsi="Arial"/>
                <w:sz w:val="13"/>
                <w:szCs w:val="13"/>
                <w:b w:val="1"/>
                <w:bCs w:val="1"/>
                <w:color w:val="auto"/>
              </w:rPr>
              <w:t>5.3</w:t>
            </w:r>
          </w:p>
        </w:tc>
        <w:tc>
          <w:tcPr>
            <w:tcW w:w="3740" w:type="dxa"/>
            <w:vAlign w:val="bottom"/>
            <w:gridSpan w:val="6"/>
          </w:tcPr>
          <w:p>
            <w:pPr>
              <w:spacing w:after="0"/>
              <w:rPr>
                <w:sz w:val="20"/>
                <w:szCs w:val="20"/>
                <w:color w:val="auto"/>
              </w:rPr>
            </w:pPr>
            <w:r>
              <w:rPr>
                <w:rFonts w:ascii="Arial" w:cs="Arial" w:eastAsia="Arial" w:hAnsi="Arial"/>
                <w:sz w:val="13"/>
                <w:szCs w:val="13"/>
                <w:b w:val="1"/>
                <w:bCs w:val="1"/>
                <w:color w:val="auto"/>
              </w:rPr>
              <w:t>Compulsory prepayment</w:t>
            </w: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5.3.1</w:t>
            </w: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Cost Reduction</w:t>
            </w:r>
          </w:p>
        </w:tc>
        <w:tc>
          <w:tcPr>
            <w:tcW w:w="5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9"/>
        </w:trPr>
        <w:tc>
          <w:tcPr>
            <w:tcW w:w="1020" w:type="dxa"/>
            <w:vAlign w:val="bottom"/>
          </w:tcPr>
          <w:p>
            <w:pPr>
              <w:spacing w:after="0"/>
              <w:rPr>
                <w:sz w:val="19"/>
                <w:szCs w:val="19"/>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If the total cost of the Investment at completion by the final date specified in the Technical Description falls below the figure stated in Recital (A) so that the amount</w:t>
            </w:r>
          </w:p>
        </w:tc>
      </w:tr>
      <w:tr>
        <w:trPr>
          <w:trHeight w:val="150"/>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of the Credit exceeds 50% (fifty per cent.) of such total cost, the Bank may forthwith, by notice to the Borrower, cancel the undisbursed portion of the Credit</w:t>
            </w:r>
          </w:p>
        </w:tc>
      </w:tr>
      <w:tr>
        <w:trPr>
          <w:trHeight w:val="161"/>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and/or demand prepayment of the Loan Outstanding up to the amount by which the Credit exceeds 50% (fifty per cent.) of the total cost of the Investment.</w:t>
            </w: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5.3.2</w:t>
            </w: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Change Events</w:t>
            </w: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1020" w:type="dxa"/>
            <w:vAlign w:val="bottom"/>
          </w:tcPr>
          <w:p>
            <w:pPr>
              <w:spacing w:after="0"/>
              <w:rPr>
                <w:sz w:val="19"/>
                <w:szCs w:val="19"/>
                <w:color w:val="auto"/>
              </w:rPr>
            </w:pPr>
          </w:p>
        </w:tc>
        <w:tc>
          <w:tcPr>
            <w:tcW w:w="3740" w:type="dxa"/>
            <w:vAlign w:val="bottom"/>
            <w:gridSpan w:val="6"/>
          </w:tcPr>
          <w:p>
            <w:pPr>
              <w:ind w:left="20"/>
              <w:spacing w:after="0"/>
              <w:rPr>
                <w:sz w:val="20"/>
                <w:szCs w:val="20"/>
                <w:color w:val="auto"/>
              </w:rPr>
            </w:pPr>
            <w:r>
              <w:rPr>
                <w:rFonts w:ascii="Arial" w:cs="Arial" w:eastAsia="Arial" w:hAnsi="Arial"/>
                <w:sz w:val="13"/>
                <w:szCs w:val="13"/>
                <w:color w:val="auto"/>
              </w:rPr>
              <w:t>The Borrower shall promptly inform the Bank if:</w:t>
            </w:r>
          </w:p>
        </w:tc>
        <w:tc>
          <w:tcPr>
            <w:tcW w:w="2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(a)</w:t>
            </w:r>
          </w:p>
        </w:tc>
        <w:tc>
          <w:tcPr>
            <w:tcW w:w="9360" w:type="dxa"/>
            <w:vAlign w:val="bottom"/>
            <w:gridSpan w:val="10"/>
          </w:tcPr>
          <w:p>
            <w:pPr>
              <w:ind w:left="40"/>
              <w:spacing w:after="0"/>
              <w:rPr>
                <w:sz w:val="20"/>
                <w:szCs w:val="20"/>
                <w:color w:val="auto"/>
              </w:rPr>
            </w:pPr>
            <w:r>
              <w:rPr>
                <w:rFonts w:ascii="Arial" w:cs="Arial" w:eastAsia="Arial" w:hAnsi="Arial"/>
                <w:sz w:val="13"/>
                <w:szCs w:val="13"/>
                <w:color w:val="auto"/>
              </w:rPr>
              <w:t>a Change-of-Control Event has occurred or is likely to occur in respect of itself or a Guarantor; or</w:t>
            </w:r>
          </w:p>
        </w:tc>
      </w:tr>
      <w:tr>
        <w:trPr>
          <w:trHeight w:val="240"/>
        </w:trPr>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(b)</w:t>
            </w:r>
          </w:p>
        </w:tc>
        <w:tc>
          <w:tcPr>
            <w:tcW w:w="9360" w:type="dxa"/>
            <w:vAlign w:val="bottom"/>
            <w:gridSpan w:val="10"/>
          </w:tcPr>
          <w:p>
            <w:pPr>
              <w:ind w:left="40"/>
              <w:spacing w:after="0"/>
              <w:rPr>
                <w:sz w:val="20"/>
                <w:szCs w:val="20"/>
                <w:color w:val="auto"/>
              </w:rPr>
            </w:pPr>
            <w:r>
              <w:rPr>
                <w:rFonts w:ascii="Arial" w:cs="Arial" w:eastAsia="Arial" w:hAnsi="Arial"/>
                <w:sz w:val="13"/>
                <w:szCs w:val="13"/>
                <w:color w:val="auto"/>
              </w:rPr>
              <w:t>a Change-of-Law-Event has occurred or is likely to occur.</w:t>
            </w:r>
          </w:p>
        </w:tc>
      </w:tr>
      <w:tr>
        <w:trPr>
          <w:trHeight w:val="219"/>
        </w:trPr>
        <w:tc>
          <w:tcPr>
            <w:tcW w:w="1020" w:type="dxa"/>
            <w:vAlign w:val="bottom"/>
          </w:tcPr>
          <w:p>
            <w:pPr>
              <w:spacing w:after="0"/>
              <w:rPr>
                <w:sz w:val="19"/>
                <w:szCs w:val="19"/>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In such case, or if the Bank has reasonable cause to believe that a Change-of-Control Event or a Change-of-Law Event has occurred or is likely to occur, the Borrower</w:t>
            </w:r>
          </w:p>
        </w:tc>
      </w:tr>
      <w:tr>
        <w:trPr>
          <w:trHeight w:val="150"/>
        </w:trPr>
        <w:tc>
          <w:tcPr>
            <w:tcW w:w="10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shall, on request</w:t>
            </w:r>
          </w:p>
        </w:tc>
        <w:tc>
          <w:tcPr>
            <w:tcW w:w="8960" w:type="dxa"/>
            <w:vAlign w:val="bottom"/>
            <w:gridSpan w:val="9"/>
          </w:tcPr>
          <w:p>
            <w:pPr>
              <w:jc w:val="right"/>
              <w:spacing w:after="0"/>
              <w:rPr>
                <w:sz w:val="20"/>
                <w:szCs w:val="20"/>
                <w:color w:val="auto"/>
              </w:rPr>
            </w:pPr>
            <w:r>
              <w:rPr>
                <w:rFonts w:ascii="Arial" w:cs="Arial" w:eastAsia="Arial" w:hAnsi="Arial"/>
                <w:sz w:val="13"/>
                <w:szCs w:val="13"/>
                <w:color w:val="auto"/>
              </w:rPr>
              <w:t>of the Bank, consult with the Bank as to the impact of such event. If [***] days have passed since the date of such request and the Bank is of the</w:t>
            </w:r>
          </w:p>
        </w:tc>
      </w:tr>
      <w:tr>
        <w:trPr>
          <w:trHeight w:val="150"/>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reasonable opinion that the effects of such event cannot be mitigated to its satisfaction, or in any event if a Change-of- Control Event or Change-of-Law Event has</w:t>
            </w:r>
          </w:p>
        </w:tc>
      </w:tr>
      <w:tr>
        <w:trPr>
          <w:trHeight w:val="150"/>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actually occurred, the Bank may by notice to the Borrower, cancel the undisbursed portion of the Credit and/or demand prepayment of the  Loan Outstanding, together</w:t>
            </w:r>
          </w:p>
        </w:tc>
      </w:tr>
      <w:tr>
        <w:trPr>
          <w:trHeight w:val="161"/>
        </w:trPr>
        <w:tc>
          <w:tcPr>
            <w:tcW w:w="1020" w:type="dxa"/>
            <w:vAlign w:val="bottom"/>
          </w:tcPr>
          <w:p>
            <w:pPr>
              <w:spacing w:after="0"/>
              <w:rPr>
                <w:sz w:val="13"/>
                <w:szCs w:val="13"/>
                <w:color w:val="auto"/>
              </w:rPr>
            </w:pPr>
          </w:p>
        </w:tc>
        <w:tc>
          <w:tcPr>
            <w:tcW w:w="3740" w:type="dxa"/>
            <w:vAlign w:val="bottom"/>
            <w:gridSpan w:val="6"/>
          </w:tcPr>
          <w:p>
            <w:pPr>
              <w:ind w:left="20"/>
              <w:spacing w:after="0"/>
              <w:rPr>
                <w:sz w:val="20"/>
                <w:szCs w:val="20"/>
                <w:color w:val="auto"/>
              </w:rPr>
            </w:pPr>
            <w:r>
              <w:rPr>
                <w:rFonts w:ascii="Arial" w:cs="Arial" w:eastAsia="Arial" w:hAnsi="Arial"/>
                <w:sz w:val="13"/>
                <w:szCs w:val="13"/>
                <w:color w:val="auto"/>
              </w:rPr>
              <w:t>with accrued interest (if any) and all other amounts accrued or</w:t>
            </w:r>
          </w:p>
        </w:tc>
        <w:tc>
          <w:tcPr>
            <w:tcW w:w="6260" w:type="dxa"/>
            <w:vAlign w:val="bottom"/>
            <w:gridSpan w:val="5"/>
          </w:tcPr>
          <w:p>
            <w:pPr>
              <w:jc w:val="right"/>
              <w:ind w:right="4340"/>
              <w:spacing w:after="0"/>
              <w:rPr>
                <w:sz w:val="20"/>
                <w:szCs w:val="20"/>
                <w:color w:val="auto"/>
              </w:rPr>
            </w:pPr>
            <w:r>
              <w:rPr>
                <w:rFonts w:ascii="Arial" w:cs="Arial" w:eastAsia="Arial" w:hAnsi="Arial"/>
                <w:sz w:val="13"/>
                <w:szCs w:val="13"/>
                <w:color w:val="auto"/>
              </w:rPr>
              <w:t>outstanding under this Contract.</w:t>
            </w: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5.3.3</w:t>
            </w:r>
          </w:p>
        </w:tc>
        <w:tc>
          <w:tcPr>
            <w:tcW w:w="640" w:type="dxa"/>
            <w:vAlign w:val="bottom"/>
          </w:tcPr>
          <w:p>
            <w:pPr>
              <w:spacing w:after="0"/>
              <w:rPr>
                <w:sz w:val="20"/>
                <w:szCs w:val="20"/>
                <w:color w:val="auto"/>
              </w:rPr>
            </w:pPr>
            <w:r>
              <w:rPr>
                <w:rFonts w:ascii="Arial" w:cs="Arial" w:eastAsia="Arial" w:hAnsi="Arial"/>
                <w:sz w:val="13"/>
                <w:szCs w:val="13"/>
                <w:b w:val="1"/>
                <w:bCs w:val="1"/>
                <w:color w:val="auto"/>
              </w:rPr>
              <w:t>Illegality</w:t>
            </w: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9"/>
        </w:trPr>
        <w:tc>
          <w:tcPr>
            <w:tcW w:w="1020" w:type="dxa"/>
            <w:vAlign w:val="bottom"/>
          </w:tcPr>
          <w:p>
            <w:pPr>
              <w:spacing w:after="0"/>
              <w:rPr>
                <w:sz w:val="19"/>
                <w:szCs w:val="19"/>
                <w:color w:val="auto"/>
              </w:rPr>
            </w:pPr>
          </w:p>
        </w:tc>
        <w:tc>
          <w:tcPr>
            <w:tcW w:w="3740" w:type="dxa"/>
            <w:vAlign w:val="bottom"/>
            <w:gridSpan w:val="6"/>
          </w:tcPr>
          <w:p>
            <w:pPr>
              <w:ind w:left="20"/>
              <w:spacing w:after="0"/>
              <w:rPr>
                <w:sz w:val="20"/>
                <w:szCs w:val="20"/>
                <w:color w:val="auto"/>
              </w:rPr>
            </w:pPr>
            <w:r>
              <w:rPr>
                <w:rFonts w:ascii="Arial" w:cs="Arial" w:eastAsia="Arial" w:hAnsi="Arial"/>
                <w:sz w:val="13"/>
                <w:szCs w:val="13"/>
                <w:color w:val="auto"/>
              </w:rPr>
              <w:t>If it becomes unlawful in any applicable jurisdiction for the</w:t>
            </w:r>
          </w:p>
        </w:tc>
        <w:tc>
          <w:tcPr>
            <w:tcW w:w="6260" w:type="dxa"/>
            <w:vAlign w:val="bottom"/>
            <w:gridSpan w:val="5"/>
          </w:tcPr>
          <w:p>
            <w:pPr>
              <w:jc w:val="right"/>
              <w:spacing w:after="0"/>
              <w:rPr>
                <w:sz w:val="20"/>
                <w:szCs w:val="20"/>
                <w:color w:val="auto"/>
              </w:rPr>
            </w:pPr>
            <w:r>
              <w:rPr>
                <w:rFonts w:ascii="Arial" w:cs="Arial" w:eastAsia="Arial" w:hAnsi="Arial"/>
                <w:sz w:val="13"/>
                <w:szCs w:val="13"/>
                <w:color w:val="auto"/>
              </w:rPr>
              <w:t>Bank to perform any of its obligations as contemplated in this Contract or to fund or maintain the Loan,</w:t>
            </w:r>
          </w:p>
        </w:tc>
      </w:tr>
      <w:tr>
        <w:trPr>
          <w:trHeight w:val="150"/>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the Bank shall promptly notify the Borrower and may immediately cancel the undisbursed portion of the Credit and/or demand prepayment of the Loan Outstanding,</w:t>
            </w:r>
          </w:p>
        </w:tc>
      </w:tr>
      <w:tr>
        <w:trPr>
          <w:trHeight w:val="161"/>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together with accrued interest (if any) and all other amounts accrued or outstanding under this Contract.</w:t>
            </w: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5.3.4</w:t>
            </w:r>
          </w:p>
        </w:tc>
        <w:tc>
          <w:tcPr>
            <w:tcW w:w="640" w:type="dxa"/>
            <w:vAlign w:val="bottom"/>
          </w:tcPr>
          <w:p>
            <w:pPr>
              <w:spacing w:after="0"/>
              <w:rPr>
                <w:sz w:val="20"/>
                <w:szCs w:val="20"/>
                <w:color w:val="auto"/>
              </w:rPr>
            </w:pPr>
            <w:r>
              <w:rPr>
                <w:rFonts w:ascii="Arial" w:cs="Arial" w:eastAsia="Arial" w:hAnsi="Arial"/>
                <w:sz w:val="13"/>
                <w:szCs w:val="13"/>
                <w:b w:val="1"/>
                <w:bCs w:val="1"/>
                <w:color w:val="auto"/>
              </w:rPr>
              <w:t>Disposals</w:t>
            </w: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5"/>
        </w:trPr>
        <w:tc>
          <w:tcPr>
            <w:tcW w:w="1020" w:type="dxa"/>
            <w:vAlign w:val="bottom"/>
          </w:tcPr>
          <w:p>
            <w:pPr>
              <w:spacing w:after="0"/>
              <w:rPr>
                <w:sz w:val="17"/>
                <w:szCs w:val="17"/>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If the Borrower disposes of assets forming part of the Investment or shares in subsidiaries holding assets forming part of the Investment, neither with the approval of</w:t>
            </w:r>
          </w:p>
        </w:tc>
      </w:tr>
      <w:tr>
        <w:trPr>
          <w:trHeight w:val="145"/>
        </w:trPr>
        <w:tc>
          <w:tcPr>
            <w:tcW w:w="1020" w:type="dxa"/>
            <w:vAlign w:val="bottom"/>
          </w:tcPr>
          <w:p>
            <w:pPr>
              <w:spacing w:after="0"/>
              <w:rPr>
                <w:sz w:val="12"/>
                <w:szCs w:val="12"/>
                <w:color w:val="auto"/>
              </w:rPr>
            </w:pPr>
          </w:p>
        </w:tc>
        <w:tc>
          <w:tcPr>
            <w:tcW w:w="640" w:type="dxa"/>
            <w:vAlign w:val="bottom"/>
          </w:tcPr>
          <w:p>
            <w:pPr>
              <w:ind w:left="20"/>
              <w:spacing w:after="0" w:line="145" w:lineRule="exact"/>
              <w:rPr>
                <w:sz w:val="20"/>
                <w:szCs w:val="20"/>
                <w:color w:val="auto"/>
              </w:rPr>
            </w:pPr>
            <w:r>
              <w:rPr>
                <w:rFonts w:ascii="Arial" w:cs="Arial" w:eastAsia="Arial" w:hAnsi="Arial"/>
                <w:sz w:val="13"/>
                <w:szCs w:val="13"/>
                <w:color w:val="auto"/>
              </w:rPr>
              <w:t>the Bank</w:t>
            </w:r>
          </w:p>
        </w:tc>
        <w:tc>
          <w:tcPr>
            <w:tcW w:w="400" w:type="dxa"/>
            <w:vAlign w:val="bottom"/>
          </w:tcPr>
          <w:p>
            <w:pPr>
              <w:spacing w:after="0" w:line="145" w:lineRule="exact"/>
              <w:rPr>
                <w:sz w:val="20"/>
                <w:szCs w:val="20"/>
                <w:color w:val="auto"/>
              </w:rPr>
            </w:pPr>
            <w:r>
              <w:rPr>
                <w:rFonts w:ascii="Arial" w:cs="Arial" w:eastAsia="Arial" w:hAnsi="Arial"/>
                <w:sz w:val="13"/>
                <w:szCs w:val="13"/>
                <w:color w:val="auto"/>
              </w:rPr>
              <w:t>nor in</w:t>
            </w:r>
          </w:p>
        </w:tc>
        <w:tc>
          <w:tcPr>
            <w:tcW w:w="8960" w:type="dxa"/>
            <w:vAlign w:val="bottom"/>
            <w:gridSpan w:val="9"/>
          </w:tcPr>
          <w:p>
            <w:pPr>
              <w:jc w:val="right"/>
              <w:spacing w:after="0" w:line="145" w:lineRule="exact"/>
              <w:rPr>
                <w:rFonts w:ascii="Arial" w:cs="Arial" w:eastAsia="Arial" w:hAnsi="Arial"/>
                <w:sz w:val="13"/>
                <w:szCs w:val="13"/>
                <w:color w:val="auto"/>
              </w:rPr>
            </w:pPr>
            <w:r>
              <w:rPr>
                <w:rFonts w:ascii="Arial" w:cs="Arial" w:eastAsia="Arial" w:hAnsi="Arial"/>
                <w:sz w:val="13"/>
                <w:szCs w:val="13"/>
                <w:color w:val="auto"/>
              </w:rPr>
              <w:t>accordance with Sub-Paragraph (c) of Paragraph 7 (</w:t>
            </w:r>
            <w:r>
              <w:rPr>
                <w:rFonts w:ascii="Arial" w:cs="Arial" w:eastAsia="Arial" w:hAnsi="Arial"/>
                <w:sz w:val="13"/>
                <w:szCs w:val="13"/>
                <w:i w:val="1"/>
                <w:iCs w:val="1"/>
                <w:color w:val="auto"/>
              </w:rPr>
              <w:t>Disposal of assets</w:t>
            </w:r>
            <w:r>
              <w:rPr>
                <w:rFonts w:ascii="Arial" w:cs="Arial" w:eastAsia="Arial" w:hAnsi="Arial"/>
                <w:sz w:val="13"/>
                <w:szCs w:val="13"/>
                <w:color w:val="auto"/>
              </w:rPr>
              <w:t xml:space="preserve">) of </w:t>
            </w:r>
            <w:hyperlink w:anchor="page387">
              <w:r>
                <w:rPr>
                  <w:rFonts w:ascii="Arial" w:cs="Arial" w:eastAsia="Arial" w:hAnsi="Arial"/>
                  <w:sz w:val="13"/>
                  <w:szCs w:val="13"/>
                  <w:color w:val="0000EE"/>
                </w:rPr>
                <w:t>Schedule H</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General Undertakings</w:t>
            </w:r>
            <w:r>
              <w:rPr>
                <w:rFonts w:ascii="Arial" w:cs="Arial" w:eastAsia="Arial" w:hAnsi="Arial"/>
                <w:sz w:val="13"/>
                <w:szCs w:val="13"/>
                <w:color w:val="auto"/>
              </w:rPr>
              <w:t>), the Borrower shall apply all</w:t>
            </w:r>
          </w:p>
        </w:tc>
      </w:tr>
      <w:tr>
        <w:trPr>
          <w:trHeight w:val="20"/>
        </w:trPr>
        <w:tc>
          <w:tcPr>
            <w:tcW w:w="1020" w:type="dxa"/>
            <w:vAlign w:val="bottom"/>
          </w:tcPr>
          <w:p>
            <w:pPr>
              <w:spacing w:after="0" w:line="20" w:lineRule="exact"/>
              <w:rPr>
                <w:sz w:val="1"/>
                <w:szCs w:val="1"/>
                <w:color w:val="auto"/>
              </w:rPr>
            </w:pPr>
          </w:p>
        </w:tc>
        <w:tc>
          <w:tcPr>
            <w:tcW w:w="6020" w:type="dxa"/>
            <w:vAlign w:val="bottom"/>
            <w:gridSpan w:val="7"/>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r>
      <w:tr>
        <w:trPr>
          <w:trHeight w:val="160"/>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proceeds of such disposal to prepay the Loan Outstanding (in part or in whole), together with accrued interest (if any), promptly  following receipt of such proceeds.</w:t>
            </w: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5.3.5</w:t>
            </w:r>
          </w:p>
        </w:tc>
        <w:tc>
          <w:tcPr>
            <w:tcW w:w="3740" w:type="dxa"/>
            <w:vAlign w:val="bottom"/>
            <w:gridSpan w:val="6"/>
          </w:tcPr>
          <w:p>
            <w:pPr>
              <w:spacing w:after="0"/>
              <w:rPr>
                <w:sz w:val="20"/>
                <w:szCs w:val="20"/>
                <w:color w:val="auto"/>
              </w:rPr>
            </w:pPr>
            <w:r>
              <w:rPr>
                <w:rFonts w:ascii="Arial" w:cs="Arial" w:eastAsia="Arial" w:hAnsi="Arial"/>
                <w:sz w:val="13"/>
                <w:szCs w:val="13"/>
                <w:b w:val="1"/>
                <w:bCs w:val="1"/>
                <w:color w:val="auto"/>
              </w:rPr>
              <w:t>Expiry of Guarantee Agreement</w:t>
            </w:r>
          </w:p>
        </w:tc>
        <w:tc>
          <w:tcPr>
            <w:tcW w:w="2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9"/>
        </w:trPr>
        <w:tc>
          <w:tcPr>
            <w:tcW w:w="1020" w:type="dxa"/>
            <w:vAlign w:val="bottom"/>
          </w:tcPr>
          <w:p>
            <w:pPr>
              <w:spacing w:after="0"/>
              <w:rPr>
                <w:sz w:val="19"/>
                <w:szCs w:val="19"/>
                <w:color w:val="auto"/>
              </w:rPr>
            </w:pPr>
          </w:p>
        </w:tc>
        <w:tc>
          <w:tcPr>
            <w:tcW w:w="3740" w:type="dxa"/>
            <w:vAlign w:val="bottom"/>
            <w:gridSpan w:val="6"/>
          </w:tcPr>
          <w:p>
            <w:pPr>
              <w:ind w:left="20"/>
              <w:spacing w:after="0"/>
              <w:rPr>
                <w:sz w:val="20"/>
                <w:szCs w:val="20"/>
                <w:color w:val="auto"/>
              </w:rPr>
            </w:pPr>
            <w:r>
              <w:rPr>
                <w:rFonts w:ascii="Arial" w:cs="Arial" w:eastAsia="Arial" w:hAnsi="Arial"/>
                <w:sz w:val="13"/>
                <w:szCs w:val="13"/>
                <w:color w:val="auto"/>
              </w:rPr>
              <w:t>If (a) a Guarantee Agreement has a shorter duration than</w:t>
            </w:r>
          </w:p>
        </w:tc>
        <w:tc>
          <w:tcPr>
            <w:tcW w:w="6260" w:type="dxa"/>
            <w:vAlign w:val="bottom"/>
            <w:gridSpan w:val="5"/>
          </w:tcPr>
          <w:p>
            <w:pPr>
              <w:jc w:val="right"/>
              <w:spacing w:after="0"/>
              <w:rPr>
                <w:sz w:val="20"/>
                <w:szCs w:val="20"/>
                <w:color w:val="auto"/>
              </w:rPr>
            </w:pPr>
            <w:r>
              <w:rPr>
                <w:rFonts w:ascii="Arial" w:cs="Arial" w:eastAsia="Arial" w:hAnsi="Arial"/>
                <w:sz w:val="13"/>
                <w:szCs w:val="13"/>
                <w:color w:val="auto"/>
              </w:rPr>
              <w:t>this Contract (as modified, extended and/or prolonged from time to time) and (ii) on the date falling</w:t>
            </w:r>
          </w:p>
        </w:tc>
      </w:tr>
      <w:tr>
        <w:trPr>
          <w:trHeight w:val="161"/>
        </w:trPr>
        <w:tc>
          <w:tcPr>
            <w:tcW w:w="102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 days</w:t>
            </w:r>
          </w:p>
        </w:tc>
        <w:tc>
          <w:tcPr>
            <w:tcW w:w="9360" w:type="dxa"/>
            <w:vAlign w:val="bottom"/>
            <w:gridSpan w:val="10"/>
          </w:tcPr>
          <w:p>
            <w:pPr>
              <w:jc w:val="right"/>
              <w:ind w:right="3960"/>
              <w:spacing w:after="0"/>
              <w:rPr>
                <w:sz w:val="20"/>
                <w:szCs w:val="20"/>
                <w:color w:val="auto"/>
              </w:rPr>
            </w:pPr>
            <w:r>
              <w:rPr>
                <w:rFonts w:ascii="Arial" w:cs="Arial" w:eastAsia="Arial" w:hAnsi="Arial"/>
                <w:sz w:val="13"/>
                <w:szCs w:val="13"/>
                <w:color w:val="auto"/>
              </w:rPr>
              <w:t>prior to the initial expiry date or, as the case may be, to any subsequent expiry date agreed</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60" w:name="page361"/>
    <w:bookmarkEnd w:id="360"/>
    <w:p>
      <w:pPr>
        <w:ind w:left="10580"/>
        <w:spacing w:after="0"/>
        <w:rPr>
          <w:sz w:val="20"/>
          <w:szCs w:val="20"/>
          <w:color w:val="auto"/>
        </w:rPr>
      </w:pPr>
      <w:r>
        <w:rPr>
          <w:rFonts w:ascii="Arial" w:cs="Arial" w:eastAsia="Arial" w:hAnsi="Arial"/>
          <w:sz w:val="12"/>
          <w:szCs w:val="12"/>
          <w:b w:val="1"/>
          <w:bCs w:val="1"/>
          <w:color w:val="auto"/>
        </w:rPr>
        <w:t>Exhibit 4.41</w:t>
      </w:r>
    </w:p>
    <w:p>
      <w:pPr>
        <w:spacing w:after="0" w:line="64" w:lineRule="exact"/>
        <w:rPr>
          <w:sz w:val="20"/>
          <w:szCs w:val="20"/>
          <w:color w:val="auto"/>
        </w:rPr>
      </w:pPr>
    </w:p>
    <w:p>
      <w:pPr>
        <w:jc w:val="both"/>
        <w:ind w:left="1160" w:right="120"/>
        <w:spacing w:after="0" w:line="246" w:lineRule="auto"/>
        <w:rPr>
          <w:sz w:val="20"/>
          <w:szCs w:val="20"/>
          <w:color w:val="auto"/>
        </w:rPr>
      </w:pPr>
      <w:r>
        <w:rPr>
          <w:rFonts w:ascii="Arial" w:cs="Arial" w:eastAsia="Arial" w:hAnsi="Arial"/>
          <w:sz w:val="13"/>
          <w:szCs w:val="13"/>
          <w:color w:val="auto"/>
        </w:rPr>
        <w:t>under the Guarantee Agreement, the Borrower has failed to procure extension of the duration of the obligations of the Guarantor under the Guarantee Agreement or, as the case may be, to replace the Guarantor by another guarantor on terms acceptable to the Bank or provide additional security for the Loan in manner, form and substance satisfactory to the Bank, the Bank may, without prejudice to its other rights, require the Borrower to prepay the Loan Outstanding (in part or in whole), together with accrued interest (if any) and all other amounts accrued or outstanding under this Contract.</w:t>
      </w:r>
    </w:p>
    <w:p>
      <w:pPr>
        <w:spacing w:after="0" w:line="91"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5.3.6</w:t>
      </w:r>
      <w:r>
        <w:rPr>
          <w:sz w:val="20"/>
          <w:szCs w:val="20"/>
          <w:color w:val="auto"/>
        </w:rPr>
        <w:tab/>
      </w:r>
      <w:r>
        <w:rPr>
          <w:rFonts w:ascii="Arial" w:cs="Arial" w:eastAsia="Arial" w:hAnsi="Arial"/>
          <w:sz w:val="13"/>
          <w:szCs w:val="13"/>
          <w:b w:val="1"/>
          <w:bCs w:val="1"/>
          <w:color w:val="auto"/>
        </w:rPr>
        <w:t>Pari Passu to Non-EIB Financing</w:t>
      </w:r>
    </w:p>
    <w:p>
      <w:pPr>
        <w:spacing w:after="0" w:line="96" w:lineRule="exact"/>
        <w:rPr>
          <w:sz w:val="20"/>
          <w:szCs w:val="20"/>
          <w:color w:val="auto"/>
        </w:rPr>
      </w:pPr>
    </w:p>
    <w:p>
      <w:pPr>
        <w:ind w:left="1820" w:right="400" w:hanging="670"/>
        <w:spacing w:after="0" w:line="258" w:lineRule="auto"/>
        <w:tabs>
          <w:tab w:leader="none" w:pos="182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If a Voluntary Non EIB Prepayment has occurred the Bank may, by notice to the Borrower, cancel the undisbursed portion of the Credit and demand prepayment of the Loan; or</w:t>
      </w:r>
    </w:p>
    <w:p>
      <w:pPr>
        <w:spacing w:after="0" w:line="58" w:lineRule="exact"/>
        <w:rPr>
          <w:rFonts w:ascii="Arial" w:cs="Arial" w:eastAsia="Arial" w:hAnsi="Arial"/>
          <w:sz w:val="13"/>
          <w:szCs w:val="13"/>
          <w:color w:val="auto"/>
        </w:rPr>
      </w:pPr>
    </w:p>
    <w:p>
      <w:pPr>
        <w:ind w:left="1820" w:right="140" w:hanging="670"/>
        <w:spacing w:after="0" w:line="249" w:lineRule="auto"/>
        <w:tabs>
          <w:tab w:leader="none" w:pos="182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If (i) a Voluntary Non EIB Prepayment is likely to occur, (ii) the Bank has requested a consultation in respect of such Voluntary Non EIB Prepayment, (iii) the Borrower has complied with such request (to the satisfaction of the Bank) and (iv) at least [***] days have passed since the date of such request, the Bank may, by notice to the Borrower, cancel the undisbursed portion of the Credit and demand prepayment of the Loan.</w:t>
      </w:r>
    </w:p>
    <w:p>
      <w:pPr>
        <w:spacing w:after="0" w:line="64" w:lineRule="exact"/>
        <w:rPr>
          <w:rFonts w:ascii="Arial" w:cs="Arial" w:eastAsia="Arial" w:hAnsi="Arial"/>
          <w:sz w:val="13"/>
          <w:szCs w:val="13"/>
          <w:color w:val="auto"/>
        </w:rPr>
      </w:pPr>
    </w:p>
    <w:p>
      <w:pPr>
        <w:ind w:left="1820" w:right="140" w:hanging="670"/>
        <w:spacing w:after="0" w:line="249" w:lineRule="auto"/>
        <w:tabs>
          <w:tab w:leader="none" w:pos="182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If (i) a Voluntary Non EIB Prepayment is likely to occur, (ii) the Bank has requested a consultation in respect of such Voluntary Non EIB Prepayment, (iii) the Borrower has not complied with such request within a reasonable period set by the Bank and (iv) at least [***] days have passed since the date of such request, the Bank may, by notice to the Borrower, cancel the undisbursed portion of the Credit and demand prepayment of the Loan.</w:t>
      </w:r>
    </w:p>
    <w:p>
      <w:pPr>
        <w:spacing w:after="0" w:line="65" w:lineRule="exact"/>
        <w:rPr>
          <w:sz w:val="20"/>
          <w:szCs w:val="20"/>
          <w:color w:val="auto"/>
        </w:rPr>
      </w:pPr>
    </w:p>
    <w:p>
      <w:pPr>
        <w:ind w:left="1160" w:right="120"/>
        <w:spacing w:after="0" w:line="258" w:lineRule="auto"/>
        <w:rPr>
          <w:sz w:val="20"/>
          <w:szCs w:val="20"/>
          <w:color w:val="auto"/>
        </w:rPr>
      </w:pPr>
      <w:r>
        <w:rPr>
          <w:rFonts w:ascii="Arial" w:cs="Arial" w:eastAsia="Arial" w:hAnsi="Arial"/>
          <w:sz w:val="13"/>
          <w:szCs w:val="13"/>
          <w:color w:val="auto"/>
        </w:rPr>
        <w:t>The proportion of the Loan that the Bank may require to be prepaid shall in each case of Paragraphs (a) to (c) above be the same as the proportion that the prepaid amount of the Non-EIB Financing bears to the aggregate outstanding amount of all Non-EIB Financing.</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660" w:type="dxa"/>
            <w:vAlign w:val="bottom"/>
          </w:tcPr>
          <w:p>
            <w:pPr>
              <w:jc w:val="right"/>
              <w:ind w:right="293"/>
              <w:spacing w:after="0"/>
              <w:rPr>
                <w:sz w:val="20"/>
                <w:szCs w:val="20"/>
                <w:color w:val="auto"/>
              </w:rPr>
            </w:pPr>
            <w:r>
              <w:rPr>
                <w:rFonts w:ascii="Arial" w:cs="Arial" w:eastAsia="Arial" w:hAnsi="Arial"/>
                <w:sz w:val="13"/>
                <w:szCs w:val="13"/>
                <w:b w:val="1"/>
                <w:bCs w:val="1"/>
                <w:color w:val="auto"/>
                <w:w w:val="96"/>
              </w:rPr>
              <w:t>5.3.7</w:t>
            </w:r>
          </w:p>
        </w:tc>
        <w:tc>
          <w:tcPr>
            <w:tcW w:w="10360" w:type="dxa"/>
            <w:vAlign w:val="bottom"/>
            <w:gridSpan w:val="3"/>
          </w:tcPr>
          <w:p>
            <w:pPr>
              <w:ind w:left="360"/>
              <w:spacing w:after="0"/>
              <w:rPr>
                <w:sz w:val="20"/>
                <w:szCs w:val="20"/>
                <w:color w:val="auto"/>
              </w:rPr>
            </w:pPr>
            <w:r>
              <w:rPr>
                <w:rFonts w:ascii="Arial" w:cs="Arial" w:eastAsia="Arial" w:hAnsi="Arial"/>
                <w:sz w:val="13"/>
                <w:szCs w:val="13"/>
                <w:b w:val="1"/>
                <w:bCs w:val="1"/>
                <w:color w:val="auto"/>
              </w:rPr>
              <w:t>Prepayment Fee</w:t>
            </w:r>
          </w:p>
        </w:tc>
      </w:tr>
      <w:tr>
        <w:trPr>
          <w:trHeight w:val="230"/>
        </w:trPr>
        <w:tc>
          <w:tcPr>
            <w:tcW w:w="660" w:type="dxa"/>
            <w:vAlign w:val="bottom"/>
          </w:tcPr>
          <w:p>
            <w:pPr>
              <w:spacing w:after="0"/>
              <w:rPr>
                <w:sz w:val="19"/>
                <w:szCs w:val="19"/>
                <w:color w:val="auto"/>
              </w:rPr>
            </w:pPr>
          </w:p>
        </w:tc>
        <w:tc>
          <w:tcPr>
            <w:tcW w:w="10360" w:type="dxa"/>
            <w:vAlign w:val="bottom"/>
            <w:gridSpan w:val="3"/>
          </w:tcPr>
          <w:p>
            <w:pPr>
              <w:ind w:left="380"/>
              <w:spacing w:after="0"/>
              <w:rPr>
                <w:sz w:val="20"/>
                <w:szCs w:val="20"/>
                <w:color w:val="auto"/>
              </w:rPr>
            </w:pPr>
            <w:r>
              <w:rPr>
                <w:rFonts w:ascii="Arial" w:cs="Arial" w:eastAsia="Arial" w:hAnsi="Arial"/>
                <w:sz w:val="13"/>
                <w:szCs w:val="13"/>
                <w:color w:val="auto"/>
              </w:rPr>
              <w:t>In the case of a Prepayment Event in relation to a Tranche, the Borrower shall pay the relevant Prepayment Fee.</w:t>
            </w:r>
          </w:p>
        </w:tc>
      </w:tr>
      <w:tr>
        <w:trPr>
          <w:trHeight w:val="270"/>
        </w:trPr>
        <w:tc>
          <w:tcPr>
            <w:tcW w:w="660" w:type="dxa"/>
            <w:vAlign w:val="bottom"/>
          </w:tcPr>
          <w:p>
            <w:pPr>
              <w:jc w:val="right"/>
              <w:ind w:right="293"/>
              <w:spacing w:after="0"/>
              <w:rPr>
                <w:sz w:val="20"/>
                <w:szCs w:val="20"/>
                <w:color w:val="auto"/>
              </w:rPr>
            </w:pPr>
            <w:r>
              <w:rPr>
                <w:rFonts w:ascii="Arial" w:cs="Arial" w:eastAsia="Arial" w:hAnsi="Arial"/>
                <w:sz w:val="13"/>
                <w:szCs w:val="13"/>
                <w:b w:val="1"/>
                <w:bCs w:val="1"/>
                <w:color w:val="auto"/>
                <w:w w:val="96"/>
              </w:rPr>
              <w:t>5.3.8</w:t>
            </w:r>
          </w:p>
        </w:tc>
        <w:tc>
          <w:tcPr>
            <w:tcW w:w="10360" w:type="dxa"/>
            <w:vAlign w:val="bottom"/>
            <w:gridSpan w:val="3"/>
          </w:tcPr>
          <w:p>
            <w:pPr>
              <w:ind w:left="360"/>
              <w:spacing w:after="0"/>
              <w:rPr>
                <w:sz w:val="20"/>
                <w:szCs w:val="20"/>
                <w:color w:val="auto"/>
              </w:rPr>
            </w:pPr>
            <w:r>
              <w:rPr>
                <w:rFonts w:ascii="Arial" w:cs="Arial" w:eastAsia="Arial" w:hAnsi="Arial"/>
                <w:sz w:val="13"/>
                <w:szCs w:val="13"/>
                <w:b w:val="1"/>
                <w:bCs w:val="1"/>
                <w:color w:val="auto"/>
              </w:rPr>
              <w:t>Prepayment mechanics</w:t>
            </w:r>
          </w:p>
        </w:tc>
      </w:tr>
      <w:tr>
        <w:trPr>
          <w:trHeight w:val="180"/>
        </w:trPr>
        <w:tc>
          <w:tcPr>
            <w:tcW w:w="660" w:type="dxa"/>
            <w:vAlign w:val="bottom"/>
          </w:tcPr>
          <w:p>
            <w:pPr>
              <w:spacing w:after="0"/>
              <w:rPr>
                <w:sz w:val="15"/>
                <w:szCs w:val="15"/>
                <w:color w:val="auto"/>
              </w:rPr>
            </w:pPr>
          </w:p>
        </w:tc>
        <w:tc>
          <w:tcPr>
            <w:tcW w:w="10360" w:type="dxa"/>
            <w:vAlign w:val="bottom"/>
            <w:gridSpan w:val="3"/>
          </w:tcPr>
          <w:p>
            <w:pPr>
              <w:ind w:left="380"/>
              <w:spacing w:after="0"/>
              <w:rPr>
                <w:sz w:val="20"/>
                <w:szCs w:val="20"/>
                <w:color w:val="auto"/>
              </w:rPr>
            </w:pPr>
            <w:r>
              <w:rPr>
                <w:rFonts w:ascii="Arial" w:cs="Arial" w:eastAsia="Arial" w:hAnsi="Arial"/>
                <w:sz w:val="13"/>
                <w:szCs w:val="13"/>
                <w:color w:val="auto"/>
              </w:rPr>
              <w:t xml:space="preserve">Any sum demanded by the Bank pursuant to Articles </w:t>
            </w:r>
            <w:r>
              <w:rPr>
                <w:rFonts w:ascii="Arial" w:cs="Arial" w:eastAsia="Arial" w:hAnsi="Arial"/>
                <w:sz w:val="13"/>
                <w:szCs w:val="13"/>
                <w:color w:val="0000EE"/>
              </w:rPr>
              <w:t>5.3.1</w:t>
            </w:r>
            <w:r>
              <w:rPr>
                <w:rFonts w:ascii="Arial" w:cs="Arial" w:eastAsia="Arial" w:hAnsi="Arial"/>
                <w:sz w:val="13"/>
                <w:szCs w:val="13"/>
                <w:color w:val="auto"/>
              </w:rPr>
              <w:t xml:space="preserve"> (</w:t>
            </w:r>
            <w:r>
              <w:rPr>
                <w:rFonts w:ascii="Arial" w:cs="Arial" w:eastAsia="Arial" w:hAnsi="Arial"/>
                <w:sz w:val="13"/>
                <w:szCs w:val="13"/>
                <w:i w:val="1"/>
                <w:iCs w:val="1"/>
                <w:color w:val="auto"/>
              </w:rPr>
              <w:t>Cost Reduction</w:t>
            </w:r>
            <w:r>
              <w:rPr>
                <w:rFonts w:ascii="Arial" w:cs="Arial" w:eastAsia="Arial" w:hAnsi="Arial"/>
                <w:sz w:val="13"/>
                <w:szCs w:val="13"/>
                <w:color w:val="auto"/>
              </w:rPr>
              <w:t>) to 5.3.6 (</w:t>
            </w:r>
            <w:r>
              <w:rPr>
                <w:rFonts w:ascii="Arial" w:cs="Arial" w:eastAsia="Arial" w:hAnsi="Arial"/>
                <w:sz w:val="13"/>
                <w:szCs w:val="13"/>
                <w:i w:val="1"/>
                <w:iCs w:val="1"/>
                <w:color w:val="auto"/>
              </w:rPr>
              <w:t>Pari Passu to Non-EIB Financing</w:t>
            </w:r>
            <w:r>
              <w:rPr>
                <w:rFonts w:ascii="Arial" w:cs="Arial" w:eastAsia="Arial" w:hAnsi="Arial"/>
                <w:sz w:val="13"/>
                <w:szCs w:val="13"/>
                <w:color w:val="auto"/>
              </w:rPr>
              <w:t>) shall be paid on the date indicated by the</w:t>
            </w: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380" w:type="dxa"/>
            <w:vAlign w:val="bottom"/>
            <w:tcBorders>
              <w:left w:val="single" w:sz="8" w:color="0000EE"/>
            </w:tcBorders>
          </w:tcPr>
          <w:p>
            <w:pPr>
              <w:spacing w:after="0" w:line="20" w:lineRule="exact"/>
              <w:rPr>
                <w:sz w:val="1"/>
                <w:szCs w:val="1"/>
                <w:color w:val="auto"/>
              </w:rPr>
            </w:pPr>
          </w:p>
        </w:tc>
      </w:tr>
      <w:tr>
        <w:trPr>
          <w:trHeight w:val="135"/>
        </w:trPr>
        <w:tc>
          <w:tcPr>
            <w:tcW w:w="660" w:type="dxa"/>
            <w:vAlign w:val="bottom"/>
          </w:tcPr>
          <w:p>
            <w:pPr>
              <w:spacing w:after="0"/>
              <w:rPr>
                <w:sz w:val="11"/>
                <w:szCs w:val="11"/>
                <w:color w:val="auto"/>
              </w:rPr>
            </w:pPr>
          </w:p>
        </w:tc>
        <w:tc>
          <w:tcPr>
            <w:tcW w:w="10360" w:type="dxa"/>
            <w:vAlign w:val="bottom"/>
            <w:gridSpan w:val="3"/>
          </w:tcPr>
          <w:p>
            <w:pPr>
              <w:ind w:left="380"/>
              <w:spacing w:after="0" w:line="136" w:lineRule="exact"/>
              <w:rPr>
                <w:sz w:val="20"/>
                <w:szCs w:val="20"/>
                <w:color w:val="auto"/>
              </w:rPr>
            </w:pPr>
            <w:r>
              <w:rPr>
                <w:rFonts w:ascii="Arial" w:cs="Arial" w:eastAsia="Arial" w:hAnsi="Arial"/>
                <w:sz w:val="13"/>
                <w:szCs w:val="13"/>
                <w:color w:val="auto"/>
              </w:rPr>
              <w:t>Bank in its notice of demand, such date being a date falling not less than [***] days from the date of the demand (or, if earlier, the last day of any applicable grace</w:t>
            </w:r>
          </w:p>
        </w:tc>
      </w:tr>
      <w:tr>
        <w:trPr>
          <w:trHeight w:val="145"/>
        </w:trPr>
        <w:tc>
          <w:tcPr>
            <w:tcW w:w="660" w:type="dxa"/>
            <w:vAlign w:val="bottom"/>
          </w:tcPr>
          <w:p>
            <w:pPr>
              <w:spacing w:after="0"/>
              <w:rPr>
                <w:sz w:val="12"/>
                <w:szCs w:val="12"/>
                <w:color w:val="auto"/>
              </w:rPr>
            </w:pPr>
          </w:p>
        </w:tc>
        <w:tc>
          <w:tcPr>
            <w:tcW w:w="10360" w:type="dxa"/>
            <w:vAlign w:val="bottom"/>
            <w:gridSpan w:val="3"/>
          </w:tcPr>
          <w:p>
            <w:pPr>
              <w:ind w:left="380"/>
              <w:spacing w:after="0" w:line="145" w:lineRule="exact"/>
              <w:rPr>
                <w:sz w:val="20"/>
                <w:szCs w:val="20"/>
                <w:color w:val="auto"/>
              </w:rPr>
            </w:pPr>
            <w:r>
              <w:rPr>
                <w:rFonts w:ascii="Arial" w:cs="Arial" w:eastAsia="Arial" w:hAnsi="Arial"/>
                <w:sz w:val="13"/>
                <w:szCs w:val="13"/>
                <w:color w:val="auto"/>
              </w:rPr>
              <w:t xml:space="preserve">period permitted by law in respect of the event in Article </w:t>
            </w:r>
            <w:r>
              <w:rPr>
                <w:rFonts w:ascii="Arial" w:cs="Arial" w:eastAsia="Arial" w:hAnsi="Arial"/>
                <w:sz w:val="13"/>
                <w:szCs w:val="13"/>
                <w:color w:val="0000EE"/>
              </w:rPr>
              <w:t>5.3.3</w:t>
            </w:r>
            <w:r>
              <w:rPr>
                <w:rFonts w:ascii="Arial" w:cs="Arial" w:eastAsia="Arial" w:hAnsi="Arial"/>
                <w:sz w:val="13"/>
                <w:szCs w:val="13"/>
                <w:color w:val="auto"/>
              </w:rPr>
              <w:t xml:space="preserve"> (</w:t>
            </w:r>
            <w:r>
              <w:rPr>
                <w:rFonts w:ascii="Arial" w:cs="Arial" w:eastAsia="Arial" w:hAnsi="Arial"/>
                <w:sz w:val="13"/>
                <w:szCs w:val="13"/>
                <w:i w:val="1"/>
                <w:iCs w:val="1"/>
                <w:color w:val="auto"/>
              </w:rPr>
              <w:t>Illegality</w:t>
            </w:r>
            <w:r>
              <w:rPr>
                <w:rFonts w:ascii="Arial" w:cs="Arial" w:eastAsia="Arial" w:hAnsi="Arial"/>
                <w:sz w:val="13"/>
                <w:szCs w:val="13"/>
                <w:color w:val="auto"/>
              </w:rPr>
              <w:t>)).</w:t>
            </w: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bl>
    <w:p>
      <w:pPr>
        <w:spacing w:after="0" w:line="15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b w:val="1"/>
          <w:bCs w:val="1"/>
          <w:u w:val="single" w:color="auto"/>
          <w:color w:val="auto"/>
        </w:rPr>
        <w:t>General</w:t>
      </w:r>
    </w:p>
    <w:p>
      <w:pPr>
        <w:spacing w:after="0" w:line="126" w:lineRule="exact"/>
        <w:rPr>
          <w:sz w:val="20"/>
          <w:szCs w:val="20"/>
          <w:color w:val="auto"/>
        </w:rPr>
      </w:pPr>
    </w:p>
    <w:p>
      <w:pPr>
        <w:ind w:left="1820" w:hanging="670"/>
        <w:spacing w:after="0"/>
        <w:tabs>
          <w:tab w:leader="none" w:pos="182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A repaid or prepaid amount may not be reborrowed.</w:t>
      </w:r>
    </w:p>
    <w:p>
      <w:pPr>
        <w:spacing w:after="0" w:line="80"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If the Borrower prepays a Tranche on a date other than a relevant Payment Date, or if the Bank exceptionally accepts, solely upon the Bank’s discretion,</w:t>
      </w:r>
    </w:p>
    <w:p>
      <w:pPr>
        <w:ind w:left="1820" w:right="120" w:firstLine="10"/>
        <w:spacing w:after="0" w:line="258" w:lineRule="auto"/>
        <w:tabs>
          <w:tab w:leader="none" w:pos="1963" w:val="left"/>
        </w:tabs>
        <w:numPr>
          <w:ilvl w:val="0"/>
          <w:numId w:val="403"/>
        </w:numPr>
        <w:rPr>
          <w:rFonts w:ascii="Arial" w:cs="Arial" w:eastAsia="Arial" w:hAnsi="Arial"/>
          <w:sz w:val="13"/>
          <w:szCs w:val="13"/>
          <w:color w:val="auto"/>
        </w:rPr>
      </w:pPr>
      <w:r>
        <w:rPr>
          <w:rFonts w:ascii="Arial" w:cs="Arial" w:eastAsia="Arial" w:hAnsi="Arial"/>
          <w:sz w:val="13"/>
          <w:szCs w:val="13"/>
          <w:color w:val="auto"/>
        </w:rPr>
        <w:t>Prepayment Request with prior notice of less than [***] calendar days, the Borrower shall pay to the Bank an administrative fee in such an amount as the Bank shall notify to the Borrower.</w:t>
      </w: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3"/>
          <w:szCs w:val="13"/>
          <w:b w:val="1"/>
          <w:bCs w:val="1"/>
          <w:u w:val="single" w:color="auto"/>
          <w:color w:val="auto"/>
        </w:rPr>
        <w:t>ARTICLE 6</w:t>
      </w:r>
    </w:p>
    <w:p>
      <w:pPr>
        <w:spacing w:after="0" w:line="80" w:lineRule="exact"/>
        <w:rPr>
          <w:sz w:val="20"/>
          <w:szCs w:val="20"/>
          <w:color w:val="auto"/>
        </w:rPr>
      </w:pPr>
    </w:p>
    <w:p>
      <w:pPr>
        <w:ind w:left="5320"/>
        <w:spacing w:after="0"/>
        <w:rPr>
          <w:sz w:val="20"/>
          <w:szCs w:val="20"/>
          <w:color w:val="auto"/>
        </w:rPr>
      </w:pPr>
      <w:r>
        <w:rPr>
          <w:rFonts w:ascii="Arial" w:cs="Arial" w:eastAsia="Arial" w:hAnsi="Arial"/>
          <w:sz w:val="13"/>
          <w:szCs w:val="13"/>
          <w:b w:val="1"/>
          <w:bCs w:val="1"/>
          <w:u w:val="single" w:color="auto"/>
          <w:color w:val="auto"/>
        </w:rPr>
        <w:t>Payments</w:t>
      </w:r>
    </w:p>
    <w:p>
      <w:pPr>
        <w:spacing w:after="0" w:line="24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6.1</w:t>
      </w:r>
      <w:r>
        <w:rPr>
          <w:sz w:val="20"/>
          <w:szCs w:val="20"/>
          <w:color w:val="auto"/>
        </w:rPr>
        <w:tab/>
      </w:r>
      <w:r>
        <w:rPr>
          <w:rFonts w:ascii="Arial" w:cs="Arial" w:eastAsia="Arial" w:hAnsi="Arial"/>
          <w:sz w:val="13"/>
          <w:szCs w:val="13"/>
          <w:b w:val="1"/>
          <w:bCs w:val="1"/>
          <w:u w:val="single" w:color="auto"/>
          <w:color w:val="auto"/>
        </w:rPr>
        <w:t>Day count convention</w:t>
      </w:r>
    </w:p>
    <w:p>
      <w:pPr>
        <w:spacing w:after="0" w:line="126" w:lineRule="exact"/>
        <w:rPr>
          <w:sz w:val="20"/>
          <w:szCs w:val="20"/>
          <w:color w:val="auto"/>
        </w:rPr>
      </w:pPr>
    </w:p>
    <w:p>
      <w:pPr>
        <w:ind w:left="1160" w:right="120"/>
        <w:spacing w:after="0" w:line="258" w:lineRule="auto"/>
        <w:rPr>
          <w:sz w:val="20"/>
          <w:szCs w:val="20"/>
          <w:color w:val="auto"/>
        </w:rPr>
      </w:pPr>
      <w:r>
        <w:rPr>
          <w:rFonts w:ascii="Arial" w:cs="Arial" w:eastAsia="Arial" w:hAnsi="Arial"/>
          <w:sz w:val="13"/>
          <w:szCs w:val="13"/>
          <w:color w:val="auto"/>
        </w:rPr>
        <w:t>Any amount due under this Contract and calculated in respect of a fraction of a year shall be determined based on a year of 360 (three hundred and sixty) days and a month of 30 (thirty) days.</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61" w:name="page362"/>
    <w:bookmarkEnd w:id="361"/>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6.2</w:t>
      </w:r>
      <w:r>
        <w:rPr>
          <w:sz w:val="20"/>
          <w:szCs w:val="20"/>
          <w:color w:val="auto"/>
        </w:rPr>
        <w:tab/>
      </w:r>
      <w:r>
        <w:rPr>
          <w:rFonts w:ascii="Arial" w:cs="Arial" w:eastAsia="Arial" w:hAnsi="Arial"/>
          <w:sz w:val="13"/>
          <w:szCs w:val="13"/>
          <w:b w:val="1"/>
          <w:bCs w:val="1"/>
          <w:u w:val="single" w:color="auto"/>
          <w:color w:val="auto"/>
        </w:rPr>
        <w:t>Time and place of payment</w:t>
      </w:r>
    </w:p>
    <w:p>
      <w:pPr>
        <w:spacing w:after="0" w:line="146" w:lineRule="exact"/>
        <w:rPr>
          <w:sz w:val="20"/>
          <w:szCs w:val="20"/>
          <w:color w:val="auto"/>
        </w:rPr>
      </w:pPr>
    </w:p>
    <w:p>
      <w:pPr>
        <w:ind w:left="1820" w:right="200" w:hanging="670"/>
        <w:spacing w:after="0" w:line="258" w:lineRule="auto"/>
        <w:tabs>
          <w:tab w:leader="none" w:pos="1820" w:val="left"/>
        </w:tabs>
        <w:numPr>
          <w:ilvl w:val="0"/>
          <w:numId w:val="404"/>
        </w:numPr>
        <w:rPr>
          <w:rFonts w:ascii="Arial" w:cs="Arial" w:eastAsia="Arial" w:hAnsi="Arial"/>
          <w:sz w:val="13"/>
          <w:szCs w:val="13"/>
          <w:color w:val="auto"/>
        </w:rPr>
      </w:pPr>
      <w:r>
        <w:rPr>
          <w:rFonts w:ascii="Arial" w:cs="Arial" w:eastAsia="Arial" w:hAnsi="Arial"/>
          <w:sz w:val="13"/>
          <w:szCs w:val="13"/>
          <w:color w:val="auto"/>
        </w:rPr>
        <w:t>If neither this Contract nor the Bank's demand specifies a due date, all sums other than sums of interest, indemnity and principal are payable within [***] days of the Borrower's receipt of the Bank's demand.</w:t>
      </w:r>
    </w:p>
    <w:p>
      <w:pPr>
        <w:spacing w:after="0" w:line="58" w:lineRule="exact"/>
        <w:rPr>
          <w:rFonts w:ascii="Arial" w:cs="Arial" w:eastAsia="Arial" w:hAnsi="Arial"/>
          <w:sz w:val="13"/>
          <w:szCs w:val="13"/>
          <w:color w:val="auto"/>
        </w:rPr>
      </w:pPr>
    </w:p>
    <w:p>
      <w:pPr>
        <w:ind w:left="1820" w:hanging="670"/>
        <w:spacing w:after="0"/>
        <w:tabs>
          <w:tab w:leader="none" w:pos="1820" w:val="left"/>
        </w:tabs>
        <w:numPr>
          <w:ilvl w:val="0"/>
          <w:numId w:val="404"/>
        </w:numPr>
        <w:rPr>
          <w:rFonts w:ascii="Arial" w:cs="Arial" w:eastAsia="Arial" w:hAnsi="Arial"/>
          <w:sz w:val="13"/>
          <w:szCs w:val="13"/>
          <w:color w:val="auto"/>
        </w:rPr>
      </w:pPr>
      <w:r>
        <w:rPr>
          <w:rFonts w:ascii="Arial" w:cs="Arial" w:eastAsia="Arial" w:hAnsi="Arial"/>
          <w:sz w:val="13"/>
          <w:szCs w:val="13"/>
          <w:color w:val="auto"/>
        </w:rPr>
        <w:t>Each sum payable by the Borrower under this Contract shall be paid to the following account:</w:t>
      </w:r>
    </w:p>
    <w:p>
      <w:pPr>
        <w:sectPr>
          <w:pgSz w:w="11900" w:h="16838" w:orient="portrait"/>
          <w:cols w:equalWidth="0" w:num="1">
            <w:col w:w="11260"/>
          </w:cols>
          <w:pgMar w:left="320" w:top="127" w:right="319" w:bottom="1440" w:gutter="0" w:footer="0" w:header="0"/>
        </w:sectPr>
      </w:pPr>
    </w:p>
    <w:p>
      <w:pPr>
        <w:spacing w:after="0" w:line="80"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Bank:</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1" w:lineRule="exact"/>
        <w:rPr>
          <w:sz w:val="20"/>
          <w:szCs w:val="20"/>
          <w:color w:val="auto"/>
        </w:rPr>
      </w:pPr>
    </w:p>
    <w:p>
      <w:pPr>
        <w:sectPr>
          <w:pgSz w:w="11900" w:h="16838" w:orient="portrait"/>
          <w:cols w:equalWidth="0" w:num="2">
            <w:col w:w="4320" w:space="720"/>
            <w:col w:w="6220"/>
          </w:cols>
          <w:pgMar w:left="320" w:top="127" w:right="319" w:bottom="1440" w:gutter="0" w:footer="0" w:header="0"/>
          <w:type w:val="continuous"/>
        </w:sectPr>
      </w:pPr>
    </w:p>
    <w:p>
      <w:pPr>
        <w:ind w:left="1880"/>
        <w:spacing w:after="0"/>
        <w:rPr>
          <w:sz w:val="20"/>
          <w:szCs w:val="20"/>
          <w:color w:val="auto"/>
        </w:rPr>
      </w:pPr>
      <w:r>
        <w:rPr>
          <w:rFonts w:ascii="Arial" w:cs="Arial" w:eastAsia="Arial" w:hAnsi="Arial"/>
          <w:sz w:val="13"/>
          <w:szCs w:val="13"/>
          <w:color w:val="auto"/>
        </w:rPr>
        <w:t>City: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81" w:lineRule="exact"/>
        <w:rPr>
          <w:sz w:val="20"/>
          <w:szCs w:val="20"/>
          <w:color w:val="auto"/>
        </w:rPr>
      </w:pPr>
    </w:p>
    <w:p>
      <w:pPr>
        <w:sectPr>
          <w:pgSz w:w="11900" w:h="16838" w:orient="portrait"/>
          <w:cols w:equalWidth="0" w:num="2">
            <w:col w:w="4240" w:space="720"/>
            <w:col w:w="6300"/>
          </w:cols>
          <w:pgMar w:left="320" w:top="127" w:right="319" w:bottom="1440" w:gutter="0" w:footer="0" w:header="0"/>
          <w:type w:val="continuous"/>
        </w:sectPr>
      </w:pPr>
    </w:p>
    <w:p>
      <w:pPr>
        <w:ind w:left="1880"/>
        <w:spacing w:after="0"/>
        <w:rPr>
          <w:sz w:val="20"/>
          <w:szCs w:val="20"/>
          <w:color w:val="auto"/>
        </w:rPr>
      </w:pPr>
      <w:r>
        <w:rPr>
          <w:rFonts w:ascii="Arial" w:cs="Arial" w:eastAsia="Arial" w:hAnsi="Arial"/>
          <w:sz w:val="13"/>
          <w:szCs w:val="13"/>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80" w:lineRule="exact"/>
        <w:rPr>
          <w:sz w:val="20"/>
          <w:szCs w:val="20"/>
          <w:color w:val="auto"/>
        </w:rPr>
      </w:pPr>
    </w:p>
    <w:p>
      <w:pPr>
        <w:sectPr>
          <w:pgSz w:w="11900" w:h="16838" w:orient="portrait"/>
          <w:cols w:equalWidth="0" w:num="2">
            <w:col w:w="4960" w:space="720"/>
            <w:col w:w="5580"/>
          </w:cols>
          <w:pgMar w:left="320" w:top="127" w:right="319" w:bottom="1440" w:gutter="0" w:footer="0" w:header="0"/>
          <w:type w:val="continuous"/>
        </w:sectPr>
      </w:pPr>
    </w:p>
    <w:p>
      <w:pPr>
        <w:ind w:left="1880"/>
        <w:spacing w:after="0"/>
        <w:rPr>
          <w:sz w:val="20"/>
          <w:szCs w:val="20"/>
          <w:color w:val="auto"/>
        </w:rPr>
      </w:pPr>
      <w:r>
        <w:rPr>
          <w:rFonts w:ascii="Arial" w:cs="Arial" w:eastAsia="Arial" w:hAnsi="Arial"/>
          <w:sz w:val="13"/>
          <w:szCs w:val="13"/>
          <w:color w:val="auto"/>
        </w:rPr>
        <w:t>SWIFT Code/BIC: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80" w:lineRule="exact"/>
        <w:rPr>
          <w:sz w:val="20"/>
          <w:szCs w:val="20"/>
          <w:color w:val="auto"/>
        </w:rPr>
      </w:pPr>
    </w:p>
    <w:p>
      <w:pPr>
        <w:sectPr>
          <w:pgSz w:w="11900" w:h="16838" w:orient="portrait"/>
          <w:cols w:equalWidth="0" w:num="2">
            <w:col w:w="5020" w:space="720"/>
            <w:col w:w="5520"/>
          </w:cols>
          <w:pgMar w:left="320" w:top="127" w:right="319" w:bottom="1440" w:gutter="0" w:footer="0" w:header="0"/>
          <w:type w:val="continuous"/>
        </w:sectPr>
      </w:pPr>
    </w:p>
    <w:p>
      <w:pPr>
        <w:ind w:left="1880"/>
        <w:spacing w:after="0"/>
        <w:rPr>
          <w:sz w:val="20"/>
          <w:szCs w:val="20"/>
          <w:color w:val="auto"/>
        </w:rPr>
      </w:pPr>
      <w:r>
        <w:rPr>
          <w:rFonts w:ascii="Arial" w:cs="Arial" w:eastAsia="Arial" w:hAnsi="Arial"/>
          <w:sz w:val="13"/>
          <w:szCs w:val="13"/>
          <w:color w:val="auto"/>
        </w:rPr>
        <w:t>Remark: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171" w:lineRule="exact"/>
        <w:rPr>
          <w:sz w:val="20"/>
          <w:szCs w:val="20"/>
          <w:color w:val="auto"/>
        </w:rPr>
      </w:pPr>
    </w:p>
    <w:p>
      <w:pPr>
        <w:sectPr>
          <w:pgSz w:w="11900" w:h="16838" w:orient="portrait"/>
          <w:cols w:equalWidth="0" w:num="2">
            <w:col w:w="4480" w:space="720"/>
            <w:col w:w="6060"/>
          </w:cols>
          <w:pgMar w:left="320" w:top="127" w:right="319" w:bottom="1440" w:gutter="0" w:footer="0" w:header="0"/>
          <w:type w:val="continuous"/>
        </w:sectPr>
      </w:pPr>
    </w:p>
    <w:p>
      <w:pPr>
        <w:ind w:left="1840"/>
        <w:spacing w:after="0"/>
        <w:rPr>
          <w:sz w:val="20"/>
          <w:szCs w:val="20"/>
          <w:color w:val="auto"/>
        </w:rPr>
      </w:pPr>
      <w:r>
        <w:rPr>
          <w:rFonts w:ascii="Arial" w:cs="Arial" w:eastAsia="Arial" w:hAnsi="Arial"/>
          <w:sz w:val="13"/>
          <w:szCs w:val="13"/>
          <w:color w:val="auto"/>
        </w:rPr>
        <w:t>or such other account notified by the Bank to the Borrower.</w:t>
      </w:r>
    </w:p>
    <w:p>
      <w:pPr>
        <w:spacing w:after="0" w:line="80" w:lineRule="exact"/>
        <w:rPr>
          <w:sz w:val="20"/>
          <w:szCs w:val="20"/>
          <w:color w:val="auto"/>
        </w:rPr>
      </w:pPr>
    </w:p>
    <w:p>
      <w:pPr>
        <w:ind w:left="1820" w:hanging="670"/>
        <w:spacing w:after="0"/>
        <w:tabs>
          <w:tab w:leader="none" w:pos="1820" w:val="left"/>
        </w:tabs>
        <w:numPr>
          <w:ilvl w:val="0"/>
          <w:numId w:val="405"/>
        </w:numPr>
        <w:rPr>
          <w:rFonts w:ascii="Arial" w:cs="Arial" w:eastAsia="Arial" w:hAnsi="Arial"/>
          <w:sz w:val="13"/>
          <w:szCs w:val="13"/>
          <w:color w:val="auto"/>
        </w:rPr>
      </w:pPr>
      <w:r>
        <w:rPr>
          <w:rFonts w:ascii="Arial" w:cs="Arial" w:eastAsia="Arial" w:hAnsi="Arial"/>
          <w:sz w:val="13"/>
          <w:szCs w:val="13"/>
          <w:color w:val="auto"/>
        </w:rPr>
        <w:t>The Borrower shall provide each Contract Number as a reference for each payment made under this Contract.</w:t>
      </w:r>
    </w:p>
    <w:p>
      <w:pPr>
        <w:spacing w:after="0" w:line="80" w:lineRule="exact"/>
        <w:rPr>
          <w:rFonts w:ascii="Arial" w:cs="Arial" w:eastAsia="Arial" w:hAnsi="Arial"/>
          <w:sz w:val="13"/>
          <w:szCs w:val="13"/>
          <w:color w:val="auto"/>
        </w:rPr>
      </w:pPr>
    </w:p>
    <w:p>
      <w:pPr>
        <w:ind w:left="1820" w:right="360" w:hanging="670"/>
        <w:spacing w:after="0" w:line="249" w:lineRule="auto"/>
        <w:tabs>
          <w:tab w:leader="none" w:pos="1820" w:val="left"/>
        </w:tabs>
        <w:numPr>
          <w:ilvl w:val="0"/>
          <w:numId w:val="405"/>
        </w:numPr>
        <w:rPr>
          <w:rFonts w:ascii="Arial" w:cs="Arial" w:eastAsia="Arial" w:hAnsi="Arial"/>
          <w:sz w:val="13"/>
          <w:szCs w:val="13"/>
          <w:color w:val="auto"/>
        </w:rPr>
      </w:pPr>
      <w:r>
        <w:rPr>
          <w:rFonts w:ascii="Arial" w:cs="Arial" w:eastAsia="Arial" w:hAnsi="Arial"/>
          <w:sz w:val="13"/>
          <w:szCs w:val="13"/>
          <w:color w:val="auto"/>
        </w:rPr>
        <w:t>Any disbursements by and payments to the Bank under this Contract shall be made using account(s) acceptable to the Bank. Any duly authorised financial institution in the jurisdiction where the Borrower is incorporated or where the Investment is undertaken is deemed an acceptable account bank and any account in the name of the Borrower with such account bank is deemed acceptable to the Bank.</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jc w:val="right"/>
              <w:ind w:right="773"/>
              <w:spacing w:after="0"/>
              <w:rPr>
                <w:sz w:val="20"/>
                <w:szCs w:val="20"/>
                <w:color w:val="auto"/>
              </w:rPr>
            </w:pPr>
            <w:r>
              <w:rPr>
                <w:rFonts w:ascii="Arial" w:cs="Arial" w:eastAsia="Arial" w:hAnsi="Arial"/>
                <w:sz w:val="13"/>
                <w:szCs w:val="13"/>
                <w:b w:val="1"/>
                <w:bCs w:val="1"/>
                <w:color w:val="auto"/>
                <w:w w:val="88"/>
              </w:rPr>
              <w:t>6.3</w:t>
            </w:r>
          </w:p>
        </w:tc>
        <w:tc>
          <w:tcPr>
            <w:tcW w:w="1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No set-off by the Borrower</w:t>
            </w:r>
          </w:p>
        </w:tc>
        <w:tc>
          <w:tcPr>
            <w:tcW w:w="3820" w:type="dxa"/>
            <w:vAlign w:val="bottom"/>
            <w:gridSpan w:val="2"/>
          </w:tcPr>
          <w:p>
            <w:pPr>
              <w:spacing w:after="0"/>
              <w:rPr>
                <w:sz w:val="13"/>
                <w:szCs w:val="13"/>
                <w:color w:val="auto"/>
              </w:rPr>
            </w:pPr>
          </w:p>
        </w:tc>
        <w:tc>
          <w:tcPr>
            <w:tcW w:w="1520" w:type="dxa"/>
            <w:vAlign w:val="bottom"/>
          </w:tcPr>
          <w:p>
            <w:pPr>
              <w:spacing w:after="0"/>
              <w:rPr>
                <w:sz w:val="13"/>
                <w:szCs w:val="13"/>
                <w:color w:val="auto"/>
              </w:rPr>
            </w:pPr>
          </w:p>
        </w:tc>
        <w:tc>
          <w:tcPr>
            <w:tcW w:w="3000" w:type="dxa"/>
            <w:vAlign w:val="bottom"/>
          </w:tcPr>
          <w:p>
            <w:pPr>
              <w:spacing w:after="0"/>
              <w:rPr>
                <w:sz w:val="13"/>
                <w:szCs w:val="13"/>
                <w:color w:val="auto"/>
              </w:rPr>
            </w:pPr>
          </w:p>
        </w:tc>
      </w:tr>
      <w:tr>
        <w:trPr>
          <w:trHeight w:val="245"/>
        </w:trPr>
        <w:tc>
          <w:tcPr>
            <w:tcW w:w="1020" w:type="dxa"/>
            <w:vAlign w:val="bottom"/>
          </w:tcPr>
          <w:p>
            <w:pPr>
              <w:spacing w:after="0"/>
              <w:rPr>
                <w:sz w:val="21"/>
                <w:szCs w:val="21"/>
                <w:color w:val="auto"/>
              </w:rPr>
            </w:pPr>
          </w:p>
        </w:tc>
        <w:tc>
          <w:tcPr>
            <w:tcW w:w="5480" w:type="dxa"/>
            <w:vAlign w:val="bottom"/>
            <w:gridSpan w:val="3"/>
          </w:tcPr>
          <w:p>
            <w:pPr>
              <w:ind w:left="20"/>
              <w:spacing w:after="0"/>
              <w:rPr>
                <w:sz w:val="20"/>
                <w:szCs w:val="20"/>
                <w:color w:val="auto"/>
              </w:rPr>
            </w:pPr>
            <w:r>
              <w:rPr>
                <w:rFonts w:ascii="Arial" w:cs="Arial" w:eastAsia="Arial" w:hAnsi="Arial"/>
                <w:sz w:val="13"/>
                <w:szCs w:val="13"/>
                <w:color w:val="auto"/>
              </w:rPr>
              <w:t>All payments to be made by the Borrower under this Contract shall be calculated and</w:t>
            </w:r>
          </w:p>
        </w:tc>
        <w:tc>
          <w:tcPr>
            <w:tcW w:w="1520" w:type="dxa"/>
            <w:vAlign w:val="bottom"/>
          </w:tcPr>
          <w:p>
            <w:pPr>
              <w:ind w:left="80"/>
              <w:spacing w:after="0"/>
              <w:rPr>
                <w:sz w:val="20"/>
                <w:szCs w:val="20"/>
                <w:color w:val="auto"/>
              </w:rPr>
            </w:pPr>
            <w:r>
              <w:rPr>
                <w:rFonts w:ascii="Arial" w:cs="Arial" w:eastAsia="Arial" w:hAnsi="Arial"/>
                <w:sz w:val="13"/>
                <w:szCs w:val="13"/>
                <w:color w:val="auto"/>
              </w:rPr>
              <w:t>be  made without (and</w:t>
            </w:r>
          </w:p>
        </w:tc>
        <w:tc>
          <w:tcPr>
            <w:tcW w:w="3000" w:type="dxa"/>
            <w:vAlign w:val="bottom"/>
          </w:tcPr>
          <w:p>
            <w:pPr>
              <w:ind w:left="60"/>
              <w:spacing w:after="0"/>
              <w:rPr>
                <w:sz w:val="20"/>
                <w:szCs w:val="20"/>
                <w:color w:val="auto"/>
              </w:rPr>
            </w:pPr>
            <w:r>
              <w:rPr>
                <w:rFonts w:ascii="Arial" w:cs="Arial" w:eastAsia="Arial" w:hAnsi="Arial"/>
                <w:sz w:val="13"/>
                <w:szCs w:val="13"/>
                <w:color w:val="auto"/>
              </w:rPr>
              <w:t>free and clear of any deduction for) set-off or</w:t>
            </w:r>
          </w:p>
        </w:tc>
      </w:tr>
      <w:tr>
        <w:trPr>
          <w:trHeight w:val="175"/>
        </w:trPr>
        <w:tc>
          <w:tcPr>
            <w:tcW w:w="1020" w:type="dxa"/>
            <w:vAlign w:val="bottom"/>
          </w:tcPr>
          <w:p>
            <w:pPr>
              <w:spacing w:after="0"/>
              <w:rPr>
                <w:sz w:val="15"/>
                <w:szCs w:val="15"/>
                <w:color w:val="auto"/>
              </w:rPr>
            </w:pPr>
          </w:p>
        </w:tc>
        <w:tc>
          <w:tcPr>
            <w:tcW w:w="7000" w:type="dxa"/>
            <w:vAlign w:val="bottom"/>
            <w:gridSpan w:val="4"/>
          </w:tcPr>
          <w:p>
            <w:pPr>
              <w:ind w:left="20"/>
              <w:spacing w:after="0"/>
              <w:rPr>
                <w:sz w:val="20"/>
                <w:szCs w:val="20"/>
                <w:color w:val="auto"/>
              </w:rPr>
            </w:pPr>
            <w:r>
              <w:rPr>
                <w:rFonts w:ascii="Arial" w:cs="Arial" w:eastAsia="Arial" w:hAnsi="Arial"/>
                <w:sz w:val="13"/>
                <w:szCs w:val="13"/>
                <w:color w:val="auto"/>
              </w:rPr>
              <w:t>counterclaim, unless the counterclaim is undisputed (</w:t>
            </w:r>
            <w:r>
              <w:rPr>
                <w:rFonts w:ascii="Arial" w:cs="Arial" w:eastAsia="Arial" w:hAnsi="Arial"/>
                <w:sz w:val="13"/>
                <w:szCs w:val="13"/>
                <w:i w:val="1"/>
                <w:iCs w:val="1"/>
                <w:color w:val="auto"/>
              </w:rPr>
              <w:t>unbestritten</w:t>
            </w:r>
            <w:r>
              <w:rPr>
                <w:rFonts w:ascii="Arial" w:cs="Arial" w:eastAsia="Arial" w:hAnsi="Arial"/>
                <w:sz w:val="13"/>
                <w:szCs w:val="13"/>
                <w:color w:val="auto"/>
              </w:rPr>
              <w:t>) or has been confirmed in a final non-appealable</w:t>
            </w:r>
          </w:p>
        </w:tc>
        <w:tc>
          <w:tcPr>
            <w:tcW w:w="3000" w:type="dxa"/>
            <w:vAlign w:val="bottom"/>
          </w:tcPr>
          <w:p>
            <w:pPr>
              <w:ind w:left="20"/>
              <w:spacing w:after="0"/>
              <w:rPr>
                <w:sz w:val="20"/>
                <w:szCs w:val="20"/>
                <w:color w:val="auto"/>
              </w:rPr>
            </w:pPr>
            <w:r>
              <w:rPr>
                <w:rFonts w:ascii="Arial" w:cs="Arial" w:eastAsia="Arial" w:hAnsi="Arial"/>
                <w:sz w:val="13"/>
                <w:szCs w:val="13"/>
                <w:color w:val="auto"/>
              </w:rPr>
              <w:t>judgement (</w:t>
            </w:r>
            <w:r>
              <w:rPr>
                <w:rFonts w:ascii="Arial" w:cs="Arial" w:eastAsia="Arial" w:hAnsi="Arial"/>
                <w:sz w:val="13"/>
                <w:szCs w:val="13"/>
                <w:i w:val="1"/>
                <w:iCs w:val="1"/>
                <w:color w:val="auto"/>
              </w:rPr>
              <w:t>rechtskräftig festgestellt</w:t>
            </w:r>
            <w:r>
              <w:rPr>
                <w:rFonts w:ascii="Arial" w:cs="Arial" w:eastAsia="Arial" w:hAnsi="Arial"/>
                <w:sz w:val="13"/>
                <w:szCs w:val="13"/>
                <w:color w:val="auto"/>
              </w:rPr>
              <w:t>).</w:t>
            </w:r>
          </w:p>
        </w:tc>
      </w:tr>
      <w:tr>
        <w:trPr>
          <w:trHeight w:val="280"/>
        </w:trPr>
        <w:tc>
          <w:tcPr>
            <w:tcW w:w="1020" w:type="dxa"/>
            <w:vAlign w:val="bottom"/>
          </w:tcPr>
          <w:p>
            <w:pPr>
              <w:jc w:val="right"/>
              <w:ind w:right="773"/>
              <w:spacing w:after="0"/>
              <w:rPr>
                <w:sz w:val="20"/>
                <w:szCs w:val="20"/>
                <w:color w:val="auto"/>
              </w:rPr>
            </w:pPr>
            <w:r>
              <w:rPr>
                <w:rFonts w:ascii="Arial" w:cs="Arial" w:eastAsia="Arial" w:hAnsi="Arial"/>
                <w:sz w:val="13"/>
                <w:szCs w:val="13"/>
                <w:b w:val="1"/>
                <w:bCs w:val="1"/>
                <w:color w:val="auto"/>
                <w:w w:val="88"/>
              </w:rPr>
              <w:t>6.4</w:t>
            </w:r>
          </w:p>
        </w:tc>
        <w:tc>
          <w:tcPr>
            <w:tcW w:w="5480" w:type="dxa"/>
            <w:vAlign w:val="bottom"/>
            <w:gridSpan w:val="3"/>
          </w:tcPr>
          <w:p>
            <w:pPr>
              <w:spacing w:after="0"/>
              <w:rPr>
                <w:sz w:val="20"/>
                <w:szCs w:val="20"/>
                <w:color w:val="auto"/>
              </w:rPr>
            </w:pPr>
            <w:r>
              <w:rPr>
                <w:rFonts w:ascii="Arial" w:cs="Arial" w:eastAsia="Arial" w:hAnsi="Arial"/>
                <w:sz w:val="13"/>
                <w:szCs w:val="13"/>
                <w:b w:val="1"/>
                <w:bCs w:val="1"/>
                <w:color w:val="auto"/>
              </w:rPr>
              <w:t>Disruption to Payment Systems</w:t>
            </w:r>
          </w:p>
        </w:tc>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5480" w:type="dxa"/>
            <w:vAlign w:val="bottom"/>
            <w:gridSpan w:val="3"/>
          </w:tcPr>
          <w:p>
            <w:pPr>
              <w:ind w:left="20"/>
              <w:spacing w:after="0"/>
              <w:rPr>
                <w:sz w:val="20"/>
                <w:szCs w:val="20"/>
                <w:color w:val="auto"/>
              </w:rPr>
            </w:pPr>
            <w:r>
              <w:rPr>
                <w:rFonts w:ascii="Arial" w:cs="Arial" w:eastAsia="Arial" w:hAnsi="Arial"/>
                <w:sz w:val="13"/>
                <w:szCs w:val="13"/>
                <w:color w:val="auto"/>
              </w:rPr>
              <w:t>If either the Bank determines (in its discretion) that a Disruption Event has occurred or the</w:t>
            </w:r>
          </w:p>
        </w:tc>
        <w:tc>
          <w:tcPr>
            <w:tcW w:w="4520" w:type="dxa"/>
            <w:vAlign w:val="bottom"/>
            <w:gridSpan w:val="2"/>
          </w:tcPr>
          <w:p>
            <w:pPr>
              <w:ind w:left="20"/>
              <w:spacing w:after="0"/>
              <w:rPr>
                <w:sz w:val="20"/>
                <w:szCs w:val="20"/>
                <w:color w:val="auto"/>
              </w:rPr>
            </w:pPr>
            <w:r>
              <w:rPr>
                <w:rFonts w:ascii="Arial" w:cs="Arial" w:eastAsia="Arial" w:hAnsi="Arial"/>
                <w:sz w:val="13"/>
                <w:szCs w:val="13"/>
                <w:color w:val="auto"/>
              </w:rPr>
              <w:t>Bank is notified by the Borrower that a Disruption Event has occurred:</w:t>
            </w:r>
          </w:p>
        </w:tc>
      </w:tr>
    </w:tbl>
    <w:p>
      <w:pPr>
        <w:spacing w:after="0" w:line="69" w:lineRule="exact"/>
        <w:rPr>
          <w:sz w:val="20"/>
          <w:szCs w:val="20"/>
          <w:color w:val="auto"/>
        </w:rPr>
      </w:pPr>
    </w:p>
    <w:p>
      <w:pPr>
        <w:ind w:left="1820" w:right="300" w:hanging="670"/>
        <w:spacing w:after="0" w:line="258" w:lineRule="auto"/>
        <w:tabs>
          <w:tab w:leader="none" w:pos="1820" w:val="left"/>
        </w:tabs>
        <w:numPr>
          <w:ilvl w:val="0"/>
          <w:numId w:val="406"/>
        </w:numPr>
        <w:rPr>
          <w:rFonts w:ascii="Arial" w:cs="Arial" w:eastAsia="Arial" w:hAnsi="Arial"/>
          <w:sz w:val="13"/>
          <w:szCs w:val="13"/>
          <w:color w:val="auto"/>
        </w:rPr>
      </w:pPr>
      <w:r>
        <w:rPr>
          <w:rFonts w:ascii="Arial" w:cs="Arial" w:eastAsia="Arial" w:hAnsi="Arial"/>
          <w:sz w:val="13"/>
          <w:szCs w:val="13"/>
          <w:color w:val="auto"/>
        </w:rPr>
        <w:t>the Bank may, and shall if requested to do so by the Borrower, consult with the Borrower with a view to agreeing with the Borrower such changes to the operation or administration of the Contract as the Bank may deem necessary in the circumstances;</w:t>
      </w:r>
    </w:p>
    <w:p>
      <w:pPr>
        <w:spacing w:after="0" w:line="44" w:lineRule="exact"/>
        <w:rPr>
          <w:rFonts w:ascii="Arial" w:cs="Arial" w:eastAsia="Arial" w:hAnsi="Arial"/>
          <w:sz w:val="13"/>
          <w:szCs w:val="13"/>
          <w:color w:val="auto"/>
        </w:rPr>
      </w:pPr>
    </w:p>
    <w:p>
      <w:pPr>
        <w:ind w:left="1820" w:right="120" w:hanging="670"/>
        <w:spacing w:after="0" w:line="281" w:lineRule="auto"/>
        <w:tabs>
          <w:tab w:leader="none" w:pos="1820" w:val="left"/>
        </w:tabs>
        <w:numPr>
          <w:ilvl w:val="0"/>
          <w:numId w:val="406"/>
        </w:numPr>
        <w:rPr>
          <w:rFonts w:ascii="Arial" w:cs="Arial" w:eastAsia="Arial" w:hAnsi="Arial"/>
          <w:sz w:val="13"/>
          <w:szCs w:val="13"/>
          <w:color w:val="auto"/>
        </w:rPr>
      </w:pPr>
      <w:r>
        <w:rPr>
          <w:rFonts w:ascii="Arial" w:cs="Arial" w:eastAsia="Arial" w:hAnsi="Arial"/>
          <w:sz w:val="13"/>
          <w:szCs w:val="13"/>
          <w:color w:val="auto"/>
        </w:rPr>
        <w:t xml:space="preserve">the Bank shall not be obliged to consult with the Borrower in relation to any changes mentioned in Sub-Paragraph (a) of Article </w:t>
      </w:r>
      <w:hyperlink w:anchor="page362">
        <w:r>
          <w:rPr>
            <w:rFonts w:ascii="Arial" w:cs="Arial" w:eastAsia="Arial" w:hAnsi="Arial"/>
            <w:sz w:val="13"/>
            <w:szCs w:val="13"/>
            <w:u w:val="single" w:color="auto"/>
            <w:color w:val="0000EE"/>
          </w:rPr>
          <w:t>6.4</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Disruption to Payment</w:t>
      </w:r>
      <w:r>
        <w:rPr>
          <w:rFonts w:ascii="Arial" w:cs="Arial" w:eastAsia="Arial" w:hAnsi="Arial"/>
          <w:sz w:val="13"/>
          <w:szCs w:val="13"/>
          <w:color w:val="auto"/>
        </w:rPr>
        <w:t xml:space="preserve"> Systems) above if, in its opinion, it is not practicable to do so in the circumstances and, in any event, shall have no obligation to agree to such changes; and</w:t>
      </w:r>
    </w:p>
    <w:p>
      <w:pPr>
        <w:spacing w:after="0" w:line="43" w:lineRule="exact"/>
        <w:rPr>
          <w:rFonts w:ascii="Arial" w:cs="Arial" w:eastAsia="Arial" w:hAnsi="Arial"/>
          <w:sz w:val="13"/>
          <w:szCs w:val="13"/>
          <w:color w:val="auto"/>
        </w:rPr>
      </w:pPr>
    </w:p>
    <w:p>
      <w:pPr>
        <w:ind w:left="1820" w:right="360" w:hanging="670"/>
        <w:spacing w:after="0" w:line="258" w:lineRule="auto"/>
        <w:tabs>
          <w:tab w:leader="none" w:pos="1820" w:val="left"/>
        </w:tabs>
        <w:numPr>
          <w:ilvl w:val="0"/>
          <w:numId w:val="406"/>
        </w:numPr>
        <w:rPr>
          <w:rFonts w:ascii="Arial" w:cs="Arial" w:eastAsia="Arial" w:hAnsi="Arial"/>
          <w:sz w:val="13"/>
          <w:szCs w:val="13"/>
          <w:color w:val="auto"/>
        </w:rPr>
      </w:pPr>
      <w:r>
        <w:rPr>
          <w:rFonts w:ascii="Arial" w:cs="Arial" w:eastAsia="Arial" w:hAnsi="Arial"/>
          <w:sz w:val="13"/>
          <w:szCs w:val="13"/>
          <w:color w:val="auto"/>
        </w:rPr>
        <w:t xml:space="preserve">the Bank shall not be liable for any damages, costs or losses whatsoever arising as a result of a Disruption Event or for taking or not taking any action pursuant to or in connection with this Article </w:t>
      </w:r>
      <w:hyperlink w:anchor="page362">
        <w:r>
          <w:rPr>
            <w:rFonts w:ascii="Arial" w:cs="Arial" w:eastAsia="Arial" w:hAnsi="Arial"/>
            <w:sz w:val="13"/>
            <w:szCs w:val="13"/>
            <w:u w:val="single" w:color="auto"/>
            <w:color w:val="0000EE"/>
          </w:rPr>
          <w:t>6.4</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Disruption to Payment Systems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b w:val="1"/>
                <w:bCs w:val="1"/>
                <w:color w:val="auto"/>
              </w:rPr>
              <w:t>6.5</w:t>
            </w:r>
          </w:p>
        </w:tc>
        <w:tc>
          <w:tcPr>
            <w:tcW w:w="5460" w:type="dxa"/>
            <w:vAlign w:val="bottom"/>
            <w:gridSpan w:val="2"/>
          </w:tcPr>
          <w:p>
            <w:pPr>
              <w:spacing w:after="0"/>
              <w:rPr>
                <w:sz w:val="20"/>
                <w:szCs w:val="20"/>
                <w:color w:val="auto"/>
              </w:rPr>
            </w:pPr>
            <w:r>
              <w:rPr>
                <w:rFonts w:ascii="Arial" w:cs="Arial" w:eastAsia="Arial" w:hAnsi="Arial"/>
                <w:sz w:val="13"/>
                <w:szCs w:val="13"/>
                <w:b w:val="1"/>
                <w:bCs w:val="1"/>
                <w:color w:val="auto"/>
              </w:rPr>
              <w:t>Application of sums received</w:t>
            </w:r>
          </w:p>
        </w:tc>
        <w:tc>
          <w:tcPr>
            <w:tcW w:w="4540" w:type="dxa"/>
            <w:vAlign w:val="bottom"/>
          </w:tcPr>
          <w:p>
            <w:pPr>
              <w:spacing w:after="0"/>
              <w:rPr>
                <w:sz w:val="13"/>
                <w:szCs w:val="13"/>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6.5.1</w:t>
            </w:r>
          </w:p>
        </w:tc>
        <w:tc>
          <w:tcPr>
            <w:tcW w:w="18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General</w:t>
            </w:r>
          </w:p>
        </w:tc>
        <w:tc>
          <w:tcPr>
            <w:tcW w:w="364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230"/>
        </w:trPr>
        <w:tc>
          <w:tcPr>
            <w:tcW w:w="102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Arial" w:cs="Arial" w:eastAsia="Arial" w:hAnsi="Arial"/>
                <w:sz w:val="13"/>
                <w:szCs w:val="13"/>
                <w:color w:val="auto"/>
              </w:rPr>
              <w:t>Sums received from the Borrower shall only discharge its payment obligations if and when</w:t>
            </w:r>
          </w:p>
        </w:tc>
        <w:tc>
          <w:tcPr>
            <w:tcW w:w="4540" w:type="dxa"/>
            <w:vAlign w:val="bottom"/>
          </w:tcPr>
          <w:p>
            <w:pPr>
              <w:ind w:left="40"/>
              <w:spacing w:after="0"/>
              <w:rPr>
                <w:sz w:val="20"/>
                <w:szCs w:val="20"/>
                <w:color w:val="auto"/>
              </w:rPr>
            </w:pPr>
            <w:r>
              <w:rPr>
                <w:rFonts w:ascii="Arial" w:cs="Arial" w:eastAsia="Arial" w:hAnsi="Arial"/>
                <w:sz w:val="13"/>
                <w:szCs w:val="13"/>
                <w:color w:val="auto"/>
              </w:rPr>
              <w:t>received in accordance with the terms of this Contract.</w:t>
            </w:r>
          </w:p>
        </w:tc>
      </w:tr>
      <w:tr>
        <w:trPr>
          <w:trHeight w:val="270"/>
        </w:trPr>
        <w:tc>
          <w:tcPr>
            <w:tcW w:w="1020" w:type="dxa"/>
            <w:vAlign w:val="bottom"/>
          </w:tcPr>
          <w:p>
            <w:pPr>
              <w:spacing w:after="0"/>
              <w:rPr>
                <w:sz w:val="20"/>
                <w:szCs w:val="20"/>
                <w:color w:val="auto"/>
              </w:rPr>
            </w:pPr>
            <w:r>
              <w:rPr>
                <w:rFonts w:ascii="Arial" w:cs="Arial" w:eastAsia="Arial" w:hAnsi="Arial"/>
                <w:sz w:val="13"/>
                <w:szCs w:val="13"/>
                <w:b w:val="1"/>
                <w:bCs w:val="1"/>
                <w:color w:val="auto"/>
              </w:rPr>
              <w:t>6.5.2</w:t>
            </w:r>
          </w:p>
        </w:tc>
        <w:tc>
          <w:tcPr>
            <w:tcW w:w="5460" w:type="dxa"/>
            <w:vAlign w:val="bottom"/>
            <w:gridSpan w:val="2"/>
          </w:tcPr>
          <w:p>
            <w:pPr>
              <w:spacing w:after="0"/>
              <w:rPr>
                <w:sz w:val="20"/>
                <w:szCs w:val="20"/>
                <w:color w:val="auto"/>
              </w:rPr>
            </w:pPr>
            <w:r>
              <w:rPr>
                <w:rFonts w:ascii="Arial" w:cs="Arial" w:eastAsia="Arial" w:hAnsi="Arial"/>
                <w:sz w:val="13"/>
                <w:szCs w:val="13"/>
                <w:b w:val="1"/>
                <w:bCs w:val="1"/>
                <w:color w:val="auto"/>
              </w:rPr>
              <w:t>Partial payments</w:t>
            </w:r>
          </w:p>
        </w:tc>
        <w:tc>
          <w:tcPr>
            <w:tcW w:w="4540" w:type="dxa"/>
            <w:vAlign w:val="bottom"/>
          </w:tcPr>
          <w:p>
            <w:pPr>
              <w:spacing w:after="0"/>
              <w:rPr>
                <w:sz w:val="23"/>
                <w:szCs w:val="23"/>
                <w:color w:val="auto"/>
              </w:rPr>
            </w:pPr>
          </w:p>
        </w:tc>
      </w:tr>
      <w:tr>
        <w:trPr>
          <w:trHeight w:val="219"/>
        </w:trPr>
        <w:tc>
          <w:tcPr>
            <w:tcW w:w="102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Arial" w:cs="Arial" w:eastAsia="Arial" w:hAnsi="Arial"/>
                <w:sz w:val="13"/>
                <w:szCs w:val="13"/>
                <w:color w:val="auto"/>
              </w:rPr>
              <w:t>If the Bank receives a payment that is insufficient to discharge all the amounts then due and</w:t>
            </w:r>
          </w:p>
        </w:tc>
        <w:tc>
          <w:tcPr>
            <w:tcW w:w="4540" w:type="dxa"/>
            <w:vAlign w:val="bottom"/>
          </w:tcPr>
          <w:p>
            <w:pPr>
              <w:ind w:left="20"/>
              <w:spacing w:after="0"/>
              <w:rPr>
                <w:sz w:val="20"/>
                <w:szCs w:val="20"/>
                <w:color w:val="auto"/>
              </w:rPr>
            </w:pPr>
            <w:r>
              <w:rPr>
                <w:rFonts w:ascii="Arial" w:cs="Arial" w:eastAsia="Arial" w:hAnsi="Arial"/>
                <w:sz w:val="13"/>
                <w:szCs w:val="13"/>
                <w:color w:val="auto"/>
              </w:rPr>
              <w:t>payable by the Borrower under this Contract, the Bank shall apply that</w:t>
            </w:r>
          </w:p>
        </w:tc>
      </w:tr>
      <w:tr>
        <w:trPr>
          <w:trHeight w:val="161"/>
        </w:trPr>
        <w:tc>
          <w:tcPr>
            <w:tcW w:w="1020" w:type="dxa"/>
            <w:vAlign w:val="bottom"/>
          </w:tcPr>
          <w:p>
            <w:pPr>
              <w:spacing w:after="0"/>
              <w:rPr>
                <w:sz w:val="13"/>
                <w:szCs w:val="13"/>
                <w:color w:val="auto"/>
              </w:rPr>
            </w:pPr>
          </w:p>
        </w:tc>
        <w:tc>
          <w:tcPr>
            <w:tcW w:w="5460" w:type="dxa"/>
            <w:vAlign w:val="bottom"/>
            <w:gridSpan w:val="2"/>
          </w:tcPr>
          <w:p>
            <w:pPr>
              <w:ind w:left="20"/>
              <w:spacing w:after="0"/>
              <w:rPr>
                <w:sz w:val="20"/>
                <w:szCs w:val="20"/>
                <w:color w:val="auto"/>
              </w:rPr>
            </w:pPr>
            <w:r>
              <w:rPr>
                <w:rFonts w:ascii="Arial" w:cs="Arial" w:eastAsia="Arial" w:hAnsi="Arial"/>
                <w:sz w:val="13"/>
                <w:szCs w:val="13"/>
                <w:color w:val="auto"/>
              </w:rPr>
              <w:t>payment in or towards payment of:</w:t>
            </w:r>
          </w:p>
        </w:tc>
        <w:tc>
          <w:tcPr>
            <w:tcW w:w="4540" w:type="dxa"/>
            <w:vAlign w:val="bottom"/>
          </w:tcPr>
          <w:p>
            <w:pPr>
              <w:spacing w:after="0"/>
              <w:rPr>
                <w:sz w:val="13"/>
                <w:szCs w:val="13"/>
                <w:color w:val="auto"/>
              </w:rPr>
            </w:pPr>
          </w:p>
        </w:tc>
      </w:tr>
    </w:tbl>
    <w:p>
      <w:pPr>
        <w:spacing w:after="0" w:line="31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2"/>
          <w:szCs w:val="12"/>
          <w:color w:val="auto"/>
        </w:rPr>
        <w:t>23</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362" w:name="page363"/>
    <w:bookmarkEnd w:id="362"/>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820" w:hanging="670"/>
        <w:spacing w:after="0"/>
        <w:tabs>
          <w:tab w:leader="none" w:pos="1820" w:val="left"/>
        </w:tabs>
        <w:numPr>
          <w:ilvl w:val="0"/>
          <w:numId w:val="407"/>
        </w:numPr>
        <w:rPr>
          <w:rFonts w:ascii="Arial" w:cs="Arial" w:eastAsia="Arial" w:hAnsi="Arial"/>
          <w:sz w:val="13"/>
          <w:szCs w:val="13"/>
          <w:color w:val="auto"/>
        </w:rPr>
      </w:pPr>
      <w:r>
        <w:rPr>
          <w:rFonts w:ascii="Arial" w:cs="Arial" w:eastAsia="Arial" w:hAnsi="Arial"/>
          <w:sz w:val="13"/>
          <w:szCs w:val="13"/>
          <w:color w:val="auto"/>
        </w:rPr>
        <w:t>first, any unpaid fees, costs, indemnities and expenses due under this Contract;</w:t>
      </w:r>
    </w:p>
    <w:p>
      <w:pPr>
        <w:spacing w:after="0" w:line="80" w:lineRule="exact"/>
        <w:rPr>
          <w:rFonts w:ascii="Arial" w:cs="Arial" w:eastAsia="Arial" w:hAnsi="Arial"/>
          <w:sz w:val="13"/>
          <w:szCs w:val="13"/>
          <w:color w:val="auto"/>
        </w:rPr>
      </w:pPr>
    </w:p>
    <w:p>
      <w:pPr>
        <w:ind w:left="1820" w:hanging="670"/>
        <w:spacing w:after="0"/>
        <w:tabs>
          <w:tab w:leader="none" w:pos="1820" w:val="left"/>
        </w:tabs>
        <w:numPr>
          <w:ilvl w:val="0"/>
          <w:numId w:val="407"/>
        </w:numPr>
        <w:rPr>
          <w:rFonts w:ascii="Arial" w:cs="Arial" w:eastAsia="Arial" w:hAnsi="Arial"/>
          <w:sz w:val="13"/>
          <w:szCs w:val="13"/>
          <w:color w:val="auto"/>
        </w:rPr>
      </w:pPr>
      <w:r>
        <w:rPr>
          <w:rFonts w:ascii="Arial" w:cs="Arial" w:eastAsia="Arial" w:hAnsi="Arial"/>
          <w:sz w:val="13"/>
          <w:szCs w:val="13"/>
          <w:color w:val="auto"/>
        </w:rPr>
        <w:t>secondly, any accrued interest due but unpaid under this Contract;</w:t>
      </w:r>
    </w:p>
    <w:p>
      <w:pPr>
        <w:spacing w:after="0" w:line="80" w:lineRule="exact"/>
        <w:rPr>
          <w:rFonts w:ascii="Arial" w:cs="Arial" w:eastAsia="Arial" w:hAnsi="Arial"/>
          <w:sz w:val="13"/>
          <w:szCs w:val="13"/>
          <w:color w:val="auto"/>
        </w:rPr>
      </w:pPr>
    </w:p>
    <w:p>
      <w:pPr>
        <w:ind w:left="1820" w:hanging="670"/>
        <w:spacing w:after="0"/>
        <w:tabs>
          <w:tab w:leader="none" w:pos="1820" w:val="left"/>
        </w:tabs>
        <w:numPr>
          <w:ilvl w:val="0"/>
          <w:numId w:val="407"/>
        </w:numPr>
        <w:rPr>
          <w:rFonts w:ascii="Arial" w:cs="Arial" w:eastAsia="Arial" w:hAnsi="Arial"/>
          <w:sz w:val="13"/>
          <w:szCs w:val="13"/>
          <w:color w:val="auto"/>
        </w:rPr>
      </w:pPr>
      <w:r>
        <w:rPr>
          <w:rFonts w:ascii="Arial" w:cs="Arial" w:eastAsia="Arial" w:hAnsi="Arial"/>
          <w:sz w:val="13"/>
          <w:szCs w:val="13"/>
          <w:color w:val="auto"/>
        </w:rPr>
        <w:t>thirdly, any principal due but unpaid under this Contract;</w:t>
      </w:r>
    </w:p>
    <w:p>
      <w:pPr>
        <w:spacing w:after="0" w:line="80" w:lineRule="exact"/>
        <w:rPr>
          <w:rFonts w:ascii="Arial" w:cs="Arial" w:eastAsia="Arial" w:hAnsi="Arial"/>
          <w:sz w:val="13"/>
          <w:szCs w:val="13"/>
          <w:color w:val="auto"/>
        </w:rPr>
      </w:pPr>
    </w:p>
    <w:p>
      <w:pPr>
        <w:ind w:left="1820" w:hanging="670"/>
        <w:spacing w:after="0"/>
        <w:tabs>
          <w:tab w:leader="none" w:pos="1820" w:val="left"/>
        </w:tabs>
        <w:numPr>
          <w:ilvl w:val="0"/>
          <w:numId w:val="407"/>
        </w:numPr>
        <w:rPr>
          <w:rFonts w:ascii="Arial" w:cs="Arial" w:eastAsia="Arial" w:hAnsi="Arial"/>
          <w:sz w:val="13"/>
          <w:szCs w:val="13"/>
          <w:color w:val="auto"/>
        </w:rPr>
      </w:pPr>
      <w:r>
        <w:rPr>
          <w:rFonts w:ascii="Arial" w:cs="Arial" w:eastAsia="Arial" w:hAnsi="Arial"/>
          <w:sz w:val="13"/>
          <w:szCs w:val="13"/>
          <w:color w:val="auto"/>
        </w:rPr>
        <w:t>fourthly, any Profit Participation Payments due but unpaid under this Contract; and</w:t>
      </w:r>
    </w:p>
    <w:p>
      <w:pPr>
        <w:spacing w:after="0" w:line="80" w:lineRule="exact"/>
        <w:rPr>
          <w:rFonts w:ascii="Arial" w:cs="Arial" w:eastAsia="Arial" w:hAnsi="Arial"/>
          <w:sz w:val="13"/>
          <w:szCs w:val="13"/>
          <w:color w:val="auto"/>
        </w:rPr>
      </w:pPr>
    </w:p>
    <w:p>
      <w:pPr>
        <w:ind w:left="1820" w:hanging="670"/>
        <w:spacing w:after="0"/>
        <w:tabs>
          <w:tab w:leader="none" w:pos="1820" w:val="left"/>
        </w:tabs>
        <w:numPr>
          <w:ilvl w:val="0"/>
          <w:numId w:val="407"/>
        </w:numPr>
        <w:rPr>
          <w:rFonts w:ascii="Arial" w:cs="Arial" w:eastAsia="Arial" w:hAnsi="Arial"/>
          <w:sz w:val="13"/>
          <w:szCs w:val="13"/>
          <w:color w:val="auto"/>
        </w:rPr>
      </w:pPr>
      <w:r>
        <w:rPr>
          <w:rFonts w:ascii="Arial" w:cs="Arial" w:eastAsia="Arial" w:hAnsi="Arial"/>
          <w:sz w:val="13"/>
          <w:szCs w:val="13"/>
          <w:color w:val="auto"/>
        </w:rPr>
        <w:t>lastly, any other sum due but unpaid under this Contract.</w:t>
      </w:r>
    </w:p>
    <w:p>
      <w:pPr>
        <w:spacing w:after="0" w:line="104"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6.5.3</w:t>
      </w:r>
      <w:r>
        <w:rPr>
          <w:sz w:val="20"/>
          <w:szCs w:val="20"/>
          <w:color w:val="auto"/>
        </w:rPr>
        <w:tab/>
      </w:r>
      <w:r>
        <w:rPr>
          <w:rFonts w:ascii="Arial" w:cs="Arial" w:eastAsia="Arial" w:hAnsi="Arial"/>
          <w:sz w:val="13"/>
          <w:szCs w:val="13"/>
          <w:b w:val="1"/>
          <w:bCs w:val="1"/>
          <w:color w:val="auto"/>
        </w:rPr>
        <w:t>Allocation of sums related to Tranches</w:t>
      </w:r>
    </w:p>
    <w:p>
      <w:pPr>
        <w:spacing w:after="0" w:line="96" w:lineRule="exact"/>
        <w:rPr>
          <w:sz w:val="20"/>
          <w:szCs w:val="20"/>
          <w:color w:val="auto"/>
        </w:rPr>
      </w:pPr>
    </w:p>
    <w:p>
      <w:pPr>
        <w:ind w:left="1160" w:right="120"/>
        <w:spacing w:after="0" w:line="258" w:lineRule="auto"/>
        <w:rPr>
          <w:sz w:val="20"/>
          <w:szCs w:val="20"/>
          <w:color w:val="auto"/>
        </w:rPr>
      </w:pPr>
      <w:r>
        <w:rPr>
          <w:rFonts w:ascii="Arial" w:cs="Arial" w:eastAsia="Arial" w:hAnsi="Arial"/>
          <w:sz w:val="13"/>
          <w:szCs w:val="13"/>
          <w:color w:val="auto"/>
        </w:rPr>
        <w:t>In case of receipt of sums which cannot be identified as applicable to a specific Tranche, and on which there is no agreement between the Bank and the Borrower on their application, the Bank may apply these between Tranches at its discretion.</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ARTICLE 7</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Borrower undertakings and representations</w:t>
      </w:r>
    </w:p>
    <w:p>
      <w:pPr>
        <w:spacing w:after="0" w:line="242" w:lineRule="exact"/>
        <w:rPr>
          <w:sz w:val="20"/>
          <w:szCs w:val="20"/>
          <w:color w:val="auto"/>
        </w:rPr>
      </w:pPr>
    </w:p>
    <w:p>
      <w:pPr>
        <w:ind w:left="1820" w:right="180" w:hanging="670"/>
        <w:spacing w:after="0" w:line="281" w:lineRule="auto"/>
        <w:tabs>
          <w:tab w:leader="none" w:pos="1820" w:val="left"/>
        </w:tabs>
        <w:numPr>
          <w:ilvl w:val="0"/>
          <w:numId w:val="408"/>
        </w:numPr>
        <w:rPr>
          <w:rFonts w:ascii="Arial" w:cs="Arial" w:eastAsia="Arial" w:hAnsi="Arial"/>
          <w:sz w:val="13"/>
          <w:szCs w:val="13"/>
          <w:color w:val="auto"/>
        </w:rPr>
      </w:pPr>
      <w:r>
        <w:rPr>
          <w:rFonts w:ascii="Arial" w:cs="Arial" w:eastAsia="Arial" w:hAnsi="Arial"/>
          <w:sz w:val="13"/>
          <w:szCs w:val="13"/>
          <w:color w:val="auto"/>
        </w:rPr>
        <w:t xml:space="preserve">The Borrower makes the representations and warranties set out in </w:t>
      </w:r>
      <w:hyperlink w:anchor="page384">
        <w:r>
          <w:rPr>
            <w:rFonts w:ascii="Arial" w:cs="Arial" w:eastAsia="Arial" w:hAnsi="Arial"/>
            <w:sz w:val="13"/>
            <w:szCs w:val="13"/>
            <w:u w:val="single" w:color="auto"/>
            <w:color w:val="0000EE"/>
          </w:rPr>
          <w:t>Schedule G</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Representations and Warranties</w:t>
      </w:r>
      <w:r>
        <w:rPr>
          <w:rFonts w:ascii="Arial" w:cs="Arial" w:eastAsia="Arial" w:hAnsi="Arial"/>
          <w:sz w:val="13"/>
          <w:szCs w:val="13"/>
          <w:color w:val="auto"/>
        </w:rPr>
        <w:t>) to the Bank on the date of this Contract in respect of itself and, where applicable, the other Obligors.</w:t>
      </w:r>
    </w:p>
    <w:p>
      <w:pPr>
        <w:spacing w:after="0" w:line="43" w:lineRule="exact"/>
        <w:rPr>
          <w:rFonts w:ascii="Arial" w:cs="Arial" w:eastAsia="Arial" w:hAnsi="Arial"/>
          <w:sz w:val="13"/>
          <w:szCs w:val="13"/>
          <w:color w:val="auto"/>
        </w:rPr>
      </w:pPr>
    </w:p>
    <w:p>
      <w:pPr>
        <w:ind w:left="1820" w:right="160" w:hanging="670"/>
        <w:spacing w:after="0" w:line="258" w:lineRule="auto"/>
        <w:tabs>
          <w:tab w:leader="none" w:pos="1820" w:val="left"/>
        </w:tabs>
        <w:numPr>
          <w:ilvl w:val="0"/>
          <w:numId w:val="408"/>
        </w:numPr>
        <w:rPr>
          <w:rFonts w:ascii="Arial" w:cs="Arial" w:eastAsia="Arial" w:hAnsi="Arial"/>
          <w:sz w:val="13"/>
          <w:szCs w:val="13"/>
          <w:color w:val="auto"/>
        </w:rPr>
      </w:pPr>
      <w:r>
        <w:rPr>
          <w:rFonts w:ascii="Arial" w:cs="Arial" w:eastAsia="Arial" w:hAnsi="Arial"/>
          <w:sz w:val="13"/>
          <w:szCs w:val="13"/>
          <w:color w:val="auto"/>
        </w:rPr>
        <w:t>The Repeating Representations are deemed to be made by the Borrower (in respect of itself and, where applicable, the other Obligors) on the date of each Disbursement Acceptance, each Disbursement Date and each Payment Date by reference to the facts and circumstances then existing.</w:t>
      </w:r>
    </w:p>
    <w:p>
      <w:pPr>
        <w:spacing w:after="0" w:line="34" w:lineRule="exact"/>
        <w:rPr>
          <w:rFonts w:ascii="Arial" w:cs="Arial" w:eastAsia="Arial" w:hAnsi="Arial"/>
          <w:sz w:val="13"/>
          <w:szCs w:val="13"/>
          <w:color w:val="auto"/>
        </w:rPr>
      </w:pPr>
    </w:p>
    <w:p>
      <w:pPr>
        <w:ind w:left="1820" w:right="160" w:hanging="670"/>
        <w:spacing w:after="0" w:line="281" w:lineRule="auto"/>
        <w:tabs>
          <w:tab w:leader="none" w:pos="1820" w:val="left"/>
        </w:tabs>
        <w:numPr>
          <w:ilvl w:val="0"/>
          <w:numId w:val="408"/>
        </w:numPr>
        <w:rPr>
          <w:rFonts w:ascii="Arial" w:cs="Arial" w:eastAsia="Arial" w:hAnsi="Arial"/>
          <w:sz w:val="13"/>
          <w:szCs w:val="13"/>
          <w:color w:val="auto"/>
        </w:rPr>
      </w:pPr>
      <w:r>
        <w:rPr>
          <w:rFonts w:ascii="Arial" w:cs="Arial" w:eastAsia="Arial" w:hAnsi="Arial"/>
          <w:sz w:val="13"/>
          <w:szCs w:val="13"/>
          <w:color w:val="auto"/>
        </w:rPr>
        <w:t xml:space="preserve">The undertakings in </w:t>
      </w:r>
      <w:hyperlink w:anchor="page387">
        <w:r>
          <w:rPr>
            <w:rFonts w:ascii="Arial" w:cs="Arial" w:eastAsia="Arial" w:hAnsi="Arial"/>
            <w:sz w:val="13"/>
            <w:szCs w:val="13"/>
            <w:u w:val="single" w:color="auto"/>
            <w:color w:val="0000EE"/>
          </w:rPr>
          <w:t>Schedule H</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General Undertakings</w:t>
      </w:r>
      <w:r>
        <w:rPr>
          <w:rFonts w:ascii="Arial" w:cs="Arial" w:eastAsia="Arial" w:hAnsi="Arial"/>
          <w:sz w:val="13"/>
          <w:szCs w:val="13"/>
          <w:color w:val="auto"/>
        </w:rPr>
        <w:t xml:space="preserve">) and </w:t>
      </w:r>
      <w:hyperlink w:anchor="page396">
        <w:r>
          <w:rPr>
            <w:rFonts w:ascii="Arial" w:cs="Arial" w:eastAsia="Arial" w:hAnsi="Arial"/>
            <w:sz w:val="13"/>
            <w:szCs w:val="13"/>
            <w:u w:val="single" w:color="auto"/>
            <w:color w:val="0000EE"/>
          </w:rPr>
          <w:t>Schedule I</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Information and Visits</w:t>
      </w:r>
      <w:r>
        <w:rPr>
          <w:rFonts w:ascii="Arial" w:cs="Arial" w:eastAsia="Arial" w:hAnsi="Arial"/>
          <w:sz w:val="13"/>
          <w:szCs w:val="13"/>
          <w:color w:val="auto"/>
        </w:rPr>
        <w:t>) remain in force from the date of this Contract for so long as any amount is outstanding under this Contract or the Credit is available.</w:t>
      </w:r>
    </w:p>
    <w:p>
      <w:pPr>
        <w:spacing w:after="0" w:line="188"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ARTICLE 8</w:t>
      </w:r>
    </w:p>
    <w:p>
      <w:pPr>
        <w:spacing w:after="0" w:line="80"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Charges and expenses</w:t>
      </w:r>
    </w:p>
    <w:p>
      <w:pPr>
        <w:spacing w:after="0" w:line="240" w:lineRule="exact"/>
        <w:rPr>
          <w:rFonts w:ascii="Arial" w:cs="Arial" w:eastAsia="Arial" w:hAnsi="Arial"/>
          <w:sz w:val="13"/>
          <w:szCs w:val="13"/>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8.1</w:t>
      </w:r>
      <w:r>
        <w:rPr>
          <w:sz w:val="20"/>
          <w:szCs w:val="20"/>
          <w:color w:val="auto"/>
        </w:rPr>
        <w:tab/>
      </w:r>
      <w:r>
        <w:rPr>
          <w:rFonts w:ascii="Arial" w:cs="Arial" w:eastAsia="Arial" w:hAnsi="Arial"/>
          <w:sz w:val="13"/>
          <w:szCs w:val="13"/>
          <w:b w:val="1"/>
          <w:bCs w:val="1"/>
          <w:u w:val="single" w:color="auto"/>
          <w:color w:val="auto"/>
        </w:rPr>
        <w:t>Taxes, duties and fees</w:t>
      </w:r>
    </w:p>
    <w:p>
      <w:pPr>
        <w:spacing w:after="0" w:line="126" w:lineRule="exact"/>
        <w:rPr>
          <w:rFonts w:ascii="Arial" w:cs="Arial" w:eastAsia="Arial" w:hAnsi="Arial"/>
          <w:sz w:val="13"/>
          <w:szCs w:val="13"/>
          <w:color w:val="auto"/>
        </w:rPr>
      </w:pPr>
    </w:p>
    <w:p>
      <w:pPr>
        <w:ind w:left="1820" w:right="340" w:hanging="670"/>
        <w:spacing w:after="0" w:line="249" w:lineRule="auto"/>
        <w:tabs>
          <w:tab w:leader="none" w:pos="1820" w:val="left"/>
        </w:tabs>
        <w:numPr>
          <w:ilvl w:val="0"/>
          <w:numId w:val="409"/>
        </w:numPr>
        <w:rPr>
          <w:rFonts w:ascii="Arial" w:cs="Arial" w:eastAsia="Arial" w:hAnsi="Arial"/>
          <w:sz w:val="13"/>
          <w:szCs w:val="13"/>
          <w:color w:val="auto"/>
        </w:rPr>
      </w:pPr>
      <w:r>
        <w:rPr>
          <w:rFonts w:ascii="Arial" w:cs="Arial" w:eastAsia="Arial" w:hAnsi="Arial"/>
          <w:sz w:val="13"/>
          <w:szCs w:val="13"/>
          <w:color w:val="auto"/>
        </w:rPr>
        <w:t>The Borrower shall pay all Taxes, duties, fees (including any notarial and pre-agreed legal fees) and other impositions of whatsoever nature, including stamp duty and registration fees, arising out of the execution or implementation of each Finance Document or any related document and the creation, perfection, registration of any security for the Loan.</w:t>
      </w:r>
    </w:p>
    <w:p>
      <w:pPr>
        <w:spacing w:after="0" w:line="64" w:lineRule="exact"/>
        <w:rPr>
          <w:rFonts w:ascii="Arial" w:cs="Arial" w:eastAsia="Arial" w:hAnsi="Arial"/>
          <w:sz w:val="13"/>
          <w:szCs w:val="13"/>
          <w:color w:val="auto"/>
        </w:rPr>
      </w:pPr>
    </w:p>
    <w:p>
      <w:pPr>
        <w:ind w:left="1820" w:right="280" w:hanging="670"/>
        <w:spacing w:after="0" w:line="249" w:lineRule="auto"/>
        <w:tabs>
          <w:tab w:leader="none" w:pos="1820" w:val="left"/>
        </w:tabs>
        <w:numPr>
          <w:ilvl w:val="0"/>
          <w:numId w:val="409"/>
        </w:numPr>
        <w:rPr>
          <w:rFonts w:ascii="Arial" w:cs="Arial" w:eastAsia="Arial" w:hAnsi="Arial"/>
          <w:sz w:val="13"/>
          <w:szCs w:val="13"/>
          <w:color w:val="auto"/>
        </w:rPr>
      </w:pPr>
      <w:r>
        <w:rPr>
          <w:rFonts w:ascii="Arial" w:cs="Arial" w:eastAsia="Arial" w:hAnsi="Arial"/>
          <w:sz w:val="13"/>
          <w:szCs w:val="13"/>
          <w:color w:val="auto"/>
        </w:rPr>
        <w:t>The Borrower shall pay all Taxes, duties fees (including any notarial and legal fees) and other impositions whatsoever nature, including stamp duty and registration fees, arising out of the amendment, preservation of any rights under or enforcement of any Finance Document and any security for the Loan to the extent applicable.</w:t>
      </w:r>
    </w:p>
    <w:p>
      <w:pPr>
        <w:spacing w:after="0" w:line="64" w:lineRule="exact"/>
        <w:rPr>
          <w:rFonts w:ascii="Arial" w:cs="Arial" w:eastAsia="Arial" w:hAnsi="Arial"/>
          <w:sz w:val="13"/>
          <w:szCs w:val="13"/>
          <w:color w:val="auto"/>
        </w:rPr>
      </w:pPr>
    </w:p>
    <w:p>
      <w:pPr>
        <w:ind w:left="1820" w:right="320" w:hanging="670"/>
        <w:spacing w:after="0" w:line="246" w:lineRule="auto"/>
        <w:tabs>
          <w:tab w:leader="none" w:pos="1820" w:val="left"/>
        </w:tabs>
        <w:numPr>
          <w:ilvl w:val="0"/>
          <w:numId w:val="409"/>
        </w:numPr>
        <w:rPr>
          <w:rFonts w:ascii="Arial" w:cs="Arial" w:eastAsia="Arial" w:hAnsi="Arial"/>
          <w:sz w:val="13"/>
          <w:szCs w:val="13"/>
          <w:color w:val="auto"/>
        </w:rPr>
      </w:pPr>
      <w:r>
        <w:rPr>
          <w:rFonts w:ascii="Arial" w:cs="Arial" w:eastAsia="Arial" w:hAnsi="Arial"/>
          <w:sz w:val="13"/>
          <w:szCs w:val="13"/>
          <w:color w:val="auto"/>
        </w:rPr>
        <w:t>The Borrower shall pay all principal, interest, Profit Participation Payments, indemnities and other amounts due under this Contract gross without any withholding or deduction of any national or local impositions whatsoever, provided that if the Borrower is required by law or an agreement with a governmental authority or otherwise to make any such withholding or deduction, it will gross up the payment to the Bank so that after withholding or deduction, the net amount received by the Bank is equivalent to the sum due.</w:t>
      </w:r>
    </w:p>
    <w:p>
      <w:pPr>
        <w:spacing w:after="0" w:line="131" w:lineRule="exact"/>
        <w:rPr>
          <w:rFonts w:ascii="Arial" w:cs="Arial" w:eastAsia="Arial" w:hAnsi="Arial"/>
          <w:sz w:val="13"/>
          <w:szCs w:val="13"/>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8.2</w:t>
      </w:r>
      <w:r>
        <w:rPr>
          <w:sz w:val="20"/>
          <w:szCs w:val="20"/>
          <w:color w:val="auto"/>
        </w:rPr>
        <w:tab/>
      </w:r>
      <w:r>
        <w:rPr>
          <w:rFonts w:ascii="Arial" w:cs="Arial" w:eastAsia="Arial" w:hAnsi="Arial"/>
          <w:sz w:val="13"/>
          <w:szCs w:val="13"/>
          <w:b w:val="1"/>
          <w:bCs w:val="1"/>
          <w:u w:val="single" w:color="auto"/>
          <w:color w:val="auto"/>
        </w:rPr>
        <w:t>Other charges</w:t>
      </w:r>
    </w:p>
    <w:p>
      <w:pPr>
        <w:spacing w:after="0" w:line="126" w:lineRule="exact"/>
        <w:rPr>
          <w:rFonts w:ascii="Arial" w:cs="Arial" w:eastAsia="Arial" w:hAnsi="Arial"/>
          <w:sz w:val="13"/>
          <w:szCs w:val="13"/>
          <w:color w:val="auto"/>
        </w:rPr>
      </w:pPr>
    </w:p>
    <w:p>
      <w:pPr>
        <w:jc w:val="both"/>
        <w:ind w:left="1160" w:right="120"/>
        <w:spacing w:after="0" w:line="249" w:lineRule="auto"/>
        <w:rPr>
          <w:sz w:val="20"/>
          <w:szCs w:val="20"/>
          <w:color w:val="auto"/>
        </w:rPr>
      </w:pPr>
      <w:r>
        <w:rPr>
          <w:rFonts w:ascii="Arial" w:cs="Arial" w:eastAsia="Arial" w:hAnsi="Arial"/>
          <w:sz w:val="13"/>
          <w:szCs w:val="13"/>
          <w:color w:val="auto"/>
        </w:rPr>
        <w:t>The Borrower shall bear all charges and expenses, including any notarial and legal fees, professional, banking or exchange charges incurred in connection with the preparation, execution, implementation, enforcement and termination of the Finance Documents (including, but not limited to, any Guarantee Agreement entered into pursuant to Paragraph</w:t>
      </w:r>
    </w:p>
    <w:p>
      <w:pPr>
        <w:spacing w:after="0" w:line="307"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2"/>
          <w:szCs w:val="12"/>
          <w:color w:val="auto"/>
        </w:rPr>
        <w:t>24</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63" w:name="page364"/>
    <w:bookmarkEnd w:id="363"/>
    <w:p>
      <w:pPr>
        <w:ind w:left="10580"/>
        <w:spacing w:after="0"/>
        <w:rPr>
          <w:sz w:val="20"/>
          <w:szCs w:val="20"/>
          <w:color w:val="auto"/>
        </w:rPr>
      </w:pPr>
      <w:r>
        <w:rPr>
          <w:rFonts w:ascii="Arial" w:cs="Arial" w:eastAsia="Arial" w:hAnsi="Arial"/>
          <w:sz w:val="12"/>
          <w:szCs w:val="12"/>
          <w:b w:val="1"/>
          <w:bCs w:val="1"/>
          <w:color w:val="auto"/>
        </w:rPr>
        <w:t>Exhibit 4.41</w:t>
      </w:r>
    </w:p>
    <w:p>
      <w:pPr>
        <w:spacing w:after="0" w:line="50" w:lineRule="exact"/>
        <w:rPr>
          <w:sz w:val="20"/>
          <w:szCs w:val="20"/>
          <w:color w:val="auto"/>
        </w:rPr>
      </w:pPr>
    </w:p>
    <w:p>
      <w:pPr>
        <w:ind w:left="1160" w:right="120"/>
        <w:spacing w:after="0" w:line="281" w:lineRule="auto"/>
        <w:rPr>
          <w:rFonts w:ascii="Arial" w:cs="Arial" w:eastAsia="Arial" w:hAnsi="Arial"/>
          <w:sz w:val="13"/>
          <w:szCs w:val="13"/>
          <w:color w:val="0000EE"/>
        </w:rPr>
      </w:pPr>
      <w:hyperlink w:anchor="page391">
        <w:r>
          <w:rPr>
            <w:rFonts w:ascii="Arial" w:cs="Arial" w:eastAsia="Arial" w:hAnsi="Arial"/>
            <w:sz w:val="13"/>
            <w:szCs w:val="13"/>
            <w:u w:val="single" w:color="auto"/>
            <w:color w:val="0000EE"/>
          </w:rPr>
          <w:t>16</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i w:val="1"/>
          <w:iCs w:val="1"/>
          <w:color w:val="000000"/>
        </w:rPr>
        <w:t>Guarantees</w:t>
      </w:r>
      <w:r>
        <w:rPr>
          <w:rFonts w:ascii="Arial" w:cs="Arial" w:eastAsia="Arial" w:hAnsi="Arial"/>
          <w:sz w:val="13"/>
          <w:szCs w:val="13"/>
          <w:color w:val="000000"/>
        </w:rPr>
        <w:t>) of</w:t>
      </w:r>
      <w:r>
        <w:rPr>
          <w:rFonts w:ascii="Arial" w:cs="Arial" w:eastAsia="Arial" w:hAnsi="Arial"/>
          <w:sz w:val="13"/>
          <w:szCs w:val="13"/>
          <w:color w:val="0000EE"/>
        </w:rPr>
        <w:t xml:space="preserve"> </w:t>
      </w:r>
      <w:hyperlink w:anchor="page387">
        <w:r>
          <w:rPr>
            <w:rFonts w:ascii="Arial" w:cs="Arial" w:eastAsia="Arial" w:hAnsi="Arial"/>
            <w:sz w:val="13"/>
            <w:szCs w:val="13"/>
            <w:u w:val="single" w:color="auto"/>
            <w:color w:val="0000EE"/>
          </w:rPr>
          <w:t xml:space="preserve">Schedule H </w:t>
        </w:r>
      </w:hyperlink>
      <w:r>
        <w:rPr>
          <w:rFonts w:ascii="Arial" w:cs="Arial" w:eastAsia="Arial" w:hAnsi="Arial"/>
          <w:sz w:val="13"/>
          <w:szCs w:val="13"/>
          <w:color w:val="000000"/>
        </w:rPr>
        <w:t>(</w:t>
      </w:r>
      <w:r>
        <w:rPr>
          <w:rFonts w:ascii="Arial" w:cs="Arial" w:eastAsia="Arial" w:hAnsi="Arial"/>
          <w:sz w:val="13"/>
          <w:szCs w:val="13"/>
          <w:i w:val="1"/>
          <w:iCs w:val="1"/>
          <w:color w:val="000000"/>
        </w:rPr>
        <w:t>General Undertakings</w:t>
      </w:r>
      <w:r>
        <w:rPr>
          <w:rFonts w:ascii="Arial" w:cs="Arial" w:eastAsia="Arial" w:hAnsi="Arial"/>
          <w:sz w:val="13"/>
          <w:szCs w:val="13"/>
          <w:color w:val="000000"/>
        </w:rPr>
        <w:t>)) or any related document, any amendment, supplement or waiver in respect of the Finance Documents</w:t>
      </w:r>
      <w:r>
        <w:rPr>
          <w:rFonts w:ascii="Arial" w:cs="Arial" w:eastAsia="Arial" w:hAnsi="Arial"/>
          <w:sz w:val="13"/>
          <w:szCs w:val="13"/>
          <w:color w:val="0000EE"/>
        </w:rPr>
        <w:t xml:space="preserve"> </w:t>
      </w:r>
      <w:r>
        <w:rPr>
          <w:rFonts w:ascii="Arial" w:cs="Arial" w:eastAsia="Arial" w:hAnsi="Arial"/>
          <w:sz w:val="13"/>
          <w:szCs w:val="13"/>
          <w:color w:val="000000"/>
        </w:rPr>
        <w:t>or any related document, and in the amendment, creation, management, enforcement and realisation of any security for the Loan.</w:t>
      </w:r>
    </w:p>
    <w:p>
      <w:pPr>
        <w:spacing w:after="0" w:line="2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Bank shall provide documentary support for any such charges or expenses upon the Borrower’s request.</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jc w:val="right"/>
              <w:ind w:right="773"/>
              <w:spacing w:after="0"/>
              <w:rPr>
                <w:sz w:val="20"/>
                <w:szCs w:val="20"/>
                <w:color w:val="auto"/>
              </w:rPr>
            </w:pPr>
            <w:r>
              <w:rPr>
                <w:rFonts w:ascii="Arial" w:cs="Arial" w:eastAsia="Arial" w:hAnsi="Arial"/>
                <w:sz w:val="13"/>
                <w:szCs w:val="13"/>
                <w:b w:val="1"/>
                <w:bCs w:val="1"/>
                <w:color w:val="auto"/>
                <w:w w:val="88"/>
              </w:rPr>
              <w:t>8.3</w:t>
            </w:r>
          </w:p>
        </w:tc>
        <w:tc>
          <w:tcPr>
            <w:tcW w:w="24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Increased costs, indemnity and set-off</w:t>
            </w:r>
          </w:p>
        </w:tc>
        <w:tc>
          <w:tcPr>
            <w:tcW w:w="6320" w:type="dxa"/>
            <w:vAlign w:val="bottom"/>
            <w:gridSpan w:val="5"/>
          </w:tcPr>
          <w:p>
            <w:pPr>
              <w:spacing w:after="0"/>
              <w:rPr>
                <w:sz w:val="13"/>
                <w:szCs w:val="13"/>
                <w:color w:val="auto"/>
              </w:rPr>
            </w:pPr>
          </w:p>
        </w:tc>
        <w:tc>
          <w:tcPr>
            <w:tcW w:w="1280" w:type="dxa"/>
            <w:vAlign w:val="bottom"/>
          </w:tcPr>
          <w:p>
            <w:pPr>
              <w:spacing w:after="0"/>
              <w:rPr>
                <w:sz w:val="13"/>
                <w:szCs w:val="13"/>
                <w:color w:val="auto"/>
              </w:rPr>
            </w:pPr>
          </w:p>
        </w:tc>
      </w:tr>
      <w:tr>
        <w:trPr>
          <w:trHeight w:val="279"/>
        </w:trPr>
        <w:tc>
          <w:tcPr>
            <w:tcW w:w="10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(a)</w:t>
            </w: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The Borrower shall pay to the Bank any costs or expenses incurred or suffered by the Bank as a consequence of the introduction of or any change in (or</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in the interpretation, administration or application of) any law or regulation or compliance with any law or regulation which occurs after the date of this</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Contract, in accordance with or as a result of which (i) the Bank is obliged to incur additional costs in order to fund or perform its obligations under this</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Contract, or (ii) any amount owed to the Bank under this Contract or the financial income resulting from the granting of the Credit or the Loan by the Bank to</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the Borrower is reduced or eliminated. This Paragraph (a) does not apply to the extent any such costs or expenses are attributable to the wilful breach by</w:t>
            </w:r>
          </w:p>
        </w:tc>
      </w:tr>
      <w:tr>
        <w:trPr>
          <w:trHeight w:val="161"/>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80" w:type="dxa"/>
            <w:vAlign w:val="bottom"/>
            <w:gridSpan w:val="7"/>
          </w:tcPr>
          <w:p>
            <w:pPr>
              <w:ind w:left="240"/>
              <w:spacing w:after="0"/>
              <w:rPr>
                <w:sz w:val="20"/>
                <w:szCs w:val="20"/>
                <w:color w:val="auto"/>
              </w:rPr>
            </w:pPr>
            <w:r>
              <w:rPr>
                <w:rFonts w:ascii="Arial" w:cs="Arial" w:eastAsia="Arial" w:hAnsi="Arial"/>
                <w:sz w:val="13"/>
                <w:szCs w:val="13"/>
                <w:color w:val="auto"/>
              </w:rPr>
              <w:t>the Bank of any law or regulation.</w:t>
            </w:r>
          </w:p>
        </w:tc>
        <w:tc>
          <w:tcPr>
            <w:tcW w:w="1280" w:type="dxa"/>
            <w:vAlign w:val="bottom"/>
          </w:tcPr>
          <w:p>
            <w:pPr>
              <w:spacing w:after="0"/>
              <w:rPr>
                <w:sz w:val="13"/>
                <w:szCs w:val="13"/>
                <w:color w:val="auto"/>
              </w:rPr>
            </w:pPr>
          </w:p>
        </w:tc>
      </w:tr>
      <w:tr>
        <w:trPr>
          <w:trHeight w:val="219"/>
        </w:trPr>
        <w:tc>
          <w:tcPr>
            <w:tcW w:w="10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(b)</w:t>
            </w: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Without prejudice to any other rights of the Bank under this Contract or under any applicable law, the Borrower shall indemnify and hold the Bank</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harmless from and against any loss incurred as a result of any full or partial discharge that takes place in a manner other than as expressly set out in this</w:t>
            </w:r>
          </w:p>
        </w:tc>
      </w:tr>
      <w:tr>
        <w:trPr>
          <w:trHeight w:val="161"/>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80" w:type="dxa"/>
            <w:vAlign w:val="bottom"/>
            <w:gridSpan w:val="7"/>
          </w:tcPr>
          <w:p>
            <w:pPr>
              <w:ind w:left="240"/>
              <w:spacing w:after="0"/>
              <w:rPr>
                <w:sz w:val="20"/>
                <w:szCs w:val="20"/>
                <w:color w:val="auto"/>
              </w:rPr>
            </w:pPr>
            <w:r>
              <w:rPr>
                <w:rFonts w:ascii="Arial" w:cs="Arial" w:eastAsia="Arial" w:hAnsi="Arial"/>
                <w:sz w:val="13"/>
                <w:szCs w:val="13"/>
                <w:color w:val="auto"/>
              </w:rPr>
              <w:t>Contract.</w:t>
            </w:r>
          </w:p>
        </w:tc>
        <w:tc>
          <w:tcPr>
            <w:tcW w:w="1280" w:type="dxa"/>
            <w:vAlign w:val="bottom"/>
          </w:tcPr>
          <w:p>
            <w:pPr>
              <w:spacing w:after="0"/>
              <w:rPr>
                <w:sz w:val="13"/>
                <w:szCs w:val="13"/>
                <w:color w:val="auto"/>
              </w:rPr>
            </w:pPr>
          </w:p>
        </w:tc>
      </w:tr>
      <w:tr>
        <w:trPr>
          <w:trHeight w:val="205"/>
        </w:trPr>
        <w:tc>
          <w:tcPr>
            <w:tcW w:w="10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(c)</w:t>
            </w: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The Bank may set off any matured obligation due from the Borrower under any Finance Document (to the extent beneficially owned by the Bank)</w:t>
            </w:r>
          </w:p>
        </w:tc>
      </w:tr>
      <w:tr>
        <w:trPr>
          <w:trHeight w:val="164"/>
        </w:trPr>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against any satisfiable (</w:t>
            </w:r>
            <w:r>
              <w:rPr>
                <w:rFonts w:ascii="Arial" w:cs="Arial" w:eastAsia="Arial" w:hAnsi="Arial"/>
                <w:sz w:val="13"/>
                <w:szCs w:val="13"/>
                <w:i w:val="1"/>
                <w:iCs w:val="1"/>
                <w:color w:val="auto"/>
              </w:rPr>
              <w:t>erfüllbar</w:t>
            </w:r>
            <w:r>
              <w:rPr>
                <w:rFonts w:ascii="Arial" w:cs="Arial" w:eastAsia="Arial" w:hAnsi="Arial"/>
                <w:sz w:val="13"/>
                <w:szCs w:val="13"/>
                <w:color w:val="auto"/>
              </w:rPr>
              <w:t>) obligation (within the meaning of Section 387 BGB) owed by the Bank to the Borrower regardless of the place of payment,</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560" w:type="dxa"/>
            <w:vAlign w:val="bottom"/>
            <w:gridSpan w:val="8"/>
          </w:tcPr>
          <w:p>
            <w:pPr>
              <w:ind w:left="240"/>
              <w:spacing w:after="0"/>
              <w:rPr>
                <w:sz w:val="20"/>
                <w:szCs w:val="20"/>
                <w:color w:val="auto"/>
              </w:rPr>
            </w:pPr>
            <w:r>
              <w:rPr>
                <w:rFonts w:ascii="Arial" w:cs="Arial" w:eastAsia="Arial" w:hAnsi="Arial"/>
                <w:sz w:val="13"/>
                <w:szCs w:val="13"/>
                <w:color w:val="auto"/>
              </w:rPr>
              <w:t>booking branch or currency of either obligation. If the obligations are in different currencies, the Bank may convert either obligation at a market rate of</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80" w:type="dxa"/>
            <w:vAlign w:val="bottom"/>
            <w:gridSpan w:val="7"/>
          </w:tcPr>
          <w:p>
            <w:pPr>
              <w:ind w:left="240"/>
              <w:spacing w:after="0"/>
              <w:rPr>
                <w:sz w:val="20"/>
                <w:szCs w:val="20"/>
                <w:color w:val="auto"/>
              </w:rPr>
            </w:pPr>
            <w:r>
              <w:rPr>
                <w:rFonts w:ascii="Arial" w:cs="Arial" w:eastAsia="Arial" w:hAnsi="Arial"/>
                <w:sz w:val="13"/>
                <w:szCs w:val="13"/>
                <w:color w:val="auto"/>
              </w:rPr>
              <w:t>exchange in its usual course of business for the purpose of the set-off. If either obligation is unliquidated or unascertained, the Bank</w:t>
            </w:r>
          </w:p>
        </w:tc>
        <w:tc>
          <w:tcPr>
            <w:tcW w:w="1280" w:type="dxa"/>
            <w:vAlign w:val="bottom"/>
          </w:tcPr>
          <w:p>
            <w:pPr>
              <w:ind w:left="20"/>
              <w:spacing w:after="0"/>
              <w:rPr>
                <w:sz w:val="20"/>
                <w:szCs w:val="20"/>
                <w:color w:val="auto"/>
              </w:rPr>
            </w:pPr>
            <w:r>
              <w:rPr>
                <w:rFonts w:ascii="Arial" w:cs="Arial" w:eastAsia="Arial" w:hAnsi="Arial"/>
                <w:sz w:val="13"/>
                <w:szCs w:val="13"/>
                <w:color w:val="auto"/>
              </w:rPr>
              <w:t>may set off in an</w:t>
            </w:r>
          </w:p>
        </w:tc>
      </w:tr>
      <w:tr>
        <w:trPr>
          <w:trHeight w:val="161"/>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80" w:type="dxa"/>
            <w:vAlign w:val="bottom"/>
            <w:gridSpan w:val="7"/>
          </w:tcPr>
          <w:p>
            <w:pPr>
              <w:ind w:left="240"/>
              <w:spacing w:after="0"/>
              <w:rPr>
                <w:sz w:val="20"/>
                <w:szCs w:val="20"/>
                <w:color w:val="auto"/>
              </w:rPr>
            </w:pPr>
            <w:r>
              <w:rPr>
                <w:rFonts w:ascii="Arial" w:cs="Arial" w:eastAsia="Arial" w:hAnsi="Arial"/>
                <w:sz w:val="13"/>
                <w:szCs w:val="13"/>
                <w:color w:val="auto"/>
              </w:rPr>
              <w:t>amount estimated by it in good faith to be the amount of that obligation.</w:t>
            </w:r>
          </w:p>
        </w:tc>
        <w:tc>
          <w:tcPr>
            <w:tcW w:w="1280" w:type="dxa"/>
            <w:vAlign w:val="bottom"/>
          </w:tcPr>
          <w:p>
            <w:pPr>
              <w:spacing w:after="0"/>
              <w:rPr>
                <w:sz w:val="13"/>
                <w:szCs w:val="13"/>
                <w:color w:val="auto"/>
              </w:rPr>
            </w:pPr>
          </w:p>
        </w:tc>
      </w:tr>
      <w:tr>
        <w:trPr>
          <w:trHeight w:val="360"/>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gridSpan w:val="3"/>
          </w:tcPr>
          <w:p>
            <w:pPr>
              <w:jc w:val="center"/>
              <w:ind w:right="3900"/>
              <w:spacing w:after="0"/>
              <w:rPr>
                <w:sz w:val="20"/>
                <w:szCs w:val="20"/>
                <w:color w:val="auto"/>
              </w:rPr>
            </w:pPr>
            <w:r>
              <w:rPr>
                <w:rFonts w:ascii="Arial" w:cs="Arial" w:eastAsia="Arial" w:hAnsi="Arial"/>
                <w:sz w:val="13"/>
                <w:szCs w:val="13"/>
                <w:b w:val="1"/>
                <w:bCs w:val="1"/>
                <w:color w:val="auto"/>
              </w:rPr>
              <w:t>ARTICLE 9</w:t>
            </w:r>
          </w:p>
        </w:tc>
        <w:tc>
          <w:tcPr>
            <w:tcW w:w="12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Events of default</w:t>
            </w:r>
          </w:p>
        </w:tc>
        <w:tc>
          <w:tcPr>
            <w:tcW w:w="37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70"/>
        </w:trPr>
        <w:tc>
          <w:tcPr>
            <w:tcW w:w="1020" w:type="dxa"/>
            <w:vAlign w:val="bottom"/>
          </w:tcPr>
          <w:p>
            <w:pPr>
              <w:jc w:val="right"/>
              <w:ind w:right="773"/>
              <w:spacing w:after="0"/>
              <w:rPr>
                <w:sz w:val="20"/>
                <w:szCs w:val="20"/>
                <w:color w:val="auto"/>
              </w:rPr>
            </w:pPr>
            <w:r>
              <w:rPr>
                <w:rFonts w:ascii="Arial" w:cs="Arial" w:eastAsia="Arial" w:hAnsi="Arial"/>
                <w:sz w:val="13"/>
                <w:szCs w:val="13"/>
                <w:b w:val="1"/>
                <w:bCs w:val="1"/>
                <w:color w:val="auto"/>
                <w:w w:val="88"/>
              </w:rPr>
              <w:t>9.1</w:t>
            </w: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Right to demand repayment</w:t>
            </w:r>
          </w:p>
        </w:tc>
        <w:tc>
          <w:tcPr>
            <w:tcW w:w="6980" w:type="dxa"/>
            <w:vAlign w:val="bottom"/>
            <w:gridSpan w:val="6"/>
          </w:tcPr>
          <w:p>
            <w:pPr>
              <w:spacing w:after="0"/>
              <w:rPr>
                <w:sz w:val="24"/>
                <w:szCs w:val="24"/>
                <w:color w:val="auto"/>
              </w:rPr>
            </w:pPr>
          </w:p>
        </w:tc>
        <w:tc>
          <w:tcPr>
            <w:tcW w:w="1280" w:type="dxa"/>
            <w:vAlign w:val="bottom"/>
          </w:tcPr>
          <w:p>
            <w:pPr>
              <w:spacing w:after="0"/>
              <w:rPr>
                <w:sz w:val="24"/>
                <w:szCs w:val="24"/>
                <w:color w:val="auto"/>
              </w:rPr>
            </w:pPr>
          </w:p>
        </w:tc>
      </w:tr>
      <w:tr>
        <w:trPr>
          <w:trHeight w:val="259"/>
        </w:trPr>
        <w:tc>
          <w:tcPr>
            <w:tcW w:w="1020" w:type="dxa"/>
            <w:vAlign w:val="bottom"/>
          </w:tcPr>
          <w:p>
            <w:pPr>
              <w:spacing w:after="0"/>
              <w:rPr>
                <w:sz w:val="22"/>
                <w:szCs w:val="22"/>
                <w:color w:val="auto"/>
              </w:rPr>
            </w:pPr>
          </w:p>
        </w:tc>
        <w:tc>
          <w:tcPr>
            <w:tcW w:w="8720" w:type="dxa"/>
            <w:vAlign w:val="bottom"/>
            <w:gridSpan w:val="8"/>
          </w:tcPr>
          <w:p>
            <w:pPr>
              <w:ind w:left="20"/>
              <w:spacing w:after="0"/>
              <w:rPr>
                <w:sz w:val="20"/>
                <w:szCs w:val="20"/>
                <w:color w:val="auto"/>
              </w:rPr>
            </w:pPr>
            <w:r>
              <w:rPr>
                <w:rFonts w:ascii="Arial" w:cs="Arial" w:eastAsia="Arial" w:hAnsi="Arial"/>
                <w:sz w:val="13"/>
                <w:szCs w:val="13"/>
                <w:color w:val="auto"/>
              </w:rPr>
              <w:t>The Bank may demand (in writing) without prior notice or any judicial or extra judicial step  immediate repayment by the Borrower of all</w:t>
            </w:r>
          </w:p>
        </w:tc>
        <w:tc>
          <w:tcPr>
            <w:tcW w:w="1280" w:type="dxa"/>
            <w:vAlign w:val="bottom"/>
          </w:tcPr>
          <w:p>
            <w:pPr>
              <w:ind w:left="40"/>
              <w:spacing w:after="0"/>
              <w:rPr>
                <w:sz w:val="20"/>
                <w:szCs w:val="20"/>
                <w:color w:val="auto"/>
              </w:rPr>
            </w:pPr>
            <w:r>
              <w:rPr>
                <w:rFonts w:ascii="Arial" w:cs="Arial" w:eastAsia="Arial" w:hAnsi="Arial"/>
                <w:sz w:val="13"/>
                <w:szCs w:val="13"/>
                <w:color w:val="auto"/>
              </w:rPr>
              <w:t>or part of the Loan</w:t>
            </w:r>
          </w:p>
        </w:tc>
      </w:tr>
      <w:tr>
        <w:trPr>
          <w:trHeight w:val="150"/>
        </w:trPr>
        <w:tc>
          <w:tcPr>
            <w:tcW w:w="1020" w:type="dxa"/>
            <w:vAlign w:val="bottom"/>
          </w:tcPr>
          <w:p>
            <w:pPr>
              <w:spacing w:after="0"/>
              <w:rPr>
                <w:sz w:val="13"/>
                <w:szCs w:val="13"/>
                <w:color w:val="auto"/>
              </w:rPr>
            </w:pPr>
          </w:p>
        </w:tc>
        <w:tc>
          <w:tcPr>
            <w:tcW w:w="10000" w:type="dxa"/>
            <w:vAlign w:val="bottom"/>
            <w:gridSpan w:val="9"/>
          </w:tcPr>
          <w:p>
            <w:pPr>
              <w:ind w:left="20"/>
              <w:spacing w:after="0"/>
              <w:rPr>
                <w:sz w:val="20"/>
                <w:szCs w:val="20"/>
                <w:color w:val="auto"/>
              </w:rPr>
            </w:pPr>
            <w:r>
              <w:rPr>
                <w:rFonts w:ascii="Arial" w:cs="Arial" w:eastAsia="Arial" w:hAnsi="Arial"/>
                <w:sz w:val="13"/>
                <w:szCs w:val="13"/>
                <w:color w:val="auto"/>
              </w:rPr>
              <w:t>Outstanding (as requested by the Bank), together with accrued interest, any Profit Participation Payment, any  Prepayment Fee and all other accrued or outstanding</w:t>
            </w:r>
          </w:p>
        </w:tc>
      </w:tr>
      <w:tr>
        <w:trPr>
          <w:trHeight w:val="161"/>
        </w:trPr>
        <w:tc>
          <w:tcPr>
            <w:tcW w:w="1020" w:type="dxa"/>
            <w:vAlign w:val="bottom"/>
          </w:tcPr>
          <w:p>
            <w:pPr>
              <w:spacing w:after="0"/>
              <w:rPr>
                <w:sz w:val="13"/>
                <w:szCs w:val="13"/>
                <w:color w:val="auto"/>
              </w:rPr>
            </w:pPr>
          </w:p>
        </w:tc>
        <w:tc>
          <w:tcPr>
            <w:tcW w:w="8720" w:type="dxa"/>
            <w:vAlign w:val="bottom"/>
            <w:gridSpan w:val="8"/>
          </w:tcPr>
          <w:p>
            <w:pPr>
              <w:ind w:left="20"/>
              <w:spacing w:after="0"/>
              <w:rPr>
                <w:sz w:val="20"/>
                <w:szCs w:val="20"/>
                <w:color w:val="auto"/>
              </w:rPr>
            </w:pPr>
            <w:r>
              <w:rPr>
                <w:rFonts w:ascii="Arial" w:cs="Arial" w:eastAsia="Arial" w:hAnsi="Arial"/>
                <w:sz w:val="13"/>
                <w:szCs w:val="13"/>
                <w:color w:val="auto"/>
              </w:rPr>
              <w:t>amounts under this Contract, if:</w:t>
            </w:r>
          </w:p>
        </w:tc>
        <w:tc>
          <w:tcPr>
            <w:tcW w:w="1280" w:type="dxa"/>
            <w:vAlign w:val="bottom"/>
          </w:tcPr>
          <w:p>
            <w:pPr>
              <w:spacing w:after="0"/>
              <w:rPr>
                <w:sz w:val="13"/>
                <w:szCs w:val="13"/>
                <w:color w:val="auto"/>
              </w:rPr>
            </w:pPr>
          </w:p>
        </w:tc>
      </w:tr>
    </w:tbl>
    <w:p>
      <w:pPr>
        <w:spacing w:after="0" w:line="69" w:lineRule="exact"/>
        <w:rPr>
          <w:sz w:val="20"/>
          <w:szCs w:val="20"/>
          <w:color w:val="auto"/>
        </w:rPr>
      </w:pPr>
    </w:p>
    <w:p>
      <w:pPr>
        <w:ind w:left="1820" w:right="300" w:hanging="670"/>
        <w:spacing w:after="0" w:line="249" w:lineRule="auto"/>
        <w:tabs>
          <w:tab w:leader="none" w:pos="1820" w:val="left"/>
        </w:tabs>
        <w:numPr>
          <w:ilvl w:val="0"/>
          <w:numId w:val="410"/>
        </w:numPr>
        <w:rPr>
          <w:rFonts w:ascii="Arial" w:cs="Arial" w:eastAsia="Arial" w:hAnsi="Arial"/>
          <w:sz w:val="13"/>
          <w:szCs w:val="13"/>
          <w:color w:val="auto"/>
        </w:rPr>
      </w:pPr>
      <w:r>
        <w:rPr>
          <w:rFonts w:ascii="Arial" w:cs="Arial" w:eastAsia="Arial" w:hAnsi="Arial"/>
          <w:sz w:val="13"/>
          <w:szCs w:val="13"/>
          <w:color w:val="auto"/>
        </w:rPr>
        <w:t>any amount payable pursuant to any Finance Document is not paid on the due date at the place and in the currency in which it is expressed to be payable, unless (i) its failure to pay is caused by an administrative or technical error or a Disruption Event and (ii) payment is made within [***] Business Days of its due date;</w:t>
      </w:r>
    </w:p>
    <w:p>
      <w:pPr>
        <w:spacing w:after="0" w:line="64" w:lineRule="exact"/>
        <w:rPr>
          <w:rFonts w:ascii="Arial" w:cs="Arial" w:eastAsia="Arial" w:hAnsi="Arial"/>
          <w:sz w:val="13"/>
          <w:szCs w:val="13"/>
          <w:color w:val="auto"/>
        </w:rPr>
      </w:pPr>
    </w:p>
    <w:p>
      <w:pPr>
        <w:ind w:left="1820" w:right="220" w:hanging="670"/>
        <w:spacing w:after="0" w:line="249" w:lineRule="auto"/>
        <w:tabs>
          <w:tab w:leader="none" w:pos="1820" w:val="left"/>
        </w:tabs>
        <w:numPr>
          <w:ilvl w:val="0"/>
          <w:numId w:val="410"/>
        </w:numPr>
        <w:rPr>
          <w:rFonts w:ascii="Arial" w:cs="Arial" w:eastAsia="Arial" w:hAnsi="Arial"/>
          <w:sz w:val="13"/>
          <w:szCs w:val="13"/>
          <w:color w:val="auto"/>
        </w:rPr>
      </w:pPr>
      <w:r>
        <w:rPr>
          <w:rFonts w:ascii="Arial" w:cs="Arial" w:eastAsia="Arial" w:hAnsi="Arial"/>
          <w:sz w:val="13"/>
          <w:szCs w:val="13"/>
          <w:color w:val="auto"/>
        </w:rPr>
        <w:t>any information or document given to the Bank by or on behalf of any Obligor or any representation, warranty or statement made or deemed to be made by the Borrower in any Finance Document, pursuant to any Finance Document or for the purposes of entering into any Finance Document is or proves to have been incorrect, incomplete or misleading in any material respect;</w:t>
      </w:r>
    </w:p>
    <w:p>
      <w:pPr>
        <w:spacing w:after="0" w:line="64" w:lineRule="exact"/>
        <w:rPr>
          <w:rFonts w:ascii="Arial" w:cs="Arial" w:eastAsia="Arial" w:hAnsi="Arial"/>
          <w:sz w:val="13"/>
          <w:szCs w:val="13"/>
          <w:color w:val="auto"/>
        </w:rPr>
      </w:pPr>
    </w:p>
    <w:p>
      <w:pPr>
        <w:ind w:left="1820" w:hanging="670"/>
        <w:spacing w:after="0"/>
        <w:tabs>
          <w:tab w:leader="none" w:pos="1820" w:val="left"/>
        </w:tabs>
        <w:numPr>
          <w:ilvl w:val="0"/>
          <w:numId w:val="410"/>
        </w:numPr>
        <w:rPr>
          <w:rFonts w:ascii="Arial" w:cs="Arial" w:eastAsia="Arial" w:hAnsi="Arial"/>
          <w:sz w:val="13"/>
          <w:szCs w:val="13"/>
          <w:color w:val="auto"/>
        </w:rPr>
      </w:pPr>
      <w:r>
        <w:rPr>
          <w:rFonts w:ascii="Arial" w:cs="Arial" w:eastAsia="Arial" w:hAnsi="Arial"/>
          <w:sz w:val="13"/>
          <w:szCs w:val="13"/>
          <w:color w:val="auto"/>
        </w:rPr>
        <w:t>following any default of any Obligor in relation to any loan, or any obligation arising out of any financial transaction, other than the Loan,</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64" w:name="page365"/>
    <w:bookmarkEnd w:id="364"/>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2520" w:right="380" w:hanging="680"/>
        <w:spacing w:after="0" w:line="258" w:lineRule="auto"/>
        <w:tabs>
          <w:tab w:leader="none" w:pos="2520" w:val="left"/>
        </w:tabs>
        <w:numPr>
          <w:ilvl w:val="0"/>
          <w:numId w:val="411"/>
        </w:numPr>
        <w:rPr>
          <w:rFonts w:ascii="Arial" w:cs="Arial" w:eastAsia="Arial" w:hAnsi="Arial"/>
          <w:sz w:val="13"/>
          <w:szCs w:val="13"/>
          <w:color w:val="auto"/>
        </w:rPr>
      </w:pPr>
      <w:r>
        <w:rPr>
          <w:rFonts w:ascii="Arial" w:cs="Arial" w:eastAsia="Arial" w:hAnsi="Arial"/>
          <w:sz w:val="13"/>
          <w:szCs w:val="13"/>
          <w:color w:val="auto"/>
        </w:rPr>
        <w:t>such Obligor is required or is capable of being required or will, following expiry of any applicable contractual grace period, be required or be capable of being required to prepay, discharge, close out or terminate ahead of maturity such other loan or obligation; or</w:t>
      </w:r>
    </w:p>
    <w:p>
      <w:pPr>
        <w:spacing w:after="0" w:line="59" w:lineRule="exact"/>
        <w:rPr>
          <w:sz w:val="20"/>
          <w:szCs w:val="20"/>
          <w:color w:val="auto"/>
        </w:rPr>
      </w:pPr>
    </w:p>
    <w:p>
      <w:pPr>
        <w:ind w:left="1840"/>
        <w:spacing w:after="0"/>
        <w:tabs>
          <w:tab w:leader="none" w:pos="250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any financial commitment for such other loan or obligation is cancelled or suspended; and</w:t>
      </w:r>
    </w:p>
    <w:p>
      <w:pPr>
        <w:spacing w:after="0" w:line="70" w:lineRule="exact"/>
        <w:rPr>
          <w:sz w:val="20"/>
          <w:szCs w:val="20"/>
          <w:color w:val="auto"/>
        </w:rPr>
      </w:pPr>
    </w:p>
    <w:p>
      <w:pPr>
        <w:ind w:left="2520" w:right="520" w:hanging="680"/>
        <w:spacing w:after="0" w:line="258" w:lineRule="auto"/>
        <w:tabs>
          <w:tab w:leader="none" w:pos="2520" w:val="left"/>
        </w:tabs>
        <w:numPr>
          <w:ilvl w:val="1"/>
          <w:numId w:val="412"/>
        </w:numPr>
        <w:rPr>
          <w:rFonts w:ascii="Arial" w:cs="Arial" w:eastAsia="Arial" w:hAnsi="Arial"/>
          <w:sz w:val="13"/>
          <w:szCs w:val="13"/>
          <w:color w:val="auto"/>
        </w:rPr>
      </w:pPr>
      <w:r>
        <w:rPr>
          <w:rFonts w:ascii="Arial" w:cs="Arial" w:eastAsia="Arial" w:hAnsi="Arial"/>
          <w:sz w:val="13"/>
          <w:szCs w:val="13"/>
          <w:color w:val="auto"/>
        </w:rPr>
        <w:t>such other loans or obligations or commitments falling under sub-paragraphs (i) and/or (ii) above are in an aggregate principal amount in excess of EUR [***] euro) or its equivalent in any other currency or currencies;</w:t>
      </w:r>
    </w:p>
    <w:p>
      <w:pPr>
        <w:spacing w:after="0" w:line="58" w:lineRule="exact"/>
        <w:rPr>
          <w:rFonts w:ascii="Arial" w:cs="Arial" w:eastAsia="Arial" w:hAnsi="Arial"/>
          <w:sz w:val="13"/>
          <w:szCs w:val="13"/>
          <w:color w:val="auto"/>
        </w:rPr>
      </w:pPr>
    </w:p>
    <w:p>
      <w:pPr>
        <w:ind w:left="1820" w:right="260" w:hanging="670"/>
        <w:spacing w:after="0" w:line="258" w:lineRule="auto"/>
        <w:tabs>
          <w:tab w:leader="none" w:pos="1820" w:val="left"/>
        </w:tabs>
        <w:numPr>
          <w:ilvl w:val="0"/>
          <w:numId w:val="413"/>
        </w:numPr>
        <w:rPr>
          <w:rFonts w:ascii="Arial" w:cs="Arial" w:eastAsia="Arial" w:hAnsi="Arial"/>
          <w:sz w:val="13"/>
          <w:szCs w:val="13"/>
          <w:color w:val="auto"/>
        </w:rPr>
      </w:pPr>
      <w:r>
        <w:rPr>
          <w:rFonts w:ascii="Arial" w:cs="Arial" w:eastAsia="Arial" w:hAnsi="Arial"/>
          <w:sz w:val="13"/>
          <w:szCs w:val="13"/>
          <w:color w:val="auto"/>
        </w:rPr>
        <w:t>any Obligor is unable or admits inability to pay its debts as they fall due, or suspends any of its debts, or makes or seeks to make a composition with its creditors including a moratorium, or commences negotiations with one or more of its creditors with a view to rescheduling any of its financial indebtedness;</w:t>
      </w:r>
    </w:p>
    <w:p>
      <w:pPr>
        <w:spacing w:after="0" w:line="58" w:lineRule="exact"/>
        <w:rPr>
          <w:rFonts w:ascii="Arial" w:cs="Arial" w:eastAsia="Arial" w:hAnsi="Arial"/>
          <w:sz w:val="13"/>
          <w:szCs w:val="13"/>
          <w:color w:val="auto"/>
        </w:rPr>
      </w:pPr>
    </w:p>
    <w:p>
      <w:pPr>
        <w:ind w:left="1820" w:right="200" w:hanging="670"/>
        <w:spacing w:after="0"/>
        <w:tabs>
          <w:tab w:leader="none" w:pos="1820" w:val="left"/>
        </w:tabs>
        <w:numPr>
          <w:ilvl w:val="0"/>
          <w:numId w:val="413"/>
        </w:numPr>
        <w:rPr>
          <w:rFonts w:ascii="Arial" w:cs="Arial" w:eastAsia="Arial" w:hAnsi="Arial"/>
          <w:sz w:val="13"/>
          <w:szCs w:val="13"/>
          <w:color w:val="auto"/>
        </w:rPr>
      </w:pPr>
      <w:r>
        <w:rPr>
          <w:rFonts w:ascii="Arial" w:cs="Arial" w:eastAsia="Arial" w:hAnsi="Arial"/>
          <w:sz w:val="13"/>
          <w:szCs w:val="13"/>
          <w:color w:val="auto"/>
        </w:rPr>
        <w:t>any corporate action, legal proceedings or other procedure or step is taken in relation to the suspension of payments, a moratorium of any indebtedness, dissolution, administration or reorganisation (by way of voluntary arrangement, scheme of arrangement or otherwise) or an order is made or an effective resolution is passed for the winding up of any Obligor, or if any Obligor takes steps towards a substantial reduction in its capital, is declared insolvent or</w:t>
      </w:r>
    </w:p>
    <w:p>
      <w:pPr>
        <w:spacing w:after="0" w:line="1" w:lineRule="exact"/>
        <w:rPr>
          <w:sz w:val="20"/>
          <w:szCs w:val="20"/>
          <w:color w:val="auto"/>
        </w:rPr>
      </w:pPr>
    </w:p>
    <w:p>
      <w:pPr>
        <w:ind w:left="1820" w:right="160"/>
        <w:spacing w:after="0" w:line="258" w:lineRule="auto"/>
        <w:rPr>
          <w:sz w:val="20"/>
          <w:szCs w:val="20"/>
          <w:color w:val="auto"/>
        </w:rPr>
      </w:pPr>
      <w:r>
        <w:rPr>
          <w:rFonts w:ascii="Arial" w:cs="Arial" w:eastAsia="Arial" w:hAnsi="Arial"/>
          <w:sz w:val="13"/>
          <w:szCs w:val="13"/>
          <w:color w:val="auto"/>
        </w:rPr>
        <w:t>ceases or resolves to cease to carry on the whole or any substantial part of its business or activities or any situation similar to any of the above occurs under any applicable law;</w:t>
      </w:r>
    </w:p>
    <w:p>
      <w:pPr>
        <w:spacing w:after="0" w:line="45" w:lineRule="exact"/>
        <w:rPr>
          <w:sz w:val="20"/>
          <w:szCs w:val="20"/>
          <w:color w:val="auto"/>
        </w:rPr>
      </w:pPr>
    </w:p>
    <w:p>
      <w:pPr>
        <w:ind w:left="1820" w:right="480" w:hanging="670"/>
        <w:spacing w:after="0" w:line="281" w:lineRule="auto"/>
        <w:tabs>
          <w:tab w:leader="none" w:pos="18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any Obligor incorporated in Germany is unable to pay its debts as they fall due (</w:t>
      </w:r>
      <w:r>
        <w:rPr>
          <w:rFonts w:ascii="Arial" w:cs="Arial" w:eastAsia="Arial" w:hAnsi="Arial"/>
          <w:sz w:val="13"/>
          <w:szCs w:val="13"/>
          <w:i w:val="1"/>
          <w:iCs w:val="1"/>
          <w:color w:val="auto"/>
        </w:rPr>
        <w:t>zahlungsunfähig</w:t>
      </w:r>
      <w:r>
        <w:rPr>
          <w:rFonts w:ascii="Arial" w:cs="Arial" w:eastAsia="Arial" w:hAnsi="Arial"/>
          <w:sz w:val="13"/>
          <w:szCs w:val="13"/>
          <w:color w:val="auto"/>
        </w:rPr>
        <w:t>) within the meaning of Section 17 InsO or is overindebted (</w:t>
      </w:r>
      <w:r>
        <w:rPr>
          <w:rFonts w:ascii="Arial" w:cs="Arial" w:eastAsia="Arial" w:hAnsi="Arial"/>
          <w:sz w:val="13"/>
          <w:szCs w:val="13"/>
          <w:i w:val="1"/>
          <w:iCs w:val="1"/>
          <w:color w:val="auto"/>
        </w:rPr>
        <w:t>überschuldet</w:t>
      </w:r>
      <w:r>
        <w:rPr>
          <w:rFonts w:ascii="Arial" w:cs="Arial" w:eastAsia="Arial" w:hAnsi="Arial"/>
          <w:sz w:val="13"/>
          <w:szCs w:val="13"/>
          <w:color w:val="auto"/>
        </w:rPr>
        <w:t>) within the meaning of Section 19 InsO;</w:t>
      </w:r>
    </w:p>
    <w:p>
      <w:pPr>
        <w:spacing w:after="0" w:line="43" w:lineRule="exact"/>
        <w:rPr>
          <w:rFonts w:ascii="Arial" w:cs="Arial" w:eastAsia="Arial" w:hAnsi="Arial"/>
          <w:sz w:val="13"/>
          <w:szCs w:val="13"/>
          <w:color w:val="auto"/>
        </w:rPr>
      </w:pPr>
    </w:p>
    <w:p>
      <w:pPr>
        <w:jc w:val="both"/>
        <w:ind w:left="1820" w:right="280" w:hanging="670"/>
        <w:spacing w:after="0" w:line="249" w:lineRule="auto"/>
        <w:tabs>
          <w:tab w:leader="none" w:pos="18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an encumbrancer takes possession of, or a receiver, liquidator, administrator, administrative receiver or similar officer is appointed, whether by a court of competent jurisdiction or by any competent administrative authority or by any person, of or over, any part of the business or assets of any Obligor or any property forming part of the Investment;</w:t>
      </w:r>
    </w:p>
    <w:p>
      <w:pPr>
        <w:spacing w:after="0" w:line="64" w:lineRule="exact"/>
        <w:rPr>
          <w:rFonts w:ascii="Arial" w:cs="Arial" w:eastAsia="Arial" w:hAnsi="Arial"/>
          <w:sz w:val="13"/>
          <w:szCs w:val="13"/>
          <w:color w:val="auto"/>
        </w:rPr>
      </w:pPr>
    </w:p>
    <w:p>
      <w:pPr>
        <w:ind w:left="1820" w:hanging="670"/>
        <w:spacing w:after="0"/>
        <w:tabs>
          <w:tab w:leader="none" w:pos="18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any Obligor defaults in the performance of any obligation in respect of any other loan granted by the Bank or financial instrument entered into with the Bank;</w:t>
      </w:r>
    </w:p>
    <w:p>
      <w:pPr>
        <w:spacing w:after="0" w:line="80" w:lineRule="exact"/>
        <w:rPr>
          <w:rFonts w:ascii="Arial" w:cs="Arial" w:eastAsia="Arial" w:hAnsi="Arial"/>
          <w:sz w:val="13"/>
          <w:szCs w:val="13"/>
          <w:color w:val="auto"/>
        </w:rPr>
      </w:pPr>
    </w:p>
    <w:p>
      <w:pPr>
        <w:ind w:left="1820" w:hanging="670"/>
        <w:spacing w:after="0"/>
        <w:tabs>
          <w:tab w:leader="none" w:pos="18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any Obligor defaults in the performance of any obligation in respect of any other loan made to it from the resources of the Bank or the European Union;</w:t>
      </w:r>
    </w:p>
    <w:p>
      <w:pPr>
        <w:spacing w:after="0" w:line="70" w:lineRule="exact"/>
        <w:rPr>
          <w:rFonts w:ascii="Arial" w:cs="Arial" w:eastAsia="Arial" w:hAnsi="Arial"/>
          <w:sz w:val="13"/>
          <w:szCs w:val="13"/>
          <w:color w:val="auto"/>
        </w:rPr>
      </w:pPr>
    </w:p>
    <w:p>
      <w:pPr>
        <w:ind w:left="1820" w:right="680" w:hanging="670"/>
        <w:spacing w:after="0" w:line="258" w:lineRule="auto"/>
        <w:tabs>
          <w:tab w:leader="none" w:pos="18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any distress, execution, sequestration or other process is levied or enforced upon the property of any Obligor or any property forming part of the Investment and is not discharged or stayed within [***] days;</w:t>
      </w:r>
    </w:p>
    <w:p>
      <w:pPr>
        <w:spacing w:after="0" w:line="58" w:lineRule="exact"/>
        <w:rPr>
          <w:rFonts w:ascii="Arial" w:cs="Arial" w:eastAsia="Arial" w:hAnsi="Arial"/>
          <w:sz w:val="13"/>
          <w:szCs w:val="13"/>
          <w:color w:val="auto"/>
        </w:rPr>
      </w:pPr>
    </w:p>
    <w:p>
      <w:pPr>
        <w:ind w:left="1820" w:hanging="670"/>
        <w:spacing w:after="0"/>
        <w:tabs>
          <w:tab w:leader="none" w:pos="18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a Material Adverse Change occurs, as compared with the position at the date of this Contract;</w:t>
      </w:r>
    </w:p>
    <w:p>
      <w:pPr>
        <w:spacing w:after="0" w:line="80" w:lineRule="exact"/>
        <w:rPr>
          <w:rFonts w:ascii="Arial" w:cs="Arial" w:eastAsia="Arial" w:hAnsi="Arial"/>
          <w:sz w:val="13"/>
          <w:szCs w:val="13"/>
          <w:color w:val="auto"/>
        </w:rPr>
      </w:pPr>
    </w:p>
    <w:p>
      <w:pPr>
        <w:ind w:left="1820" w:right="300" w:hanging="670"/>
        <w:spacing w:after="0" w:line="258" w:lineRule="auto"/>
        <w:tabs>
          <w:tab w:leader="none" w:pos="18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it is or becomes unlawful for any Obligor to perform any of its obligations under the Finance Documents, or the Finance Documents are not effective in accordance with its terms or is alleged by any Obligor to be ineffective in accordance with its terms; or</w:t>
      </w:r>
    </w:p>
    <w:p>
      <w:pPr>
        <w:spacing w:after="0" w:line="58" w:lineRule="exact"/>
        <w:rPr>
          <w:rFonts w:ascii="Arial" w:cs="Arial" w:eastAsia="Arial" w:hAnsi="Arial"/>
          <w:sz w:val="13"/>
          <w:szCs w:val="13"/>
          <w:color w:val="auto"/>
        </w:rPr>
      </w:pPr>
    </w:p>
    <w:p>
      <w:pPr>
        <w:ind w:left="1820" w:right="140" w:hanging="670"/>
        <w:spacing w:after="0" w:line="247" w:lineRule="auto"/>
        <w:tabs>
          <w:tab w:leader="none" w:pos="18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 xml:space="preserve">any Obligor fails to comply with any other provision under the Finance Documents (including, without limitation, each of the undertakings in </w:t>
      </w:r>
      <w:hyperlink w:anchor="page387">
        <w:r>
          <w:rPr>
            <w:rFonts w:ascii="Arial" w:cs="Arial" w:eastAsia="Arial" w:hAnsi="Arial"/>
            <w:sz w:val="13"/>
            <w:szCs w:val="13"/>
            <w:u w:val="single" w:color="auto"/>
            <w:color w:val="0000EE"/>
          </w:rPr>
          <w:t>Schedule H</w:t>
        </w:r>
      </w:hyperlink>
      <w:r>
        <w:rPr>
          <w:rFonts w:ascii="Arial" w:cs="Arial" w:eastAsia="Arial" w:hAnsi="Arial"/>
          <w:sz w:val="13"/>
          <w:szCs w:val="13"/>
          <w:color w:val="auto"/>
        </w:rPr>
        <w:t xml:space="preserve"> (</w:t>
      </w:r>
      <w:r>
        <w:rPr>
          <w:rFonts w:ascii="Arial" w:cs="Arial" w:eastAsia="Arial" w:hAnsi="Arial"/>
          <w:sz w:val="13"/>
          <w:szCs w:val="13"/>
          <w:i w:val="1"/>
          <w:iCs w:val="1"/>
          <w:color w:val="auto"/>
        </w:rPr>
        <w:t>General Undertakings</w:t>
      </w:r>
      <w:r>
        <w:rPr>
          <w:rFonts w:ascii="Arial" w:cs="Arial" w:eastAsia="Arial" w:hAnsi="Arial"/>
          <w:sz w:val="13"/>
          <w:szCs w:val="13"/>
          <w:color w:val="auto"/>
        </w:rPr>
        <w:t xml:space="preserve">) and </w:t>
      </w:r>
      <w:hyperlink w:anchor="page396">
        <w:r>
          <w:rPr>
            <w:rFonts w:ascii="Arial" w:cs="Arial" w:eastAsia="Arial" w:hAnsi="Arial"/>
            <w:sz w:val="13"/>
            <w:szCs w:val="13"/>
            <w:u w:val="single" w:color="auto"/>
            <w:color w:val="0000EE"/>
          </w:rPr>
          <w:t>Schedule I</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Information and Visits</w:t>
      </w:r>
      <w:r>
        <w:rPr>
          <w:rFonts w:ascii="Arial" w:cs="Arial" w:eastAsia="Arial" w:hAnsi="Arial"/>
          <w:sz w:val="13"/>
          <w:szCs w:val="13"/>
          <w:color w:val="auto"/>
        </w:rPr>
        <w:t>)), unless the non-compliance or circumstance giving rise to the non-compliance is capable of remedy and is remedied within [***] Business Days from the earlier of the Borrower becoming aware of the non-compliance and a notice served by the Bank on the Borrower.</w:t>
      </w:r>
    </w:p>
    <w:p>
      <w:pPr>
        <w:spacing w:after="0" w:line="282" w:lineRule="exact"/>
        <w:rPr>
          <w:rFonts w:ascii="Arial" w:cs="Arial" w:eastAsia="Arial" w:hAnsi="Arial"/>
          <w:sz w:val="13"/>
          <w:szCs w:val="13"/>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9.2</w:t>
      </w:r>
      <w:r>
        <w:rPr>
          <w:sz w:val="20"/>
          <w:szCs w:val="20"/>
          <w:color w:val="auto"/>
        </w:rPr>
        <w:tab/>
      </w:r>
      <w:r>
        <w:rPr>
          <w:rFonts w:ascii="Arial" w:cs="Arial" w:eastAsia="Arial" w:hAnsi="Arial"/>
          <w:sz w:val="13"/>
          <w:szCs w:val="13"/>
          <w:b w:val="1"/>
          <w:bCs w:val="1"/>
          <w:u w:val="single" w:color="auto"/>
          <w:color w:val="auto"/>
        </w:rPr>
        <w:t>Other rights at law</w:t>
      </w:r>
    </w:p>
    <w:p>
      <w:pPr>
        <w:spacing w:after="0" w:line="112" w:lineRule="exact"/>
        <w:rPr>
          <w:rFonts w:ascii="Arial" w:cs="Arial" w:eastAsia="Arial" w:hAnsi="Arial"/>
          <w:sz w:val="13"/>
          <w:szCs w:val="13"/>
          <w:color w:val="auto"/>
        </w:rPr>
      </w:pPr>
    </w:p>
    <w:p>
      <w:pPr>
        <w:ind w:left="1160" w:right="120"/>
        <w:spacing w:after="0" w:line="281" w:lineRule="auto"/>
        <w:rPr>
          <w:rFonts w:ascii="Arial" w:cs="Arial" w:eastAsia="Arial" w:hAnsi="Arial"/>
          <w:sz w:val="13"/>
          <w:szCs w:val="13"/>
          <w:color w:val="auto"/>
        </w:rPr>
      </w:pPr>
      <w:r>
        <w:rPr>
          <w:rFonts w:ascii="Arial" w:cs="Arial" w:eastAsia="Arial" w:hAnsi="Arial"/>
          <w:sz w:val="13"/>
          <w:szCs w:val="13"/>
          <w:color w:val="auto"/>
        </w:rPr>
        <w:t xml:space="preserve">Article </w:t>
      </w:r>
      <w:hyperlink w:anchor="page364">
        <w:r>
          <w:rPr>
            <w:rFonts w:ascii="Arial" w:cs="Arial" w:eastAsia="Arial" w:hAnsi="Arial"/>
            <w:sz w:val="13"/>
            <w:szCs w:val="13"/>
            <w:u w:val="single" w:color="auto"/>
            <w:color w:val="0000EE"/>
          </w:rPr>
          <w:t>9.1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Right to demand repayment</w:t>
      </w:r>
      <w:r>
        <w:rPr>
          <w:rFonts w:ascii="Arial" w:cs="Arial" w:eastAsia="Arial" w:hAnsi="Arial"/>
          <w:sz w:val="13"/>
          <w:szCs w:val="13"/>
          <w:color w:val="auto"/>
        </w:rPr>
        <w:t>) shall not restrict any other right of the Bank at law (e.g. pursuant to Sections 314 or 490 BGB) to require prepayment of the Loan Outstanding together with any sum, interest, fee or accrued amount, irrespectively of the fact that the</w:t>
      </w:r>
    </w:p>
    <w:p>
      <w:pPr>
        <w:spacing w:after="0" w:line="286"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2"/>
          <w:szCs w:val="12"/>
          <w:color w:val="auto"/>
        </w:rPr>
        <w:t>26</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65" w:name="page366"/>
    <w:bookmarkEnd w:id="365"/>
    <w:p>
      <w:pPr>
        <w:ind w:left="10580"/>
        <w:spacing w:after="0"/>
        <w:rPr>
          <w:sz w:val="20"/>
          <w:szCs w:val="20"/>
          <w:color w:val="auto"/>
        </w:rPr>
      </w:pPr>
      <w:r>
        <w:rPr>
          <w:rFonts w:ascii="Arial" w:cs="Arial" w:eastAsia="Arial" w:hAnsi="Arial"/>
          <w:sz w:val="12"/>
          <w:szCs w:val="12"/>
          <w:b w:val="1"/>
          <w:bCs w:val="1"/>
          <w:color w:val="auto"/>
        </w:rPr>
        <w:t>Exhibit 4.41</w:t>
      </w:r>
    </w:p>
    <w:p>
      <w:pPr>
        <w:sectPr>
          <w:pgSz w:w="11900" w:h="16838" w:orient="portrait"/>
          <w:cols w:equalWidth="0" w:num="1">
            <w:col w:w="11260"/>
          </w:cols>
          <w:pgMar w:left="320" w:top="126" w:right="319" w:bottom="1440" w:gutter="0" w:footer="0" w:header="0"/>
        </w:sectPr>
      </w:pPr>
    </w:p>
    <w:p>
      <w:pPr>
        <w:spacing w:after="0" w:line="64" w:lineRule="exact"/>
        <w:rPr>
          <w:sz w:val="20"/>
          <w:szCs w:val="20"/>
          <w:color w:val="auto"/>
        </w:rPr>
      </w:pPr>
    </w:p>
    <w:p>
      <w:pPr>
        <w:ind w:left="1160"/>
        <w:spacing w:after="0"/>
        <w:tabs>
          <w:tab w:leader="none" w:pos="2940" w:val="left"/>
        </w:tabs>
        <w:rPr>
          <w:sz w:val="20"/>
          <w:szCs w:val="20"/>
          <w:color w:val="auto"/>
        </w:rPr>
      </w:pPr>
      <w:r>
        <w:rPr>
          <w:rFonts w:ascii="Arial" w:cs="Arial" w:eastAsia="Arial" w:hAnsi="Arial"/>
          <w:sz w:val="13"/>
          <w:szCs w:val="13"/>
          <w:color w:val="auto"/>
        </w:rPr>
        <w:t>Contract</w:t>
      </w:r>
      <w:r>
        <w:rPr>
          <w:sz w:val="20"/>
          <w:szCs w:val="20"/>
          <w:color w:val="auto"/>
        </w:rPr>
        <w:tab/>
      </w:r>
      <w:r>
        <w:rPr>
          <w:rFonts w:ascii="Arial" w:cs="Arial" w:eastAsia="Arial" w:hAnsi="Arial"/>
          <w:sz w:val="13"/>
          <w:szCs w:val="13"/>
          <w:color w:val="auto"/>
        </w:rPr>
        <w:t>might</w:t>
      </w:r>
    </w:p>
    <w:p>
      <w:pPr>
        <w:ind w:left="2960"/>
        <w:spacing w:after="0"/>
        <w:rPr>
          <w:sz w:val="20"/>
          <w:szCs w:val="20"/>
          <w:color w:val="auto"/>
        </w:rPr>
      </w:pPr>
      <w:r>
        <w:rPr>
          <w:rFonts w:ascii="Arial" w:cs="Arial" w:eastAsia="Arial" w:hAnsi="Arial"/>
          <w:sz w:val="13"/>
          <w:szCs w:val="13"/>
          <w:color w:val="auto"/>
        </w:rPr>
        <w:t>called</w:t>
      </w:r>
    </w:p>
    <w:p>
      <w:pPr>
        <w:ind w:left="1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Abwicklungsschuldverhältnis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convert</w:t>
      </w:r>
    </w:p>
    <w:p>
      <w:pPr>
        <w:spacing w:after="0"/>
        <w:rPr>
          <w:sz w:val="20"/>
          <w:szCs w:val="20"/>
          <w:color w:val="auto"/>
        </w:rPr>
      </w:pPr>
      <w:r>
        <w:rPr>
          <w:rFonts w:ascii="Arial" w:cs="Arial" w:eastAsia="Arial" w:hAnsi="Arial"/>
          <w:sz w:val="13"/>
          <w:szCs w:val="13"/>
          <w:color w:val="auto"/>
        </w:rPr>
        <w:t>settlement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into</w:t>
      </w:r>
    </w:p>
    <w:p>
      <w:pPr>
        <w:ind w:left="200"/>
        <w:spacing w:after="0"/>
        <w:rPr>
          <w:sz w:val="20"/>
          <w:szCs w:val="20"/>
          <w:color w:val="auto"/>
        </w:rPr>
      </w:pPr>
      <w:r>
        <w:rPr>
          <w:rFonts w:ascii="Arial" w:cs="Arial" w:eastAsia="Arial" w:hAnsi="Arial"/>
          <w:sz w:val="13"/>
          <w:szCs w:val="13"/>
          <w:color w:val="auto"/>
        </w:rPr>
        <w:t>contractual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relationship</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1400"/>
        <w:spacing w:after="0"/>
        <w:rPr>
          <w:sz w:val="20"/>
          <w:szCs w:val="20"/>
          <w:color w:val="auto"/>
        </w:rPr>
      </w:pPr>
      <w:r>
        <w:rPr>
          <w:rFonts w:ascii="Arial" w:cs="Arial" w:eastAsia="Arial" w:hAnsi="Arial"/>
          <w:sz w:val="13"/>
          <w:szCs w:val="13"/>
          <w:color w:val="auto"/>
        </w:rPr>
        <w:t>so</w:t>
      </w:r>
    </w:p>
    <w:p>
      <w:pPr>
        <w:spacing w:after="0" w:line="441" w:lineRule="exact"/>
        <w:rPr>
          <w:sz w:val="20"/>
          <w:szCs w:val="20"/>
          <w:color w:val="auto"/>
        </w:rPr>
      </w:pPr>
    </w:p>
    <w:p>
      <w:pPr>
        <w:sectPr>
          <w:pgSz w:w="11900" w:h="16838" w:orient="portrait"/>
          <w:cols w:equalWidth="0" w:num="6">
            <w:col w:w="3880" w:space="720"/>
            <w:col w:w="1500" w:space="720"/>
            <w:col w:w="840" w:space="680"/>
            <w:col w:w="80" w:space="540"/>
            <w:col w:w="680" w:space="80"/>
            <w:col w:w="1540"/>
          </w:cols>
          <w:pgMar w:left="320" w:top="126" w:right="319" w:bottom="1440" w:gutter="0" w:footer="0" w:header="0"/>
          <w:type w:val="continuous"/>
        </w:sectPr>
      </w:pPr>
    </w:p>
    <w:tbl>
      <w:tblPr>
        <w:tblLayout w:type="fixed"/>
        <w:tblInd w:w="1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b w:val="1"/>
                <w:bCs w:val="1"/>
                <w:color w:val="auto"/>
              </w:rPr>
              <w:t>9.3</w:t>
            </w:r>
          </w:p>
        </w:tc>
        <w:tc>
          <w:tcPr>
            <w:tcW w:w="5440" w:type="dxa"/>
            <w:vAlign w:val="bottom"/>
            <w:gridSpan w:val="9"/>
          </w:tcPr>
          <w:p>
            <w:pPr>
              <w:spacing w:after="0"/>
              <w:rPr>
                <w:sz w:val="20"/>
                <w:szCs w:val="20"/>
                <w:color w:val="auto"/>
              </w:rPr>
            </w:pPr>
            <w:r>
              <w:rPr>
                <w:rFonts w:ascii="Arial" w:cs="Arial" w:eastAsia="Arial" w:hAnsi="Arial"/>
                <w:sz w:val="13"/>
                <w:szCs w:val="13"/>
                <w:b w:val="1"/>
                <w:bCs w:val="1"/>
                <w:color w:val="auto"/>
              </w:rPr>
              <w:t>Prepayment Fee</w:t>
            </w:r>
          </w:p>
        </w:tc>
        <w:tc>
          <w:tcPr>
            <w:tcW w:w="16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40"/>
        </w:trPr>
        <w:tc>
          <w:tcPr>
            <w:tcW w:w="1020" w:type="dxa"/>
            <w:vAlign w:val="bottom"/>
          </w:tcPr>
          <w:p>
            <w:pPr>
              <w:spacing w:after="0"/>
              <w:rPr>
                <w:sz w:val="20"/>
                <w:szCs w:val="20"/>
                <w:color w:val="auto"/>
              </w:rPr>
            </w:pPr>
          </w:p>
        </w:tc>
        <w:tc>
          <w:tcPr>
            <w:tcW w:w="5440" w:type="dxa"/>
            <w:vAlign w:val="bottom"/>
            <w:gridSpan w:val="9"/>
          </w:tcPr>
          <w:p>
            <w:pPr>
              <w:ind w:left="20"/>
              <w:spacing w:after="0"/>
              <w:rPr>
                <w:rFonts w:ascii="Arial" w:cs="Arial" w:eastAsia="Arial" w:hAnsi="Arial"/>
                <w:sz w:val="13"/>
                <w:szCs w:val="13"/>
                <w:color w:val="auto"/>
              </w:rPr>
            </w:pPr>
            <w:r>
              <w:rPr>
                <w:rFonts w:ascii="Arial" w:cs="Arial" w:eastAsia="Arial" w:hAnsi="Arial"/>
                <w:sz w:val="13"/>
                <w:szCs w:val="13"/>
                <w:color w:val="auto"/>
              </w:rPr>
              <w:t xml:space="preserve">In case of demand under Article </w:t>
            </w:r>
            <w:hyperlink w:anchor="page364">
              <w:r>
                <w:rPr>
                  <w:rFonts w:ascii="Arial" w:cs="Arial" w:eastAsia="Arial" w:hAnsi="Arial"/>
                  <w:sz w:val="13"/>
                  <w:szCs w:val="13"/>
                  <w:color w:val="0000EE"/>
                </w:rPr>
                <w:t>9.1</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Right to demand repayment</w:t>
            </w:r>
            <w:r>
              <w:rPr>
                <w:rFonts w:ascii="Arial" w:cs="Arial" w:eastAsia="Arial" w:hAnsi="Arial"/>
                <w:sz w:val="13"/>
                <w:szCs w:val="13"/>
                <w:color w:val="auto"/>
              </w:rPr>
              <w:t>), the Borrower shall pay</w:t>
            </w:r>
          </w:p>
        </w:tc>
        <w:tc>
          <w:tcPr>
            <w:tcW w:w="4560" w:type="dxa"/>
            <w:vAlign w:val="bottom"/>
            <w:gridSpan w:val="2"/>
          </w:tcPr>
          <w:p>
            <w:pPr>
              <w:ind w:left="40"/>
              <w:spacing w:after="0"/>
              <w:rPr>
                <w:sz w:val="20"/>
                <w:szCs w:val="20"/>
                <w:color w:val="auto"/>
              </w:rPr>
            </w:pPr>
            <w:r>
              <w:rPr>
                <w:rFonts w:ascii="Arial" w:cs="Arial" w:eastAsia="Arial" w:hAnsi="Arial"/>
                <w:sz w:val="13"/>
                <w:szCs w:val="13"/>
                <w:color w:val="auto"/>
              </w:rPr>
              <w:t>the Bank the amount demanded together with the relevant Prepayment Fee.</w:t>
            </w:r>
          </w:p>
        </w:tc>
      </w:tr>
      <w:tr>
        <w:trPr>
          <w:trHeight w:val="290"/>
        </w:trPr>
        <w:tc>
          <w:tcPr>
            <w:tcW w:w="1020" w:type="dxa"/>
            <w:vAlign w:val="bottom"/>
          </w:tcPr>
          <w:p>
            <w:pPr>
              <w:spacing w:after="0"/>
              <w:rPr>
                <w:sz w:val="20"/>
                <w:szCs w:val="20"/>
                <w:color w:val="auto"/>
              </w:rPr>
            </w:pPr>
            <w:r>
              <w:rPr>
                <w:rFonts w:ascii="Arial" w:cs="Arial" w:eastAsia="Arial" w:hAnsi="Arial"/>
                <w:sz w:val="13"/>
                <w:szCs w:val="13"/>
                <w:b w:val="1"/>
                <w:bCs w:val="1"/>
                <w:color w:val="auto"/>
              </w:rPr>
              <w:t>9.4</w:t>
            </w:r>
          </w:p>
        </w:tc>
        <w:tc>
          <w:tcPr>
            <w:tcW w:w="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Non-Waiver</w:t>
            </w:r>
          </w:p>
        </w:tc>
        <w:tc>
          <w:tcPr>
            <w:tcW w:w="1240" w:type="dxa"/>
            <w:vAlign w:val="bottom"/>
            <w:gridSpan w:val="3"/>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59"/>
        </w:trPr>
        <w:tc>
          <w:tcPr>
            <w:tcW w:w="1020" w:type="dxa"/>
            <w:vAlign w:val="bottom"/>
          </w:tcPr>
          <w:p>
            <w:pPr>
              <w:spacing w:after="0"/>
              <w:rPr>
                <w:sz w:val="22"/>
                <w:szCs w:val="22"/>
                <w:color w:val="auto"/>
              </w:rPr>
            </w:pPr>
          </w:p>
        </w:tc>
        <w:tc>
          <w:tcPr>
            <w:tcW w:w="5440" w:type="dxa"/>
            <w:vAlign w:val="bottom"/>
            <w:gridSpan w:val="9"/>
          </w:tcPr>
          <w:p>
            <w:pPr>
              <w:ind w:left="20"/>
              <w:spacing w:after="0"/>
              <w:rPr>
                <w:sz w:val="20"/>
                <w:szCs w:val="20"/>
                <w:color w:val="auto"/>
              </w:rPr>
            </w:pPr>
            <w:r>
              <w:rPr>
                <w:rFonts w:ascii="Arial" w:cs="Arial" w:eastAsia="Arial" w:hAnsi="Arial"/>
                <w:sz w:val="13"/>
                <w:szCs w:val="13"/>
                <w:color w:val="auto"/>
              </w:rPr>
              <w:t>No failure or delay or single or partial exercise by the Bank in exercising any of its rights or</w:t>
            </w:r>
          </w:p>
        </w:tc>
        <w:tc>
          <w:tcPr>
            <w:tcW w:w="4560" w:type="dxa"/>
            <w:vAlign w:val="bottom"/>
            <w:gridSpan w:val="2"/>
          </w:tcPr>
          <w:p>
            <w:pPr>
              <w:ind w:left="80"/>
              <w:spacing w:after="0"/>
              <w:rPr>
                <w:sz w:val="20"/>
                <w:szCs w:val="20"/>
                <w:color w:val="auto"/>
              </w:rPr>
            </w:pPr>
            <w:r>
              <w:rPr>
                <w:rFonts w:ascii="Arial" w:cs="Arial" w:eastAsia="Arial" w:hAnsi="Arial"/>
                <w:sz w:val="13"/>
                <w:szCs w:val="13"/>
                <w:color w:val="auto"/>
              </w:rPr>
              <w:t>remedies under this Contract shall be construed as a waiver of such right</w:t>
            </w:r>
          </w:p>
        </w:tc>
      </w:tr>
      <w:tr>
        <w:trPr>
          <w:trHeight w:val="161"/>
        </w:trPr>
        <w:tc>
          <w:tcPr>
            <w:tcW w:w="1020" w:type="dxa"/>
            <w:vAlign w:val="bottom"/>
          </w:tcPr>
          <w:p>
            <w:pPr>
              <w:spacing w:after="0"/>
              <w:rPr>
                <w:sz w:val="13"/>
                <w:szCs w:val="1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or remedy. The rights and remedies provided in this Contract are cumulative and not exclusive of any rights or remedies provided by law.</w:t>
            </w:r>
          </w:p>
        </w:tc>
      </w:tr>
      <w:tr>
        <w:trPr>
          <w:trHeight w:val="360"/>
        </w:trPr>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rPr>
              <w:t>ARTICLE 10</w:t>
            </w:r>
          </w:p>
        </w:tc>
        <w:tc>
          <w:tcPr>
            <w:tcW w:w="1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40" w:type="dxa"/>
            <w:vAlign w:val="bottom"/>
            <w:gridSpan w:val="5"/>
          </w:tcPr>
          <w:p>
            <w:pPr>
              <w:jc w:val="center"/>
              <w:ind w:right="4400"/>
              <w:spacing w:after="0"/>
              <w:rPr>
                <w:sz w:val="20"/>
                <w:szCs w:val="20"/>
                <w:color w:val="auto"/>
              </w:rPr>
            </w:pPr>
            <w:r>
              <w:rPr>
                <w:rFonts w:ascii="Arial" w:cs="Arial" w:eastAsia="Arial" w:hAnsi="Arial"/>
                <w:sz w:val="13"/>
                <w:szCs w:val="13"/>
                <w:b w:val="1"/>
                <w:bCs w:val="1"/>
                <w:color w:val="auto"/>
              </w:rPr>
              <w:t>Law and jurisdiction, miscellaneous</w:t>
            </w:r>
          </w:p>
        </w:tc>
      </w:tr>
      <w:tr>
        <w:trPr>
          <w:trHeight w:val="370"/>
        </w:trPr>
        <w:tc>
          <w:tcPr>
            <w:tcW w:w="1020" w:type="dxa"/>
            <w:vAlign w:val="bottom"/>
          </w:tcPr>
          <w:p>
            <w:pPr>
              <w:spacing w:after="0"/>
              <w:rPr>
                <w:sz w:val="20"/>
                <w:szCs w:val="20"/>
                <w:color w:val="auto"/>
              </w:rPr>
            </w:pPr>
            <w:r>
              <w:rPr>
                <w:rFonts w:ascii="Arial" w:cs="Arial" w:eastAsia="Arial" w:hAnsi="Arial"/>
                <w:sz w:val="13"/>
                <w:szCs w:val="13"/>
                <w:b w:val="1"/>
                <w:bCs w:val="1"/>
                <w:color w:val="auto"/>
              </w:rPr>
              <w:t>10.1</w:t>
            </w: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Governing Law</w:t>
            </w:r>
          </w:p>
        </w:tc>
        <w:tc>
          <w:tcPr>
            <w:tcW w:w="2340" w:type="dxa"/>
            <w:vAlign w:val="bottom"/>
            <w:gridSpan w:val="3"/>
          </w:tcPr>
          <w:p>
            <w:pPr>
              <w:spacing w:after="0"/>
              <w:rPr>
                <w:sz w:val="24"/>
                <w:szCs w:val="24"/>
                <w:color w:val="auto"/>
              </w:rPr>
            </w:pPr>
          </w:p>
        </w:tc>
        <w:tc>
          <w:tcPr>
            <w:tcW w:w="2080" w:type="dxa"/>
            <w:vAlign w:val="bottom"/>
            <w:tcBorders>
              <w:top w:val="single" w:sz="8" w:color="auto"/>
            </w:tcBorders>
            <w:gridSpan w:val="3"/>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10000" w:type="dxa"/>
            <w:vAlign w:val="bottom"/>
            <w:gridSpan w:val="11"/>
          </w:tcPr>
          <w:p>
            <w:pPr>
              <w:ind w:left="20"/>
              <w:spacing w:after="0"/>
              <w:rPr>
                <w:sz w:val="20"/>
                <w:szCs w:val="20"/>
                <w:color w:val="auto"/>
              </w:rPr>
            </w:pPr>
            <w:r>
              <w:rPr>
                <w:rFonts w:ascii="Arial" w:cs="Arial" w:eastAsia="Arial" w:hAnsi="Arial"/>
                <w:sz w:val="13"/>
                <w:szCs w:val="13"/>
                <w:color w:val="auto"/>
              </w:rPr>
              <w:t>This Contract and any non-contractual obligations arising out of or in connection with it shall be governed by the laws of Germany.</w:t>
            </w:r>
          </w:p>
        </w:tc>
      </w:tr>
      <w:tr>
        <w:trPr>
          <w:trHeight w:val="280"/>
        </w:trPr>
        <w:tc>
          <w:tcPr>
            <w:tcW w:w="1020" w:type="dxa"/>
            <w:vAlign w:val="bottom"/>
          </w:tcPr>
          <w:p>
            <w:pPr>
              <w:spacing w:after="0"/>
              <w:rPr>
                <w:sz w:val="20"/>
                <w:szCs w:val="20"/>
                <w:color w:val="auto"/>
              </w:rPr>
            </w:pPr>
            <w:r>
              <w:rPr>
                <w:rFonts w:ascii="Arial" w:cs="Arial" w:eastAsia="Arial" w:hAnsi="Arial"/>
                <w:sz w:val="13"/>
                <w:szCs w:val="13"/>
                <w:b w:val="1"/>
                <w:bCs w:val="1"/>
                <w:color w:val="auto"/>
              </w:rPr>
              <w:t>10.2</w:t>
            </w: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Jurisdiction</w:t>
            </w:r>
          </w:p>
        </w:tc>
        <w:tc>
          <w:tcPr>
            <w:tcW w:w="468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pacing w:after="0" w:line="103" w:lineRule="exact"/>
        <w:rPr>
          <w:sz w:val="20"/>
          <w:szCs w:val="20"/>
          <w:color w:val="auto"/>
        </w:rPr>
      </w:pPr>
    </w:p>
    <w:p>
      <w:pPr>
        <w:ind w:left="1820" w:right="260" w:hanging="670"/>
        <w:spacing w:after="0" w:line="262" w:lineRule="auto"/>
        <w:tabs>
          <w:tab w:leader="none" w:pos="1820" w:val="left"/>
        </w:tabs>
        <w:numPr>
          <w:ilvl w:val="0"/>
          <w:numId w:val="415"/>
        </w:numPr>
        <w:rPr>
          <w:rFonts w:ascii="Arial" w:cs="Arial" w:eastAsia="Arial" w:hAnsi="Arial"/>
          <w:sz w:val="13"/>
          <w:szCs w:val="13"/>
          <w:color w:val="auto"/>
        </w:rPr>
      </w:pPr>
      <w:r>
        <w:rPr>
          <w:rFonts w:ascii="Arial" w:cs="Arial" w:eastAsia="Arial" w:hAnsi="Arial"/>
          <w:sz w:val="13"/>
          <w:szCs w:val="13"/>
          <w:color w:val="auto"/>
        </w:rPr>
        <w:t>The courts of Frankfurt am Main, Germany, have exclusive jurisdiction to settle any dispute (a "</w:t>
      </w:r>
      <w:r>
        <w:rPr>
          <w:rFonts w:ascii="Arial" w:cs="Arial" w:eastAsia="Arial" w:hAnsi="Arial"/>
          <w:sz w:val="13"/>
          <w:szCs w:val="13"/>
          <w:b w:val="1"/>
          <w:bCs w:val="1"/>
          <w:color w:val="auto"/>
        </w:rPr>
        <w:t>Dispute</w:t>
      </w:r>
      <w:r>
        <w:rPr>
          <w:rFonts w:ascii="Arial" w:cs="Arial" w:eastAsia="Arial" w:hAnsi="Arial"/>
          <w:sz w:val="13"/>
          <w:szCs w:val="13"/>
          <w:color w:val="auto"/>
        </w:rPr>
        <w:t>") arising out of or in connection with this Contract (including a dispute regarding the existence, validity or termination of this Contract or the consequences of its nullity) or any non-contractual obligation arising out of or in connection with this Contract.</w:t>
      </w:r>
    </w:p>
    <w:p>
      <w:pPr>
        <w:spacing w:after="0" w:line="56" w:lineRule="exact"/>
        <w:rPr>
          <w:rFonts w:ascii="Arial" w:cs="Arial" w:eastAsia="Arial" w:hAnsi="Arial"/>
          <w:sz w:val="13"/>
          <w:szCs w:val="13"/>
          <w:color w:val="auto"/>
        </w:rPr>
      </w:pPr>
    </w:p>
    <w:p>
      <w:pPr>
        <w:ind w:left="1820" w:hanging="670"/>
        <w:spacing w:after="0"/>
        <w:tabs>
          <w:tab w:leader="none" w:pos="1820" w:val="left"/>
        </w:tabs>
        <w:numPr>
          <w:ilvl w:val="0"/>
          <w:numId w:val="415"/>
        </w:numPr>
        <w:rPr>
          <w:rFonts w:ascii="Arial" w:cs="Arial" w:eastAsia="Arial" w:hAnsi="Arial"/>
          <w:sz w:val="13"/>
          <w:szCs w:val="13"/>
          <w:color w:val="auto"/>
        </w:rPr>
      </w:pPr>
      <w:r>
        <w:rPr>
          <w:rFonts w:ascii="Arial" w:cs="Arial" w:eastAsia="Arial" w:hAnsi="Arial"/>
          <w:sz w:val="13"/>
          <w:szCs w:val="13"/>
          <w:color w:val="auto"/>
        </w:rPr>
        <w:t>The parties agree that the courts of Frankfurt am Main, Germany, are the most appropriate and convenient courts to settle Disputes between them</w:t>
      </w:r>
    </w:p>
    <w:p>
      <w:pPr>
        <w:ind w:left="1820"/>
        <w:spacing w:after="0"/>
        <w:rPr>
          <w:sz w:val="20"/>
          <w:szCs w:val="20"/>
          <w:color w:val="auto"/>
        </w:rPr>
      </w:pPr>
      <w:r>
        <w:rPr>
          <w:rFonts w:ascii="Arial" w:cs="Arial" w:eastAsia="Arial" w:hAnsi="Arial"/>
          <w:sz w:val="13"/>
          <w:szCs w:val="13"/>
          <w:color w:val="auto"/>
        </w:rPr>
        <w:t>and, accordingly,  that they will not argue to the contrary.</w:t>
      </w:r>
    </w:p>
    <w:p>
      <w:pPr>
        <w:spacing w:after="0" w:line="46" w:lineRule="exact"/>
        <w:rPr>
          <w:sz w:val="20"/>
          <w:szCs w:val="20"/>
          <w:color w:val="auto"/>
        </w:rPr>
      </w:pPr>
    </w:p>
    <w:p>
      <w:pPr>
        <w:ind w:left="1820" w:right="380" w:hanging="670"/>
        <w:spacing w:after="0" w:line="260" w:lineRule="auto"/>
        <w:tabs>
          <w:tab w:leader="none" w:pos="1820" w:val="left"/>
        </w:tabs>
        <w:numPr>
          <w:ilvl w:val="0"/>
          <w:numId w:val="416"/>
        </w:numPr>
        <w:rPr>
          <w:rFonts w:ascii="Arial" w:cs="Arial" w:eastAsia="Arial" w:hAnsi="Arial"/>
          <w:sz w:val="13"/>
          <w:szCs w:val="13"/>
          <w:color w:val="auto"/>
        </w:rPr>
      </w:pPr>
      <w:r>
        <w:rPr>
          <w:rFonts w:ascii="Arial" w:cs="Arial" w:eastAsia="Arial" w:hAnsi="Arial"/>
          <w:sz w:val="13"/>
          <w:szCs w:val="13"/>
          <w:color w:val="auto"/>
        </w:rPr>
        <w:t xml:space="preserve">This Article </w:t>
      </w:r>
      <w:hyperlink w:anchor="page366">
        <w:r>
          <w:rPr>
            <w:rFonts w:ascii="Arial" w:cs="Arial" w:eastAsia="Arial" w:hAnsi="Arial"/>
            <w:sz w:val="13"/>
            <w:szCs w:val="13"/>
            <w:u w:val="single" w:color="auto"/>
            <w:color w:val="0000EE"/>
          </w:rPr>
          <w:t>10.2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Jurisdiction</w:t>
      </w:r>
      <w:r>
        <w:rPr>
          <w:rFonts w:ascii="Arial" w:cs="Arial" w:eastAsia="Arial" w:hAnsi="Arial"/>
          <w:sz w:val="13"/>
          <w:szCs w:val="13"/>
          <w:color w:val="auto"/>
        </w:rPr>
        <w:t>) is for the benefit of the Bank only. As a result and notwithstanding Sub-Paragraph (a) above, it does not prevent the Bank from taking proceedings relating to a Dispute in any other courts with jurisdiction. To the extent allowed by law, the Bank may take concurrent proceedings in any number of jurisdictions.</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jc w:val="right"/>
              <w:ind w:right="693"/>
              <w:spacing w:after="0"/>
              <w:rPr>
                <w:sz w:val="20"/>
                <w:szCs w:val="20"/>
                <w:color w:val="auto"/>
              </w:rPr>
            </w:pPr>
            <w:r>
              <w:rPr>
                <w:rFonts w:ascii="Arial" w:cs="Arial" w:eastAsia="Arial" w:hAnsi="Arial"/>
                <w:sz w:val="13"/>
                <w:szCs w:val="13"/>
                <w:b w:val="1"/>
                <w:bCs w:val="1"/>
                <w:color w:val="auto"/>
                <w:w w:val="94"/>
              </w:rPr>
              <w:t>10.3</w:t>
            </w: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9"/>
              </w:rPr>
              <w:t>Place of performance</w:t>
            </w:r>
          </w:p>
        </w:tc>
        <w:tc>
          <w:tcPr>
            <w:tcW w:w="4120" w:type="dxa"/>
            <w:vAlign w:val="bottom"/>
            <w:gridSpan w:val="2"/>
          </w:tcPr>
          <w:p>
            <w:pPr>
              <w:spacing w:after="0"/>
              <w:rPr>
                <w:sz w:val="13"/>
                <w:szCs w:val="13"/>
                <w:color w:val="auto"/>
              </w:rPr>
            </w:pPr>
          </w:p>
        </w:tc>
        <w:tc>
          <w:tcPr>
            <w:tcW w:w="4540" w:type="dxa"/>
            <w:vAlign w:val="bottom"/>
          </w:tcPr>
          <w:p>
            <w:pPr>
              <w:spacing w:after="0"/>
              <w:rPr>
                <w:sz w:val="13"/>
                <w:szCs w:val="13"/>
                <w:color w:val="auto"/>
              </w:rPr>
            </w:pPr>
          </w:p>
        </w:tc>
      </w:tr>
      <w:tr>
        <w:trPr>
          <w:trHeight w:val="270"/>
        </w:trPr>
        <w:tc>
          <w:tcPr>
            <w:tcW w:w="1020" w:type="dxa"/>
            <w:vAlign w:val="bottom"/>
          </w:tcPr>
          <w:p>
            <w:pPr>
              <w:spacing w:after="0"/>
              <w:rPr>
                <w:sz w:val="23"/>
                <w:szCs w:val="23"/>
                <w:color w:val="auto"/>
              </w:rPr>
            </w:pPr>
          </w:p>
        </w:tc>
        <w:tc>
          <w:tcPr>
            <w:tcW w:w="5460" w:type="dxa"/>
            <w:vAlign w:val="bottom"/>
            <w:gridSpan w:val="4"/>
          </w:tcPr>
          <w:p>
            <w:pPr>
              <w:ind w:left="20"/>
              <w:spacing w:after="0"/>
              <w:rPr>
                <w:sz w:val="20"/>
                <w:szCs w:val="20"/>
                <w:color w:val="auto"/>
              </w:rPr>
            </w:pPr>
            <w:r>
              <w:rPr>
                <w:rFonts w:ascii="Arial" w:cs="Arial" w:eastAsia="Arial" w:hAnsi="Arial"/>
                <w:sz w:val="13"/>
                <w:szCs w:val="13"/>
                <w:color w:val="auto"/>
              </w:rPr>
              <w:t>Unless otherwise specifically agreed by the Bank in writing, the place of performance under</w:t>
            </w:r>
          </w:p>
        </w:tc>
        <w:tc>
          <w:tcPr>
            <w:tcW w:w="4540" w:type="dxa"/>
            <w:vAlign w:val="bottom"/>
          </w:tcPr>
          <w:p>
            <w:pPr>
              <w:ind w:left="40"/>
              <w:spacing w:after="0"/>
              <w:rPr>
                <w:sz w:val="20"/>
                <w:szCs w:val="20"/>
                <w:color w:val="auto"/>
              </w:rPr>
            </w:pPr>
            <w:r>
              <w:rPr>
                <w:rFonts w:ascii="Arial" w:cs="Arial" w:eastAsia="Arial" w:hAnsi="Arial"/>
                <w:sz w:val="13"/>
                <w:szCs w:val="13"/>
                <w:color w:val="auto"/>
              </w:rPr>
              <w:t>this Contract, shall be the seat of the Bank.</w:t>
            </w:r>
          </w:p>
        </w:tc>
      </w:tr>
      <w:tr>
        <w:trPr>
          <w:trHeight w:val="280"/>
        </w:trPr>
        <w:tc>
          <w:tcPr>
            <w:tcW w:w="1020" w:type="dxa"/>
            <w:vAlign w:val="bottom"/>
          </w:tcPr>
          <w:p>
            <w:pPr>
              <w:jc w:val="right"/>
              <w:ind w:right="693"/>
              <w:spacing w:after="0"/>
              <w:rPr>
                <w:sz w:val="20"/>
                <w:szCs w:val="20"/>
                <w:color w:val="auto"/>
              </w:rPr>
            </w:pPr>
            <w:r>
              <w:rPr>
                <w:rFonts w:ascii="Arial" w:cs="Arial" w:eastAsia="Arial" w:hAnsi="Arial"/>
                <w:sz w:val="13"/>
                <w:szCs w:val="13"/>
                <w:b w:val="1"/>
                <w:bCs w:val="1"/>
                <w:color w:val="auto"/>
                <w:w w:val="94"/>
              </w:rPr>
              <w:t>10.4</w:t>
            </w:r>
          </w:p>
        </w:tc>
        <w:tc>
          <w:tcPr>
            <w:tcW w:w="5460" w:type="dxa"/>
            <w:vAlign w:val="bottom"/>
            <w:gridSpan w:val="4"/>
          </w:tcPr>
          <w:p>
            <w:pPr>
              <w:spacing w:after="0"/>
              <w:rPr>
                <w:sz w:val="20"/>
                <w:szCs w:val="20"/>
                <w:color w:val="auto"/>
              </w:rPr>
            </w:pPr>
            <w:r>
              <w:rPr>
                <w:rFonts w:ascii="Arial" w:cs="Arial" w:eastAsia="Arial" w:hAnsi="Arial"/>
                <w:sz w:val="13"/>
                <w:szCs w:val="13"/>
                <w:b w:val="1"/>
                <w:bCs w:val="1"/>
                <w:color w:val="auto"/>
              </w:rPr>
              <w:t>Evidence of sums due</w:t>
            </w:r>
          </w:p>
        </w:tc>
        <w:tc>
          <w:tcPr>
            <w:tcW w:w="45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79"/>
        </w:trPr>
        <w:tc>
          <w:tcPr>
            <w:tcW w:w="1020" w:type="dxa"/>
            <w:vAlign w:val="bottom"/>
          </w:tcPr>
          <w:p>
            <w:pPr>
              <w:spacing w:after="0"/>
              <w:rPr>
                <w:sz w:val="24"/>
                <w:szCs w:val="24"/>
                <w:color w:val="auto"/>
              </w:rPr>
            </w:pPr>
          </w:p>
        </w:tc>
        <w:tc>
          <w:tcPr>
            <w:tcW w:w="5460" w:type="dxa"/>
            <w:vAlign w:val="bottom"/>
            <w:gridSpan w:val="4"/>
          </w:tcPr>
          <w:p>
            <w:pPr>
              <w:ind w:left="20"/>
              <w:spacing w:after="0"/>
              <w:rPr>
                <w:sz w:val="20"/>
                <w:szCs w:val="20"/>
                <w:color w:val="auto"/>
              </w:rPr>
            </w:pPr>
            <w:r>
              <w:rPr>
                <w:rFonts w:ascii="Arial" w:cs="Arial" w:eastAsia="Arial" w:hAnsi="Arial"/>
                <w:sz w:val="13"/>
                <w:szCs w:val="13"/>
                <w:color w:val="auto"/>
              </w:rPr>
              <w:t>In any legal action arising out of this Contract the certificate of the Bank as to any amount or</w:t>
            </w:r>
          </w:p>
        </w:tc>
        <w:tc>
          <w:tcPr>
            <w:tcW w:w="4540" w:type="dxa"/>
            <w:vAlign w:val="bottom"/>
          </w:tcPr>
          <w:p>
            <w:pPr>
              <w:ind w:left="40"/>
              <w:spacing w:after="0"/>
              <w:rPr>
                <w:sz w:val="20"/>
                <w:szCs w:val="20"/>
                <w:color w:val="auto"/>
              </w:rPr>
            </w:pPr>
            <w:r>
              <w:rPr>
                <w:rFonts w:ascii="Arial" w:cs="Arial" w:eastAsia="Arial" w:hAnsi="Arial"/>
                <w:sz w:val="13"/>
                <w:szCs w:val="13"/>
                <w:color w:val="auto"/>
              </w:rPr>
              <w:t>rate due to the Bank under this Contract shall, in the absence of manifest</w:t>
            </w:r>
          </w:p>
        </w:tc>
      </w:tr>
      <w:tr>
        <w:trPr>
          <w:trHeight w:val="161"/>
        </w:trPr>
        <w:tc>
          <w:tcPr>
            <w:tcW w:w="1020" w:type="dxa"/>
            <w:vAlign w:val="bottom"/>
          </w:tcPr>
          <w:p>
            <w:pPr>
              <w:spacing w:after="0"/>
              <w:rPr>
                <w:sz w:val="13"/>
                <w:szCs w:val="13"/>
                <w:color w:val="auto"/>
              </w:rPr>
            </w:pPr>
          </w:p>
        </w:tc>
        <w:tc>
          <w:tcPr>
            <w:tcW w:w="5460" w:type="dxa"/>
            <w:vAlign w:val="bottom"/>
            <w:gridSpan w:val="4"/>
          </w:tcPr>
          <w:p>
            <w:pPr>
              <w:ind w:left="20"/>
              <w:spacing w:after="0"/>
              <w:rPr>
                <w:sz w:val="20"/>
                <w:szCs w:val="20"/>
                <w:color w:val="auto"/>
              </w:rPr>
            </w:pPr>
            <w:r>
              <w:rPr>
                <w:rFonts w:ascii="Arial" w:cs="Arial" w:eastAsia="Arial" w:hAnsi="Arial"/>
                <w:sz w:val="13"/>
                <w:szCs w:val="13"/>
                <w:color w:val="auto"/>
              </w:rPr>
              <w:t>error, be prima facie evidence of such amount or rate.</w:t>
            </w:r>
          </w:p>
        </w:tc>
        <w:tc>
          <w:tcPr>
            <w:tcW w:w="4540" w:type="dxa"/>
            <w:vAlign w:val="bottom"/>
          </w:tcPr>
          <w:p>
            <w:pPr>
              <w:spacing w:after="0"/>
              <w:rPr>
                <w:sz w:val="13"/>
                <w:szCs w:val="13"/>
                <w:color w:val="auto"/>
              </w:rPr>
            </w:pPr>
          </w:p>
        </w:tc>
      </w:tr>
      <w:tr>
        <w:trPr>
          <w:trHeight w:val="280"/>
        </w:trPr>
        <w:tc>
          <w:tcPr>
            <w:tcW w:w="1020" w:type="dxa"/>
            <w:vAlign w:val="bottom"/>
          </w:tcPr>
          <w:p>
            <w:pPr>
              <w:jc w:val="right"/>
              <w:ind w:right="693"/>
              <w:spacing w:after="0"/>
              <w:rPr>
                <w:sz w:val="20"/>
                <w:szCs w:val="20"/>
                <w:color w:val="auto"/>
              </w:rPr>
            </w:pPr>
            <w:r>
              <w:rPr>
                <w:rFonts w:ascii="Arial" w:cs="Arial" w:eastAsia="Arial" w:hAnsi="Arial"/>
                <w:sz w:val="13"/>
                <w:szCs w:val="13"/>
                <w:b w:val="1"/>
                <w:bCs w:val="1"/>
                <w:color w:val="auto"/>
                <w:w w:val="94"/>
              </w:rPr>
              <w:t>10.5</w:t>
            </w: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Third party rights</w:t>
            </w:r>
          </w:p>
        </w:tc>
        <w:tc>
          <w:tcPr>
            <w:tcW w:w="4360" w:type="dxa"/>
            <w:vAlign w:val="bottom"/>
            <w:gridSpan w:val="3"/>
          </w:tcPr>
          <w:p>
            <w:pPr>
              <w:spacing w:after="0"/>
              <w:rPr>
                <w:sz w:val="24"/>
                <w:szCs w:val="24"/>
                <w:color w:val="auto"/>
              </w:rPr>
            </w:pPr>
          </w:p>
        </w:tc>
        <w:tc>
          <w:tcPr>
            <w:tcW w:w="4540" w:type="dxa"/>
            <w:vAlign w:val="bottom"/>
          </w:tcPr>
          <w:p>
            <w:pPr>
              <w:spacing w:after="0"/>
              <w:rPr>
                <w:sz w:val="24"/>
                <w:szCs w:val="24"/>
                <w:color w:val="auto"/>
              </w:rPr>
            </w:pPr>
          </w:p>
        </w:tc>
      </w:tr>
      <w:tr>
        <w:trPr>
          <w:trHeight w:val="259"/>
        </w:trPr>
        <w:tc>
          <w:tcPr>
            <w:tcW w:w="1020" w:type="dxa"/>
            <w:vAlign w:val="bottom"/>
          </w:tcPr>
          <w:p>
            <w:pPr>
              <w:spacing w:after="0"/>
              <w:rPr>
                <w:sz w:val="22"/>
                <w:szCs w:val="22"/>
                <w:color w:val="auto"/>
              </w:rPr>
            </w:pPr>
          </w:p>
        </w:tc>
        <w:tc>
          <w:tcPr>
            <w:tcW w:w="10000" w:type="dxa"/>
            <w:vAlign w:val="bottom"/>
            <w:gridSpan w:val="5"/>
          </w:tcPr>
          <w:p>
            <w:pPr>
              <w:ind w:left="20"/>
              <w:spacing w:after="0"/>
              <w:rPr>
                <w:sz w:val="20"/>
                <w:szCs w:val="20"/>
                <w:color w:val="auto"/>
              </w:rPr>
            </w:pPr>
            <w:r>
              <w:rPr>
                <w:rFonts w:ascii="Arial" w:cs="Arial" w:eastAsia="Arial" w:hAnsi="Arial"/>
                <w:sz w:val="13"/>
                <w:szCs w:val="13"/>
                <w:color w:val="auto"/>
              </w:rPr>
              <w:t xml:space="preserve">A person who is not a party to this Contract has no right to enforce or to enjoy the benefit of any term of this Contract (no </w:t>
            </w:r>
            <w:r>
              <w:rPr>
                <w:rFonts w:ascii="Arial" w:cs="Arial" w:eastAsia="Arial" w:hAnsi="Arial"/>
                <w:sz w:val="13"/>
                <w:szCs w:val="13"/>
                <w:i w:val="1"/>
                <w:iCs w:val="1"/>
                <w:color w:val="auto"/>
              </w:rPr>
              <w:t>echter Vertrag zugunsten Dritter</w:t>
            </w:r>
            <w:r>
              <w:rPr>
                <w:rFonts w:ascii="Arial" w:cs="Arial" w:eastAsia="Arial" w:hAnsi="Arial"/>
                <w:sz w:val="13"/>
                <w:szCs w:val="13"/>
                <w:color w:val="auto"/>
              </w:rPr>
              <w:t xml:space="preserve"> within the</w:t>
            </w:r>
          </w:p>
        </w:tc>
      </w:tr>
      <w:tr>
        <w:trPr>
          <w:trHeight w:val="161"/>
        </w:trPr>
        <w:tc>
          <w:tcPr>
            <w:tcW w:w="1020" w:type="dxa"/>
            <w:vAlign w:val="bottom"/>
          </w:tcPr>
          <w:p>
            <w:pPr>
              <w:spacing w:after="0"/>
              <w:rPr>
                <w:sz w:val="13"/>
                <w:szCs w:val="13"/>
                <w:color w:val="auto"/>
              </w:rPr>
            </w:pPr>
          </w:p>
        </w:tc>
        <w:tc>
          <w:tcPr>
            <w:tcW w:w="5460" w:type="dxa"/>
            <w:vAlign w:val="bottom"/>
            <w:gridSpan w:val="4"/>
          </w:tcPr>
          <w:p>
            <w:pPr>
              <w:ind w:left="20"/>
              <w:spacing w:after="0"/>
              <w:rPr>
                <w:sz w:val="20"/>
                <w:szCs w:val="20"/>
                <w:color w:val="auto"/>
              </w:rPr>
            </w:pPr>
            <w:r>
              <w:rPr>
                <w:rFonts w:ascii="Arial" w:cs="Arial" w:eastAsia="Arial" w:hAnsi="Arial"/>
                <w:sz w:val="13"/>
                <w:szCs w:val="13"/>
                <w:color w:val="auto"/>
              </w:rPr>
              <w:t>meaning of Section  328 para. 1 BGB).</w:t>
            </w:r>
          </w:p>
        </w:tc>
        <w:tc>
          <w:tcPr>
            <w:tcW w:w="4540" w:type="dxa"/>
            <w:vAlign w:val="bottom"/>
          </w:tcPr>
          <w:p>
            <w:pPr>
              <w:spacing w:after="0"/>
              <w:rPr>
                <w:sz w:val="13"/>
                <w:szCs w:val="13"/>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366" w:name="page367"/>
    <w:bookmarkEnd w:id="366"/>
    <w:tbl>
      <w:tblPr>
        <w:tblLayout w:type="fixed"/>
        <w:tblInd w:w="12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20" w:type="dxa"/>
            <w:vAlign w:val="bottom"/>
          </w:tcPr>
          <w:p>
            <w:pPr>
              <w:ind w:left="8340"/>
              <w:spacing w:after="0"/>
              <w:rPr>
                <w:sz w:val="20"/>
                <w:szCs w:val="20"/>
                <w:color w:val="auto"/>
              </w:rPr>
            </w:pPr>
            <w:r>
              <w:rPr>
                <w:rFonts w:ascii="Arial" w:cs="Arial" w:eastAsia="Arial" w:hAnsi="Arial"/>
                <w:sz w:val="13"/>
                <w:szCs w:val="13"/>
                <w:b w:val="1"/>
                <w:bCs w:val="1"/>
                <w:color w:val="auto"/>
                <w:w w:val="91"/>
              </w:rPr>
              <w:t>Exhibit 4.41</w:t>
            </w:r>
          </w:p>
        </w:tc>
      </w:tr>
      <w:tr>
        <w:trPr>
          <w:trHeight w:val="160"/>
        </w:trPr>
        <w:tc>
          <w:tcPr>
            <w:tcW w:w="1020" w:type="dxa"/>
            <w:vAlign w:val="bottom"/>
          </w:tcPr>
          <w:p>
            <w:pPr>
              <w:jc w:val="right"/>
              <w:ind w:right="693"/>
              <w:spacing w:after="0"/>
              <w:rPr>
                <w:sz w:val="20"/>
                <w:szCs w:val="20"/>
                <w:color w:val="auto"/>
              </w:rPr>
            </w:pPr>
            <w:r>
              <w:rPr>
                <w:rFonts w:ascii="Arial" w:cs="Arial" w:eastAsia="Arial" w:hAnsi="Arial"/>
                <w:sz w:val="13"/>
                <w:szCs w:val="13"/>
                <w:b w:val="1"/>
                <w:bCs w:val="1"/>
                <w:color w:val="auto"/>
                <w:w w:val="94"/>
              </w:rPr>
              <w:t>10.6</w:t>
            </w:r>
          </w:p>
        </w:tc>
        <w:tc>
          <w:tcPr>
            <w:tcW w:w="10120" w:type="dxa"/>
            <w:vAlign w:val="bottom"/>
            <w:gridSpan w:val="3"/>
          </w:tcPr>
          <w:p>
            <w:pPr>
              <w:spacing w:after="0"/>
              <w:rPr>
                <w:sz w:val="20"/>
                <w:szCs w:val="20"/>
                <w:color w:val="auto"/>
              </w:rPr>
            </w:pPr>
            <w:r>
              <w:rPr>
                <w:rFonts w:ascii="Arial" w:cs="Arial" w:eastAsia="Arial" w:hAnsi="Arial"/>
                <w:sz w:val="13"/>
                <w:szCs w:val="13"/>
                <w:b w:val="1"/>
                <w:bCs w:val="1"/>
                <w:color w:val="auto"/>
              </w:rPr>
              <w:t>Entire Agreement</w:t>
            </w: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79"/>
        </w:trPr>
        <w:tc>
          <w:tcPr>
            <w:tcW w:w="1020" w:type="dxa"/>
            <w:vAlign w:val="bottom"/>
          </w:tcPr>
          <w:p>
            <w:pPr>
              <w:spacing w:after="0"/>
              <w:rPr>
                <w:sz w:val="24"/>
                <w:szCs w:val="24"/>
                <w:color w:val="auto"/>
              </w:rPr>
            </w:pPr>
          </w:p>
        </w:tc>
        <w:tc>
          <w:tcPr>
            <w:tcW w:w="10120" w:type="dxa"/>
            <w:vAlign w:val="bottom"/>
            <w:gridSpan w:val="3"/>
          </w:tcPr>
          <w:p>
            <w:pPr>
              <w:ind w:left="20"/>
              <w:spacing w:after="0"/>
              <w:rPr>
                <w:sz w:val="20"/>
                <w:szCs w:val="20"/>
                <w:color w:val="auto"/>
              </w:rPr>
            </w:pPr>
            <w:r>
              <w:rPr>
                <w:rFonts w:ascii="Arial" w:cs="Arial" w:eastAsia="Arial" w:hAnsi="Arial"/>
                <w:sz w:val="13"/>
                <w:szCs w:val="13"/>
                <w:color w:val="auto"/>
              </w:rPr>
              <w:t>This Contract (together with the other Finance Documents) constitutes the entire agreement  between the Bank and the Borrower in relation to the provision of the Credit</w:t>
            </w:r>
          </w:p>
        </w:tc>
      </w:tr>
      <w:tr>
        <w:trPr>
          <w:trHeight w:val="161"/>
        </w:trPr>
        <w:tc>
          <w:tcPr>
            <w:tcW w:w="1020" w:type="dxa"/>
            <w:vAlign w:val="bottom"/>
          </w:tcPr>
          <w:p>
            <w:pPr>
              <w:spacing w:after="0"/>
              <w:rPr>
                <w:sz w:val="13"/>
                <w:szCs w:val="13"/>
                <w:color w:val="auto"/>
              </w:rPr>
            </w:pPr>
          </w:p>
        </w:tc>
        <w:tc>
          <w:tcPr>
            <w:tcW w:w="10120" w:type="dxa"/>
            <w:vAlign w:val="bottom"/>
            <w:gridSpan w:val="3"/>
          </w:tcPr>
          <w:p>
            <w:pPr>
              <w:ind w:left="20"/>
              <w:spacing w:after="0"/>
              <w:rPr>
                <w:sz w:val="20"/>
                <w:szCs w:val="20"/>
                <w:color w:val="auto"/>
              </w:rPr>
            </w:pPr>
            <w:r>
              <w:rPr>
                <w:rFonts w:ascii="Arial" w:cs="Arial" w:eastAsia="Arial" w:hAnsi="Arial"/>
                <w:sz w:val="13"/>
                <w:szCs w:val="13"/>
                <w:color w:val="auto"/>
              </w:rPr>
              <w:t>hereunder, and supersedes any previous agreement, whether express or implied, on the same matter.</w:t>
            </w:r>
          </w:p>
        </w:tc>
      </w:tr>
      <w:tr>
        <w:trPr>
          <w:trHeight w:val="280"/>
        </w:trPr>
        <w:tc>
          <w:tcPr>
            <w:tcW w:w="1020" w:type="dxa"/>
            <w:vAlign w:val="bottom"/>
          </w:tcPr>
          <w:p>
            <w:pPr>
              <w:jc w:val="right"/>
              <w:ind w:right="693"/>
              <w:spacing w:after="0"/>
              <w:rPr>
                <w:sz w:val="20"/>
                <w:szCs w:val="20"/>
                <w:color w:val="auto"/>
              </w:rPr>
            </w:pPr>
            <w:r>
              <w:rPr>
                <w:rFonts w:ascii="Arial" w:cs="Arial" w:eastAsia="Arial" w:hAnsi="Arial"/>
                <w:sz w:val="13"/>
                <w:szCs w:val="13"/>
                <w:b w:val="1"/>
                <w:bCs w:val="1"/>
                <w:color w:val="auto"/>
                <w:w w:val="94"/>
              </w:rPr>
              <w:t>10.7</w:t>
            </w:r>
          </w:p>
        </w:tc>
        <w:tc>
          <w:tcPr>
            <w:tcW w:w="10120" w:type="dxa"/>
            <w:vAlign w:val="bottom"/>
            <w:gridSpan w:val="3"/>
          </w:tcPr>
          <w:p>
            <w:pPr>
              <w:spacing w:after="0"/>
              <w:rPr>
                <w:sz w:val="20"/>
                <w:szCs w:val="20"/>
                <w:color w:val="auto"/>
              </w:rPr>
            </w:pPr>
            <w:r>
              <w:rPr>
                <w:rFonts w:ascii="Arial" w:cs="Arial" w:eastAsia="Arial" w:hAnsi="Arial"/>
                <w:sz w:val="13"/>
                <w:szCs w:val="13"/>
                <w:b w:val="1"/>
                <w:bCs w:val="1"/>
                <w:color w:val="auto"/>
              </w:rPr>
              <w:t>Invalidity</w:t>
            </w: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ind w:left="1160" w:right="120"/>
        <w:spacing w:after="0" w:line="260" w:lineRule="auto"/>
        <w:rPr>
          <w:sz w:val="20"/>
          <w:szCs w:val="20"/>
          <w:color w:val="auto"/>
        </w:rPr>
      </w:pPr>
      <w:r>
        <w:rPr>
          <w:rFonts w:ascii="Arial" w:cs="Arial" w:eastAsia="Arial" w:hAnsi="Arial"/>
          <w:sz w:val="13"/>
          <w:szCs w:val="13"/>
          <w:color w:val="auto"/>
        </w:rPr>
        <w:t>If at any time any term of this Contract is or becomes illegal (</w:t>
      </w:r>
      <w:r>
        <w:rPr>
          <w:rFonts w:ascii="Arial" w:cs="Arial" w:eastAsia="Arial" w:hAnsi="Arial"/>
          <w:sz w:val="13"/>
          <w:szCs w:val="13"/>
          <w:i w:val="1"/>
          <w:iCs w:val="1"/>
          <w:color w:val="auto"/>
        </w:rPr>
        <w:t>nichtig</w:t>
      </w:r>
      <w:r>
        <w:rPr>
          <w:rFonts w:ascii="Arial" w:cs="Arial" w:eastAsia="Arial" w:hAnsi="Arial"/>
          <w:sz w:val="13"/>
          <w:szCs w:val="13"/>
          <w:color w:val="auto"/>
        </w:rPr>
        <w:t>), invalid or unenforceable in any respect, or this Contract is or becomes ineffective (</w:t>
      </w:r>
      <w:r>
        <w:rPr>
          <w:rFonts w:ascii="Arial" w:cs="Arial" w:eastAsia="Arial" w:hAnsi="Arial"/>
          <w:sz w:val="13"/>
          <w:szCs w:val="13"/>
          <w:i w:val="1"/>
          <w:iCs w:val="1"/>
          <w:color w:val="auto"/>
        </w:rPr>
        <w:t>unwirksam</w:t>
      </w:r>
      <w:r>
        <w:rPr>
          <w:rFonts w:ascii="Arial" w:cs="Arial" w:eastAsia="Arial" w:hAnsi="Arial"/>
          <w:sz w:val="13"/>
          <w:szCs w:val="13"/>
          <w:color w:val="auto"/>
        </w:rPr>
        <w:t>) in any respect, under the laws of any jurisdiction, such illegality (</w:t>
      </w:r>
      <w:r>
        <w:rPr>
          <w:rFonts w:ascii="Arial" w:cs="Arial" w:eastAsia="Arial" w:hAnsi="Arial"/>
          <w:sz w:val="13"/>
          <w:szCs w:val="13"/>
          <w:i w:val="1"/>
          <w:iCs w:val="1"/>
          <w:color w:val="auto"/>
        </w:rPr>
        <w:t>Nichtigkeit</w:t>
      </w:r>
      <w:r>
        <w:rPr>
          <w:rFonts w:ascii="Arial" w:cs="Arial" w:eastAsia="Arial" w:hAnsi="Arial"/>
          <w:sz w:val="13"/>
          <w:szCs w:val="13"/>
          <w:color w:val="auto"/>
        </w:rPr>
        <w:t>), invalidity, unenforceability or ineffectiveness (</w:t>
      </w:r>
      <w:r>
        <w:rPr>
          <w:rFonts w:ascii="Arial" w:cs="Arial" w:eastAsia="Arial" w:hAnsi="Arial"/>
          <w:sz w:val="13"/>
          <w:szCs w:val="13"/>
          <w:i w:val="1"/>
          <w:iCs w:val="1"/>
          <w:color w:val="auto"/>
        </w:rPr>
        <w:t>Unwirksamkeit</w:t>
      </w:r>
      <w:r>
        <w:rPr>
          <w:rFonts w:ascii="Arial" w:cs="Arial" w:eastAsia="Arial" w:hAnsi="Arial"/>
          <w:sz w:val="13"/>
          <w:szCs w:val="13"/>
          <w:color w:val="auto"/>
        </w:rPr>
        <w:t>) shall indisputably (</w:t>
      </w:r>
      <w:r>
        <w:rPr>
          <w:rFonts w:ascii="Arial" w:cs="Arial" w:eastAsia="Arial" w:hAnsi="Arial"/>
          <w:sz w:val="13"/>
          <w:szCs w:val="13"/>
          <w:i w:val="1"/>
          <w:iCs w:val="1"/>
          <w:color w:val="auto"/>
        </w:rPr>
        <w:t>unwiderlegbar</w:t>
      </w:r>
      <w:r>
        <w:rPr>
          <w:rFonts w:ascii="Arial" w:cs="Arial" w:eastAsia="Arial" w:hAnsi="Arial"/>
          <w:sz w:val="13"/>
          <w:szCs w:val="13"/>
          <w:color w:val="auto"/>
        </w:rPr>
        <w:t>) not affect:</w:t>
      </w:r>
    </w:p>
    <w:p>
      <w:pPr>
        <w:spacing w:after="0" w:line="48" w:lineRule="exact"/>
        <w:rPr>
          <w:sz w:val="20"/>
          <w:szCs w:val="20"/>
          <w:color w:val="auto"/>
        </w:rPr>
      </w:pPr>
    </w:p>
    <w:p>
      <w:pPr>
        <w:ind w:left="1820" w:right="200" w:hanging="670"/>
        <w:spacing w:after="0" w:line="258" w:lineRule="auto"/>
        <w:tabs>
          <w:tab w:leader="none" w:pos="1820" w:val="left"/>
        </w:tabs>
        <w:numPr>
          <w:ilvl w:val="0"/>
          <w:numId w:val="417"/>
        </w:numPr>
        <w:rPr>
          <w:rFonts w:ascii="Arial" w:cs="Arial" w:eastAsia="Arial" w:hAnsi="Arial"/>
          <w:sz w:val="13"/>
          <w:szCs w:val="13"/>
          <w:color w:val="auto"/>
        </w:rPr>
      </w:pPr>
      <w:r>
        <w:rPr>
          <w:rFonts w:ascii="Arial" w:cs="Arial" w:eastAsia="Arial" w:hAnsi="Arial"/>
          <w:sz w:val="13"/>
          <w:szCs w:val="13"/>
          <w:color w:val="auto"/>
        </w:rPr>
        <w:t>the legality, validity or enforceability in that jurisdiction of any other term of this Contract or the effectiveness in any other respect of this Contract in that jurisdiction; or</w:t>
      </w:r>
    </w:p>
    <w:p>
      <w:pPr>
        <w:spacing w:after="0" w:line="58" w:lineRule="exact"/>
        <w:rPr>
          <w:rFonts w:ascii="Arial" w:cs="Arial" w:eastAsia="Arial" w:hAnsi="Arial"/>
          <w:sz w:val="13"/>
          <w:szCs w:val="13"/>
          <w:color w:val="auto"/>
        </w:rPr>
      </w:pPr>
    </w:p>
    <w:p>
      <w:pPr>
        <w:ind w:left="1820" w:right="220" w:hanging="670"/>
        <w:spacing w:after="0" w:line="258" w:lineRule="auto"/>
        <w:tabs>
          <w:tab w:leader="none" w:pos="1820" w:val="left"/>
        </w:tabs>
        <w:numPr>
          <w:ilvl w:val="0"/>
          <w:numId w:val="417"/>
        </w:numPr>
        <w:rPr>
          <w:rFonts w:ascii="Arial" w:cs="Arial" w:eastAsia="Arial" w:hAnsi="Arial"/>
          <w:sz w:val="13"/>
          <w:szCs w:val="13"/>
          <w:color w:val="auto"/>
        </w:rPr>
      </w:pPr>
      <w:r>
        <w:rPr>
          <w:rFonts w:ascii="Arial" w:cs="Arial" w:eastAsia="Arial" w:hAnsi="Arial"/>
          <w:sz w:val="13"/>
          <w:szCs w:val="13"/>
          <w:color w:val="auto"/>
        </w:rPr>
        <w:t>the legality, validity or enforceability in other jurisdictions of that or any other term of this Contract or the effectiveness of this Contract under the laws of such other jurisdictions,</w:t>
      </w:r>
    </w:p>
    <w:p>
      <w:pPr>
        <w:spacing w:after="0" w:line="35" w:lineRule="exact"/>
        <w:rPr>
          <w:sz w:val="20"/>
          <w:szCs w:val="20"/>
          <w:color w:val="auto"/>
        </w:rPr>
      </w:pPr>
    </w:p>
    <w:p>
      <w:pPr>
        <w:jc w:val="both"/>
        <w:ind w:left="1160" w:right="120"/>
        <w:spacing w:after="0" w:line="281" w:lineRule="auto"/>
        <w:rPr>
          <w:sz w:val="20"/>
          <w:szCs w:val="20"/>
          <w:color w:val="auto"/>
        </w:rPr>
      </w:pPr>
      <w:r>
        <w:rPr>
          <w:rFonts w:ascii="Arial" w:cs="Arial" w:eastAsia="Arial" w:hAnsi="Arial"/>
          <w:sz w:val="13"/>
          <w:szCs w:val="13"/>
          <w:color w:val="auto"/>
        </w:rPr>
        <w:t>without any party to this Contract having to argue (</w:t>
      </w:r>
      <w:r>
        <w:rPr>
          <w:rFonts w:ascii="Arial" w:cs="Arial" w:eastAsia="Arial" w:hAnsi="Arial"/>
          <w:sz w:val="13"/>
          <w:szCs w:val="13"/>
          <w:i w:val="1"/>
          <w:iCs w:val="1"/>
          <w:color w:val="auto"/>
        </w:rPr>
        <w:t>darlegen</w:t>
      </w:r>
      <w:r>
        <w:rPr>
          <w:rFonts w:ascii="Arial" w:cs="Arial" w:eastAsia="Arial" w:hAnsi="Arial"/>
          <w:sz w:val="13"/>
          <w:szCs w:val="13"/>
          <w:color w:val="auto"/>
        </w:rPr>
        <w:t>) and prove (</w:t>
      </w:r>
      <w:r>
        <w:rPr>
          <w:rFonts w:ascii="Arial" w:cs="Arial" w:eastAsia="Arial" w:hAnsi="Arial"/>
          <w:sz w:val="13"/>
          <w:szCs w:val="13"/>
          <w:i w:val="1"/>
          <w:iCs w:val="1"/>
          <w:color w:val="auto"/>
        </w:rPr>
        <w:t>beweisen</w:t>
      </w:r>
      <w:r>
        <w:rPr>
          <w:rFonts w:ascii="Arial" w:cs="Arial" w:eastAsia="Arial" w:hAnsi="Arial"/>
          <w:sz w:val="13"/>
          <w:szCs w:val="13"/>
          <w:color w:val="auto"/>
        </w:rPr>
        <w:t>) such parties' intent to uphold this Contract even without the void, invalid or ineffective provisions.</w:t>
      </w:r>
    </w:p>
    <w:p>
      <w:pPr>
        <w:spacing w:after="0" w:line="24" w:lineRule="exact"/>
        <w:rPr>
          <w:sz w:val="20"/>
          <w:szCs w:val="20"/>
          <w:color w:val="auto"/>
        </w:rPr>
      </w:pPr>
    </w:p>
    <w:p>
      <w:pPr>
        <w:jc w:val="both"/>
        <w:ind w:left="1160" w:right="120"/>
        <w:spacing w:after="0" w:line="246" w:lineRule="auto"/>
        <w:rPr>
          <w:sz w:val="20"/>
          <w:szCs w:val="20"/>
          <w:color w:val="auto"/>
        </w:rPr>
      </w:pPr>
      <w:r>
        <w:rPr>
          <w:rFonts w:ascii="Arial" w:cs="Arial" w:eastAsia="Arial" w:hAnsi="Arial"/>
          <w:sz w:val="13"/>
          <w:szCs w:val="13"/>
          <w:color w:val="auto"/>
        </w:rPr>
        <w:t>The illegal, invalid, unenforceable or ineffective provision shall be deemed replaced by such legal, valid, enforceable and effective provision that in legal and economic terms comes closest to what the Parties intended or would have intended in accordance with the purpose of this Contract if they had considered the point at the time of conclusion of this Contract. The same applies in the event that this Contract or any other Finance Document does not contain a provision which it needs to contain in order to achieve the economic purpose as expressed herein (</w:t>
      </w:r>
      <w:r>
        <w:rPr>
          <w:rFonts w:ascii="Arial" w:cs="Arial" w:eastAsia="Arial" w:hAnsi="Arial"/>
          <w:sz w:val="13"/>
          <w:szCs w:val="13"/>
          <w:i w:val="1"/>
          <w:iCs w:val="1"/>
          <w:color w:val="auto"/>
        </w:rPr>
        <w:t>Regelungslücke</w:t>
      </w:r>
      <w:r>
        <w:rPr>
          <w:rFonts w:ascii="Arial" w:cs="Arial" w:eastAsia="Arial" w:hAnsi="Arial"/>
          <w:sz w:val="13"/>
          <w:szCs w:val="13"/>
          <w:color w:val="auto"/>
        </w:rPr>
        <w:t>).</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b w:val="1"/>
                <w:bCs w:val="1"/>
                <w:color w:val="auto"/>
              </w:rPr>
              <w:t>10.8</w:t>
            </w: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Amendments</w:t>
            </w:r>
          </w:p>
        </w:tc>
        <w:tc>
          <w:tcPr>
            <w:tcW w:w="4740" w:type="dxa"/>
            <w:vAlign w:val="bottom"/>
            <w:gridSpan w:val="4"/>
          </w:tcPr>
          <w:p>
            <w:pPr>
              <w:spacing w:after="0"/>
              <w:rPr>
                <w:sz w:val="13"/>
                <w:szCs w:val="13"/>
                <w:color w:val="auto"/>
              </w:rPr>
            </w:pPr>
          </w:p>
        </w:tc>
        <w:tc>
          <w:tcPr>
            <w:tcW w:w="182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240"/>
        </w:trPr>
        <w:tc>
          <w:tcPr>
            <w:tcW w:w="1020" w:type="dxa"/>
            <w:vAlign w:val="bottom"/>
          </w:tcPr>
          <w:p>
            <w:pPr>
              <w:spacing w:after="0"/>
              <w:rPr>
                <w:sz w:val="20"/>
                <w:szCs w:val="20"/>
                <w:color w:val="auto"/>
              </w:rPr>
            </w:pPr>
          </w:p>
        </w:tc>
        <w:tc>
          <w:tcPr>
            <w:tcW w:w="5600" w:type="dxa"/>
            <w:vAlign w:val="bottom"/>
            <w:gridSpan w:val="6"/>
          </w:tcPr>
          <w:p>
            <w:pPr>
              <w:ind w:left="20"/>
              <w:spacing w:after="0"/>
              <w:rPr>
                <w:rFonts w:ascii="Arial" w:cs="Arial" w:eastAsia="Arial" w:hAnsi="Arial"/>
                <w:sz w:val="13"/>
                <w:szCs w:val="13"/>
                <w:color w:val="auto"/>
              </w:rPr>
            </w:pPr>
            <w:r>
              <w:rPr>
                <w:rFonts w:ascii="Arial" w:cs="Arial" w:eastAsia="Arial" w:hAnsi="Arial"/>
                <w:sz w:val="13"/>
                <w:szCs w:val="13"/>
                <w:color w:val="auto"/>
              </w:rPr>
              <w:t xml:space="preserve">Any amendment to this Contract (including this Article </w:t>
            </w:r>
            <w:hyperlink w:anchor="page367">
              <w:r>
                <w:rPr>
                  <w:rFonts w:ascii="Arial" w:cs="Arial" w:eastAsia="Arial" w:hAnsi="Arial"/>
                  <w:sz w:val="13"/>
                  <w:szCs w:val="13"/>
                  <w:color w:val="0000EE"/>
                </w:rPr>
                <w:t>10.8</w:t>
              </w:r>
            </w:hyperlink>
            <w:r>
              <w:rPr>
                <w:rFonts w:ascii="Arial" w:cs="Arial" w:eastAsia="Arial" w:hAnsi="Arial"/>
                <w:sz w:val="13"/>
                <w:szCs w:val="13"/>
                <w:color w:val="auto"/>
              </w:rPr>
              <w:t>) or any other Finance Document</w:t>
            </w:r>
          </w:p>
        </w:tc>
        <w:tc>
          <w:tcPr>
            <w:tcW w:w="1820" w:type="dxa"/>
            <w:vAlign w:val="bottom"/>
          </w:tcPr>
          <w:p>
            <w:pPr>
              <w:ind w:left="60"/>
              <w:spacing w:after="0"/>
              <w:rPr>
                <w:sz w:val="20"/>
                <w:szCs w:val="20"/>
                <w:color w:val="auto"/>
              </w:rPr>
            </w:pPr>
            <w:r>
              <w:rPr>
                <w:rFonts w:ascii="Arial" w:cs="Arial" w:eastAsia="Arial" w:hAnsi="Arial"/>
                <w:sz w:val="13"/>
                <w:szCs w:val="13"/>
                <w:color w:val="auto"/>
              </w:rPr>
              <w:t>shall be made in writing (or</w:t>
            </w:r>
          </w:p>
        </w:tc>
        <w:tc>
          <w:tcPr>
            <w:tcW w:w="2580" w:type="dxa"/>
            <w:vAlign w:val="bottom"/>
          </w:tcPr>
          <w:p>
            <w:pPr>
              <w:ind w:left="40"/>
              <w:spacing w:after="0"/>
              <w:rPr>
                <w:sz w:val="20"/>
                <w:szCs w:val="20"/>
                <w:color w:val="auto"/>
              </w:rPr>
            </w:pPr>
            <w:r>
              <w:rPr>
                <w:rFonts w:ascii="Arial" w:cs="Arial" w:eastAsia="Arial" w:hAnsi="Arial"/>
                <w:sz w:val="13"/>
                <w:szCs w:val="13"/>
                <w:color w:val="auto"/>
              </w:rPr>
              <w:t>in notarial form, if required) and shall be</w:t>
            </w:r>
          </w:p>
        </w:tc>
      </w:tr>
      <w:tr>
        <w:trPr>
          <w:trHeight w:val="160"/>
        </w:trPr>
        <w:tc>
          <w:tcPr>
            <w:tcW w:w="1020" w:type="dxa"/>
            <w:vAlign w:val="bottom"/>
          </w:tcPr>
          <w:p>
            <w:pPr>
              <w:spacing w:after="0"/>
              <w:rPr>
                <w:sz w:val="13"/>
                <w:szCs w:val="13"/>
                <w:color w:val="auto"/>
              </w:rPr>
            </w:pPr>
          </w:p>
        </w:tc>
        <w:tc>
          <w:tcPr>
            <w:tcW w:w="3300" w:type="dxa"/>
            <w:vAlign w:val="bottom"/>
            <w:gridSpan w:val="4"/>
          </w:tcPr>
          <w:p>
            <w:pPr>
              <w:ind w:left="20"/>
              <w:spacing w:after="0"/>
              <w:rPr>
                <w:sz w:val="20"/>
                <w:szCs w:val="20"/>
                <w:color w:val="auto"/>
              </w:rPr>
            </w:pPr>
            <w:r>
              <w:rPr>
                <w:rFonts w:ascii="Arial" w:cs="Arial" w:eastAsia="Arial" w:hAnsi="Arial"/>
                <w:sz w:val="13"/>
                <w:szCs w:val="13"/>
                <w:color w:val="auto"/>
              </w:rPr>
              <w:t>signed by the parties hereto.</w:t>
            </w:r>
          </w:p>
        </w:tc>
        <w:tc>
          <w:tcPr>
            <w:tcW w:w="260" w:type="dxa"/>
            <w:vAlign w:val="bottom"/>
            <w:tcBorders>
              <w:top w:val="single" w:sz="8" w:color="0000EE"/>
            </w:tcBorders>
          </w:tcPr>
          <w:p>
            <w:pPr>
              <w:spacing w:after="0"/>
              <w:rPr>
                <w:sz w:val="13"/>
                <w:szCs w:val="13"/>
                <w:color w:val="auto"/>
              </w:rPr>
            </w:pPr>
          </w:p>
        </w:tc>
        <w:tc>
          <w:tcPr>
            <w:tcW w:w="20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280"/>
        </w:trPr>
        <w:tc>
          <w:tcPr>
            <w:tcW w:w="1020" w:type="dxa"/>
            <w:vAlign w:val="bottom"/>
          </w:tcPr>
          <w:p>
            <w:pPr>
              <w:spacing w:after="0"/>
              <w:rPr>
                <w:sz w:val="20"/>
                <w:szCs w:val="20"/>
                <w:color w:val="auto"/>
              </w:rPr>
            </w:pPr>
            <w:r>
              <w:rPr>
                <w:rFonts w:ascii="Arial" w:cs="Arial" w:eastAsia="Arial" w:hAnsi="Arial"/>
                <w:sz w:val="13"/>
                <w:szCs w:val="13"/>
                <w:b w:val="1"/>
                <w:bCs w:val="1"/>
                <w:color w:val="auto"/>
              </w:rPr>
              <w:t>10.9</w:t>
            </w:r>
          </w:p>
        </w:tc>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Counterparts</w:t>
            </w:r>
          </w:p>
        </w:tc>
        <w:tc>
          <w:tcPr>
            <w:tcW w:w="4760" w:type="dxa"/>
            <w:vAlign w:val="bottom"/>
            <w:gridSpan w:val="5"/>
          </w:tcPr>
          <w:p>
            <w:pPr>
              <w:spacing w:after="0"/>
              <w:rPr>
                <w:sz w:val="24"/>
                <w:szCs w:val="24"/>
                <w:color w:val="auto"/>
              </w:rPr>
            </w:pPr>
          </w:p>
        </w:tc>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59"/>
        </w:trPr>
        <w:tc>
          <w:tcPr>
            <w:tcW w:w="1020" w:type="dxa"/>
            <w:vAlign w:val="bottom"/>
          </w:tcPr>
          <w:p>
            <w:pPr>
              <w:spacing w:after="0"/>
              <w:rPr>
                <w:sz w:val="22"/>
                <w:szCs w:val="22"/>
                <w:color w:val="auto"/>
              </w:rPr>
            </w:pPr>
          </w:p>
        </w:tc>
        <w:tc>
          <w:tcPr>
            <w:tcW w:w="5600" w:type="dxa"/>
            <w:vAlign w:val="bottom"/>
            <w:gridSpan w:val="6"/>
          </w:tcPr>
          <w:p>
            <w:pPr>
              <w:ind w:left="20"/>
              <w:spacing w:after="0"/>
              <w:rPr>
                <w:sz w:val="20"/>
                <w:szCs w:val="20"/>
                <w:color w:val="auto"/>
              </w:rPr>
            </w:pPr>
            <w:r>
              <w:rPr>
                <w:rFonts w:ascii="Arial" w:cs="Arial" w:eastAsia="Arial" w:hAnsi="Arial"/>
                <w:sz w:val="13"/>
                <w:szCs w:val="13"/>
                <w:color w:val="auto"/>
              </w:rPr>
              <w:t>This Contract may be executed in any number of counterparts, all of which taken together</w:t>
            </w:r>
          </w:p>
        </w:tc>
        <w:tc>
          <w:tcPr>
            <w:tcW w:w="1820" w:type="dxa"/>
            <w:vAlign w:val="bottom"/>
          </w:tcPr>
          <w:p>
            <w:pPr>
              <w:ind w:left="20"/>
              <w:spacing w:after="0"/>
              <w:rPr>
                <w:sz w:val="20"/>
                <w:szCs w:val="20"/>
                <w:color w:val="auto"/>
              </w:rPr>
            </w:pPr>
            <w:r>
              <w:rPr>
                <w:rFonts w:ascii="Arial" w:cs="Arial" w:eastAsia="Arial" w:hAnsi="Arial"/>
                <w:sz w:val="13"/>
                <w:szCs w:val="13"/>
                <w:color w:val="auto"/>
              </w:rPr>
              <w:t>shall constitute one and  the</w:t>
            </w:r>
          </w:p>
        </w:tc>
        <w:tc>
          <w:tcPr>
            <w:tcW w:w="2580" w:type="dxa"/>
            <w:vAlign w:val="bottom"/>
          </w:tcPr>
          <w:p>
            <w:pPr>
              <w:ind w:left="40"/>
              <w:spacing w:after="0"/>
              <w:rPr>
                <w:sz w:val="20"/>
                <w:szCs w:val="20"/>
                <w:color w:val="auto"/>
              </w:rPr>
            </w:pPr>
            <w:r>
              <w:rPr>
                <w:rFonts w:ascii="Arial" w:cs="Arial" w:eastAsia="Arial" w:hAnsi="Arial"/>
                <w:sz w:val="13"/>
                <w:szCs w:val="13"/>
                <w:color w:val="auto"/>
              </w:rPr>
              <w:t>same  instrument. Each  counterpart is an</w:t>
            </w:r>
          </w:p>
        </w:tc>
      </w:tr>
      <w:tr>
        <w:trPr>
          <w:trHeight w:val="161"/>
        </w:trPr>
        <w:tc>
          <w:tcPr>
            <w:tcW w:w="1020" w:type="dxa"/>
            <w:vAlign w:val="bottom"/>
          </w:tcPr>
          <w:p>
            <w:pPr>
              <w:spacing w:after="0"/>
              <w:rPr>
                <w:sz w:val="13"/>
                <w:szCs w:val="13"/>
                <w:color w:val="auto"/>
              </w:rPr>
            </w:pPr>
          </w:p>
        </w:tc>
        <w:tc>
          <w:tcPr>
            <w:tcW w:w="5600" w:type="dxa"/>
            <w:vAlign w:val="bottom"/>
            <w:gridSpan w:val="6"/>
          </w:tcPr>
          <w:p>
            <w:pPr>
              <w:ind w:left="20"/>
              <w:spacing w:after="0"/>
              <w:rPr>
                <w:sz w:val="20"/>
                <w:szCs w:val="20"/>
                <w:color w:val="auto"/>
              </w:rPr>
            </w:pPr>
            <w:r>
              <w:rPr>
                <w:rFonts w:ascii="Arial" w:cs="Arial" w:eastAsia="Arial" w:hAnsi="Arial"/>
                <w:sz w:val="13"/>
                <w:szCs w:val="13"/>
                <w:color w:val="auto"/>
              </w:rPr>
              <w:t>original, but all counterparts shall together constitute one and the same instrument.</w:t>
            </w:r>
          </w:p>
        </w:tc>
        <w:tc>
          <w:tcPr>
            <w:tcW w:w="182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280"/>
        </w:trPr>
        <w:tc>
          <w:tcPr>
            <w:tcW w:w="1020" w:type="dxa"/>
            <w:vAlign w:val="bottom"/>
          </w:tcPr>
          <w:p>
            <w:pPr>
              <w:spacing w:after="0"/>
              <w:rPr>
                <w:sz w:val="20"/>
                <w:szCs w:val="20"/>
                <w:color w:val="auto"/>
              </w:rPr>
            </w:pPr>
            <w:r>
              <w:rPr>
                <w:rFonts w:ascii="Arial" w:cs="Arial" w:eastAsia="Arial" w:hAnsi="Arial"/>
                <w:sz w:val="13"/>
                <w:szCs w:val="13"/>
                <w:b w:val="1"/>
                <w:bCs w:val="1"/>
                <w:color w:val="auto"/>
              </w:rPr>
              <w:t>10.10</w:t>
            </w:r>
          </w:p>
        </w:tc>
        <w:tc>
          <w:tcPr>
            <w:tcW w:w="5600" w:type="dxa"/>
            <w:vAlign w:val="bottom"/>
            <w:gridSpan w:val="6"/>
          </w:tcPr>
          <w:p>
            <w:pPr>
              <w:spacing w:after="0"/>
              <w:rPr>
                <w:sz w:val="20"/>
                <w:szCs w:val="20"/>
                <w:color w:val="auto"/>
              </w:rPr>
            </w:pPr>
            <w:r>
              <w:rPr>
                <w:rFonts w:ascii="Arial" w:cs="Arial" w:eastAsia="Arial" w:hAnsi="Arial"/>
                <w:sz w:val="13"/>
                <w:szCs w:val="13"/>
                <w:b w:val="1"/>
                <w:bCs w:val="1"/>
                <w:color w:val="auto"/>
              </w:rPr>
              <w:t>Assignment and transfer by the Bank</w:t>
            </w:r>
          </w:p>
        </w:tc>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105" w:lineRule="exact"/>
        <w:rPr>
          <w:sz w:val="20"/>
          <w:szCs w:val="20"/>
          <w:color w:val="auto"/>
        </w:rPr>
      </w:pPr>
    </w:p>
    <w:p>
      <w:pPr>
        <w:ind w:left="1820" w:right="140" w:hanging="670"/>
        <w:spacing w:after="0" w:line="260" w:lineRule="auto"/>
        <w:tabs>
          <w:tab w:leader="none" w:pos="1820" w:val="left"/>
        </w:tabs>
        <w:numPr>
          <w:ilvl w:val="0"/>
          <w:numId w:val="418"/>
        </w:numPr>
        <w:rPr>
          <w:rFonts w:ascii="Arial" w:cs="Arial" w:eastAsia="Arial" w:hAnsi="Arial"/>
          <w:sz w:val="13"/>
          <w:szCs w:val="13"/>
          <w:color w:val="auto"/>
        </w:rPr>
      </w:pPr>
      <w:r>
        <w:rPr>
          <w:rFonts w:ascii="Arial" w:cs="Arial" w:eastAsia="Arial" w:hAnsi="Arial"/>
          <w:sz w:val="13"/>
          <w:szCs w:val="13"/>
          <w:color w:val="auto"/>
        </w:rPr>
        <w:t>Subject to sub-paragraph (b) of this Article 10.10 (</w:t>
      </w:r>
      <w:r>
        <w:rPr>
          <w:rFonts w:ascii="Arial" w:cs="Arial" w:eastAsia="Arial" w:hAnsi="Arial"/>
          <w:sz w:val="13"/>
          <w:szCs w:val="13"/>
          <w:i w:val="1"/>
          <w:iCs w:val="1"/>
          <w:color w:val="auto"/>
        </w:rPr>
        <w:t>Assignment and transfer by the Bank</w:t>
      </w:r>
      <w:r>
        <w:rPr>
          <w:rFonts w:ascii="Arial" w:cs="Arial" w:eastAsia="Arial" w:hAnsi="Arial"/>
          <w:sz w:val="13"/>
          <w:szCs w:val="13"/>
          <w:color w:val="auto"/>
        </w:rPr>
        <w:t>), the consent of the Borrower is required for an assignment or transfer (by way of assumption of contract (</w:t>
      </w:r>
      <w:r>
        <w:rPr>
          <w:rFonts w:ascii="Arial" w:cs="Arial" w:eastAsia="Arial" w:hAnsi="Arial"/>
          <w:sz w:val="13"/>
          <w:szCs w:val="13"/>
          <w:i w:val="1"/>
          <w:iCs w:val="1"/>
          <w:color w:val="auto"/>
        </w:rPr>
        <w:t>Vertragsübernahme</w:t>
      </w:r>
      <w:r>
        <w:rPr>
          <w:rFonts w:ascii="Arial" w:cs="Arial" w:eastAsia="Arial" w:hAnsi="Arial"/>
          <w:sz w:val="13"/>
          <w:szCs w:val="13"/>
          <w:color w:val="auto"/>
        </w:rPr>
        <w:t>), sub-participation or otherwise) by the Bank of all or part of its rights, benefits or obligations under the Finance Documents, unless the assignment or transfer:</w:t>
      </w:r>
    </w:p>
    <w:p>
      <w:pPr>
        <w:spacing w:after="0" w:line="208" w:lineRule="exact"/>
        <w:rPr>
          <w:rFonts w:ascii="Arial" w:cs="Arial" w:eastAsia="Arial" w:hAnsi="Arial"/>
          <w:sz w:val="13"/>
          <w:szCs w:val="13"/>
          <w:color w:val="auto"/>
        </w:rPr>
      </w:pPr>
    </w:p>
    <w:p>
      <w:pPr>
        <w:ind w:left="2520" w:hanging="680"/>
        <w:spacing w:after="0"/>
        <w:tabs>
          <w:tab w:leader="none" w:pos="2520" w:val="left"/>
        </w:tabs>
        <w:numPr>
          <w:ilvl w:val="1"/>
          <w:numId w:val="418"/>
        </w:numPr>
        <w:rPr>
          <w:rFonts w:ascii="Arial" w:cs="Arial" w:eastAsia="Arial" w:hAnsi="Arial"/>
          <w:sz w:val="13"/>
          <w:szCs w:val="13"/>
          <w:color w:val="auto"/>
        </w:rPr>
      </w:pPr>
      <w:r>
        <w:rPr>
          <w:rFonts w:ascii="Arial" w:cs="Arial" w:eastAsia="Arial" w:hAnsi="Arial"/>
          <w:sz w:val="13"/>
          <w:szCs w:val="13"/>
          <w:color w:val="auto"/>
        </w:rPr>
        <w:t>is to a Bank Affiliate; or</w:t>
      </w:r>
    </w:p>
    <w:p>
      <w:pPr>
        <w:ind w:left="2520" w:hanging="680"/>
        <w:spacing w:after="0"/>
        <w:tabs>
          <w:tab w:leader="none" w:pos="2520" w:val="left"/>
        </w:tabs>
        <w:numPr>
          <w:ilvl w:val="1"/>
          <w:numId w:val="418"/>
        </w:numPr>
        <w:rPr>
          <w:rFonts w:ascii="Arial" w:cs="Arial" w:eastAsia="Arial" w:hAnsi="Arial"/>
          <w:sz w:val="13"/>
          <w:szCs w:val="13"/>
          <w:color w:val="auto"/>
        </w:rPr>
      </w:pPr>
      <w:r>
        <w:rPr>
          <w:rFonts w:ascii="Arial" w:cs="Arial" w:eastAsia="Arial" w:hAnsi="Arial"/>
          <w:sz w:val="13"/>
          <w:szCs w:val="13"/>
          <w:color w:val="auto"/>
        </w:rPr>
        <w:t>is made at a time when an Event of Default has occurred and is continuing; or</w:t>
      </w:r>
    </w:p>
    <w:p>
      <w:pPr>
        <w:ind w:left="2520" w:right="160" w:hanging="680"/>
        <w:spacing w:after="0" w:line="258" w:lineRule="auto"/>
        <w:tabs>
          <w:tab w:leader="none" w:pos="2520" w:val="left"/>
        </w:tabs>
        <w:numPr>
          <w:ilvl w:val="1"/>
          <w:numId w:val="418"/>
        </w:numPr>
        <w:rPr>
          <w:rFonts w:ascii="Arial" w:cs="Arial" w:eastAsia="Arial" w:hAnsi="Arial"/>
          <w:sz w:val="13"/>
          <w:szCs w:val="13"/>
          <w:color w:val="auto"/>
        </w:rPr>
      </w:pPr>
      <w:r>
        <w:rPr>
          <w:rFonts w:ascii="Arial" w:cs="Arial" w:eastAsia="Arial" w:hAnsi="Arial"/>
          <w:sz w:val="13"/>
          <w:szCs w:val="13"/>
          <w:color w:val="auto"/>
        </w:rPr>
        <w:t>is made in respect of a sub-participation or securitisation (or similar transaction of broadly equivalent economic effect) where the Bank remains the lender of record of the Loan.</w:t>
      </w:r>
    </w:p>
    <w:p>
      <w:pPr>
        <w:spacing w:after="0" w:line="48" w:lineRule="exact"/>
        <w:rPr>
          <w:rFonts w:ascii="Arial" w:cs="Arial" w:eastAsia="Arial" w:hAnsi="Arial"/>
          <w:sz w:val="13"/>
          <w:szCs w:val="13"/>
          <w:color w:val="auto"/>
        </w:rPr>
      </w:pPr>
    </w:p>
    <w:p>
      <w:pPr>
        <w:ind w:left="1820" w:right="300" w:hanging="670"/>
        <w:spacing w:after="0" w:line="258" w:lineRule="auto"/>
        <w:tabs>
          <w:tab w:leader="none" w:pos="1820" w:val="left"/>
        </w:tabs>
        <w:numPr>
          <w:ilvl w:val="0"/>
          <w:numId w:val="418"/>
        </w:numPr>
        <w:rPr>
          <w:rFonts w:ascii="Arial" w:cs="Arial" w:eastAsia="Arial" w:hAnsi="Arial"/>
          <w:sz w:val="13"/>
          <w:szCs w:val="13"/>
          <w:color w:val="auto"/>
        </w:rPr>
      </w:pPr>
      <w:r>
        <w:rPr>
          <w:rFonts w:ascii="Arial" w:cs="Arial" w:eastAsia="Arial" w:hAnsi="Arial"/>
          <w:sz w:val="13"/>
          <w:szCs w:val="13"/>
          <w:color w:val="auto"/>
        </w:rPr>
        <w:t>The consent of the Borrower to an assignment or transfer must not be unreasonably withheld or delayed. The Borrower will be deemed to have given its consent [***] Business Days after the Bank has requested it unless consent is expressly refused by the Borrower within that time.</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67" w:name="page368"/>
    <w:bookmarkEnd w:id="367"/>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820" w:right="600" w:hanging="670"/>
        <w:spacing w:after="0" w:line="258" w:lineRule="auto"/>
        <w:tabs>
          <w:tab w:leader="none" w:pos="1820" w:val="left"/>
        </w:tabs>
        <w:numPr>
          <w:ilvl w:val="0"/>
          <w:numId w:val="419"/>
        </w:numPr>
        <w:rPr>
          <w:rFonts w:ascii="Arial" w:cs="Arial" w:eastAsia="Arial" w:hAnsi="Arial"/>
          <w:sz w:val="13"/>
          <w:szCs w:val="13"/>
          <w:color w:val="auto"/>
        </w:rPr>
      </w:pPr>
      <w:r>
        <w:rPr>
          <w:rFonts w:ascii="Arial" w:cs="Arial" w:eastAsia="Arial" w:hAnsi="Arial"/>
          <w:sz w:val="13"/>
          <w:szCs w:val="13"/>
          <w:color w:val="auto"/>
        </w:rPr>
        <w:t>The Bank shall have the right to disclose all information relating to or concerning the Borrower, the Group, the Finance Documents and the Loan in connection with or in contemplation of any such assignment or transfer.</w:t>
      </w:r>
    </w:p>
    <w:p>
      <w:pPr>
        <w:spacing w:after="0" w:line="3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For the purpose of this Article 10.10 (</w:t>
      </w:r>
      <w:r>
        <w:rPr>
          <w:rFonts w:ascii="Arial" w:cs="Arial" w:eastAsia="Arial" w:hAnsi="Arial"/>
          <w:sz w:val="13"/>
          <w:szCs w:val="13"/>
          <w:i w:val="1"/>
          <w:iCs w:val="1"/>
          <w:color w:val="auto"/>
        </w:rPr>
        <w:t>Assignment and transfer by the Bank</w:t>
      </w:r>
      <w:r>
        <w:rPr>
          <w:rFonts w:ascii="Arial" w:cs="Arial" w:eastAsia="Arial" w:hAnsi="Arial"/>
          <w:sz w:val="13"/>
          <w:szCs w:val="13"/>
          <w:color w:val="auto"/>
        </w:rPr>
        <w:t>):</w:t>
      </w:r>
    </w:p>
    <w:p>
      <w:pPr>
        <w:spacing w:after="0" w:line="78"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 xml:space="preserve">"Affiliate" </w:t>
      </w:r>
      <w:r>
        <w:rPr>
          <w:rFonts w:ascii="Arial" w:cs="Arial" w:eastAsia="Arial" w:hAnsi="Arial"/>
          <w:sz w:val="13"/>
          <w:szCs w:val="13"/>
          <w:color w:val="auto"/>
        </w:rPr>
        <w:t>means any entity directly or indirectly Controlling, Controlled by or under common Control with the Bank.</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 xml:space="preserve">"Bank Affiliate" </w:t>
      </w:r>
      <w:r>
        <w:rPr>
          <w:rFonts w:ascii="Arial" w:cs="Arial" w:eastAsia="Arial" w:hAnsi="Arial"/>
          <w:sz w:val="13"/>
          <w:szCs w:val="13"/>
          <w:color w:val="auto"/>
        </w:rPr>
        <w:t>means an Affiliate of the Bank and any other entity or platform initiated, managed or advised by the Bank.</w:t>
      </w: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3"/>
          <w:szCs w:val="13"/>
          <w:b w:val="1"/>
          <w:bCs w:val="1"/>
          <w:u w:val="single" w:color="auto"/>
          <w:color w:val="auto"/>
        </w:rPr>
        <w:t>ARTICLE 11</w:t>
      </w:r>
    </w:p>
    <w:p>
      <w:pPr>
        <w:spacing w:after="0" w:line="80" w:lineRule="exact"/>
        <w:rPr>
          <w:sz w:val="20"/>
          <w:szCs w:val="20"/>
          <w:color w:val="auto"/>
        </w:rPr>
      </w:pPr>
    </w:p>
    <w:p>
      <w:pPr>
        <w:ind w:left="5220"/>
        <w:spacing w:after="0"/>
        <w:rPr>
          <w:sz w:val="20"/>
          <w:szCs w:val="20"/>
          <w:color w:val="auto"/>
        </w:rPr>
      </w:pPr>
      <w:r>
        <w:rPr>
          <w:rFonts w:ascii="Arial" w:cs="Arial" w:eastAsia="Arial" w:hAnsi="Arial"/>
          <w:sz w:val="13"/>
          <w:szCs w:val="13"/>
          <w:b w:val="1"/>
          <w:bCs w:val="1"/>
          <w:u w:val="single" w:color="auto"/>
          <w:color w:val="auto"/>
        </w:rPr>
        <w:t>Final Articles</w:t>
      </w:r>
    </w:p>
    <w:p>
      <w:pPr>
        <w:spacing w:after="0" w:line="24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11.1</w:t>
      </w:r>
      <w:r>
        <w:rPr>
          <w:sz w:val="20"/>
          <w:szCs w:val="20"/>
          <w:color w:val="auto"/>
        </w:rPr>
        <w:tab/>
      </w:r>
      <w:r>
        <w:rPr>
          <w:rFonts w:ascii="Arial" w:cs="Arial" w:eastAsia="Arial" w:hAnsi="Arial"/>
          <w:sz w:val="13"/>
          <w:szCs w:val="13"/>
          <w:b w:val="1"/>
          <w:bCs w:val="1"/>
          <w:u w:val="single" w:color="auto"/>
          <w:color w:val="auto"/>
        </w:rPr>
        <w:t>Notices</w:t>
      </w:r>
    </w:p>
    <w:p>
      <w:pPr>
        <w:spacing w:after="0" w:line="110"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11.1.1</w:t>
      </w:r>
      <w:r>
        <w:rPr>
          <w:sz w:val="20"/>
          <w:szCs w:val="20"/>
          <w:color w:val="auto"/>
        </w:rPr>
        <w:tab/>
      </w:r>
      <w:r>
        <w:rPr>
          <w:rFonts w:ascii="Arial" w:cs="Arial" w:eastAsia="Arial" w:hAnsi="Arial"/>
          <w:sz w:val="13"/>
          <w:szCs w:val="13"/>
          <w:b w:val="1"/>
          <w:bCs w:val="1"/>
          <w:color w:val="auto"/>
        </w:rPr>
        <w:t>Form of notice</w:t>
      </w:r>
    </w:p>
    <w:p>
      <w:pPr>
        <w:spacing w:after="0" w:line="86" w:lineRule="exact"/>
        <w:rPr>
          <w:sz w:val="20"/>
          <w:szCs w:val="20"/>
          <w:color w:val="auto"/>
        </w:rPr>
      </w:pPr>
    </w:p>
    <w:p>
      <w:pPr>
        <w:ind w:left="1820" w:hanging="670"/>
        <w:spacing w:after="0"/>
        <w:tabs>
          <w:tab w:leader="none" w:pos="1820" w:val="left"/>
        </w:tabs>
        <w:numPr>
          <w:ilvl w:val="0"/>
          <w:numId w:val="420"/>
        </w:numPr>
        <w:rPr>
          <w:rFonts w:ascii="Arial" w:cs="Arial" w:eastAsia="Arial" w:hAnsi="Arial"/>
          <w:sz w:val="13"/>
          <w:szCs w:val="13"/>
          <w:color w:val="auto"/>
        </w:rPr>
      </w:pPr>
      <w:r>
        <w:rPr>
          <w:rFonts w:ascii="Arial" w:cs="Arial" w:eastAsia="Arial" w:hAnsi="Arial"/>
          <w:sz w:val="13"/>
          <w:szCs w:val="13"/>
          <w:color w:val="auto"/>
        </w:rPr>
        <w:t>Any notice or other communication given under this Contract must be in writing and, unless otherwise stated, may be made by letter and electronic mail.</w:t>
      </w:r>
    </w:p>
    <w:p>
      <w:pPr>
        <w:spacing w:after="0" w:line="70" w:lineRule="exact"/>
        <w:rPr>
          <w:rFonts w:ascii="Arial" w:cs="Arial" w:eastAsia="Arial" w:hAnsi="Arial"/>
          <w:sz w:val="13"/>
          <w:szCs w:val="13"/>
          <w:color w:val="auto"/>
        </w:rPr>
      </w:pPr>
    </w:p>
    <w:p>
      <w:pPr>
        <w:jc w:val="both"/>
        <w:ind w:left="1820" w:right="260" w:hanging="670"/>
        <w:spacing w:after="0" w:line="252" w:lineRule="auto"/>
        <w:tabs>
          <w:tab w:leader="none" w:pos="1820" w:val="left"/>
        </w:tabs>
        <w:numPr>
          <w:ilvl w:val="0"/>
          <w:numId w:val="420"/>
        </w:numPr>
        <w:rPr>
          <w:rFonts w:ascii="Arial" w:cs="Arial" w:eastAsia="Arial" w:hAnsi="Arial"/>
          <w:sz w:val="13"/>
          <w:szCs w:val="13"/>
          <w:color w:val="auto"/>
        </w:rPr>
      </w:pPr>
      <w:r>
        <w:rPr>
          <w:rFonts w:ascii="Arial" w:cs="Arial" w:eastAsia="Arial" w:hAnsi="Arial"/>
          <w:sz w:val="13"/>
          <w:szCs w:val="13"/>
          <w:color w:val="auto"/>
        </w:rPr>
        <w:t>Notices and other communications for which fixed periods are laid down in this Contract or which themselves fix periods binding on the addressee, may be made by hand delivery, registered letter or by electronic mail. Such notices and communications shall be deemed to have been received by the other party:</w:t>
      </w:r>
    </w:p>
    <w:p>
      <w:pPr>
        <w:spacing w:after="0" w:line="216" w:lineRule="exact"/>
        <w:rPr>
          <w:sz w:val="20"/>
          <w:szCs w:val="20"/>
          <w:color w:val="auto"/>
        </w:rPr>
      </w:pPr>
    </w:p>
    <w:p>
      <w:pPr>
        <w:ind w:left="2520" w:hanging="680"/>
        <w:spacing w:after="0"/>
        <w:tabs>
          <w:tab w:leader="none" w:pos="2520" w:val="left"/>
        </w:tabs>
        <w:numPr>
          <w:ilvl w:val="0"/>
          <w:numId w:val="421"/>
        </w:numPr>
        <w:rPr>
          <w:rFonts w:ascii="Arial" w:cs="Arial" w:eastAsia="Arial" w:hAnsi="Arial"/>
          <w:sz w:val="13"/>
          <w:szCs w:val="13"/>
          <w:color w:val="auto"/>
        </w:rPr>
      </w:pPr>
      <w:r>
        <w:rPr>
          <w:rFonts w:ascii="Arial" w:cs="Arial" w:eastAsia="Arial" w:hAnsi="Arial"/>
          <w:sz w:val="13"/>
          <w:szCs w:val="13"/>
          <w:color w:val="auto"/>
        </w:rPr>
        <w:t>on the date of delivery in relation to a hand-delivered or registered letter;</w:t>
      </w:r>
    </w:p>
    <w:p>
      <w:pPr>
        <w:spacing w:after="0" w:line="70" w:lineRule="exact"/>
        <w:rPr>
          <w:sz w:val="20"/>
          <w:szCs w:val="20"/>
          <w:color w:val="auto"/>
        </w:rPr>
      </w:pPr>
    </w:p>
    <w:p>
      <w:pPr>
        <w:ind w:left="1840"/>
        <w:spacing w:after="0"/>
        <w:tabs>
          <w:tab w:leader="none" w:pos="250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in the case of any electronic mail, when the electronic mail is received in readable form.</w:t>
      </w:r>
    </w:p>
    <w:p>
      <w:pPr>
        <w:spacing w:after="0" w:line="80" w:lineRule="exact"/>
        <w:rPr>
          <w:sz w:val="20"/>
          <w:szCs w:val="20"/>
          <w:color w:val="auto"/>
        </w:rPr>
      </w:pPr>
    </w:p>
    <w:p>
      <w:pPr>
        <w:ind w:left="1820" w:hanging="670"/>
        <w:spacing w:after="0"/>
        <w:tabs>
          <w:tab w:leader="none" w:pos="1820" w:val="left"/>
        </w:tabs>
        <w:numPr>
          <w:ilvl w:val="0"/>
          <w:numId w:val="422"/>
        </w:numPr>
        <w:rPr>
          <w:rFonts w:ascii="Arial" w:cs="Arial" w:eastAsia="Arial" w:hAnsi="Arial"/>
          <w:sz w:val="13"/>
          <w:szCs w:val="13"/>
          <w:color w:val="auto"/>
        </w:rPr>
      </w:pPr>
      <w:r>
        <w:rPr>
          <w:rFonts w:ascii="Arial" w:cs="Arial" w:eastAsia="Arial" w:hAnsi="Arial"/>
          <w:sz w:val="13"/>
          <w:szCs w:val="13"/>
          <w:color w:val="auto"/>
        </w:rPr>
        <w:t>Any notice provided by the Borrower or a Guarantor to the Bank by electronic mail shall:</w:t>
      </w:r>
    </w:p>
    <w:p>
      <w:pPr>
        <w:spacing w:after="0" w:line="80" w:lineRule="exact"/>
        <w:rPr>
          <w:rFonts w:ascii="Arial" w:cs="Arial" w:eastAsia="Arial" w:hAnsi="Arial"/>
          <w:sz w:val="13"/>
          <w:szCs w:val="13"/>
          <w:color w:val="auto"/>
        </w:rPr>
      </w:pPr>
    </w:p>
    <w:p>
      <w:pPr>
        <w:ind w:left="2520" w:hanging="680"/>
        <w:spacing w:after="0"/>
        <w:tabs>
          <w:tab w:leader="none" w:pos="2520" w:val="left"/>
        </w:tabs>
        <w:numPr>
          <w:ilvl w:val="1"/>
          <w:numId w:val="422"/>
        </w:numPr>
        <w:rPr>
          <w:rFonts w:ascii="Arial" w:cs="Arial" w:eastAsia="Arial" w:hAnsi="Arial"/>
          <w:sz w:val="13"/>
          <w:szCs w:val="13"/>
          <w:color w:val="auto"/>
        </w:rPr>
      </w:pPr>
      <w:r>
        <w:rPr>
          <w:rFonts w:ascii="Arial" w:cs="Arial" w:eastAsia="Arial" w:hAnsi="Arial"/>
          <w:sz w:val="13"/>
          <w:szCs w:val="13"/>
          <w:color w:val="auto"/>
        </w:rPr>
        <w:t>mention each Contract Number in the subject line; and</w:t>
      </w:r>
    </w:p>
    <w:p>
      <w:pPr>
        <w:spacing w:after="0" w:line="80" w:lineRule="exact"/>
        <w:rPr>
          <w:rFonts w:ascii="Arial" w:cs="Arial" w:eastAsia="Arial" w:hAnsi="Arial"/>
          <w:sz w:val="13"/>
          <w:szCs w:val="13"/>
          <w:color w:val="auto"/>
        </w:rPr>
      </w:pPr>
    </w:p>
    <w:p>
      <w:pPr>
        <w:ind w:left="2520" w:hanging="680"/>
        <w:spacing w:after="0"/>
        <w:tabs>
          <w:tab w:leader="none" w:pos="2520" w:val="left"/>
        </w:tabs>
        <w:numPr>
          <w:ilvl w:val="1"/>
          <w:numId w:val="422"/>
        </w:numPr>
        <w:rPr>
          <w:rFonts w:ascii="Arial" w:cs="Arial" w:eastAsia="Arial" w:hAnsi="Arial"/>
          <w:sz w:val="13"/>
          <w:szCs w:val="13"/>
          <w:color w:val="auto"/>
        </w:rPr>
      </w:pPr>
      <w:r>
        <w:rPr>
          <w:rFonts w:ascii="Arial" w:cs="Arial" w:eastAsia="Arial" w:hAnsi="Arial"/>
          <w:sz w:val="13"/>
          <w:szCs w:val="13"/>
          <w:color w:val="auto"/>
        </w:rPr>
        <w:t>be in the form of a non-editable electronic image (pdf, tif or other common non- editable file format agreed between the parties) of the notice</w:t>
      </w:r>
    </w:p>
    <w:p>
      <w:pPr>
        <w:ind w:left="2520"/>
        <w:spacing w:after="0"/>
        <w:rPr>
          <w:sz w:val="20"/>
          <w:szCs w:val="20"/>
          <w:color w:val="auto"/>
        </w:rPr>
      </w:pPr>
      <w:r>
        <w:rPr>
          <w:rFonts w:ascii="Arial" w:cs="Arial" w:eastAsia="Arial" w:hAnsi="Arial"/>
          <w:sz w:val="13"/>
          <w:szCs w:val="13"/>
          <w:color w:val="auto"/>
        </w:rPr>
        <w:t>signed by one or more Authorised Signatories of the Borrower as appropriate, attached to the  electronic mail.</w:t>
      </w:r>
    </w:p>
    <w:p>
      <w:pPr>
        <w:spacing w:after="0" w:line="80" w:lineRule="exact"/>
        <w:rPr>
          <w:sz w:val="20"/>
          <w:szCs w:val="20"/>
          <w:color w:val="auto"/>
        </w:rPr>
      </w:pPr>
    </w:p>
    <w:p>
      <w:pPr>
        <w:ind w:left="1820" w:right="400" w:hanging="670"/>
        <w:spacing w:after="0" w:line="249" w:lineRule="auto"/>
        <w:tabs>
          <w:tab w:leader="none" w:pos="1820" w:val="left"/>
        </w:tabs>
        <w:numPr>
          <w:ilvl w:val="0"/>
          <w:numId w:val="423"/>
        </w:numPr>
        <w:rPr>
          <w:rFonts w:ascii="Arial" w:cs="Arial" w:eastAsia="Arial" w:hAnsi="Arial"/>
          <w:sz w:val="13"/>
          <w:szCs w:val="13"/>
          <w:color w:val="auto"/>
        </w:rPr>
      </w:pPr>
      <w:r>
        <w:rPr>
          <w:rFonts w:ascii="Arial" w:cs="Arial" w:eastAsia="Arial" w:hAnsi="Arial"/>
          <w:sz w:val="13"/>
          <w:szCs w:val="13"/>
          <w:color w:val="auto"/>
        </w:rPr>
        <w:t>Notices issued by the Borrower pursuant to any provision of this Contract shall, where required by the Bank, be delivered to the Bank together with satisfactory evidence of the authority of the person or persons authorised to sign such notice on behalf of the Borrower and the authenticated specimen signature of such person or persons, unless such person is listed in the then current List of Authorised Signatories.</w:t>
      </w:r>
    </w:p>
    <w:p>
      <w:pPr>
        <w:spacing w:after="0" w:line="50" w:lineRule="exact"/>
        <w:rPr>
          <w:rFonts w:ascii="Arial" w:cs="Arial" w:eastAsia="Arial" w:hAnsi="Arial"/>
          <w:sz w:val="13"/>
          <w:szCs w:val="13"/>
          <w:color w:val="auto"/>
        </w:rPr>
      </w:pPr>
    </w:p>
    <w:p>
      <w:pPr>
        <w:ind w:left="1820" w:hanging="670"/>
        <w:spacing w:after="0"/>
        <w:tabs>
          <w:tab w:leader="none" w:pos="1820" w:val="left"/>
        </w:tabs>
        <w:numPr>
          <w:ilvl w:val="0"/>
          <w:numId w:val="423"/>
        </w:numPr>
        <w:rPr>
          <w:rFonts w:ascii="Arial" w:cs="Arial" w:eastAsia="Arial" w:hAnsi="Arial"/>
          <w:sz w:val="13"/>
          <w:szCs w:val="13"/>
          <w:color w:val="auto"/>
        </w:rPr>
      </w:pPr>
      <w:r>
        <w:rPr>
          <w:rFonts w:ascii="Arial" w:cs="Arial" w:eastAsia="Arial" w:hAnsi="Arial"/>
          <w:sz w:val="13"/>
          <w:szCs w:val="13"/>
          <w:color w:val="auto"/>
        </w:rPr>
        <w:t xml:space="preserve">Without affecting the validity of electronic mail or communication made in accordance with this Article </w:t>
      </w:r>
      <w:hyperlink w:anchor="page368">
        <w:r>
          <w:rPr>
            <w:rFonts w:ascii="Arial" w:cs="Arial" w:eastAsia="Arial" w:hAnsi="Arial"/>
            <w:sz w:val="13"/>
            <w:szCs w:val="13"/>
            <w:u w:val="single" w:color="auto"/>
            <w:color w:val="0000EE"/>
          </w:rPr>
          <w:t>11.1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Notices</w:t>
      </w:r>
      <w:r>
        <w:rPr>
          <w:rFonts w:ascii="Arial" w:cs="Arial" w:eastAsia="Arial" w:hAnsi="Arial"/>
          <w:sz w:val="13"/>
          <w:szCs w:val="13"/>
          <w:color w:val="auto"/>
        </w:rPr>
        <w:t>), the following notices, communications</w:t>
      </w:r>
    </w:p>
    <w:p>
      <w:pPr>
        <w:spacing w:after="0" w:line="14" w:lineRule="exact"/>
        <w:rPr>
          <w:sz w:val="20"/>
          <w:szCs w:val="20"/>
          <w:color w:val="auto"/>
        </w:rPr>
      </w:pPr>
    </w:p>
    <w:p>
      <w:pPr>
        <w:ind w:left="1820"/>
        <w:spacing w:after="0"/>
        <w:rPr>
          <w:sz w:val="20"/>
          <w:szCs w:val="20"/>
          <w:color w:val="auto"/>
        </w:rPr>
      </w:pPr>
      <w:r>
        <w:rPr>
          <w:rFonts w:ascii="Arial" w:cs="Arial" w:eastAsia="Arial" w:hAnsi="Arial"/>
          <w:sz w:val="13"/>
          <w:szCs w:val="13"/>
          <w:color w:val="auto"/>
        </w:rPr>
        <w:t>and documents shall also be sent by registered letter to the relevant party at the latest on the immediately following Business Day:</w:t>
      </w:r>
    </w:p>
    <w:p>
      <w:pPr>
        <w:spacing w:after="0" w:line="80" w:lineRule="exact"/>
        <w:rPr>
          <w:sz w:val="20"/>
          <w:szCs w:val="20"/>
          <w:color w:val="auto"/>
        </w:rPr>
      </w:pPr>
    </w:p>
    <w:p>
      <w:pPr>
        <w:ind w:left="2520" w:hanging="680"/>
        <w:spacing w:after="0"/>
        <w:tabs>
          <w:tab w:leader="none" w:pos="2520" w:val="left"/>
        </w:tabs>
        <w:numPr>
          <w:ilvl w:val="1"/>
          <w:numId w:val="424"/>
        </w:numPr>
        <w:rPr>
          <w:rFonts w:ascii="Arial" w:cs="Arial" w:eastAsia="Arial" w:hAnsi="Arial"/>
          <w:sz w:val="13"/>
          <w:szCs w:val="13"/>
          <w:color w:val="auto"/>
        </w:rPr>
      </w:pPr>
      <w:r>
        <w:rPr>
          <w:rFonts w:ascii="Arial" w:cs="Arial" w:eastAsia="Arial" w:hAnsi="Arial"/>
          <w:sz w:val="13"/>
          <w:szCs w:val="13"/>
          <w:color w:val="auto"/>
        </w:rPr>
        <w:t>Disbursement Acceptance;</w:t>
      </w:r>
    </w:p>
    <w:p>
      <w:pPr>
        <w:spacing w:after="0" w:line="80" w:lineRule="exact"/>
        <w:rPr>
          <w:rFonts w:ascii="Arial" w:cs="Arial" w:eastAsia="Arial" w:hAnsi="Arial"/>
          <w:sz w:val="13"/>
          <w:szCs w:val="13"/>
          <w:color w:val="auto"/>
        </w:rPr>
      </w:pPr>
    </w:p>
    <w:p>
      <w:pPr>
        <w:ind w:left="2520" w:right="440" w:hanging="680"/>
        <w:spacing w:after="0" w:line="258" w:lineRule="auto"/>
        <w:tabs>
          <w:tab w:leader="none" w:pos="2520" w:val="left"/>
        </w:tabs>
        <w:numPr>
          <w:ilvl w:val="1"/>
          <w:numId w:val="424"/>
        </w:numPr>
        <w:rPr>
          <w:rFonts w:ascii="Arial" w:cs="Arial" w:eastAsia="Arial" w:hAnsi="Arial"/>
          <w:sz w:val="13"/>
          <w:szCs w:val="13"/>
          <w:color w:val="auto"/>
        </w:rPr>
      </w:pPr>
      <w:r>
        <w:rPr>
          <w:rFonts w:ascii="Arial" w:cs="Arial" w:eastAsia="Arial" w:hAnsi="Arial"/>
          <w:sz w:val="13"/>
          <w:szCs w:val="13"/>
          <w:color w:val="auto"/>
        </w:rPr>
        <w:t>any notices and communication in respect of the cancellation of a disbursement of any Tranche, Prepayment Request, Prepayment Notice, Event of Default, any demand for prepayment, and</w:t>
      </w:r>
    </w:p>
    <w:p>
      <w:pPr>
        <w:spacing w:after="0" w:line="58" w:lineRule="exact"/>
        <w:rPr>
          <w:rFonts w:ascii="Arial" w:cs="Arial" w:eastAsia="Arial" w:hAnsi="Arial"/>
          <w:sz w:val="13"/>
          <w:szCs w:val="13"/>
          <w:color w:val="auto"/>
        </w:rPr>
      </w:pPr>
    </w:p>
    <w:p>
      <w:pPr>
        <w:ind w:left="2520" w:hanging="680"/>
        <w:spacing w:after="0"/>
        <w:tabs>
          <w:tab w:leader="none" w:pos="2520" w:val="left"/>
        </w:tabs>
        <w:numPr>
          <w:ilvl w:val="1"/>
          <w:numId w:val="424"/>
        </w:numPr>
        <w:rPr>
          <w:rFonts w:ascii="Arial" w:cs="Arial" w:eastAsia="Arial" w:hAnsi="Arial"/>
          <w:sz w:val="13"/>
          <w:szCs w:val="13"/>
          <w:color w:val="auto"/>
        </w:rPr>
      </w:pPr>
      <w:r>
        <w:rPr>
          <w:rFonts w:ascii="Arial" w:cs="Arial" w:eastAsia="Arial" w:hAnsi="Arial"/>
          <w:sz w:val="13"/>
          <w:szCs w:val="13"/>
          <w:color w:val="auto"/>
        </w:rPr>
        <w:t>any other notice, communication or document required by the Bank.</w:t>
      </w:r>
    </w:p>
    <w:p>
      <w:pPr>
        <w:spacing w:after="0" w:line="70" w:lineRule="exact"/>
        <w:rPr>
          <w:rFonts w:ascii="Arial" w:cs="Arial" w:eastAsia="Arial" w:hAnsi="Arial"/>
          <w:sz w:val="13"/>
          <w:szCs w:val="13"/>
          <w:color w:val="auto"/>
        </w:rPr>
      </w:pPr>
    </w:p>
    <w:p>
      <w:pPr>
        <w:ind w:left="1820" w:right="660" w:hanging="670"/>
        <w:spacing w:after="0" w:line="258" w:lineRule="auto"/>
        <w:tabs>
          <w:tab w:leader="none" w:pos="1820" w:val="left"/>
        </w:tabs>
        <w:numPr>
          <w:ilvl w:val="0"/>
          <w:numId w:val="425"/>
        </w:numPr>
        <w:rPr>
          <w:rFonts w:ascii="Arial" w:cs="Arial" w:eastAsia="Arial" w:hAnsi="Arial"/>
          <w:sz w:val="13"/>
          <w:szCs w:val="13"/>
          <w:color w:val="auto"/>
        </w:rPr>
      </w:pPr>
      <w:r>
        <w:rPr>
          <w:rFonts w:ascii="Arial" w:cs="Arial" w:eastAsia="Arial" w:hAnsi="Arial"/>
          <w:sz w:val="13"/>
          <w:szCs w:val="13"/>
          <w:color w:val="auto"/>
        </w:rPr>
        <w:t>The parties agree that any above communication (including via electronic mail) is an accepted form of communication, shall constitute admissible evidence in court and shall have the same evidential value as an agreement under hand.</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68" w:name="page369"/>
    <w:bookmarkEnd w:id="368"/>
    <w:p>
      <w:pPr>
        <w:jc w:val="right"/>
        <w:spacing w:after="0"/>
        <w:rPr>
          <w:sz w:val="20"/>
          <w:szCs w:val="20"/>
          <w:color w:val="auto"/>
        </w:rPr>
      </w:pPr>
      <w:r>
        <w:rPr>
          <w:rFonts w:ascii="Arial" w:cs="Arial" w:eastAsia="Arial" w:hAnsi="Arial"/>
          <w:sz w:val="13"/>
          <w:szCs w:val="13"/>
          <w:b w:val="1"/>
          <w:bCs w:val="1"/>
          <w:color w:val="auto"/>
        </w:rPr>
        <w:t>Exhibit 4.41</w:t>
      </w:r>
    </w:p>
    <w:p>
      <w:pPr>
        <w:spacing w:after="0" w:line="39" w:lineRule="exact"/>
        <w:rPr>
          <w:sz w:val="20"/>
          <w:szCs w:val="20"/>
          <w:color w:val="auto"/>
        </w:rPr>
      </w:pPr>
    </w:p>
    <w:p>
      <w:pPr>
        <w:jc w:val="both"/>
        <w:ind w:left="1820" w:right="320" w:hanging="670"/>
        <w:spacing w:after="0" w:line="260" w:lineRule="auto"/>
        <w:tabs>
          <w:tab w:leader="none" w:pos="1820" w:val="left"/>
        </w:tabs>
        <w:numPr>
          <w:ilvl w:val="0"/>
          <w:numId w:val="426"/>
        </w:numPr>
        <w:rPr>
          <w:rFonts w:ascii="Arial" w:cs="Arial" w:eastAsia="Arial" w:hAnsi="Arial"/>
          <w:sz w:val="13"/>
          <w:szCs w:val="13"/>
          <w:color w:val="auto"/>
        </w:rPr>
      </w:pPr>
      <w:r>
        <w:rPr>
          <w:rFonts w:ascii="Arial" w:cs="Arial" w:eastAsia="Arial" w:hAnsi="Arial"/>
          <w:sz w:val="13"/>
          <w:szCs w:val="13"/>
          <w:color w:val="auto"/>
        </w:rPr>
        <w:t>Any communication or document made or delivered to the Borrower in accordance with this Article 11.1 (</w:t>
      </w:r>
      <w:r>
        <w:rPr>
          <w:rFonts w:ascii="Arial" w:cs="Arial" w:eastAsia="Arial" w:hAnsi="Arial"/>
          <w:sz w:val="13"/>
          <w:szCs w:val="13"/>
          <w:i w:val="1"/>
          <w:iCs w:val="1"/>
          <w:color w:val="auto"/>
        </w:rPr>
        <w:t>Notices</w:t>
      </w:r>
      <w:r>
        <w:rPr>
          <w:rFonts w:ascii="Arial" w:cs="Arial" w:eastAsia="Arial" w:hAnsi="Arial"/>
          <w:sz w:val="13"/>
          <w:szCs w:val="13"/>
          <w:color w:val="auto"/>
        </w:rPr>
        <w:t>) will be deemed to have been made or delivered to each of the Obligors or any other member of the Group party to a Finance Document. Each Obligor incorporated in Germany, for this purpose, appoints the Borrower as its receipt agent (</w:t>
      </w:r>
      <w:r>
        <w:rPr>
          <w:rFonts w:ascii="Arial" w:cs="Arial" w:eastAsia="Arial" w:hAnsi="Arial"/>
          <w:sz w:val="13"/>
          <w:szCs w:val="13"/>
          <w:i w:val="1"/>
          <w:iCs w:val="1"/>
          <w:color w:val="auto"/>
        </w:rPr>
        <w:t>Empfangsboten</w:t>
      </w:r>
      <w:r>
        <w:rPr>
          <w:rFonts w:ascii="Arial" w:cs="Arial" w:eastAsia="Arial" w:hAnsi="Arial"/>
          <w:sz w:val="13"/>
          <w:szCs w:val="13"/>
          <w:color w:val="auto"/>
        </w:rPr>
        <w:t>).</w:t>
      </w:r>
    </w:p>
    <w:p>
      <w:pPr>
        <w:spacing w:after="0" w:line="82"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11.1.2</w:t>
      </w:r>
      <w:r>
        <w:rPr>
          <w:sz w:val="20"/>
          <w:szCs w:val="20"/>
          <w:color w:val="auto"/>
        </w:rPr>
        <w:tab/>
      </w:r>
      <w:r>
        <w:rPr>
          <w:rFonts w:ascii="Arial" w:cs="Arial" w:eastAsia="Arial" w:hAnsi="Arial"/>
          <w:sz w:val="13"/>
          <w:szCs w:val="13"/>
          <w:b w:val="1"/>
          <w:bCs w:val="1"/>
          <w:color w:val="auto"/>
        </w:rPr>
        <w:t>Addresses</w:t>
      </w:r>
    </w:p>
    <w:p>
      <w:pPr>
        <w:spacing w:after="0" w:line="96" w:lineRule="exact"/>
        <w:rPr>
          <w:sz w:val="20"/>
          <w:szCs w:val="20"/>
          <w:color w:val="auto"/>
        </w:rPr>
      </w:pPr>
    </w:p>
    <w:p>
      <w:pPr>
        <w:ind w:left="1160" w:right="120"/>
        <w:spacing w:after="0" w:line="258" w:lineRule="auto"/>
        <w:rPr>
          <w:sz w:val="20"/>
          <w:szCs w:val="20"/>
          <w:color w:val="auto"/>
        </w:rPr>
      </w:pPr>
      <w:r>
        <w:rPr>
          <w:rFonts w:ascii="Arial" w:cs="Arial" w:eastAsia="Arial" w:hAnsi="Arial"/>
          <w:sz w:val="13"/>
          <w:szCs w:val="13"/>
          <w:color w:val="auto"/>
        </w:rPr>
        <w:t>The address and electronic mail address (and the department or officer, if any, for whose attention the communication is to be made) of each party for any communication to be made or document to be delivered under or in connection with this Contract is:</w:t>
      </w:r>
    </w:p>
    <w:p>
      <w:pPr>
        <w:spacing w:after="0" w:line="59" w:lineRule="exact"/>
        <w:rPr>
          <w:sz w:val="20"/>
          <w:szCs w:val="20"/>
          <w:color w:val="auto"/>
        </w:rPr>
      </w:pPr>
    </w:p>
    <w:tbl>
      <w:tblPr>
        <w:tblLayout w:type="fixed"/>
        <w:tblInd w:w="12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For the Bank</w:t>
            </w:r>
          </w:p>
        </w:tc>
        <w:tc>
          <w:tcPr>
            <w:tcW w:w="8860" w:type="dxa"/>
            <w:vAlign w:val="bottom"/>
          </w:tcPr>
          <w:p>
            <w:pPr>
              <w:ind w:left="3140"/>
              <w:spacing w:after="0"/>
              <w:rPr>
                <w:sz w:val="20"/>
                <w:szCs w:val="20"/>
                <w:color w:val="auto"/>
              </w:rPr>
            </w:pPr>
            <w:r>
              <w:rPr>
                <w:rFonts w:ascii="Arial" w:cs="Arial" w:eastAsia="Arial" w:hAnsi="Arial"/>
                <w:sz w:val="13"/>
                <w:szCs w:val="13"/>
                <w:color w:val="auto"/>
              </w:rPr>
              <w:t>Attention:  OPS/ENPST/3-GC&amp;IF  100  boulevard  Konrad</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60" w:type="dxa"/>
            <w:vAlign w:val="bottom"/>
          </w:tcPr>
          <w:p>
            <w:pPr>
              <w:ind w:left="3140"/>
              <w:spacing w:after="0"/>
              <w:rPr>
                <w:sz w:val="20"/>
                <w:szCs w:val="20"/>
                <w:color w:val="auto"/>
              </w:rPr>
            </w:pPr>
            <w:r>
              <w:rPr>
                <w:rFonts w:ascii="Arial" w:cs="Arial" w:eastAsia="Arial" w:hAnsi="Arial"/>
                <w:sz w:val="13"/>
                <w:szCs w:val="13"/>
                <w:color w:val="auto"/>
              </w:rPr>
              <w:t>Adenauer L-2950 Luxembourg</w:t>
            </w:r>
          </w:p>
        </w:tc>
      </w:tr>
      <w:tr>
        <w:trPr>
          <w:trHeight w:val="161"/>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60" w:type="dxa"/>
            <w:vAlign w:val="bottom"/>
          </w:tcPr>
          <w:p>
            <w:pPr>
              <w:ind w:left="3160"/>
              <w:spacing w:after="0"/>
              <w:rPr>
                <w:sz w:val="20"/>
                <w:szCs w:val="20"/>
                <w:color w:val="auto"/>
              </w:rPr>
            </w:pPr>
            <w:r>
              <w:rPr>
                <w:rFonts w:ascii="Arial" w:cs="Arial" w:eastAsia="Arial" w:hAnsi="Arial"/>
                <w:sz w:val="13"/>
                <w:szCs w:val="13"/>
                <w:color w:val="auto"/>
              </w:rPr>
              <w:t>Email address: [***]</w:t>
            </w:r>
          </w:p>
        </w:tc>
      </w:tr>
      <w:tr>
        <w:trPr>
          <w:trHeight w:val="209"/>
        </w:trPr>
        <w:tc>
          <w:tcPr>
            <w:tcW w:w="10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For the Borrower</w:t>
            </w:r>
          </w:p>
        </w:tc>
        <w:tc>
          <w:tcPr>
            <w:tcW w:w="8860" w:type="dxa"/>
            <w:vAlign w:val="bottom"/>
          </w:tcPr>
          <w:p>
            <w:pPr>
              <w:ind w:left="3140"/>
              <w:spacing w:after="0"/>
              <w:rPr>
                <w:sz w:val="20"/>
                <w:szCs w:val="20"/>
                <w:color w:val="auto"/>
              </w:rPr>
            </w:pPr>
            <w:r>
              <w:rPr>
                <w:rFonts w:ascii="Arial" w:cs="Arial" w:eastAsia="Arial" w:hAnsi="Arial"/>
                <w:sz w:val="13"/>
                <w:szCs w:val="13"/>
                <w:color w:val="auto"/>
              </w:rPr>
              <w:t>Attention: Department/Division Chief Financial Officer</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60" w:type="dxa"/>
            <w:vAlign w:val="bottom"/>
          </w:tcPr>
          <w:p>
            <w:pPr>
              <w:ind w:left="3140"/>
              <w:spacing w:after="0"/>
              <w:rPr>
                <w:sz w:val="20"/>
                <w:szCs w:val="20"/>
                <w:color w:val="auto"/>
              </w:rPr>
            </w:pPr>
            <w:r>
              <w:rPr>
                <w:rFonts w:ascii="Arial" w:cs="Arial" w:eastAsia="Arial" w:hAnsi="Arial"/>
                <w:sz w:val="13"/>
                <w:szCs w:val="13"/>
                <w:color w:val="auto"/>
              </w:rPr>
              <w:t>(CFO) An der Goldgrube 12</w:t>
            </w:r>
          </w:p>
        </w:tc>
      </w:tr>
      <w:tr>
        <w:trPr>
          <w:trHeight w:val="150"/>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60" w:type="dxa"/>
            <w:vAlign w:val="bottom"/>
          </w:tcPr>
          <w:p>
            <w:pPr>
              <w:ind w:left="3160"/>
              <w:spacing w:after="0"/>
              <w:rPr>
                <w:sz w:val="20"/>
                <w:szCs w:val="20"/>
                <w:color w:val="auto"/>
              </w:rPr>
            </w:pPr>
            <w:r>
              <w:rPr>
                <w:rFonts w:ascii="Arial" w:cs="Arial" w:eastAsia="Arial" w:hAnsi="Arial"/>
                <w:sz w:val="13"/>
                <w:szCs w:val="13"/>
                <w:color w:val="auto"/>
              </w:rPr>
              <w:t>D-55131 Mainz Germany</w:t>
            </w:r>
          </w:p>
        </w:tc>
      </w:tr>
      <w:tr>
        <w:trPr>
          <w:trHeight w:val="161"/>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60" w:type="dxa"/>
            <w:vAlign w:val="bottom"/>
          </w:tcPr>
          <w:p>
            <w:pPr>
              <w:ind w:left="3160"/>
              <w:spacing w:after="0"/>
              <w:rPr>
                <w:sz w:val="20"/>
                <w:szCs w:val="20"/>
                <w:color w:val="auto"/>
              </w:rPr>
            </w:pPr>
            <w:r>
              <w:rPr>
                <w:rFonts w:ascii="Arial" w:cs="Arial" w:eastAsia="Arial" w:hAnsi="Arial"/>
                <w:sz w:val="13"/>
                <w:szCs w:val="13"/>
                <w:color w:val="auto"/>
              </w:rPr>
              <w:t>Email address: [***]</w:t>
            </w:r>
          </w:p>
        </w:tc>
      </w:tr>
      <w:tr>
        <w:trPr>
          <w:trHeight w:val="360"/>
        </w:trPr>
        <w:tc>
          <w:tcPr>
            <w:tcW w:w="1020" w:type="dxa"/>
            <w:vAlign w:val="bottom"/>
          </w:tcPr>
          <w:p>
            <w:pPr>
              <w:spacing w:after="0"/>
              <w:rPr>
                <w:sz w:val="20"/>
                <w:szCs w:val="20"/>
                <w:color w:val="auto"/>
              </w:rPr>
            </w:pPr>
            <w:r>
              <w:rPr>
                <w:rFonts w:ascii="Arial" w:cs="Arial" w:eastAsia="Arial" w:hAnsi="Arial"/>
                <w:sz w:val="13"/>
                <w:szCs w:val="13"/>
                <w:b w:val="1"/>
                <w:bCs w:val="1"/>
                <w:color w:val="auto"/>
              </w:rPr>
              <w:t>11.1.3</w:t>
            </w:r>
          </w:p>
        </w:tc>
        <w:tc>
          <w:tcPr>
            <w:tcW w:w="9960" w:type="dxa"/>
            <w:vAlign w:val="bottom"/>
            <w:gridSpan w:val="3"/>
          </w:tcPr>
          <w:p>
            <w:pPr>
              <w:spacing w:after="0"/>
              <w:rPr>
                <w:sz w:val="20"/>
                <w:szCs w:val="20"/>
                <w:color w:val="auto"/>
              </w:rPr>
            </w:pPr>
            <w:r>
              <w:rPr>
                <w:rFonts w:ascii="Arial" w:cs="Arial" w:eastAsia="Arial" w:hAnsi="Arial"/>
                <w:sz w:val="13"/>
                <w:szCs w:val="13"/>
                <w:b w:val="1"/>
                <w:bCs w:val="1"/>
                <w:color w:val="auto"/>
              </w:rPr>
              <w:t>Demand after notice to remedy</w:t>
            </w:r>
          </w:p>
        </w:tc>
      </w:tr>
      <w:tr>
        <w:trPr>
          <w:trHeight w:val="220"/>
        </w:trPr>
        <w:tc>
          <w:tcPr>
            <w:tcW w:w="1020" w:type="dxa"/>
            <w:vAlign w:val="bottom"/>
          </w:tcPr>
          <w:p>
            <w:pPr>
              <w:spacing w:after="0"/>
              <w:rPr>
                <w:sz w:val="19"/>
                <w:szCs w:val="19"/>
                <w:color w:val="auto"/>
              </w:rPr>
            </w:pPr>
          </w:p>
        </w:tc>
        <w:tc>
          <w:tcPr>
            <w:tcW w:w="9960" w:type="dxa"/>
            <w:vAlign w:val="bottom"/>
            <w:gridSpan w:val="3"/>
          </w:tcPr>
          <w:p>
            <w:pPr>
              <w:ind w:left="20"/>
              <w:spacing w:after="0"/>
              <w:rPr>
                <w:sz w:val="20"/>
                <w:szCs w:val="20"/>
                <w:color w:val="auto"/>
              </w:rPr>
            </w:pPr>
            <w:r>
              <w:rPr>
                <w:rFonts w:ascii="Arial" w:cs="Arial" w:eastAsia="Arial" w:hAnsi="Arial"/>
                <w:sz w:val="13"/>
                <w:szCs w:val="13"/>
                <w:color w:val="auto"/>
              </w:rPr>
              <w:t>The Bank and the Borrower shall promptly notify the other party in writing of any change in their respective communication details.</w:t>
            </w:r>
          </w:p>
        </w:tc>
      </w:tr>
      <w:tr>
        <w:trPr>
          <w:trHeight w:val="280"/>
        </w:trPr>
        <w:tc>
          <w:tcPr>
            <w:tcW w:w="1020" w:type="dxa"/>
            <w:vAlign w:val="bottom"/>
          </w:tcPr>
          <w:p>
            <w:pPr>
              <w:spacing w:after="0"/>
              <w:rPr>
                <w:sz w:val="20"/>
                <w:szCs w:val="20"/>
                <w:color w:val="auto"/>
              </w:rPr>
            </w:pPr>
            <w:r>
              <w:rPr>
                <w:rFonts w:ascii="Arial" w:cs="Arial" w:eastAsia="Arial" w:hAnsi="Arial"/>
                <w:sz w:val="13"/>
                <w:szCs w:val="13"/>
                <w:b w:val="1"/>
                <w:bCs w:val="1"/>
                <w:color w:val="auto"/>
              </w:rPr>
              <w:t>11.2</w:t>
            </w: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English language</w:t>
            </w:r>
          </w:p>
        </w:tc>
        <w:tc>
          <w:tcPr>
            <w:tcW w:w="886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(a)</w:t>
            </w:r>
          </w:p>
        </w:tc>
        <w:tc>
          <w:tcPr>
            <w:tcW w:w="9520" w:type="dxa"/>
            <w:vAlign w:val="bottom"/>
            <w:gridSpan w:val="2"/>
          </w:tcPr>
          <w:p>
            <w:pPr>
              <w:ind w:left="240"/>
              <w:spacing w:after="0"/>
              <w:rPr>
                <w:sz w:val="20"/>
                <w:szCs w:val="20"/>
                <w:color w:val="auto"/>
              </w:rPr>
            </w:pPr>
            <w:r>
              <w:rPr>
                <w:rFonts w:ascii="Arial" w:cs="Arial" w:eastAsia="Arial" w:hAnsi="Arial"/>
                <w:sz w:val="13"/>
                <w:szCs w:val="13"/>
                <w:color w:val="auto"/>
              </w:rPr>
              <w:t>Any notice or communication given under or in connection with this Contract must be in English.</w:t>
            </w:r>
          </w:p>
        </w:tc>
      </w:tr>
      <w:tr>
        <w:trPr>
          <w:trHeight w:val="205"/>
        </w:trPr>
        <w:tc>
          <w:tcPr>
            <w:tcW w:w="102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(b)</w:t>
            </w:r>
          </w:p>
        </w:tc>
        <w:tc>
          <w:tcPr>
            <w:tcW w:w="9520" w:type="dxa"/>
            <w:vAlign w:val="bottom"/>
            <w:gridSpan w:val="2"/>
          </w:tcPr>
          <w:p>
            <w:pPr>
              <w:ind w:left="240"/>
              <w:spacing w:after="0"/>
              <w:rPr>
                <w:sz w:val="20"/>
                <w:szCs w:val="20"/>
                <w:color w:val="auto"/>
              </w:rPr>
            </w:pPr>
            <w:r>
              <w:rPr>
                <w:rFonts w:ascii="Arial" w:cs="Arial" w:eastAsia="Arial" w:hAnsi="Arial"/>
                <w:sz w:val="13"/>
                <w:szCs w:val="13"/>
                <w:color w:val="auto"/>
              </w:rPr>
              <w:t>To the extent required by local law, Security Documents shall be in the language required under the relevant local law; in particular any documentation in</w:t>
            </w:r>
          </w:p>
        </w:tc>
      </w:tr>
      <w:tr>
        <w:trPr>
          <w:trHeight w:val="175"/>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520" w:type="dxa"/>
            <w:vAlign w:val="bottom"/>
            <w:gridSpan w:val="2"/>
          </w:tcPr>
          <w:p>
            <w:pPr>
              <w:ind w:left="240"/>
              <w:spacing w:after="0"/>
              <w:rPr>
                <w:sz w:val="20"/>
                <w:szCs w:val="20"/>
                <w:color w:val="auto"/>
              </w:rPr>
            </w:pPr>
            <w:r>
              <w:rPr>
                <w:rFonts w:ascii="Arial" w:cs="Arial" w:eastAsia="Arial" w:hAnsi="Arial"/>
                <w:sz w:val="13"/>
                <w:szCs w:val="13"/>
                <w:color w:val="auto"/>
              </w:rPr>
              <w:t>relation to the Land Charge to be filed with the land register (</w:t>
            </w:r>
            <w:r>
              <w:rPr>
                <w:rFonts w:ascii="Arial" w:cs="Arial" w:eastAsia="Arial" w:hAnsi="Arial"/>
                <w:sz w:val="13"/>
                <w:szCs w:val="13"/>
                <w:i w:val="1"/>
                <w:iCs w:val="1"/>
                <w:color w:val="auto"/>
              </w:rPr>
              <w:t>Grundbuchamt</w:t>
            </w:r>
            <w:r>
              <w:rPr>
                <w:rFonts w:ascii="Arial" w:cs="Arial" w:eastAsia="Arial" w:hAnsi="Arial"/>
                <w:sz w:val="13"/>
                <w:szCs w:val="13"/>
                <w:color w:val="auto"/>
              </w:rPr>
              <w:t>) shall be in German.</w:t>
            </w:r>
          </w:p>
        </w:tc>
      </w:tr>
      <w:tr>
        <w:trPr>
          <w:trHeight w:val="230"/>
        </w:trPr>
        <w:tc>
          <w:tcPr>
            <w:tcW w:w="10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(c)</w:t>
            </w:r>
          </w:p>
        </w:tc>
        <w:tc>
          <w:tcPr>
            <w:tcW w:w="9520" w:type="dxa"/>
            <w:vAlign w:val="bottom"/>
            <w:gridSpan w:val="2"/>
          </w:tcPr>
          <w:p>
            <w:pPr>
              <w:ind w:left="240"/>
              <w:spacing w:after="0"/>
              <w:rPr>
                <w:sz w:val="20"/>
                <w:szCs w:val="20"/>
                <w:color w:val="auto"/>
              </w:rPr>
            </w:pPr>
            <w:r>
              <w:rPr>
                <w:rFonts w:ascii="Arial" w:cs="Arial" w:eastAsia="Arial" w:hAnsi="Arial"/>
                <w:sz w:val="13"/>
                <w:szCs w:val="13"/>
                <w:color w:val="auto"/>
              </w:rPr>
              <w:t>All other documents provided under or in connection with this Contract must be:</w:t>
            </w:r>
          </w:p>
        </w:tc>
      </w:tr>
      <w:tr>
        <w:trPr>
          <w:trHeight w:val="220"/>
        </w:trPr>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ind w:left="260"/>
              <w:spacing w:after="0"/>
              <w:rPr>
                <w:sz w:val="20"/>
                <w:szCs w:val="20"/>
                <w:color w:val="auto"/>
              </w:rPr>
            </w:pPr>
            <w:r>
              <w:rPr>
                <w:rFonts w:ascii="Arial" w:cs="Arial" w:eastAsia="Arial" w:hAnsi="Arial"/>
                <w:sz w:val="13"/>
                <w:szCs w:val="13"/>
                <w:color w:val="auto"/>
              </w:rPr>
              <w:t>(i)</w:t>
            </w:r>
          </w:p>
        </w:tc>
        <w:tc>
          <w:tcPr>
            <w:tcW w:w="8860" w:type="dxa"/>
            <w:vAlign w:val="bottom"/>
          </w:tcPr>
          <w:p>
            <w:pPr>
              <w:ind w:left="280"/>
              <w:spacing w:after="0"/>
              <w:rPr>
                <w:sz w:val="20"/>
                <w:szCs w:val="20"/>
                <w:color w:val="auto"/>
              </w:rPr>
            </w:pPr>
            <w:r>
              <w:rPr>
                <w:rFonts w:ascii="Arial" w:cs="Arial" w:eastAsia="Arial" w:hAnsi="Arial"/>
                <w:sz w:val="13"/>
                <w:szCs w:val="13"/>
                <w:color w:val="auto"/>
              </w:rPr>
              <w:t>in English; or</w:t>
            </w:r>
          </w:p>
        </w:tc>
      </w:tr>
      <w:tr>
        <w:trPr>
          <w:trHeight w:val="219"/>
        </w:trPr>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ind w:left="260"/>
              <w:spacing w:after="0"/>
              <w:rPr>
                <w:sz w:val="20"/>
                <w:szCs w:val="20"/>
                <w:color w:val="auto"/>
              </w:rPr>
            </w:pPr>
            <w:r>
              <w:rPr>
                <w:rFonts w:ascii="Arial" w:cs="Arial" w:eastAsia="Arial" w:hAnsi="Arial"/>
                <w:sz w:val="13"/>
                <w:szCs w:val="13"/>
                <w:color w:val="auto"/>
              </w:rPr>
              <w:t>(ii)</w:t>
            </w:r>
          </w:p>
        </w:tc>
        <w:tc>
          <w:tcPr>
            <w:tcW w:w="8860" w:type="dxa"/>
            <w:vAlign w:val="bottom"/>
          </w:tcPr>
          <w:p>
            <w:pPr>
              <w:ind w:left="280"/>
              <w:spacing w:after="0"/>
              <w:rPr>
                <w:sz w:val="20"/>
                <w:szCs w:val="20"/>
                <w:color w:val="auto"/>
              </w:rPr>
            </w:pPr>
            <w:r>
              <w:rPr>
                <w:rFonts w:ascii="Arial" w:cs="Arial" w:eastAsia="Arial" w:hAnsi="Arial"/>
                <w:sz w:val="13"/>
                <w:szCs w:val="13"/>
                <w:color w:val="auto"/>
              </w:rPr>
              <w:t>if not in English, and if so required by the Bank, accompanied by a certified English translation and, in this case, the English translation will</w:t>
            </w:r>
          </w:p>
        </w:tc>
      </w:tr>
      <w:tr>
        <w:trPr>
          <w:trHeight w:val="161"/>
        </w:trPr>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60" w:type="dxa"/>
            <w:vAlign w:val="bottom"/>
          </w:tcPr>
          <w:p>
            <w:pPr>
              <w:ind w:left="280"/>
              <w:spacing w:after="0"/>
              <w:rPr>
                <w:sz w:val="20"/>
                <w:szCs w:val="20"/>
                <w:color w:val="auto"/>
              </w:rPr>
            </w:pPr>
            <w:r>
              <w:rPr>
                <w:rFonts w:ascii="Arial" w:cs="Arial" w:eastAsia="Arial" w:hAnsi="Arial"/>
                <w:sz w:val="13"/>
                <w:szCs w:val="13"/>
                <w:color w:val="auto"/>
              </w:rPr>
              <w:t>prevail.</w:t>
            </w:r>
          </w:p>
        </w:tc>
      </w:tr>
    </w:tbl>
    <w:p>
      <w:pPr>
        <w:spacing w:after="0" w:line="13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3"/>
          <w:szCs w:val="13"/>
          <w:b w:val="1"/>
          <w:bCs w:val="1"/>
          <w:color w:val="auto"/>
        </w:rPr>
        <w:t>11.3</w:t>
      </w:r>
      <w:r>
        <w:rPr>
          <w:sz w:val="20"/>
          <w:szCs w:val="20"/>
          <w:color w:val="auto"/>
        </w:rPr>
        <w:tab/>
      </w:r>
      <w:r>
        <w:rPr>
          <w:rFonts w:ascii="Arial" w:cs="Arial" w:eastAsia="Arial" w:hAnsi="Arial"/>
          <w:sz w:val="13"/>
          <w:szCs w:val="13"/>
          <w:b w:val="1"/>
          <w:bCs w:val="1"/>
          <w:u w:val="single" w:color="auto"/>
          <w:color w:val="auto"/>
        </w:rPr>
        <w:t>Conclusion of this Contract (</w:t>
      </w:r>
      <w:r>
        <w:rPr>
          <w:rFonts w:ascii="Arial" w:cs="Arial" w:eastAsia="Arial" w:hAnsi="Arial"/>
          <w:sz w:val="13"/>
          <w:szCs w:val="13"/>
          <w:b w:val="1"/>
          <w:bCs w:val="1"/>
          <w:i w:val="1"/>
          <w:iCs w:val="1"/>
          <w:u w:val="single" w:color="auto"/>
          <w:color w:val="auto"/>
        </w:rPr>
        <w:t>Vertragsschluss</w:t>
      </w:r>
      <w:r>
        <w:rPr>
          <w:rFonts w:ascii="Arial" w:cs="Arial" w:eastAsia="Arial" w:hAnsi="Arial"/>
          <w:sz w:val="13"/>
          <w:szCs w:val="13"/>
          <w:b w:val="1"/>
          <w:bCs w:val="1"/>
          <w:u w:val="single" w:color="auto"/>
          <w:color w:val="auto"/>
        </w:rPr>
        <w:t>)</w:t>
      </w:r>
    </w:p>
    <w:p>
      <w:pPr>
        <w:spacing w:after="0" w:line="126" w:lineRule="exact"/>
        <w:rPr>
          <w:sz w:val="20"/>
          <w:szCs w:val="20"/>
          <w:color w:val="auto"/>
        </w:rPr>
      </w:pPr>
    </w:p>
    <w:p>
      <w:pPr>
        <w:jc w:val="right"/>
        <w:ind w:left="5660" w:right="120" w:hanging="3993"/>
        <w:spacing w:after="0" w:line="258" w:lineRule="auto"/>
        <w:tabs>
          <w:tab w:leader="none" w:pos="2755" w:val="left"/>
        </w:tabs>
        <w:numPr>
          <w:ilvl w:val="0"/>
          <w:numId w:val="427"/>
        </w:numPr>
        <w:rPr>
          <w:rFonts w:ascii="Arial" w:cs="Arial" w:eastAsia="Arial" w:hAnsi="Arial"/>
          <w:sz w:val="13"/>
          <w:szCs w:val="13"/>
          <w:color w:val="auto"/>
        </w:rPr>
      </w:pPr>
      <w:r>
        <w:rPr>
          <w:rFonts w:ascii="Arial" w:cs="Arial" w:eastAsia="Arial" w:hAnsi="Arial"/>
          <w:sz w:val="13"/>
          <w:szCs w:val="13"/>
          <w:color w:val="auto"/>
        </w:rPr>
        <w:t>The parties to this Contract may choose to conclude this Contract by an exchange of signed signature page(s), transmitted by any means of telecommunication (</w:t>
      </w:r>
      <w:r>
        <w:rPr>
          <w:rFonts w:ascii="Arial" w:cs="Arial" w:eastAsia="Arial" w:hAnsi="Arial"/>
          <w:sz w:val="13"/>
          <w:szCs w:val="13"/>
          <w:i w:val="1"/>
          <w:iCs w:val="1"/>
          <w:color w:val="auto"/>
        </w:rPr>
        <w:t>telekommunikative Übermittlung</w:t>
      </w:r>
      <w:r>
        <w:rPr>
          <w:rFonts w:ascii="Arial" w:cs="Arial" w:eastAsia="Arial" w:hAnsi="Arial"/>
          <w:sz w:val="13"/>
          <w:szCs w:val="13"/>
          <w:color w:val="auto"/>
        </w:rPr>
        <w:t>) such as by way of electronic photocopy.</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69" w:name="page370"/>
    <w:bookmarkEnd w:id="369"/>
    <w:p>
      <w:pPr>
        <w:ind w:left="10580"/>
        <w:spacing w:after="0"/>
        <w:rPr>
          <w:sz w:val="20"/>
          <w:szCs w:val="20"/>
          <w:color w:val="auto"/>
        </w:rPr>
      </w:pPr>
      <w:r>
        <w:rPr>
          <w:rFonts w:ascii="Arial" w:cs="Arial" w:eastAsia="Arial" w:hAnsi="Arial"/>
          <w:sz w:val="12"/>
          <w:szCs w:val="12"/>
          <w:b w:val="1"/>
          <w:bCs w:val="1"/>
          <w:color w:val="auto"/>
        </w:rPr>
        <w:t>Exhibit 4.41</w:t>
      </w:r>
    </w:p>
    <w:p>
      <w:pPr>
        <w:spacing w:after="0" w:line="54" w:lineRule="exact"/>
        <w:rPr>
          <w:sz w:val="20"/>
          <w:szCs w:val="20"/>
          <w:color w:val="auto"/>
        </w:rPr>
      </w:pPr>
    </w:p>
    <w:p>
      <w:pPr>
        <w:ind w:left="1260"/>
        <w:spacing w:after="0"/>
        <w:tabs>
          <w:tab w:leader="none" w:pos="622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If the parties to this Contract choose to conclude this Contract pursuant to this Article</w:t>
      </w:r>
    </w:p>
    <w:p>
      <w:pPr>
        <w:jc w:val="both"/>
        <w:ind w:left="1440" w:right="120"/>
        <w:spacing w:after="0" w:line="246" w:lineRule="auto"/>
        <w:rPr>
          <w:rFonts w:ascii="Arial" w:cs="Arial" w:eastAsia="Arial" w:hAnsi="Arial"/>
          <w:sz w:val="13"/>
          <w:szCs w:val="13"/>
          <w:color w:val="0000EE"/>
        </w:rPr>
      </w:pPr>
      <w:hyperlink w:anchor="page369">
        <w:r>
          <w:rPr>
            <w:rFonts w:ascii="Arial" w:cs="Arial" w:eastAsia="Arial" w:hAnsi="Arial"/>
            <w:sz w:val="13"/>
            <w:szCs w:val="13"/>
            <w:u w:val="single" w:color="auto"/>
            <w:color w:val="0000EE"/>
          </w:rPr>
          <w:t>11.3</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i w:val="1"/>
          <w:iCs w:val="1"/>
          <w:color w:val="000000"/>
        </w:rPr>
        <w:t>Conclusion of this Contract (Vertragsschluss)</w:t>
      </w:r>
      <w:r>
        <w:rPr>
          <w:rFonts w:ascii="Arial" w:cs="Arial" w:eastAsia="Arial" w:hAnsi="Arial"/>
          <w:sz w:val="13"/>
          <w:szCs w:val="13"/>
          <w:color w:val="000000"/>
        </w:rPr>
        <w:t>), they will transmit the signed signature page(s) of this Contract to Noerr LLP, Börsenstr. 1, 60313</w:t>
      </w:r>
      <w:r>
        <w:rPr>
          <w:rFonts w:ascii="Arial" w:cs="Arial" w:eastAsia="Arial" w:hAnsi="Arial"/>
          <w:sz w:val="13"/>
          <w:szCs w:val="13"/>
          <w:color w:val="0000EE"/>
        </w:rPr>
        <w:t xml:space="preserve"> </w:t>
      </w:r>
      <w:r>
        <w:rPr>
          <w:rFonts w:ascii="Arial" w:cs="Arial" w:eastAsia="Arial" w:hAnsi="Arial"/>
          <w:sz w:val="13"/>
          <w:szCs w:val="13"/>
          <w:color w:val="000000"/>
        </w:rPr>
        <w:t>Frankfurt am Main, Germany, [***] (each a "</w:t>
      </w:r>
      <w:r>
        <w:rPr>
          <w:rFonts w:ascii="Arial" w:cs="Arial" w:eastAsia="Arial" w:hAnsi="Arial"/>
          <w:sz w:val="13"/>
          <w:szCs w:val="13"/>
          <w:b w:val="1"/>
          <w:bCs w:val="1"/>
          <w:color w:val="000000"/>
        </w:rPr>
        <w:t>Recipient</w:t>
      </w:r>
      <w:r>
        <w:rPr>
          <w:rFonts w:ascii="Arial" w:cs="Arial" w:eastAsia="Arial" w:hAnsi="Arial"/>
          <w:sz w:val="13"/>
          <w:szCs w:val="13"/>
          <w:color w:val="000000"/>
        </w:rPr>
        <w:t>"). The Contract will be considered concluded once a Recipient has actually received the signed signature page(s) (</w:t>
      </w:r>
      <w:r>
        <w:rPr>
          <w:rFonts w:ascii="Arial" w:cs="Arial" w:eastAsia="Arial" w:hAnsi="Arial"/>
          <w:sz w:val="13"/>
          <w:szCs w:val="13"/>
          <w:i w:val="1"/>
          <w:iCs w:val="1"/>
          <w:color w:val="000000"/>
        </w:rPr>
        <w:t>Zugang der Unterschriftsseite(n)</w:t>
      </w:r>
      <w:r>
        <w:rPr>
          <w:rFonts w:ascii="Arial" w:cs="Arial" w:eastAsia="Arial" w:hAnsi="Arial"/>
          <w:sz w:val="13"/>
          <w:szCs w:val="13"/>
          <w:color w:val="000000"/>
        </w:rPr>
        <w:t>) from all Parties (whether electronic photocopy or other means of telecommunication and at the time of the receipt of the last outstanding signature page(s) by such one Recipient).</w:t>
      </w:r>
    </w:p>
    <w:p>
      <w:pPr>
        <w:spacing w:after="0" w:line="43" w:lineRule="exact"/>
        <w:rPr>
          <w:sz w:val="20"/>
          <w:szCs w:val="20"/>
          <w:color w:val="auto"/>
        </w:rPr>
      </w:pPr>
    </w:p>
    <w:p>
      <w:pPr>
        <w:jc w:val="both"/>
        <w:ind w:left="1520" w:right="120" w:hanging="246"/>
        <w:spacing w:after="0" w:line="248" w:lineRule="auto"/>
        <w:tabs>
          <w:tab w:leader="none" w:pos="1968" w:val="left"/>
        </w:tabs>
        <w:numPr>
          <w:ilvl w:val="0"/>
          <w:numId w:val="428"/>
        </w:numPr>
        <w:rPr>
          <w:rFonts w:ascii="Arial" w:cs="Arial" w:eastAsia="Arial" w:hAnsi="Arial"/>
          <w:sz w:val="13"/>
          <w:szCs w:val="13"/>
          <w:color w:val="auto"/>
        </w:rPr>
      </w:pPr>
      <w:r>
        <w:rPr>
          <w:rFonts w:ascii="Arial" w:cs="Arial" w:eastAsia="Arial" w:hAnsi="Arial"/>
          <w:sz w:val="13"/>
          <w:szCs w:val="13"/>
          <w:color w:val="auto"/>
        </w:rPr>
        <w:t xml:space="preserve">For the purposes of this Article </w:t>
      </w:r>
      <w:hyperlink w:anchor="page369">
        <w:r>
          <w:rPr>
            <w:rFonts w:ascii="Arial" w:cs="Arial" w:eastAsia="Arial" w:hAnsi="Arial"/>
            <w:sz w:val="13"/>
            <w:szCs w:val="13"/>
            <w:u w:val="single" w:color="auto"/>
            <w:color w:val="0000EE"/>
          </w:rPr>
          <w:t>11.3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Conclusion of this Contract (Vertragsschluss)</w:t>
      </w:r>
      <w:r>
        <w:rPr>
          <w:rFonts w:ascii="Arial" w:cs="Arial" w:eastAsia="Arial" w:hAnsi="Arial"/>
          <w:sz w:val="13"/>
          <w:szCs w:val="13"/>
          <w:color w:val="auto"/>
        </w:rPr>
        <w:t>) only, the parties to this Contract appoint each Recipient as their attorney (</w:t>
      </w:r>
      <w:r>
        <w:rPr>
          <w:rFonts w:ascii="Arial" w:cs="Arial" w:eastAsia="Arial" w:hAnsi="Arial"/>
          <w:sz w:val="13"/>
          <w:szCs w:val="13"/>
          <w:i w:val="1"/>
          <w:iCs w:val="1"/>
          <w:color w:val="auto"/>
        </w:rPr>
        <w:t>Empfangsvertreter</w:t>
      </w:r>
      <w:r>
        <w:rPr>
          <w:rFonts w:ascii="Arial" w:cs="Arial" w:eastAsia="Arial" w:hAnsi="Arial"/>
          <w:sz w:val="13"/>
          <w:szCs w:val="13"/>
          <w:color w:val="auto"/>
        </w:rPr>
        <w:t>) and expressly allow (</w:t>
      </w:r>
      <w:r>
        <w:rPr>
          <w:rFonts w:ascii="Arial" w:cs="Arial" w:eastAsia="Arial" w:hAnsi="Arial"/>
          <w:sz w:val="13"/>
          <w:szCs w:val="13"/>
          <w:i w:val="1"/>
          <w:iCs w:val="1"/>
          <w:color w:val="auto"/>
        </w:rPr>
        <w:t>gestatten</w:t>
      </w:r>
      <w:r>
        <w:rPr>
          <w:rFonts w:ascii="Arial" w:cs="Arial" w:eastAsia="Arial" w:hAnsi="Arial"/>
          <w:sz w:val="13"/>
          <w:szCs w:val="13"/>
          <w:color w:val="auto"/>
        </w:rPr>
        <w:t>) each Recipient to collect the signed signature page(s) from all and for all parties to this Contract. For the avoidance of doubt, each Recipient will have no further duties connected with its position as Recipient. In particular, each Recipient may assume the</w:t>
      </w:r>
    </w:p>
    <w:p>
      <w:pPr>
        <w:jc w:val="right"/>
        <w:ind w:left="1440" w:right="120"/>
        <w:spacing w:after="0" w:line="246" w:lineRule="auto"/>
        <w:rPr>
          <w:rFonts w:ascii="Arial" w:cs="Arial" w:eastAsia="Arial" w:hAnsi="Arial"/>
          <w:sz w:val="13"/>
          <w:szCs w:val="13"/>
          <w:color w:val="auto"/>
        </w:rPr>
      </w:pPr>
      <w:r>
        <w:rPr>
          <w:rFonts w:ascii="Arial" w:cs="Arial" w:eastAsia="Arial" w:hAnsi="Arial"/>
          <w:sz w:val="13"/>
          <w:szCs w:val="13"/>
          <w:color w:val="auto"/>
        </w:rPr>
        <w:t xml:space="preserve">conformity to the authentic original(s) of the signature page(s) transmitted to it by means of telecommunication,  the genuineness of all signatures on the original signature page(s) and the signing authority of the signatories. (d) For the purposes of proof and confirmation, each party to this Contract has to provide the Recipients with original signature page(s) promptly after signing this Contract in accordance with this Article </w:t>
      </w:r>
      <w:hyperlink w:anchor="page369">
        <w:r>
          <w:rPr>
            <w:rFonts w:ascii="Arial" w:cs="Arial" w:eastAsia="Arial" w:hAnsi="Arial"/>
            <w:sz w:val="13"/>
            <w:szCs w:val="13"/>
            <w:u w:val="single" w:color="auto"/>
            <w:color w:val="0000EE"/>
          </w:rPr>
          <w:t>11.3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Conclusion of this Contract</w:t>
      </w:r>
      <w:r>
        <w:rPr>
          <w:rFonts w:ascii="Arial" w:cs="Arial" w:eastAsia="Arial" w:hAnsi="Arial"/>
          <w:sz w:val="13"/>
          <w:szCs w:val="13"/>
          <w:color w:val="auto"/>
        </w:rPr>
        <w:t xml:space="preserve"> </w:t>
      </w:r>
      <w:r>
        <w:rPr>
          <w:rFonts w:ascii="Arial" w:cs="Arial" w:eastAsia="Arial" w:hAnsi="Arial"/>
          <w:sz w:val="13"/>
          <w:szCs w:val="13"/>
          <w:i w:val="1"/>
          <w:iCs w:val="1"/>
          <w:color w:val="auto"/>
        </w:rPr>
        <w:t>(Vertragsschluss)</w:t>
      </w:r>
      <w:r>
        <w:rPr>
          <w:rFonts w:ascii="Arial" w:cs="Arial" w:eastAsia="Arial" w:hAnsi="Arial"/>
          <w:sz w:val="13"/>
          <w:szCs w:val="13"/>
          <w:color w:val="auto"/>
        </w:rPr>
        <w:t>). The Bank may demand that the Borrower subsequently  sign one or more copies of this Contract.</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70" w:name="page371"/>
    <w:bookmarkEnd w:id="370"/>
    <w:p>
      <w:pPr>
        <w:ind w:left="10580"/>
        <w:spacing w:after="0"/>
        <w:rPr>
          <w:sz w:val="20"/>
          <w:szCs w:val="20"/>
          <w:color w:val="auto"/>
        </w:rPr>
      </w:pPr>
      <w:r>
        <w:rPr>
          <w:rFonts w:ascii="Arial" w:cs="Arial" w:eastAsia="Arial" w:hAnsi="Arial"/>
          <w:sz w:val="12"/>
          <w:szCs w:val="12"/>
          <w:b w:val="1"/>
          <w:bCs w:val="1"/>
          <w:color w:val="auto"/>
        </w:rPr>
        <w:t>Exhibit 4.41</w:t>
      </w:r>
    </w:p>
    <w:p>
      <w:pPr>
        <w:spacing w:after="0" w:line="48" w:lineRule="exact"/>
        <w:rPr>
          <w:sz w:val="20"/>
          <w:szCs w:val="20"/>
          <w:color w:val="auto"/>
        </w:rPr>
      </w:pPr>
    </w:p>
    <w:p>
      <w:pPr>
        <w:ind w:left="720" w:right="120"/>
        <w:spacing w:after="0" w:line="284" w:lineRule="auto"/>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parties hereto have caused this Contract to be executed in three (3) originals (two (2) originals for the Bank and one (1) original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in the English language.</w:t>
      </w:r>
    </w:p>
    <w:p>
      <w:pPr>
        <w:spacing w:after="0" w:line="282"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Signed for and on behalf of BIONTECH SE</w:t>
      </w:r>
    </w:p>
    <w:p>
      <w:pPr>
        <w:ind w:left="780"/>
        <w:spacing w:after="0"/>
        <w:rPr>
          <w:sz w:val="20"/>
          <w:szCs w:val="20"/>
          <w:color w:val="auto"/>
        </w:rPr>
      </w:pPr>
      <w:r>
        <w:rPr>
          <w:rFonts w:ascii="Arial" w:cs="Arial" w:eastAsia="Arial" w:hAnsi="Arial"/>
          <w:sz w:val="13"/>
          <w:szCs w:val="13"/>
          <w:color w:val="auto"/>
        </w:rPr>
        <w:t>Signed for and on behalf of EUROPEAN INVESTMENT BANK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40"/>
        <w:spacing w:after="0"/>
        <w:tabs>
          <w:tab w:leader="none" w:pos="62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5"/>
          <w:szCs w:val="15"/>
          <w:color w:val="auto"/>
        </w:rPr>
        <w:t>[***]</w:t>
      </w:r>
    </w:p>
    <w:p>
      <w:pPr>
        <w:ind w:left="640"/>
        <w:spacing w:after="0" w:line="227" w:lineRule="auto"/>
        <w:rPr>
          <w:sz w:val="20"/>
          <w:szCs w:val="20"/>
          <w:color w:val="auto"/>
        </w:rPr>
      </w:pPr>
      <w:r>
        <w:rPr>
          <w:rFonts w:ascii="Arial" w:cs="Arial" w:eastAsia="Arial" w:hAnsi="Arial"/>
          <w:sz w:val="13"/>
          <w:szCs w:val="13"/>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71" w:name="page372"/>
    <w:bookmarkEnd w:id="371"/>
    <w:p>
      <w:pPr>
        <w:jc w:val="right"/>
        <w:spacing w:after="0"/>
        <w:rPr>
          <w:sz w:val="20"/>
          <w:szCs w:val="20"/>
          <w:color w:val="auto"/>
        </w:rPr>
      </w:pPr>
      <w:r>
        <w:rPr>
          <w:rFonts w:ascii="Arial" w:cs="Arial" w:eastAsia="Arial" w:hAnsi="Arial"/>
          <w:sz w:val="13"/>
          <w:szCs w:val="13"/>
          <w:b w:val="1"/>
          <w:bCs w:val="1"/>
          <w:color w:val="auto"/>
        </w:rPr>
        <w:t>Exhibit 4.41</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3"/>
          <w:szCs w:val="13"/>
          <w:b w:val="1"/>
          <w:bCs w:val="1"/>
          <w:color w:val="auto"/>
        </w:rPr>
        <w:t>Exhibit 4.41</w:t>
      </w:r>
    </w:p>
    <w:p>
      <w:pPr>
        <w:spacing w:after="0" w:line="94" w:lineRule="exact"/>
        <w:rPr>
          <w:sz w:val="20"/>
          <w:szCs w:val="20"/>
          <w:color w:val="auto"/>
        </w:rPr>
      </w:pPr>
    </w:p>
    <w:p>
      <w:pPr>
        <w:ind w:left="7840"/>
        <w:spacing w:after="0"/>
        <w:rPr>
          <w:sz w:val="20"/>
          <w:szCs w:val="20"/>
          <w:color w:val="auto"/>
        </w:rPr>
      </w:pPr>
      <w:r>
        <w:rPr>
          <w:rFonts w:ascii="Arial" w:cs="Arial" w:eastAsia="Arial" w:hAnsi="Arial"/>
          <w:sz w:val="13"/>
          <w:szCs w:val="13"/>
          <w:b w:val="1"/>
          <w:bCs w:val="1"/>
          <w:u w:val="single" w:color="auto"/>
          <w:color w:val="auto"/>
        </w:rPr>
        <w:t>Investment Specification and</w:t>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3"/>
          <w:szCs w:val="13"/>
          <w:b w:val="1"/>
          <w:bCs w:val="1"/>
          <w:u w:val="single" w:color="auto"/>
          <w:color w:val="auto"/>
        </w:rPr>
        <w:t>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13335</wp:posOffset>
            </wp:positionV>
            <wp:extent cx="7180580" cy="127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372" w:name="page373"/>
    <w:bookmarkEnd w:id="372"/>
    <w:p>
      <w:pPr>
        <w:ind w:left="7280"/>
        <w:spacing w:after="0"/>
        <w:rPr>
          <w:sz w:val="20"/>
          <w:szCs w:val="20"/>
          <w:color w:val="auto"/>
        </w:rPr>
      </w:pPr>
      <w:r>
        <w:rPr>
          <w:rFonts w:ascii="Arial" w:cs="Arial" w:eastAsia="Arial" w:hAnsi="Arial"/>
          <w:sz w:val="13"/>
          <w:szCs w:val="13"/>
          <w:b w:val="1"/>
          <w:bCs w:val="1"/>
          <w:color w:val="auto"/>
        </w:rPr>
        <w:t>Schedule A</w:t>
      </w: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169"/>
        </w:trPr>
        <w:tc>
          <w:tcPr>
            <w:tcW w:w="4760" w:type="dxa"/>
            <w:vAlign w:val="bottom"/>
            <w:gridSpan w:val="3"/>
          </w:tcPr>
          <w:p>
            <w:pPr>
              <w:ind w:left="3900"/>
              <w:spacing w:after="0"/>
              <w:rPr>
                <w:sz w:val="20"/>
                <w:szCs w:val="20"/>
                <w:color w:val="auto"/>
              </w:rPr>
            </w:pPr>
            <w:r>
              <w:rPr>
                <w:rFonts w:ascii="Arial" w:cs="Arial" w:eastAsia="Arial" w:hAnsi="Arial"/>
                <w:sz w:val="13"/>
                <w:szCs w:val="13"/>
                <w:color w:val="auto"/>
              </w:rPr>
              <w:t>A.1</w:t>
            </w:r>
          </w:p>
        </w:tc>
        <w:tc>
          <w:tcPr>
            <w:tcW w:w="1240" w:type="dxa"/>
            <w:vAlign w:val="bottom"/>
          </w:tcPr>
          <w:p>
            <w:pPr>
              <w:spacing w:after="0"/>
              <w:rPr>
                <w:sz w:val="20"/>
                <w:szCs w:val="20"/>
                <w:color w:val="auto"/>
              </w:rPr>
            </w:pPr>
            <w:r>
              <w:rPr>
                <w:rFonts w:ascii="Arial" w:cs="Arial" w:eastAsia="Arial" w:hAnsi="Arial"/>
                <w:sz w:val="13"/>
                <w:szCs w:val="13"/>
                <w:color w:val="auto"/>
                <w:w w:val="98"/>
              </w:rPr>
              <w:t>Technical Description</w:t>
            </w:r>
          </w:p>
        </w:tc>
      </w:tr>
      <w:tr>
        <w:trPr>
          <w:trHeight w:val="250"/>
        </w:trPr>
        <w:tc>
          <w:tcPr>
            <w:tcW w:w="3900" w:type="dxa"/>
            <w:vAlign w:val="bottom"/>
          </w:tcPr>
          <w:p>
            <w:pPr>
              <w:spacing w:after="0"/>
              <w:rPr>
                <w:sz w:val="20"/>
                <w:szCs w:val="20"/>
                <w:color w:val="auto"/>
              </w:rPr>
            </w:pPr>
            <w:r>
              <w:rPr>
                <w:rFonts w:ascii="Arial" w:cs="Arial" w:eastAsia="Arial" w:hAnsi="Arial"/>
                <w:sz w:val="13"/>
                <w:szCs w:val="13"/>
                <w:b w:val="1"/>
                <w:bCs w:val="1"/>
                <w:color w:val="auto"/>
              </w:rPr>
              <w:t>Purpose, Location</w:t>
            </w:r>
          </w:p>
        </w:tc>
        <w:tc>
          <w:tcPr>
            <w:tcW w:w="20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Description</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Calendar</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w:t>
      </w:r>
    </w:p>
    <w:p>
      <w:pPr>
        <w:spacing w:after="0" w:line="111"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A.2</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8"/>
              </w:rPr>
              <w:t>Information Duties</w:t>
            </w:r>
          </w:p>
        </w:tc>
      </w:tr>
      <w:tr>
        <w:trPr>
          <w:trHeight w:val="270"/>
        </w:trPr>
        <w:tc>
          <w:tcPr>
            <w:tcW w:w="4920" w:type="dxa"/>
            <w:vAlign w:val="bottom"/>
            <w:gridSpan w:val="5"/>
          </w:tcPr>
          <w:p>
            <w:pPr>
              <w:spacing w:after="0"/>
              <w:rPr>
                <w:sz w:val="20"/>
                <w:szCs w:val="20"/>
                <w:color w:val="auto"/>
              </w:rPr>
            </w:pPr>
            <w:r>
              <w:rPr>
                <w:rFonts w:ascii="Arial" w:cs="Arial" w:eastAsia="Arial" w:hAnsi="Arial"/>
                <w:sz w:val="13"/>
                <w:szCs w:val="13"/>
                <w:color w:val="auto"/>
              </w:rPr>
              <w:t>The information below has to be sent to the Bank under the responsibility of:</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150"/>
        </w:trPr>
        <w:tc>
          <w:tcPr>
            <w:tcW w:w="72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r>
      <w:tr>
        <w:trPr>
          <w:trHeight w:val="160"/>
        </w:trPr>
        <w:tc>
          <w:tcPr>
            <w:tcW w:w="720" w:type="dxa"/>
            <w:vAlign w:val="bottom"/>
            <w:tcBorders>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28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Financial &amp; Technical Contact</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r>
      <w:tr>
        <w:trPr>
          <w:trHeight w:val="140"/>
        </w:trPr>
        <w:tc>
          <w:tcPr>
            <w:tcW w:w="720" w:type="dxa"/>
            <w:vAlign w:val="bottom"/>
            <w:tcBorders>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ind w:left="80"/>
              <w:spacing w:after="0" w:line="140" w:lineRule="exact"/>
              <w:rPr>
                <w:sz w:val="20"/>
                <w:szCs w:val="20"/>
                <w:color w:val="auto"/>
              </w:rPr>
            </w:pPr>
            <w:r>
              <w:rPr>
                <w:rFonts w:ascii="Arial" w:cs="Arial" w:eastAsia="Arial" w:hAnsi="Arial"/>
                <w:sz w:val="13"/>
                <w:szCs w:val="13"/>
                <w:color w:val="auto"/>
              </w:rPr>
              <w:t>Company</w:t>
            </w:r>
          </w:p>
        </w:tc>
        <w:tc>
          <w:tcPr>
            <w:tcW w:w="2880" w:type="dxa"/>
            <w:vAlign w:val="bottom"/>
            <w:tcBorders>
              <w:bottom w:val="single" w:sz="8" w:color="auto"/>
            </w:tcBorders>
            <w:gridSpan w:val="3"/>
          </w:tcPr>
          <w:p>
            <w:pPr>
              <w:ind w:left="80"/>
              <w:spacing w:after="0" w:line="140" w:lineRule="exact"/>
              <w:rPr>
                <w:sz w:val="20"/>
                <w:szCs w:val="20"/>
                <w:color w:val="auto"/>
              </w:rPr>
            </w:pPr>
            <w:r>
              <w:rPr>
                <w:rFonts w:ascii="Arial" w:cs="Arial" w:eastAsia="Arial" w:hAnsi="Arial"/>
                <w:sz w:val="13"/>
                <w:szCs w:val="13"/>
                <w:color w:val="auto"/>
              </w:rPr>
              <w:t>BioNTech SE</w:t>
            </w: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r>
      <w:tr>
        <w:trPr>
          <w:trHeight w:val="140"/>
        </w:trPr>
        <w:tc>
          <w:tcPr>
            <w:tcW w:w="720" w:type="dxa"/>
            <w:vAlign w:val="bottom"/>
            <w:tcBorders>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ind w:left="80"/>
              <w:spacing w:after="0" w:line="140" w:lineRule="exact"/>
              <w:rPr>
                <w:sz w:val="20"/>
                <w:szCs w:val="20"/>
                <w:color w:val="auto"/>
              </w:rPr>
            </w:pPr>
            <w:r>
              <w:rPr>
                <w:rFonts w:ascii="Arial" w:cs="Arial" w:eastAsia="Arial" w:hAnsi="Arial"/>
                <w:sz w:val="13"/>
                <w:szCs w:val="13"/>
                <w:color w:val="auto"/>
              </w:rPr>
              <w:t>Contact person</w:t>
            </w:r>
          </w:p>
        </w:tc>
        <w:tc>
          <w:tcPr>
            <w:tcW w:w="2040" w:type="dxa"/>
            <w:vAlign w:val="bottom"/>
            <w:tcBorders>
              <w:bottom w:val="single" w:sz="8" w:color="auto"/>
            </w:tcBorders>
          </w:tcPr>
          <w:p>
            <w:pPr>
              <w:ind w:left="80"/>
              <w:spacing w:after="0" w:line="140"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r>
      <w:tr>
        <w:trPr>
          <w:trHeight w:val="140"/>
        </w:trPr>
        <w:tc>
          <w:tcPr>
            <w:tcW w:w="720" w:type="dxa"/>
            <w:vAlign w:val="bottom"/>
            <w:tcBorders>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ind w:left="80"/>
              <w:spacing w:after="0" w:line="140" w:lineRule="exact"/>
              <w:rPr>
                <w:sz w:val="20"/>
                <w:szCs w:val="20"/>
                <w:color w:val="auto"/>
              </w:rPr>
            </w:pPr>
            <w:r>
              <w:rPr>
                <w:rFonts w:ascii="Arial" w:cs="Arial" w:eastAsia="Arial" w:hAnsi="Arial"/>
                <w:sz w:val="13"/>
                <w:szCs w:val="13"/>
                <w:color w:val="auto"/>
              </w:rPr>
              <w:t>Title</w:t>
            </w:r>
          </w:p>
        </w:tc>
        <w:tc>
          <w:tcPr>
            <w:tcW w:w="2040" w:type="dxa"/>
            <w:vAlign w:val="bottom"/>
            <w:tcBorders>
              <w:bottom w:val="single" w:sz="8" w:color="auto"/>
            </w:tcBorders>
          </w:tcPr>
          <w:p>
            <w:pPr>
              <w:ind w:left="80"/>
              <w:spacing w:after="0" w:line="140"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r>
      <w:tr>
        <w:trPr>
          <w:trHeight w:val="140"/>
        </w:trPr>
        <w:tc>
          <w:tcPr>
            <w:tcW w:w="720" w:type="dxa"/>
            <w:vAlign w:val="bottom"/>
            <w:tcBorders>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ind w:left="80"/>
              <w:spacing w:after="0" w:line="140" w:lineRule="exact"/>
              <w:rPr>
                <w:sz w:val="20"/>
                <w:szCs w:val="20"/>
                <w:color w:val="auto"/>
              </w:rPr>
            </w:pPr>
            <w:r>
              <w:rPr>
                <w:rFonts w:ascii="Arial" w:cs="Arial" w:eastAsia="Arial" w:hAnsi="Arial"/>
                <w:sz w:val="13"/>
                <w:szCs w:val="13"/>
                <w:color w:val="auto"/>
              </w:rPr>
              <w:t>Address</w:t>
            </w:r>
          </w:p>
        </w:tc>
        <w:tc>
          <w:tcPr>
            <w:tcW w:w="2880" w:type="dxa"/>
            <w:vAlign w:val="bottom"/>
            <w:tcBorders>
              <w:bottom w:val="single" w:sz="8" w:color="auto"/>
            </w:tcBorders>
            <w:gridSpan w:val="3"/>
          </w:tcPr>
          <w:p>
            <w:pPr>
              <w:ind w:left="80"/>
              <w:spacing w:after="0" w:line="140" w:lineRule="exact"/>
              <w:rPr>
                <w:sz w:val="20"/>
                <w:szCs w:val="20"/>
                <w:color w:val="auto"/>
              </w:rPr>
            </w:pPr>
            <w:r>
              <w:rPr>
                <w:rFonts w:ascii="Arial" w:cs="Arial" w:eastAsia="Arial" w:hAnsi="Arial"/>
                <w:sz w:val="13"/>
                <w:szCs w:val="13"/>
                <w:color w:val="auto"/>
              </w:rPr>
              <w:t>An der Goldgrube 12, D-55131 Mainz, Germany</w:t>
            </w: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r>
      <w:tr>
        <w:trPr>
          <w:trHeight w:val="140"/>
        </w:trPr>
        <w:tc>
          <w:tcPr>
            <w:tcW w:w="720" w:type="dxa"/>
            <w:vAlign w:val="bottom"/>
            <w:tcBorders>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ind w:left="80"/>
              <w:spacing w:after="0" w:line="140" w:lineRule="exact"/>
              <w:rPr>
                <w:sz w:val="20"/>
                <w:szCs w:val="20"/>
                <w:color w:val="auto"/>
              </w:rPr>
            </w:pPr>
            <w:r>
              <w:rPr>
                <w:rFonts w:ascii="Arial" w:cs="Arial" w:eastAsia="Arial" w:hAnsi="Arial"/>
                <w:sz w:val="13"/>
                <w:szCs w:val="13"/>
                <w:color w:val="auto"/>
              </w:rPr>
              <w:t>Phone</w:t>
            </w:r>
          </w:p>
        </w:tc>
        <w:tc>
          <w:tcPr>
            <w:tcW w:w="2040" w:type="dxa"/>
            <w:vAlign w:val="bottom"/>
            <w:tcBorders>
              <w:bottom w:val="single" w:sz="8" w:color="auto"/>
            </w:tcBorders>
          </w:tcPr>
          <w:p>
            <w:pPr>
              <w:ind w:left="80"/>
              <w:spacing w:after="0" w:line="140"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r>
      <w:tr>
        <w:trPr>
          <w:trHeight w:val="140"/>
        </w:trPr>
        <w:tc>
          <w:tcPr>
            <w:tcW w:w="720" w:type="dxa"/>
            <w:vAlign w:val="bottom"/>
            <w:tcBorders>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ind w:left="80"/>
              <w:spacing w:after="0" w:line="140" w:lineRule="exact"/>
              <w:rPr>
                <w:sz w:val="20"/>
                <w:szCs w:val="20"/>
                <w:color w:val="auto"/>
              </w:rPr>
            </w:pPr>
            <w:r>
              <w:rPr>
                <w:rFonts w:ascii="Arial" w:cs="Arial" w:eastAsia="Arial" w:hAnsi="Arial"/>
                <w:sz w:val="13"/>
                <w:szCs w:val="13"/>
                <w:color w:val="auto"/>
              </w:rPr>
              <w:t>Email</w:t>
            </w:r>
          </w:p>
        </w:tc>
        <w:tc>
          <w:tcPr>
            <w:tcW w:w="2040" w:type="dxa"/>
            <w:vAlign w:val="bottom"/>
            <w:tcBorders>
              <w:bottom w:val="single" w:sz="8" w:color="auto"/>
            </w:tcBorders>
          </w:tcPr>
          <w:p>
            <w:pPr>
              <w:ind w:left="80"/>
              <w:spacing w:after="0" w:line="140"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r>
    </w:tbl>
    <w:p>
      <w:pPr>
        <w:spacing w:after="0" w:line="13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above-mentioned contact person is the responsible contact for the time being. The Borrower shall  inform the EIB immediately in case of any change.</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3"/>
          <w:szCs w:val="13"/>
          <w:b w:val="1"/>
          <w:bCs w:val="1"/>
          <w:u w:val="single" w:color="auto"/>
          <w:color w:val="auto"/>
        </w:rPr>
        <w:t>Information on the project’s implementation</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Borrower shall deliver to the Bank the following information on project progress during implementation at the latest by the deadline(s) indicated below.</w:t>
      </w:r>
    </w:p>
    <w:p>
      <w:pPr>
        <w:spacing w:after="0" w:line="140" w:lineRule="exact"/>
        <w:rPr>
          <w:sz w:val="20"/>
          <w:szCs w:val="20"/>
          <w:color w:val="auto"/>
        </w:rPr>
      </w:pPr>
    </w:p>
    <w:tbl>
      <w:tblPr>
        <w:tblLayout w:type="fixed"/>
        <w:tblInd w:w="510" w:type="dxa"/>
        <w:tblCellMar>
          <w:top w:w="0" w:type="dxa"/>
          <w:left w:w="0" w:type="dxa"/>
          <w:bottom w:w="0" w:type="dxa"/>
          <w:right w:w="0" w:type="dxa"/>
        </w:tblCellMar>
      </w:tblPr>
      <w:tr>
        <w:trPr>
          <w:trHeight w:val="161"/>
        </w:trPr>
        <w:tc>
          <w:tcPr>
            <w:tcW w:w="26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Document / information</w:t>
            </w:r>
          </w:p>
        </w:tc>
        <w:tc>
          <w:tcPr>
            <w:tcW w:w="14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Deadline</w:t>
            </w:r>
          </w:p>
        </w:tc>
        <w:tc>
          <w:tcPr>
            <w:tcW w:w="17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Frequency of reporting</w:t>
            </w:r>
          </w:p>
        </w:tc>
      </w:tr>
      <w:tr>
        <w:trPr>
          <w:trHeight w:val="127"/>
        </w:trPr>
        <w:tc>
          <w:tcPr>
            <w:tcW w:w="2680" w:type="dxa"/>
            <w:vAlign w:val="bottom"/>
            <w:tcBorders>
              <w:left w:val="single" w:sz="8" w:color="auto"/>
              <w:right w:val="single" w:sz="8" w:color="auto"/>
            </w:tcBorders>
          </w:tcPr>
          <w:p>
            <w:pPr>
              <w:ind w:left="100"/>
              <w:spacing w:after="0" w:line="128" w:lineRule="exact"/>
              <w:rPr>
                <w:sz w:val="20"/>
                <w:szCs w:val="20"/>
                <w:color w:val="auto"/>
              </w:rPr>
            </w:pPr>
            <w:r>
              <w:rPr>
                <w:rFonts w:ascii="Arial" w:cs="Arial" w:eastAsia="Arial" w:hAnsi="Arial"/>
                <w:sz w:val="13"/>
                <w:szCs w:val="13"/>
                <w:color w:val="auto"/>
              </w:rPr>
              <w:t>Project Progress Report</w:t>
            </w:r>
          </w:p>
        </w:tc>
        <w:tc>
          <w:tcPr>
            <w:tcW w:w="14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60"/>
              <w:spacing w:after="0" w:line="128" w:lineRule="exact"/>
              <w:rPr>
                <w:sz w:val="20"/>
                <w:szCs w:val="20"/>
                <w:color w:val="auto"/>
              </w:rPr>
            </w:pPr>
            <w:r>
              <w:rPr>
                <w:rFonts w:ascii="Arial" w:cs="Arial" w:eastAsia="Arial" w:hAnsi="Arial"/>
                <w:sz w:val="13"/>
                <w:szCs w:val="13"/>
                <w:i w:val="1"/>
                <w:iCs w:val="1"/>
                <w:color w:val="auto"/>
              </w:rPr>
              <w:t>Bi-annually</w:t>
            </w:r>
          </w:p>
        </w:tc>
      </w:tr>
      <w:tr>
        <w:trPr>
          <w:trHeight w:val="187"/>
        </w:trPr>
        <w:tc>
          <w:tcPr>
            <w:tcW w:w="2680" w:type="dxa"/>
            <w:vAlign w:val="bottom"/>
            <w:tcBorders>
              <w:left w:val="single" w:sz="8" w:color="auto"/>
              <w:right w:val="single" w:sz="8" w:color="auto"/>
            </w:tcBorders>
          </w:tcPr>
          <w:p>
            <w:pPr>
              <w:jc w:val="right"/>
              <w:ind w:right="2271"/>
              <w:spacing w:after="0"/>
              <w:rPr>
                <w:sz w:val="20"/>
                <w:szCs w:val="20"/>
                <w:color w:val="auto"/>
              </w:rPr>
            </w:pPr>
            <w:r>
              <w:rPr>
                <w:rFonts w:ascii="Arial" w:cs="Arial" w:eastAsia="Arial" w:hAnsi="Arial"/>
                <w:sz w:val="15"/>
                <w:szCs w:val="15"/>
                <w:color w:val="auto"/>
              </w:rPr>
              <w:t>[***]</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t>
            </w:r>
          </w:p>
        </w:tc>
        <w:tc>
          <w:tcPr>
            <w:tcW w:w="1700" w:type="dxa"/>
            <w:vAlign w:val="bottom"/>
            <w:tcBorders>
              <w:right w:val="single" w:sz="8" w:color="auto"/>
            </w:tcBorders>
          </w:tcPr>
          <w:p>
            <w:pPr>
              <w:spacing w:after="0"/>
              <w:rPr>
                <w:sz w:val="16"/>
                <w:szCs w:val="16"/>
                <w:color w:val="auto"/>
              </w:rPr>
            </w:pPr>
          </w:p>
        </w:tc>
      </w:tr>
      <w:tr>
        <w:trPr>
          <w:trHeight w:val="166"/>
        </w:trPr>
        <w:tc>
          <w:tcPr>
            <w:tcW w:w="2680" w:type="dxa"/>
            <w:vAlign w:val="bottom"/>
            <w:tcBorders>
              <w:left w:val="single" w:sz="8" w:color="auto"/>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r>
    </w:tbl>
    <w:p>
      <w:pPr>
        <w:spacing w:after="0" w:line="3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80580" cy="127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59"/>
          </w:cols>
          <w:pgMar w:left="300" w:top="127" w:right="1440" w:bottom="1440" w:gutter="0" w:footer="0" w:header="0"/>
        </w:sectPr>
      </w:pPr>
    </w:p>
    <w:bookmarkStart w:id="373" w:name="page374"/>
    <w:bookmarkEnd w:id="373"/>
    <w:p>
      <w:pPr>
        <w:jc w:val="right"/>
        <w:spacing w:after="0"/>
        <w:rPr>
          <w:sz w:val="20"/>
          <w:szCs w:val="20"/>
          <w:color w:val="auto"/>
        </w:rPr>
      </w:pPr>
      <w:r>
        <w:rPr>
          <w:rFonts w:ascii="Arial" w:cs="Arial" w:eastAsia="Arial" w:hAnsi="Arial"/>
          <w:sz w:val="13"/>
          <w:szCs w:val="13"/>
          <w:b w:val="1"/>
          <w:bCs w:val="1"/>
          <w:color w:val="auto"/>
        </w:rPr>
        <w:t>Exhibit 4.41</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Information on the end of works and first year of operation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Borrower shall deliver to the Bank the following information on project completion and initial operation at the latest by the deadline indicated below.</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74" w:name="page375"/>
    <w:bookmarkEnd w:id="374"/>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tbl>
      <w:tblPr>
        <w:tblLayout w:type="fixed"/>
        <w:tblInd w:w="150" w:type="dxa"/>
        <w:tblCellMar>
          <w:top w:w="0" w:type="dxa"/>
          <w:left w:w="0" w:type="dxa"/>
          <w:bottom w:w="0" w:type="dxa"/>
          <w:right w:w="0" w:type="dxa"/>
        </w:tblCellMar>
      </w:tblPr>
      <w:tr>
        <w:trPr>
          <w:trHeight w:val="124"/>
        </w:trPr>
        <w:tc>
          <w:tcPr>
            <w:tcW w:w="4140" w:type="dxa"/>
            <w:vAlign w:val="bottom"/>
            <w:tcBorders>
              <w:top w:val="single" w:sz="8" w:color="auto"/>
              <w:left w:val="single" w:sz="8" w:color="auto"/>
              <w:right w:val="single" w:sz="8" w:color="auto"/>
            </w:tcBorders>
          </w:tcPr>
          <w:p>
            <w:pPr>
              <w:jc w:val="right"/>
              <w:ind w:right="1950"/>
              <w:spacing w:after="0" w:line="124" w:lineRule="exact"/>
              <w:rPr>
                <w:sz w:val="20"/>
                <w:szCs w:val="20"/>
                <w:color w:val="auto"/>
              </w:rPr>
            </w:pPr>
            <w:r>
              <w:rPr>
                <w:rFonts w:ascii="Arial" w:cs="Arial" w:eastAsia="Arial" w:hAnsi="Arial"/>
                <w:sz w:val="13"/>
                <w:szCs w:val="13"/>
                <w:b w:val="1"/>
                <w:bCs w:val="1"/>
                <w:color w:val="auto"/>
              </w:rPr>
              <w:t>Document / information</w:t>
            </w:r>
          </w:p>
        </w:tc>
        <w:tc>
          <w:tcPr>
            <w:tcW w:w="1700" w:type="dxa"/>
            <w:vAlign w:val="bottom"/>
            <w:tcBorders>
              <w:top w:val="single" w:sz="8" w:color="auto"/>
              <w:right w:val="single" w:sz="8" w:color="auto"/>
            </w:tcBorders>
          </w:tcPr>
          <w:p>
            <w:pPr>
              <w:ind w:left="60"/>
              <w:spacing w:after="0" w:line="124" w:lineRule="exact"/>
              <w:rPr>
                <w:sz w:val="20"/>
                <w:szCs w:val="20"/>
                <w:color w:val="auto"/>
              </w:rPr>
            </w:pPr>
            <w:r>
              <w:rPr>
                <w:rFonts w:ascii="Arial" w:cs="Arial" w:eastAsia="Arial" w:hAnsi="Arial"/>
                <w:sz w:val="13"/>
                <w:szCs w:val="13"/>
                <w:b w:val="1"/>
                <w:bCs w:val="1"/>
                <w:color w:val="auto"/>
              </w:rPr>
              <w:t>Date of delivery to the</w:t>
            </w:r>
          </w:p>
        </w:tc>
      </w:tr>
      <w:tr>
        <w:trPr>
          <w:trHeight w:val="182"/>
        </w:trPr>
        <w:tc>
          <w:tcPr>
            <w:tcW w:w="4140" w:type="dxa"/>
            <w:vAlign w:val="bottom"/>
            <w:tcBorders>
              <w:left w:val="single" w:sz="8" w:color="auto"/>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Bank</w:t>
            </w:r>
          </w:p>
        </w:tc>
      </w:tr>
      <w:tr>
        <w:trPr>
          <w:trHeight w:val="182"/>
        </w:trPr>
        <w:tc>
          <w:tcPr>
            <w:tcW w:w="4140" w:type="dxa"/>
            <w:vAlign w:val="bottom"/>
            <w:tcBorders>
              <w:left w:val="single" w:sz="8" w:color="auto"/>
              <w:right w:val="single" w:sz="8" w:color="auto"/>
            </w:tcBorders>
          </w:tcPr>
          <w:p>
            <w:pPr>
              <w:jc w:val="right"/>
              <w:ind w:right="3430"/>
              <w:spacing w:after="0"/>
              <w:rPr>
                <w:sz w:val="20"/>
                <w:szCs w:val="20"/>
                <w:color w:val="auto"/>
              </w:rPr>
            </w:pPr>
            <w:r>
              <w:rPr>
                <w:rFonts w:ascii="Arial" w:cs="Arial" w:eastAsia="Arial" w:hAnsi="Arial"/>
                <w:sz w:val="15"/>
                <w:szCs w:val="15"/>
                <w:color w:val="auto"/>
              </w:rPr>
              <w:t>[***]</w:t>
            </w:r>
          </w:p>
        </w:tc>
        <w:tc>
          <w:tcPr>
            <w:tcW w:w="17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w:t>
            </w:r>
          </w:p>
        </w:tc>
      </w:tr>
      <w:tr>
        <w:trPr>
          <w:trHeight w:val="293"/>
        </w:trPr>
        <w:tc>
          <w:tcPr>
            <w:tcW w:w="414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Language of reports</w:t>
      </w:r>
    </w:p>
    <w:p>
      <w:pPr>
        <w:jc w:val="center"/>
        <w:ind w:right="-59"/>
        <w:spacing w:after="0"/>
        <w:rPr>
          <w:sz w:val="20"/>
          <w:szCs w:val="20"/>
          <w:color w:val="auto"/>
        </w:rPr>
      </w:pPr>
      <w:r>
        <w:rPr>
          <w:rFonts w:ascii="Arial" w:cs="Arial" w:eastAsia="Arial" w:hAnsi="Arial"/>
          <w:sz w:val="13"/>
          <w:szCs w:val="13"/>
          <w:i w:val="1"/>
          <w:iCs w:val="1"/>
          <w:color w:val="auto"/>
        </w:rPr>
        <w:t>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75" w:name="page376"/>
    <w:bookmarkEnd w:id="375"/>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8100"/>
        <w:spacing w:after="0"/>
        <w:rPr>
          <w:sz w:val="20"/>
          <w:szCs w:val="20"/>
          <w:color w:val="auto"/>
        </w:rPr>
      </w:pPr>
      <w:r>
        <w:rPr>
          <w:rFonts w:ascii="Arial" w:cs="Arial" w:eastAsia="Arial" w:hAnsi="Arial"/>
          <w:sz w:val="13"/>
          <w:szCs w:val="13"/>
          <w:b w:val="1"/>
          <w:bCs w:val="1"/>
          <w:color w:val="auto"/>
        </w:rPr>
        <w:t>Schedule B</w:t>
      </w:r>
    </w:p>
    <w:p>
      <w:pPr>
        <w:spacing w:after="0" w:line="90" w:lineRule="exact"/>
        <w:rPr>
          <w:sz w:val="20"/>
          <w:szCs w:val="20"/>
          <w:color w:val="auto"/>
        </w:rPr>
      </w:pPr>
    </w:p>
    <w:p>
      <w:pPr>
        <w:ind w:left="2280"/>
        <w:spacing w:after="0"/>
        <w:rPr>
          <w:sz w:val="20"/>
          <w:szCs w:val="20"/>
          <w:color w:val="auto"/>
        </w:rPr>
      </w:pPr>
      <w:r>
        <w:rPr>
          <w:rFonts w:ascii="Arial" w:cs="Arial" w:eastAsia="Arial" w:hAnsi="Arial"/>
          <w:sz w:val="13"/>
          <w:szCs w:val="13"/>
          <w:b w:val="1"/>
          <w:bCs w:val="1"/>
          <w:u w:val="single" w:color="auto"/>
          <w:color w:val="auto"/>
        </w:rPr>
        <w:t>Definition of EURIBOR</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EURIBOR</w:t>
      </w:r>
      <w:r>
        <w:rPr>
          <w:rFonts w:ascii="Arial" w:cs="Arial" w:eastAsia="Arial" w:hAnsi="Arial"/>
          <w:sz w:val="13"/>
          <w:szCs w:val="13"/>
          <w:color w:val="auto"/>
        </w:rPr>
        <w:t>" means:</w:t>
      </w:r>
    </w:p>
    <w:p>
      <w:pPr>
        <w:spacing w:after="0" w:line="96" w:lineRule="exact"/>
        <w:rPr>
          <w:sz w:val="20"/>
          <w:szCs w:val="20"/>
          <w:color w:val="auto"/>
        </w:rPr>
      </w:pPr>
    </w:p>
    <w:p>
      <w:pPr>
        <w:ind w:left="1420" w:hanging="700"/>
        <w:spacing w:after="0"/>
        <w:tabs>
          <w:tab w:leader="none" w:pos="1420" w:val="left"/>
        </w:tabs>
        <w:numPr>
          <w:ilvl w:val="0"/>
          <w:numId w:val="429"/>
        </w:numPr>
        <w:rPr>
          <w:rFonts w:ascii="Arial" w:cs="Arial" w:eastAsia="Arial" w:hAnsi="Arial"/>
          <w:sz w:val="13"/>
          <w:szCs w:val="13"/>
          <w:color w:val="auto"/>
        </w:rPr>
      </w:pPr>
      <w:r>
        <w:rPr>
          <w:rFonts w:ascii="Arial" w:cs="Arial" w:eastAsia="Arial" w:hAnsi="Arial"/>
          <w:sz w:val="13"/>
          <w:szCs w:val="13"/>
          <w:color w:val="auto"/>
        </w:rPr>
        <w:t>in respect of a relevant period of less than one month, the Screen Rate (as defined below) for a term of one month;</w:t>
      </w:r>
    </w:p>
    <w:p>
      <w:pPr>
        <w:spacing w:after="0" w:line="80" w:lineRule="exact"/>
        <w:rPr>
          <w:rFonts w:ascii="Arial" w:cs="Arial" w:eastAsia="Arial" w:hAnsi="Arial"/>
          <w:sz w:val="13"/>
          <w:szCs w:val="13"/>
          <w:color w:val="auto"/>
        </w:rPr>
      </w:pPr>
    </w:p>
    <w:p>
      <w:pPr>
        <w:ind w:left="1420" w:right="380" w:hanging="700"/>
        <w:spacing w:after="0" w:line="258" w:lineRule="auto"/>
        <w:tabs>
          <w:tab w:leader="none" w:pos="1420" w:val="left"/>
        </w:tabs>
        <w:numPr>
          <w:ilvl w:val="0"/>
          <w:numId w:val="429"/>
        </w:numPr>
        <w:rPr>
          <w:rFonts w:ascii="Arial" w:cs="Arial" w:eastAsia="Arial" w:hAnsi="Arial"/>
          <w:sz w:val="13"/>
          <w:szCs w:val="13"/>
          <w:color w:val="auto"/>
        </w:rPr>
      </w:pPr>
      <w:r>
        <w:rPr>
          <w:rFonts w:ascii="Arial" w:cs="Arial" w:eastAsia="Arial" w:hAnsi="Arial"/>
          <w:sz w:val="13"/>
          <w:szCs w:val="13"/>
          <w:color w:val="auto"/>
        </w:rPr>
        <w:t>in respect of a relevant period of one or more months for which a Screen Rate is available, the applicable Screen Rate for a term for the corresponding number of months; and</w:t>
      </w:r>
    </w:p>
    <w:p>
      <w:pPr>
        <w:spacing w:after="0" w:line="58" w:lineRule="exact"/>
        <w:rPr>
          <w:rFonts w:ascii="Arial" w:cs="Arial" w:eastAsia="Arial" w:hAnsi="Arial"/>
          <w:sz w:val="13"/>
          <w:szCs w:val="13"/>
          <w:color w:val="auto"/>
        </w:rPr>
      </w:pPr>
    </w:p>
    <w:p>
      <w:pPr>
        <w:ind w:left="1420" w:right="180" w:hanging="700"/>
        <w:spacing w:after="0" w:line="258" w:lineRule="auto"/>
        <w:tabs>
          <w:tab w:leader="none" w:pos="1420" w:val="left"/>
        </w:tabs>
        <w:numPr>
          <w:ilvl w:val="0"/>
          <w:numId w:val="429"/>
        </w:numPr>
        <w:rPr>
          <w:rFonts w:ascii="Arial" w:cs="Arial" w:eastAsia="Arial" w:hAnsi="Arial"/>
          <w:sz w:val="13"/>
          <w:szCs w:val="13"/>
          <w:color w:val="auto"/>
        </w:rPr>
      </w:pPr>
      <w:r>
        <w:rPr>
          <w:rFonts w:ascii="Arial" w:cs="Arial" w:eastAsia="Arial" w:hAnsi="Arial"/>
          <w:sz w:val="13"/>
          <w:szCs w:val="13"/>
          <w:color w:val="auto"/>
        </w:rPr>
        <w:t>in respect of a relevant period of more than one month for which a Screen Rate is not available, the rate resulting from a linear interpolation by reference to two Screen Rates, one of which is applicable for a period next shorter and the other for a period next longer than the length of the relevant period,</w:t>
      </w:r>
    </w:p>
    <w:p>
      <w:pPr>
        <w:spacing w:after="0" w:line="42" w:lineRule="exact"/>
        <w:rPr>
          <w:rFonts w:ascii="Arial" w:cs="Arial" w:eastAsia="Arial" w:hAnsi="Arial"/>
          <w:sz w:val="13"/>
          <w:szCs w:val="13"/>
          <w:color w:val="auto"/>
        </w:rPr>
      </w:pPr>
    </w:p>
    <w:p>
      <w:pPr>
        <w:ind w:left="1440"/>
        <w:spacing w:after="0"/>
        <w:rPr>
          <w:rFonts w:ascii="Arial" w:cs="Arial" w:eastAsia="Arial" w:hAnsi="Arial"/>
          <w:sz w:val="13"/>
          <w:szCs w:val="13"/>
          <w:color w:val="auto"/>
        </w:rPr>
      </w:pPr>
      <w:r>
        <w:rPr>
          <w:rFonts w:ascii="Arial" w:cs="Arial" w:eastAsia="Arial" w:hAnsi="Arial"/>
          <w:sz w:val="13"/>
          <w:szCs w:val="13"/>
          <w:color w:val="auto"/>
        </w:rPr>
        <w:t>(the period for which the rate is taken or from which the rates are interpolated being the "</w:t>
      </w:r>
      <w:r>
        <w:rPr>
          <w:rFonts w:ascii="Arial" w:cs="Arial" w:eastAsia="Arial" w:hAnsi="Arial"/>
          <w:sz w:val="13"/>
          <w:szCs w:val="13"/>
          <w:b w:val="1"/>
          <w:bCs w:val="1"/>
          <w:color w:val="auto"/>
        </w:rPr>
        <w:t>Representative Period</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jc w:val="both"/>
        <w:ind w:left="1440" w:right="120"/>
        <w:spacing w:after="0" w:line="249" w:lineRule="auto"/>
        <w:rPr>
          <w:rFonts w:ascii="Arial" w:cs="Arial" w:eastAsia="Arial" w:hAnsi="Arial"/>
          <w:sz w:val="13"/>
          <w:szCs w:val="13"/>
          <w:color w:val="auto"/>
        </w:rPr>
      </w:pPr>
      <w:r>
        <w:rPr>
          <w:rFonts w:ascii="Arial" w:cs="Arial" w:eastAsia="Arial" w:hAnsi="Arial"/>
          <w:sz w:val="13"/>
          <w:szCs w:val="13"/>
          <w:color w:val="auto"/>
        </w:rPr>
        <w:t xml:space="preserve">For the purposes of Paragraphs </w:t>
      </w:r>
      <w:hyperlink w:anchor="page376">
        <w:r>
          <w:rPr>
            <w:rFonts w:ascii="Arial" w:cs="Arial" w:eastAsia="Arial" w:hAnsi="Arial"/>
            <w:sz w:val="13"/>
            <w:szCs w:val="13"/>
            <w:u w:val="single" w:color="auto"/>
            <w:color w:val="0000EE"/>
          </w:rPr>
          <w:t>(b)</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and </w:t>
      </w:r>
      <w:hyperlink w:anchor="page376">
        <w:r>
          <w:rPr>
            <w:rFonts w:ascii="Arial" w:cs="Arial" w:eastAsia="Arial" w:hAnsi="Arial"/>
            <w:sz w:val="13"/>
            <w:szCs w:val="13"/>
            <w:u w:val="single" w:color="auto"/>
            <w:color w:val="0000EE"/>
          </w:rPr>
          <w:t>(c)</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above, "available" means the rates, for given maturities, that are calculated and published by Global Rate Set Systems Ltd (GRSS), or such other service provider selected by the European Money Markets Institute (EMMI), under the sponsorship of EMMI and EURIBOR ACI, or any successor to that function of EMMI and EURIBOR ACI as determined by the Bank.</w:t>
      </w:r>
    </w:p>
    <w:p>
      <w:pPr>
        <w:spacing w:after="0" w:line="39" w:lineRule="exact"/>
        <w:rPr>
          <w:rFonts w:ascii="Arial" w:cs="Arial" w:eastAsia="Arial" w:hAnsi="Arial"/>
          <w:sz w:val="13"/>
          <w:szCs w:val="13"/>
          <w:color w:val="auto"/>
        </w:rPr>
      </w:pPr>
    </w:p>
    <w:p>
      <w:pPr>
        <w:jc w:val="both"/>
        <w:ind w:left="1440" w:right="12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Screen Rate</w:t>
      </w:r>
      <w:r>
        <w:rPr>
          <w:rFonts w:ascii="Arial" w:cs="Arial" w:eastAsia="Arial" w:hAnsi="Arial"/>
          <w:sz w:val="13"/>
          <w:szCs w:val="13"/>
          <w:color w:val="auto"/>
        </w:rPr>
        <w:t>" means the rate of interest for deposits in EUR for the relevant period as published at 11h00, Brussels time, or at a later time acceptable to the Bank on the day (the "</w:t>
      </w:r>
      <w:r>
        <w:rPr>
          <w:rFonts w:ascii="Arial" w:cs="Arial" w:eastAsia="Arial" w:hAnsi="Arial"/>
          <w:sz w:val="13"/>
          <w:szCs w:val="13"/>
          <w:b w:val="1"/>
          <w:bCs w:val="1"/>
          <w:color w:val="auto"/>
        </w:rPr>
        <w:t>Reset Date</w:t>
      </w:r>
      <w:r>
        <w:rPr>
          <w:rFonts w:ascii="Arial" w:cs="Arial" w:eastAsia="Arial" w:hAnsi="Arial"/>
          <w:sz w:val="13"/>
          <w:szCs w:val="13"/>
          <w:color w:val="auto"/>
        </w:rPr>
        <w:t>") which falls 2 (two) Relevant Business Days prior to the first day of the relevant period, on Reuters page EURIBOR 01 or its successor page or, failing which, by any other means of publication chosen for this purpose by the Bank.</w:t>
      </w:r>
    </w:p>
    <w:p>
      <w:pPr>
        <w:spacing w:after="0" w:line="56" w:lineRule="exact"/>
        <w:rPr>
          <w:rFonts w:ascii="Arial" w:cs="Arial" w:eastAsia="Arial" w:hAnsi="Arial"/>
          <w:sz w:val="13"/>
          <w:szCs w:val="13"/>
          <w:color w:val="auto"/>
        </w:rPr>
      </w:pPr>
    </w:p>
    <w:p>
      <w:pPr>
        <w:jc w:val="both"/>
        <w:ind w:left="1440" w:right="120"/>
        <w:spacing w:after="0" w:line="246" w:lineRule="auto"/>
        <w:rPr>
          <w:sz w:val="20"/>
          <w:szCs w:val="20"/>
          <w:color w:val="auto"/>
        </w:rPr>
      </w:pPr>
      <w:r>
        <w:rPr>
          <w:rFonts w:ascii="Arial" w:cs="Arial" w:eastAsia="Arial" w:hAnsi="Arial"/>
          <w:sz w:val="13"/>
          <w:szCs w:val="13"/>
          <w:color w:val="auto"/>
        </w:rPr>
        <w:t>If such Screen Rate is not so published, the Bank shall request the principal euro-zone offices of four major banks in the euro-zone, selected by the Bank, to quote the rate at which EUR deposits in a comparable amount are offered by each of them as at approximately 11h00, Brussels time, on the Reset Date to prime banks in the euro- zone interbank market for a period equal to the Representative Period. If at least 2 (two) quotations are provided, the rate for that Reset Date will be the arithmetic mean of the quotations.</w:t>
      </w:r>
    </w:p>
    <w:p>
      <w:pPr>
        <w:spacing w:after="0" w:line="67" w:lineRule="exact"/>
        <w:rPr>
          <w:rFonts w:ascii="Arial" w:cs="Arial" w:eastAsia="Arial" w:hAnsi="Arial"/>
          <w:sz w:val="13"/>
          <w:szCs w:val="13"/>
          <w:color w:val="auto"/>
        </w:rPr>
      </w:pPr>
    </w:p>
    <w:p>
      <w:pPr>
        <w:jc w:val="both"/>
        <w:ind w:left="1440" w:right="120"/>
        <w:spacing w:after="0" w:line="249" w:lineRule="auto"/>
        <w:rPr>
          <w:sz w:val="20"/>
          <w:szCs w:val="20"/>
          <w:color w:val="auto"/>
        </w:rPr>
      </w:pPr>
      <w:r>
        <w:rPr>
          <w:rFonts w:ascii="Arial" w:cs="Arial" w:eastAsia="Arial" w:hAnsi="Arial"/>
          <w:sz w:val="13"/>
          <w:szCs w:val="13"/>
          <w:color w:val="auto"/>
        </w:rPr>
        <w:t>If fewer than 2 (two) quotations are provided as requested, the rate for that Reset Date will be the arithmetic mean of the rates quoted by major banks in the euro-zone, selected by the Bank, at approximately 11h00, Brussels time, on the day which falls 2 (two) Relevant Business Days after the Reset Date, for loans in EUR in a comparable amount to leading European Banks for a period equal to the Representative Period.</w:t>
      </w:r>
    </w:p>
    <w:p>
      <w:pPr>
        <w:spacing w:after="0" w:line="65" w:lineRule="exact"/>
        <w:rPr>
          <w:rFonts w:ascii="Arial" w:cs="Arial" w:eastAsia="Arial" w:hAnsi="Arial"/>
          <w:sz w:val="13"/>
          <w:szCs w:val="13"/>
          <w:color w:val="auto"/>
        </w:rPr>
      </w:pPr>
    </w:p>
    <w:p>
      <w:pPr>
        <w:jc w:val="both"/>
        <w:ind w:left="1440" w:right="120"/>
        <w:spacing w:after="0" w:line="249" w:lineRule="auto"/>
        <w:rPr>
          <w:sz w:val="20"/>
          <w:szCs w:val="20"/>
          <w:color w:val="auto"/>
        </w:rPr>
      </w:pPr>
      <w:r>
        <w:rPr>
          <w:rFonts w:ascii="Arial" w:cs="Arial" w:eastAsia="Arial" w:hAnsi="Arial"/>
          <w:sz w:val="13"/>
          <w:szCs w:val="13"/>
          <w:color w:val="auto"/>
        </w:rPr>
        <w:t>If no rate is available as provided above, EURIBOR shall be 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pacing w:after="0" w:line="65"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For the purposes of the foregoing definitions:</w:t>
      </w:r>
    </w:p>
    <w:p>
      <w:pPr>
        <w:spacing w:after="0" w:line="66" w:lineRule="exact"/>
        <w:rPr>
          <w:rFonts w:ascii="Arial" w:cs="Arial" w:eastAsia="Arial" w:hAnsi="Arial"/>
          <w:sz w:val="13"/>
          <w:szCs w:val="13"/>
          <w:color w:val="auto"/>
        </w:rPr>
      </w:pPr>
    </w:p>
    <w:p>
      <w:pPr>
        <w:ind w:left="1420" w:right="780" w:hanging="700"/>
        <w:spacing w:after="0" w:line="281" w:lineRule="auto"/>
        <w:tabs>
          <w:tab w:leader="none" w:pos="1420" w:val="left"/>
        </w:tabs>
        <w:numPr>
          <w:ilvl w:val="0"/>
          <w:numId w:val="430"/>
        </w:numPr>
        <w:rPr>
          <w:rFonts w:ascii="Arial" w:cs="Arial" w:eastAsia="Arial" w:hAnsi="Arial"/>
          <w:sz w:val="13"/>
          <w:szCs w:val="13"/>
          <w:color w:val="auto"/>
        </w:rPr>
      </w:pPr>
      <w:r>
        <w:rPr>
          <w:rFonts w:ascii="Arial" w:cs="Arial" w:eastAsia="Arial" w:hAnsi="Arial"/>
          <w:sz w:val="13"/>
          <w:szCs w:val="13"/>
          <w:color w:val="auto"/>
        </w:rPr>
        <w:t>All percentages resulting from any calculations referred to in this Schedule B (</w:t>
      </w:r>
      <w:r>
        <w:rPr>
          <w:rFonts w:ascii="Arial" w:cs="Arial" w:eastAsia="Arial" w:hAnsi="Arial"/>
          <w:sz w:val="13"/>
          <w:szCs w:val="13"/>
          <w:i w:val="1"/>
          <w:iCs w:val="1"/>
          <w:color w:val="auto"/>
        </w:rPr>
        <w:t>Definition of EURIBOR</w:t>
      </w:r>
      <w:r>
        <w:rPr>
          <w:rFonts w:ascii="Arial" w:cs="Arial" w:eastAsia="Arial" w:hAnsi="Arial"/>
          <w:sz w:val="13"/>
          <w:szCs w:val="13"/>
          <w:color w:val="auto"/>
        </w:rPr>
        <w:t>) will be rounded, if necessary, to the nearest one thousandth of a percentage point, with halves being rounded up.</w:t>
      </w:r>
    </w:p>
    <w:p>
      <w:pPr>
        <w:spacing w:after="0" w:line="33" w:lineRule="exact"/>
        <w:rPr>
          <w:rFonts w:ascii="Arial" w:cs="Arial" w:eastAsia="Arial" w:hAnsi="Arial"/>
          <w:sz w:val="13"/>
          <w:szCs w:val="13"/>
          <w:color w:val="auto"/>
        </w:rPr>
      </w:pPr>
    </w:p>
    <w:p>
      <w:pPr>
        <w:ind w:left="1420" w:hanging="700"/>
        <w:spacing w:after="0"/>
        <w:tabs>
          <w:tab w:leader="none" w:pos="1420" w:val="left"/>
        </w:tabs>
        <w:numPr>
          <w:ilvl w:val="0"/>
          <w:numId w:val="430"/>
        </w:numPr>
        <w:rPr>
          <w:rFonts w:ascii="Arial" w:cs="Arial" w:eastAsia="Arial" w:hAnsi="Arial"/>
          <w:sz w:val="13"/>
          <w:szCs w:val="13"/>
          <w:color w:val="auto"/>
        </w:rPr>
      </w:pPr>
      <w:r>
        <w:rPr>
          <w:rFonts w:ascii="Arial" w:cs="Arial" w:eastAsia="Arial" w:hAnsi="Arial"/>
          <w:sz w:val="13"/>
          <w:szCs w:val="13"/>
          <w:color w:val="auto"/>
        </w:rPr>
        <w:t>The Bank shall inform the Borrower without delay of the quotations received by the Bank.</w:t>
      </w:r>
    </w:p>
    <w:p>
      <w:pPr>
        <w:spacing w:after="0" w:line="70" w:lineRule="exact"/>
        <w:rPr>
          <w:rFonts w:ascii="Arial" w:cs="Arial" w:eastAsia="Arial" w:hAnsi="Arial"/>
          <w:sz w:val="13"/>
          <w:szCs w:val="13"/>
          <w:color w:val="auto"/>
        </w:rPr>
      </w:pPr>
    </w:p>
    <w:p>
      <w:pPr>
        <w:ind w:left="1420" w:right="220" w:hanging="700"/>
        <w:spacing w:after="0" w:line="258" w:lineRule="auto"/>
        <w:tabs>
          <w:tab w:leader="none" w:pos="1420" w:val="left"/>
        </w:tabs>
        <w:numPr>
          <w:ilvl w:val="0"/>
          <w:numId w:val="430"/>
        </w:numPr>
        <w:rPr>
          <w:rFonts w:ascii="Arial" w:cs="Arial" w:eastAsia="Arial" w:hAnsi="Arial"/>
          <w:sz w:val="13"/>
          <w:szCs w:val="13"/>
          <w:color w:val="auto"/>
        </w:rPr>
      </w:pPr>
      <w:r>
        <w:rPr>
          <w:rFonts w:ascii="Arial" w:cs="Arial" w:eastAsia="Arial" w:hAnsi="Arial"/>
          <w:sz w:val="13"/>
          <w:szCs w:val="13"/>
          <w:color w:val="auto"/>
        </w:rPr>
        <w:t>If any of the foregoing provisions becomes inconsistent with provisions adopted under the aegis of EMMI and EURIBOR ACI (or any successor to that function of EMMI and EURIBOR ACI as determined by the Bank), the Bank may by notice to the Borrower amend the provision to bring it into line with such other provisions.</w:t>
      </w:r>
    </w:p>
    <w:p>
      <w:pPr>
        <w:spacing w:after="0" w:line="30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36</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76" w:name="page377"/>
    <w:bookmarkEnd w:id="376"/>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8540"/>
        <w:spacing w:after="0"/>
        <w:rPr>
          <w:sz w:val="20"/>
          <w:szCs w:val="20"/>
          <w:color w:val="auto"/>
        </w:rPr>
      </w:pPr>
      <w:r>
        <w:rPr>
          <w:rFonts w:ascii="Arial" w:cs="Arial" w:eastAsia="Arial" w:hAnsi="Arial"/>
          <w:sz w:val="13"/>
          <w:szCs w:val="13"/>
          <w:b w:val="1"/>
          <w:bCs w:val="1"/>
          <w:color w:val="auto"/>
        </w:rPr>
        <w:t>Schedule C</w:t>
      </w:r>
    </w:p>
    <w:p>
      <w:pPr>
        <w:spacing w:after="0" w:line="78"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Form of Disbursement Offer/Acceptance</w:t>
            </w:r>
          </w:p>
        </w:tc>
      </w:tr>
      <w:tr>
        <w:trPr>
          <w:trHeight w:val="580"/>
        </w:trPr>
        <w:tc>
          <w:tcPr>
            <w:tcW w:w="740" w:type="dxa"/>
            <w:vAlign w:val="bottom"/>
          </w:tcPr>
          <w:p>
            <w:pPr>
              <w:spacing w:after="0"/>
              <w:rPr>
                <w:sz w:val="20"/>
                <w:szCs w:val="20"/>
                <w:color w:val="auto"/>
              </w:rPr>
            </w:pPr>
            <w:r>
              <w:rPr>
                <w:rFonts w:ascii="Arial" w:cs="Arial" w:eastAsia="Arial" w:hAnsi="Arial"/>
                <w:sz w:val="13"/>
                <w:szCs w:val="13"/>
                <w:color w:val="auto"/>
              </w:rPr>
              <w:t>To:</w:t>
            </w:r>
          </w:p>
        </w:tc>
        <w:tc>
          <w:tcPr>
            <w:tcW w:w="2980" w:type="dxa"/>
            <w:vAlign w:val="bottom"/>
            <w:gridSpan w:val="2"/>
          </w:tcPr>
          <w:p>
            <w:pPr>
              <w:ind w:left="400"/>
              <w:spacing w:after="0"/>
              <w:rPr>
                <w:sz w:val="20"/>
                <w:szCs w:val="20"/>
                <w:color w:val="auto"/>
              </w:rPr>
            </w:pPr>
            <w:r>
              <w:rPr>
                <w:rFonts w:ascii="Arial" w:cs="Arial" w:eastAsia="Arial" w:hAnsi="Arial"/>
                <w:sz w:val="13"/>
                <w:szCs w:val="13"/>
                <w:color w:val="auto"/>
              </w:rPr>
              <w:t>BioNTech SE</w:t>
            </w:r>
          </w:p>
        </w:tc>
      </w:tr>
      <w:tr>
        <w:trPr>
          <w:trHeight w:val="219"/>
        </w:trPr>
        <w:tc>
          <w:tcPr>
            <w:tcW w:w="740" w:type="dxa"/>
            <w:vAlign w:val="bottom"/>
          </w:tcPr>
          <w:p>
            <w:pPr>
              <w:spacing w:after="0"/>
              <w:rPr>
                <w:sz w:val="20"/>
                <w:szCs w:val="20"/>
                <w:color w:val="auto"/>
              </w:rPr>
            </w:pPr>
            <w:r>
              <w:rPr>
                <w:rFonts w:ascii="Arial" w:cs="Arial" w:eastAsia="Arial" w:hAnsi="Arial"/>
                <w:sz w:val="13"/>
                <w:szCs w:val="13"/>
                <w:color w:val="auto"/>
              </w:rPr>
              <w:t>From:</w:t>
            </w:r>
          </w:p>
        </w:tc>
        <w:tc>
          <w:tcPr>
            <w:tcW w:w="480" w:type="dxa"/>
            <w:vAlign w:val="bottom"/>
          </w:tcPr>
          <w:p>
            <w:pPr>
              <w:spacing w:after="0"/>
              <w:rPr>
                <w:sz w:val="19"/>
                <w:szCs w:val="19"/>
                <w:color w:val="auto"/>
              </w:rPr>
            </w:pPr>
          </w:p>
        </w:tc>
        <w:tc>
          <w:tcPr>
            <w:tcW w:w="2500" w:type="dxa"/>
            <w:vAlign w:val="bottom"/>
          </w:tcPr>
          <w:p>
            <w:pPr>
              <w:ind w:left="80"/>
              <w:spacing w:after="0"/>
              <w:rPr>
                <w:sz w:val="20"/>
                <w:szCs w:val="20"/>
                <w:color w:val="auto"/>
              </w:rPr>
            </w:pPr>
            <w:r>
              <w:rPr>
                <w:rFonts w:ascii="Arial" w:cs="Arial" w:eastAsia="Arial" w:hAnsi="Arial"/>
                <w:sz w:val="13"/>
                <w:szCs w:val="13"/>
                <w:color w:val="auto"/>
              </w:rPr>
              <w:t>European Investment Bank Date:</w:t>
            </w:r>
          </w:p>
        </w:tc>
      </w:tr>
    </w:tbl>
    <w:p>
      <w:pPr>
        <w:ind w:left="720"/>
        <w:spacing w:after="0"/>
        <w:rPr>
          <w:sz w:val="20"/>
          <w:szCs w:val="20"/>
          <w:color w:val="auto"/>
        </w:rPr>
      </w:pPr>
      <w:r>
        <w:rPr>
          <w:rFonts w:ascii="Arial" w:cs="Arial" w:eastAsia="Arial" w:hAnsi="Arial"/>
          <w:sz w:val="13"/>
          <w:szCs w:val="13"/>
          <w:color w:val="auto"/>
        </w:rPr>
        <w:t>Subject: Disbursement Offer/Acceptance for the Finance Contract between European Investment Bank and BioNTech SE dated 12 December 2019 (the "</w:t>
      </w:r>
      <w:r>
        <w:rPr>
          <w:rFonts w:ascii="Arial" w:cs="Arial" w:eastAsia="Arial" w:hAnsi="Arial"/>
          <w:sz w:val="13"/>
          <w:szCs w:val="13"/>
          <w:b w:val="1"/>
          <w:bCs w:val="1"/>
          <w:color w:val="auto"/>
        </w:rPr>
        <w:t>Finance Contract</w:t>
      </w:r>
      <w:r>
        <w:rPr>
          <w:rFonts w:ascii="Arial" w:cs="Arial" w:eastAsia="Arial" w:hAnsi="Arial"/>
          <w:sz w:val="13"/>
          <w:szCs w:val="13"/>
          <w:color w:val="auto"/>
        </w:rPr>
        <w:t>")</w:t>
      </w:r>
    </w:p>
    <w:p>
      <w:pPr>
        <w:spacing w:after="0" w:line="80" w:lineRule="exact"/>
        <w:rPr>
          <w:sz w:val="20"/>
          <w:szCs w:val="20"/>
          <w:color w:val="auto"/>
        </w:rPr>
      </w:pPr>
    </w:p>
    <w:p>
      <w:pPr>
        <w:ind w:left="1800"/>
        <w:spacing w:after="0"/>
        <w:tabs>
          <w:tab w:leader="none" w:pos="7260" w:val="left"/>
        </w:tabs>
        <w:rPr>
          <w:sz w:val="20"/>
          <w:szCs w:val="20"/>
          <w:color w:val="auto"/>
        </w:rPr>
      </w:pPr>
      <w:r>
        <w:rPr>
          <w:rFonts w:ascii="Arial" w:cs="Arial" w:eastAsia="Arial" w:hAnsi="Arial"/>
          <w:sz w:val="13"/>
          <w:szCs w:val="13"/>
          <w:color w:val="auto"/>
        </w:rPr>
        <w:t>Contract Number [***] and [***]</w:t>
      </w:r>
      <w:r>
        <w:rPr>
          <w:sz w:val="20"/>
          <w:szCs w:val="20"/>
          <w:color w:val="auto"/>
        </w:rPr>
        <w:tab/>
      </w:r>
      <w:r>
        <w:rPr>
          <w:rFonts w:ascii="Arial" w:cs="Arial" w:eastAsia="Arial" w:hAnsi="Arial"/>
          <w:sz w:val="13"/>
          <w:szCs w:val="13"/>
          <w:color w:val="auto"/>
        </w:rPr>
        <w:t>Serapis Number [***]</w:t>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Dear Sirs,</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refer to the Finance Contract. Terms defined in the Finance Contract have the same meaning when used in this letter.</w:t>
      </w:r>
    </w:p>
    <w:p>
      <w:pPr>
        <w:spacing w:after="0" w:line="66" w:lineRule="exact"/>
        <w:rPr>
          <w:sz w:val="20"/>
          <w:szCs w:val="20"/>
          <w:color w:val="auto"/>
        </w:rPr>
      </w:pPr>
    </w:p>
    <w:p>
      <w:pPr>
        <w:ind w:left="720" w:right="180"/>
        <w:spacing w:after="0" w:line="281" w:lineRule="auto"/>
        <w:rPr>
          <w:sz w:val="20"/>
          <w:szCs w:val="20"/>
          <w:color w:val="auto"/>
        </w:rPr>
      </w:pPr>
      <w:r>
        <w:rPr>
          <w:rFonts w:ascii="Arial" w:cs="Arial" w:eastAsia="Arial" w:hAnsi="Arial"/>
          <w:sz w:val="13"/>
          <w:szCs w:val="13"/>
          <w:color w:val="auto"/>
        </w:rPr>
        <w:t xml:space="preserve">Following your request for a Disbursement Offer from the Bank, in accordance with Article </w:t>
      </w:r>
      <w:r>
        <w:rPr>
          <w:rFonts w:ascii="Arial" w:cs="Arial" w:eastAsia="Arial" w:hAnsi="Arial"/>
          <w:sz w:val="13"/>
          <w:szCs w:val="13"/>
          <w:u w:val="single" w:color="auto"/>
          <w:color w:val="0000EE"/>
        </w:rPr>
        <w:t>2.2.2</w:t>
      </w:r>
      <w:r>
        <w:rPr>
          <w:rFonts w:ascii="Arial" w:cs="Arial" w:eastAsia="Arial" w:hAnsi="Arial"/>
          <w:sz w:val="13"/>
          <w:szCs w:val="13"/>
          <w:color w:val="auto"/>
        </w:rPr>
        <w:t xml:space="preserve"> (</w:t>
      </w:r>
      <w:r>
        <w:rPr>
          <w:rFonts w:ascii="Arial" w:cs="Arial" w:eastAsia="Arial" w:hAnsi="Arial"/>
          <w:sz w:val="13"/>
          <w:szCs w:val="13"/>
          <w:i w:val="1"/>
          <w:iCs w:val="1"/>
          <w:color w:val="auto"/>
        </w:rPr>
        <w:t>Disbursement Offer</w:t>
      </w:r>
      <w:r>
        <w:rPr>
          <w:rFonts w:ascii="Arial" w:cs="Arial" w:eastAsia="Arial" w:hAnsi="Arial"/>
          <w:sz w:val="13"/>
          <w:szCs w:val="13"/>
          <w:color w:val="auto"/>
        </w:rPr>
        <w:t>) of the Finance Contract, we hereby offer to make available to you the following Tranche:</w:t>
      </w:r>
    </w:p>
    <w:p>
      <w:pPr>
        <w:spacing w:after="0" w:line="44" w:lineRule="exact"/>
        <w:rPr>
          <w:sz w:val="20"/>
          <w:szCs w:val="20"/>
          <w:color w:val="auto"/>
        </w:rPr>
      </w:pPr>
    </w:p>
    <w:p>
      <w:pPr>
        <w:ind w:left="1420" w:hanging="700"/>
        <w:spacing w:after="0"/>
        <w:tabs>
          <w:tab w:leader="none" w:pos="14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Credit: [A / B]</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Amount to be disbursed:</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Disbursement Date:</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Cash Interest Fixed Rate (if applicable):</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Deferred Interest Fixed Rate (if applicable):</w:t>
      </w:r>
    </w:p>
    <w:p>
      <w:pPr>
        <w:spacing w:after="0" w:line="62" w:lineRule="exact"/>
        <w:rPr>
          <w:rFonts w:ascii="Arial" w:cs="Arial" w:eastAsia="Arial" w:hAnsi="Arial"/>
          <w:sz w:val="13"/>
          <w:szCs w:val="13"/>
          <w:color w:val="auto"/>
        </w:rPr>
      </w:pPr>
    </w:p>
    <w:p>
      <w:pPr>
        <w:ind w:left="1420" w:hanging="700"/>
        <w:spacing w:after="0"/>
        <w:tabs>
          <w:tab w:leader="none" w:pos="14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Payment Dates / interest periods: [l] / quarterly</w:t>
      </w:r>
    </w:p>
    <w:p>
      <w:pPr>
        <w:spacing w:after="0" w:line="98" w:lineRule="exact"/>
        <w:rPr>
          <w:rFonts w:ascii="Arial" w:cs="Arial" w:eastAsia="Arial" w:hAnsi="Arial"/>
          <w:sz w:val="13"/>
          <w:szCs w:val="13"/>
          <w:color w:val="auto"/>
        </w:rPr>
      </w:pPr>
    </w:p>
    <w:p>
      <w:pPr>
        <w:ind w:left="1420" w:hanging="700"/>
        <w:spacing w:after="0"/>
        <w:tabs>
          <w:tab w:leader="none" w:pos="14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Terms and frequency for repayment of principal:</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Maturity Date:</w:t>
      </w:r>
    </w:p>
    <w:p>
      <w:pPr>
        <w:spacing w:after="0" w:line="80" w:lineRule="exact"/>
        <w:rPr>
          <w:sz w:val="20"/>
          <w:szCs w:val="20"/>
          <w:color w:val="auto"/>
        </w:rPr>
      </w:pPr>
    </w:p>
    <w:p>
      <w:pPr>
        <w:ind w:left="720" w:right="160"/>
        <w:spacing w:after="0" w:line="248" w:lineRule="auto"/>
        <w:rPr>
          <w:sz w:val="20"/>
          <w:szCs w:val="20"/>
          <w:color w:val="auto"/>
        </w:rPr>
      </w:pPr>
      <w:r>
        <w:rPr>
          <w:rFonts w:ascii="Arial" w:cs="Arial" w:eastAsia="Arial" w:hAnsi="Arial"/>
          <w:sz w:val="13"/>
          <w:szCs w:val="13"/>
          <w:color w:val="auto"/>
        </w:rPr>
        <w:t>To make the Tranche available subject to the terms and conditions of the Finance Contract, the Bank must receive a Disbursement Acceptance in the form of a copy of this Disbursement Offer duly signed on your behalf, to the following electronic mail [l] no later than the Disbursement Acceptance Deadline of [</w:t>
      </w:r>
      <w:r>
        <w:rPr>
          <w:rFonts w:ascii="Arial" w:cs="Arial" w:eastAsia="Arial" w:hAnsi="Arial"/>
          <w:sz w:val="13"/>
          <w:szCs w:val="13"/>
          <w:i w:val="1"/>
          <w:iCs w:val="1"/>
          <w:color w:val="auto"/>
        </w:rPr>
        <w:t>time</w:t>
      </w:r>
      <w:r>
        <w:rPr>
          <w:rFonts w:ascii="Arial" w:cs="Arial" w:eastAsia="Arial" w:hAnsi="Arial"/>
          <w:sz w:val="13"/>
          <w:szCs w:val="13"/>
          <w:color w:val="auto"/>
        </w:rPr>
        <w:t>], Luxembourg time, on</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date</w:t>
      </w:r>
      <w:r>
        <w:rPr>
          <w:rFonts w:ascii="Arial" w:cs="Arial" w:eastAsia="Arial" w:hAnsi="Arial"/>
          <w:sz w:val="13"/>
          <w:szCs w:val="13"/>
          <w:color w:val="auto"/>
        </w:rPr>
        <w: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The Disbursement Acceptance below must be signed by an Authorised Signatory and must be fully completed as indicated, to include the details of the Disbursement Account.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If not duly accepted by the above stated time, the offer contained in this document shall be deemed to have been refused and shall automatically lapse.</w:t>
      </w:r>
    </w:p>
    <w:p>
      <w:pPr>
        <w:spacing w:after="0" w:line="70" w:lineRule="exact"/>
        <w:rPr>
          <w:sz w:val="20"/>
          <w:szCs w:val="20"/>
          <w:color w:val="auto"/>
        </w:rPr>
      </w:pPr>
    </w:p>
    <w:p>
      <w:pPr>
        <w:ind w:left="720" w:right="160"/>
        <w:spacing w:after="0" w:line="258" w:lineRule="auto"/>
        <w:rPr>
          <w:rFonts w:ascii="Arial" w:cs="Arial" w:eastAsia="Arial" w:hAnsi="Arial"/>
          <w:sz w:val="13"/>
          <w:szCs w:val="13"/>
          <w:color w:val="auto"/>
        </w:rPr>
      </w:pPr>
      <w:r>
        <w:rPr>
          <w:rFonts w:ascii="Arial" w:cs="Arial" w:eastAsia="Arial" w:hAnsi="Arial"/>
          <w:sz w:val="13"/>
          <w:szCs w:val="13"/>
          <w:color w:val="auto"/>
        </w:rPr>
        <w:t xml:space="preserve">If you do accept the Tranche as described in this Disbursement Offer, all the related terms and conditions of the Finance Contract shall apply, in particular, the provisions of Article </w:t>
      </w:r>
      <w:hyperlink w:anchor="page355">
        <w:r>
          <w:rPr>
            <w:rFonts w:ascii="Arial" w:cs="Arial" w:eastAsia="Arial" w:hAnsi="Arial"/>
            <w:sz w:val="13"/>
            <w:szCs w:val="13"/>
            <w:u w:val="single" w:color="auto"/>
            <w:color w:val="0000EE"/>
          </w:rPr>
          <w:t>2.5</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Conditions of Disbursement</w:t>
      </w:r>
      <w:r>
        <w:rPr>
          <w:rFonts w:ascii="Arial" w:cs="Arial" w:eastAsia="Arial" w:hAnsi="Arial"/>
          <w:sz w:val="13"/>
          <w:szCs w:val="13"/>
          <w:color w:val="auto"/>
        </w:rPr>
        <w:t>).</w:t>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Yours faithfully,</w:t>
      </w:r>
    </w:p>
    <w:p>
      <w:pPr>
        <w:spacing w:after="0" w:line="44"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EUROPEAN INVESTMENT BANK</w:t>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77" w:name="page378"/>
    <w:bookmarkEnd w:id="377"/>
    <w:p>
      <w:pPr>
        <w:jc w:val="right"/>
        <w:spacing w:after="0"/>
        <w:rPr>
          <w:sz w:val="20"/>
          <w:szCs w:val="20"/>
          <w:color w:val="auto"/>
        </w:rPr>
      </w:pPr>
      <w:r>
        <w:rPr>
          <w:rFonts w:ascii="Arial" w:cs="Arial" w:eastAsia="Arial" w:hAnsi="Arial"/>
          <w:sz w:val="13"/>
          <w:szCs w:val="13"/>
          <w:b w:val="1"/>
          <w:bCs w:val="1"/>
          <w:color w:val="auto"/>
        </w:rPr>
        <w:t>Exhibit 4.41</w:t>
      </w:r>
    </w:p>
    <w:p>
      <w:pPr>
        <w:spacing w:after="0" w:line="119"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On letterhead of the Borrower</w:t>
      </w:r>
      <w:r>
        <w:rPr>
          <w:rFonts w:ascii="Arial" w:cs="Arial" w:eastAsia="Arial" w:hAnsi="Arial"/>
          <w:sz w:val="13"/>
          <w:szCs w:val="13"/>
          <w:color w:val="auto"/>
        </w:rPr>
        <w:t>]</w:t>
      </w:r>
    </w:p>
    <w:p>
      <w:pPr>
        <w:spacing w:after="0" w:line="9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hereby accept the above Disbursement Offer for and on behalf of the Borrower:</w:t>
      </w:r>
    </w:p>
    <w:p>
      <w:pPr>
        <w:spacing w:after="0" w:line="200" w:lineRule="exact"/>
        <w:rPr>
          <w:sz w:val="20"/>
          <w:szCs w:val="20"/>
          <w:color w:val="auto"/>
        </w:rPr>
      </w:pPr>
    </w:p>
    <w:p>
      <w:pPr>
        <w:spacing w:after="0" w:line="33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Date:</w:t>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Account to be credited: Account N°:</w:t>
      </w:r>
    </w:p>
    <w:p>
      <w:pPr>
        <w:ind w:left="720"/>
        <w:spacing w:after="0"/>
        <w:rPr>
          <w:sz w:val="20"/>
          <w:szCs w:val="20"/>
          <w:color w:val="auto"/>
        </w:rPr>
      </w:pPr>
      <w:r>
        <w:rPr>
          <w:rFonts w:ascii="Arial" w:cs="Arial" w:eastAsia="Arial" w:hAnsi="Arial"/>
          <w:sz w:val="13"/>
          <w:szCs w:val="13"/>
          <w:color w:val="auto"/>
        </w:rPr>
        <w:t>Account Holder/Beneficiary:</w:t>
      </w:r>
    </w:p>
    <w:p>
      <w:pPr>
        <w:spacing w:after="0" w:line="70" w:lineRule="exact"/>
        <w:rPr>
          <w:sz w:val="20"/>
          <w:szCs w:val="20"/>
          <w:color w:val="auto"/>
        </w:rPr>
      </w:pPr>
    </w:p>
    <w:p>
      <w:pPr>
        <w:ind w:left="720" w:right="500"/>
        <w:spacing w:after="0" w:line="242" w:lineRule="auto"/>
        <w:rPr>
          <w:sz w:val="20"/>
          <w:szCs w:val="20"/>
          <w:color w:val="auto"/>
        </w:rPr>
      </w:pPr>
      <w:r>
        <w:rPr>
          <w:rFonts w:ascii="Arial" w:cs="Arial" w:eastAsia="Arial" w:hAnsi="Arial"/>
          <w:sz w:val="13"/>
          <w:szCs w:val="13"/>
          <w:color w:val="auto"/>
        </w:rPr>
        <w:t>(please, provide IBAN format if the country is included in IBAN Registry published by SWIFT, otherwise an appropriate format in line with the local banking practice should be provided)</w:t>
      </w:r>
    </w:p>
    <w:p>
      <w:pPr>
        <w:spacing w:after="0" w:line="5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Bank name, identification code (BIC) and address: Payment details to be provided:</w:t>
      </w:r>
    </w:p>
    <w:p>
      <w:pPr>
        <w:ind w:left="720"/>
        <w:spacing w:after="0"/>
        <w:rPr>
          <w:sz w:val="20"/>
          <w:szCs w:val="20"/>
          <w:color w:val="auto"/>
        </w:rPr>
      </w:pPr>
      <w:r>
        <w:rPr>
          <w:rFonts w:ascii="Arial" w:cs="Arial" w:eastAsia="Arial" w:hAnsi="Arial"/>
          <w:sz w:val="13"/>
          <w:szCs w:val="13"/>
          <w:color w:val="auto"/>
        </w:rPr>
        <w:t>Please transmit information relevant to:</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Name(s) of the Borrower's Authorised Signatory(ies):</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Signature(s) of the Borrower’s Authorised Signatory(ies):</w:t>
      </w:r>
    </w:p>
    <w:p>
      <w:pPr>
        <w:ind w:left="720"/>
        <w:spacing w:after="0"/>
        <w:rPr>
          <w:sz w:val="20"/>
          <w:szCs w:val="20"/>
          <w:color w:val="auto"/>
        </w:rPr>
      </w:pPr>
      <w:r>
        <w:rPr>
          <w:rFonts w:ascii="Arial" w:cs="Arial" w:eastAsia="Arial" w:hAnsi="Arial"/>
          <w:sz w:val="13"/>
          <w:szCs w:val="13"/>
          <w:color w:val="auto"/>
        </w:rPr>
        <w:t>Name(s)/Title(s):</w:t>
      </w:r>
    </w:p>
    <w:p>
      <w:pPr>
        <w:spacing w:after="0" w:line="313" w:lineRule="exact"/>
        <w:rPr>
          <w:sz w:val="20"/>
          <w:szCs w:val="20"/>
          <w:color w:val="auto"/>
        </w:rPr>
      </w:pPr>
    </w:p>
    <w:p>
      <w:pPr>
        <w:ind w:left="3180"/>
        <w:spacing w:after="0"/>
        <w:rPr>
          <w:sz w:val="20"/>
          <w:szCs w:val="20"/>
          <w:color w:val="auto"/>
        </w:rPr>
      </w:pPr>
      <w:r>
        <w:rPr>
          <w:rFonts w:ascii="Arial" w:cs="Arial" w:eastAsia="Arial" w:hAnsi="Arial"/>
          <w:sz w:val="11"/>
          <w:szCs w:val="11"/>
          <w:b w:val="1"/>
          <w:bCs w:val="1"/>
          <w:color w:val="auto"/>
        </w:rPr>
        <w:t>IMPORTANT NOTICE TO THE BORROWER:</w:t>
      </w:r>
    </w:p>
    <w:p>
      <w:pPr>
        <w:spacing w:after="0" w:line="63" w:lineRule="exact"/>
        <w:rPr>
          <w:sz w:val="20"/>
          <w:szCs w:val="20"/>
          <w:color w:val="auto"/>
        </w:rPr>
      </w:pPr>
    </w:p>
    <w:p>
      <w:pPr>
        <w:ind w:left="120" w:right="120"/>
        <w:spacing w:after="0" w:line="254" w:lineRule="auto"/>
        <w:rPr>
          <w:sz w:val="20"/>
          <w:szCs w:val="20"/>
          <w:color w:val="auto"/>
        </w:rPr>
      </w:pPr>
      <w:r>
        <w:rPr>
          <w:rFonts w:ascii="Arial" w:cs="Arial" w:eastAsia="Arial" w:hAnsi="Arial"/>
          <w:sz w:val="11"/>
          <w:szCs w:val="11"/>
          <w:b w:val="1"/>
          <w:bCs w:val="1"/>
          <w:color w:val="auto"/>
        </w:rPr>
        <w:t>BY COUNTERSIGNING ABOVE YOU CONFIRM THAT THE LIST OF AUTHORISED SIGNATORIES AND ACCOUNTS PROVIDED TO THE BANK WAS DULY UPDATED PRIOR TO THE PRESENTATION OF THE ABOVE DISBURSEMENT OFFER BY THE BANK.</w:t>
      </w:r>
    </w:p>
    <w:p>
      <w:pPr>
        <w:spacing w:after="0" w:line="52" w:lineRule="exact"/>
        <w:rPr>
          <w:sz w:val="20"/>
          <w:szCs w:val="20"/>
          <w:color w:val="auto"/>
        </w:rPr>
      </w:pPr>
    </w:p>
    <w:p>
      <w:pPr>
        <w:ind w:left="120" w:right="120"/>
        <w:spacing w:after="0" w:line="254" w:lineRule="auto"/>
        <w:rPr>
          <w:sz w:val="20"/>
          <w:szCs w:val="20"/>
          <w:color w:val="auto"/>
        </w:rPr>
      </w:pPr>
      <w:r>
        <w:rPr>
          <w:rFonts w:ascii="Arial" w:cs="Arial" w:eastAsia="Arial" w:hAnsi="Arial"/>
          <w:sz w:val="11"/>
          <w:szCs w:val="11"/>
          <w:b w:val="1"/>
          <w:bCs w:val="1"/>
          <w:color w:val="auto"/>
        </w:rPr>
        <w:t>IN THE EVENT THAT ANY SIGNATORIES OR ACCOUNTS APPEARING IN THIS DISBURSEMENT ACCEPTANCE ARE NOT INCLUDED IN THE LATEST LIST OF AUTHORISED SIGNATORIES AND ACCOUNTS RECEIVED BY THE BANK, THE ABOVE DISBURSEMENT OFFER SHALL BE DEEMED AS NOT HAVING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78" w:name="page379"/>
    <w:bookmarkEnd w:id="378"/>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8280"/>
        <w:spacing w:after="0"/>
        <w:rPr>
          <w:sz w:val="20"/>
          <w:szCs w:val="20"/>
          <w:color w:val="auto"/>
        </w:rPr>
      </w:pPr>
      <w:r>
        <w:rPr>
          <w:rFonts w:ascii="Arial" w:cs="Arial" w:eastAsia="Arial" w:hAnsi="Arial"/>
          <w:sz w:val="13"/>
          <w:szCs w:val="13"/>
          <w:b w:val="1"/>
          <w:bCs w:val="1"/>
          <w:color w:val="auto"/>
        </w:rPr>
        <w:t>Schedule D</w:t>
      </w:r>
    </w:p>
    <w:p>
      <w:pPr>
        <w:spacing w:after="0" w:line="78"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Form of Drawdown Certificate</w:t>
            </w:r>
          </w:p>
        </w:tc>
      </w:tr>
      <w:tr>
        <w:trPr>
          <w:trHeight w:val="309"/>
        </w:trPr>
        <w:tc>
          <w:tcPr>
            <w:tcW w:w="740" w:type="dxa"/>
            <w:vAlign w:val="bottom"/>
          </w:tcPr>
          <w:p>
            <w:pPr>
              <w:spacing w:after="0"/>
              <w:rPr>
                <w:sz w:val="20"/>
                <w:szCs w:val="20"/>
                <w:color w:val="auto"/>
              </w:rPr>
            </w:pPr>
            <w:r>
              <w:rPr>
                <w:rFonts w:ascii="Arial" w:cs="Arial" w:eastAsia="Arial" w:hAnsi="Arial"/>
                <w:sz w:val="13"/>
                <w:szCs w:val="13"/>
                <w:color w:val="auto"/>
              </w:rPr>
              <w:t>To:</w:t>
            </w:r>
          </w:p>
        </w:tc>
        <w:tc>
          <w:tcPr>
            <w:tcW w:w="2560" w:type="dxa"/>
            <w:vAlign w:val="bottom"/>
            <w:gridSpan w:val="2"/>
          </w:tcPr>
          <w:p>
            <w:pPr>
              <w:ind w:left="400"/>
              <w:spacing w:after="0"/>
              <w:rPr>
                <w:sz w:val="20"/>
                <w:szCs w:val="20"/>
                <w:color w:val="auto"/>
              </w:rPr>
            </w:pPr>
            <w:r>
              <w:rPr>
                <w:rFonts w:ascii="Arial" w:cs="Arial" w:eastAsia="Arial" w:hAnsi="Arial"/>
                <w:sz w:val="13"/>
                <w:szCs w:val="13"/>
                <w:color w:val="auto"/>
              </w:rPr>
              <w:t>European Investment Bank</w:t>
            </w:r>
          </w:p>
        </w:tc>
      </w:tr>
      <w:tr>
        <w:trPr>
          <w:trHeight w:val="150"/>
        </w:trPr>
        <w:tc>
          <w:tcPr>
            <w:tcW w:w="740" w:type="dxa"/>
            <w:vAlign w:val="bottom"/>
          </w:tcPr>
          <w:p>
            <w:pPr>
              <w:spacing w:after="0"/>
              <w:rPr>
                <w:sz w:val="20"/>
                <w:szCs w:val="20"/>
                <w:color w:val="auto"/>
              </w:rPr>
            </w:pPr>
            <w:r>
              <w:rPr>
                <w:rFonts w:ascii="Arial" w:cs="Arial" w:eastAsia="Arial" w:hAnsi="Arial"/>
                <w:sz w:val="13"/>
                <w:szCs w:val="13"/>
                <w:color w:val="auto"/>
              </w:rPr>
              <w:t>From:</w:t>
            </w:r>
          </w:p>
        </w:tc>
        <w:tc>
          <w:tcPr>
            <w:tcW w:w="2560" w:type="dxa"/>
            <w:vAlign w:val="bottom"/>
            <w:gridSpan w:val="2"/>
          </w:tcPr>
          <w:p>
            <w:pPr>
              <w:ind w:left="560"/>
              <w:spacing w:after="0"/>
              <w:rPr>
                <w:sz w:val="20"/>
                <w:szCs w:val="20"/>
                <w:color w:val="auto"/>
              </w:rPr>
            </w:pPr>
            <w:r>
              <w:rPr>
                <w:rFonts w:ascii="Arial" w:cs="Arial" w:eastAsia="Arial" w:hAnsi="Arial"/>
                <w:sz w:val="13"/>
                <w:szCs w:val="13"/>
                <w:color w:val="auto"/>
              </w:rPr>
              <w:t>BioNTech SE</w:t>
            </w:r>
          </w:p>
        </w:tc>
      </w:tr>
      <w:tr>
        <w:trPr>
          <w:trHeight w:val="161"/>
        </w:trPr>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13"/>
                <w:szCs w:val="13"/>
                <w:color w:val="auto"/>
              </w:rPr>
            </w:pPr>
          </w:p>
        </w:tc>
        <w:tc>
          <w:tcPr>
            <w:tcW w:w="1860" w:type="dxa"/>
            <w:vAlign w:val="bottom"/>
          </w:tcPr>
          <w:p>
            <w:pPr>
              <w:spacing w:after="0"/>
              <w:rPr>
                <w:sz w:val="13"/>
                <w:szCs w:val="13"/>
                <w:color w:val="auto"/>
              </w:rPr>
            </w:pPr>
          </w:p>
        </w:tc>
      </w:tr>
    </w:tbl>
    <w:p>
      <w:pPr>
        <w:spacing w:after="0" w:line="4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Subject: Finance Contract between European Investment Bank and BioNTech SE dated 12 December 2019 (the "</w:t>
      </w:r>
      <w:r>
        <w:rPr>
          <w:rFonts w:ascii="Arial" w:cs="Arial" w:eastAsia="Arial" w:hAnsi="Arial"/>
          <w:sz w:val="13"/>
          <w:szCs w:val="13"/>
          <w:b w:val="1"/>
          <w:bCs w:val="1"/>
          <w:color w:val="auto"/>
        </w:rPr>
        <w:t>Finance Contract</w:t>
      </w:r>
      <w:r>
        <w:rPr>
          <w:rFonts w:ascii="Arial" w:cs="Arial" w:eastAsia="Arial" w:hAnsi="Arial"/>
          <w:sz w:val="13"/>
          <w:szCs w:val="13"/>
          <w:color w:val="auto"/>
        </w:rPr>
        <w:t>")</w:t>
      </w:r>
    </w:p>
    <w:p>
      <w:pPr>
        <w:spacing w:after="0" w:line="96" w:lineRule="exact"/>
        <w:rPr>
          <w:sz w:val="20"/>
          <w:szCs w:val="20"/>
          <w:color w:val="auto"/>
        </w:rPr>
      </w:pPr>
    </w:p>
    <w:p>
      <w:pPr>
        <w:ind w:left="1800"/>
        <w:spacing w:after="0"/>
        <w:tabs>
          <w:tab w:leader="none" w:pos="7340" w:val="left"/>
        </w:tabs>
        <w:rPr>
          <w:sz w:val="20"/>
          <w:szCs w:val="20"/>
          <w:color w:val="auto"/>
        </w:rPr>
      </w:pPr>
      <w:r>
        <w:rPr>
          <w:rFonts w:ascii="Arial" w:cs="Arial" w:eastAsia="Arial" w:hAnsi="Arial"/>
          <w:sz w:val="13"/>
          <w:szCs w:val="13"/>
          <w:color w:val="auto"/>
        </w:rPr>
        <w:t>Contract Number [***] and [***]</w:t>
      </w:r>
      <w:r>
        <w:rPr>
          <w:sz w:val="20"/>
          <w:szCs w:val="20"/>
          <w:color w:val="auto"/>
        </w:rPr>
        <w:tab/>
      </w:r>
      <w:r>
        <w:rPr>
          <w:rFonts w:ascii="Arial" w:cs="Arial" w:eastAsia="Arial" w:hAnsi="Arial"/>
          <w:sz w:val="13"/>
          <w:szCs w:val="13"/>
          <w:color w:val="auto"/>
        </w:rPr>
        <w:t>Serapis Number [***]</w:t>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Dear Sirs,</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Terms defined in the Finance Contract have the same meaning when used in this letter.</w:t>
      </w:r>
    </w:p>
    <w:p>
      <w:pPr>
        <w:spacing w:after="0" w:line="46" w:lineRule="exact"/>
        <w:rPr>
          <w:sz w:val="20"/>
          <w:szCs w:val="20"/>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 xml:space="preserve">For the purposes of Article </w:t>
      </w:r>
      <w:hyperlink w:anchor="page355">
        <w:r>
          <w:rPr>
            <w:rFonts w:ascii="Arial" w:cs="Arial" w:eastAsia="Arial" w:hAnsi="Arial"/>
            <w:sz w:val="13"/>
            <w:szCs w:val="13"/>
            <w:u w:val="single" w:color="auto"/>
            <w:color w:val="0000EE"/>
          </w:rPr>
          <w:t>2.5</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Conditions of Disbursement</w:t>
      </w:r>
      <w:r>
        <w:rPr>
          <w:rFonts w:ascii="Arial" w:cs="Arial" w:eastAsia="Arial" w:hAnsi="Arial"/>
          <w:sz w:val="13"/>
          <w:szCs w:val="13"/>
          <w:color w:val="auto"/>
        </w:rPr>
        <w:t>) of the Finance Contract we hereby certify to you as follows:</w:t>
      </w:r>
    </w:p>
    <w:p>
      <w:pPr>
        <w:spacing w:after="0" w:line="84" w:lineRule="exact"/>
        <w:rPr>
          <w:sz w:val="20"/>
          <w:szCs w:val="20"/>
          <w:color w:val="auto"/>
        </w:rPr>
      </w:pPr>
    </w:p>
    <w:p>
      <w:pPr>
        <w:ind w:left="1420" w:hanging="700"/>
        <w:spacing w:after="0"/>
        <w:tabs>
          <w:tab w:leader="none" w:pos="1420" w:val="left"/>
        </w:tabs>
        <w:numPr>
          <w:ilvl w:val="0"/>
          <w:numId w:val="432"/>
        </w:numPr>
        <w:rPr>
          <w:rFonts w:ascii="Arial" w:cs="Arial" w:eastAsia="Arial" w:hAnsi="Arial"/>
          <w:sz w:val="13"/>
          <w:szCs w:val="13"/>
          <w:color w:val="auto"/>
        </w:rPr>
      </w:pPr>
      <w:r>
        <w:rPr>
          <w:rFonts w:ascii="Arial" w:cs="Arial" w:eastAsia="Arial" w:hAnsi="Arial"/>
          <w:sz w:val="13"/>
          <w:szCs w:val="13"/>
          <w:color w:val="auto"/>
        </w:rPr>
        <w:t>no Prepayment Event has occurred and is continuing;</w:t>
      </w:r>
    </w:p>
    <w:p>
      <w:pPr>
        <w:spacing w:after="0" w:line="216" w:lineRule="exact"/>
        <w:rPr>
          <w:rFonts w:ascii="Arial" w:cs="Arial" w:eastAsia="Arial" w:hAnsi="Arial"/>
          <w:sz w:val="13"/>
          <w:szCs w:val="13"/>
          <w:color w:val="auto"/>
        </w:rPr>
      </w:pPr>
    </w:p>
    <w:p>
      <w:pPr>
        <w:ind w:left="1420" w:hanging="700"/>
        <w:spacing w:after="0"/>
        <w:tabs>
          <w:tab w:leader="none" w:pos="1420" w:val="left"/>
        </w:tabs>
        <w:numPr>
          <w:ilvl w:val="0"/>
          <w:numId w:val="432"/>
        </w:numPr>
        <w:rPr>
          <w:rFonts w:ascii="Arial" w:cs="Arial" w:eastAsia="Arial" w:hAnsi="Arial"/>
          <w:sz w:val="13"/>
          <w:szCs w:val="13"/>
          <w:color w:val="0000EE"/>
        </w:rPr>
      </w:pPr>
      <w:hyperlink w:anchor="page393">
        <w:r>
          <w:rPr>
            <w:rFonts w:ascii="Arial" w:cs="Arial" w:eastAsia="Arial" w:hAnsi="Arial"/>
            <w:sz w:val="13"/>
            <w:szCs w:val="13"/>
            <w:u w:val="single" w:color="auto"/>
            <w:color w:val="0000EE"/>
          </w:rPr>
          <w:t>no security of the type prohibited under Paragraph 23 (</w:t>
        </w:r>
      </w:hyperlink>
      <w:r>
        <w:rPr>
          <w:rFonts w:ascii="Arial" w:cs="Arial" w:eastAsia="Arial" w:hAnsi="Arial"/>
          <w:sz w:val="13"/>
          <w:szCs w:val="13"/>
          <w:i w:val="1"/>
          <w:iCs w:val="1"/>
          <w:color w:val="000000"/>
        </w:rPr>
        <w:t>Negative</w:t>
      </w:r>
      <w:r>
        <w:rPr>
          <w:rFonts w:ascii="Arial" w:cs="Arial" w:eastAsia="Arial" w:hAnsi="Arial"/>
          <w:sz w:val="13"/>
          <w:szCs w:val="13"/>
          <w:color w:val="0000EE"/>
        </w:rPr>
        <w:t xml:space="preserve"> </w:t>
      </w:r>
      <w:r>
        <w:rPr>
          <w:rFonts w:ascii="Arial" w:cs="Arial" w:eastAsia="Arial" w:hAnsi="Arial"/>
          <w:sz w:val="13"/>
          <w:szCs w:val="13"/>
          <w:i w:val="1"/>
          <w:iCs w:val="1"/>
          <w:color w:val="000000"/>
        </w:rPr>
        <w:t>pledge</w:t>
      </w:r>
      <w:r>
        <w:rPr>
          <w:rFonts w:ascii="Arial" w:cs="Arial" w:eastAsia="Arial" w:hAnsi="Arial"/>
          <w:sz w:val="13"/>
          <w:szCs w:val="13"/>
          <w:color w:val="000000"/>
        </w:rPr>
        <w:t>) of Schedule H (</w:t>
      </w:r>
      <w:r>
        <w:rPr>
          <w:rFonts w:ascii="Arial" w:cs="Arial" w:eastAsia="Arial" w:hAnsi="Arial"/>
          <w:sz w:val="13"/>
          <w:szCs w:val="13"/>
          <w:i w:val="1"/>
          <w:iCs w:val="1"/>
          <w:color w:val="000000"/>
        </w:rPr>
        <w:t>General Undertakings</w:t>
      </w:r>
      <w:hyperlink w:anchor="page393">
        <w:r>
          <w:rPr>
            <w:rFonts w:ascii="Arial" w:cs="Arial" w:eastAsia="Arial" w:hAnsi="Arial"/>
            <w:sz w:val="13"/>
            <w:szCs w:val="13"/>
            <w:u w:val="single" w:color="auto"/>
            <w:color w:val="0000EE"/>
          </w:rPr>
          <w:t>) has been created or is in existence;</w:t>
        </w:r>
      </w:hyperlink>
    </w:p>
    <w:p>
      <w:pPr>
        <w:spacing w:after="0" w:line="94" w:lineRule="exact"/>
        <w:rPr>
          <w:rFonts w:ascii="Arial" w:cs="Arial" w:eastAsia="Arial" w:hAnsi="Arial"/>
          <w:sz w:val="13"/>
          <w:szCs w:val="13"/>
          <w:color w:val="0000EE"/>
        </w:rPr>
      </w:pPr>
    </w:p>
    <w:p>
      <w:pPr>
        <w:ind w:left="1420" w:right="780" w:hanging="700"/>
        <w:spacing w:after="0" w:line="258" w:lineRule="auto"/>
        <w:tabs>
          <w:tab w:leader="none" w:pos="1420" w:val="left"/>
        </w:tabs>
        <w:numPr>
          <w:ilvl w:val="0"/>
          <w:numId w:val="432"/>
        </w:numPr>
        <w:rPr>
          <w:rFonts w:ascii="Arial" w:cs="Arial" w:eastAsia="Arial" w:hAnsi="Arial"/>
          <w:sz w:val="13"/>
          <w:szCs w:val="13"/>
          <w:color w:val="auto"/>
        </w:rPr>
      </w:pPr>
      <w:r>
        <w:rPr>
          <w:rFonts w:ascii="Arial" w:cs="Arial" w:eastAsia="Arial" w:hAnsi="Arial"/>
          <w:sz w:val="13"/>
          <w:szCs w:val="13"/>
          <w:color w:val="auto"/>
        </w:rPr>
        <w:t>there has been no material change to any aspect of the Investment or in respect of which we are obliged to report under the Finance Contract, save as previously communicated by us;</w:t>
      </w:r>
    </w:p>
    <w:p>
      <w:pPr>
        <w:spacing w:after="0" w:line="44" w:lineRule="exact"/>
        <w:rPr>
          <w:rFonts w:ascii="Arial" w:cs="Arial" w:eastAsia="Arial" w:hAnsi="Arial"/>
          <w:sz w:val="13"/>
          <w:szCs w:val="13"/>
          <w:color w:val="auto"/>
        </w:rPr>
      </w:pPr>
    </w:p>
    <w:p>
      <w:pPr>
        <w:ind w:left="1420" w:right="220" w:hanging="700"/>
        <w:spacing w:after="0" w:line="281" w:lineRule="auto"/>
        <w:tabs>
          <w:tab w:leader="none" w:pos="1420" w:val="left"/>
        </w:tabs>
        <w:numPr>
          <w:ilvl w:val="0"/>
          <w:numId w:val="432"/>
        </w:numPr>
        <w:rPr>
          <w:rFonts w:ascii="Arial" w:cs="Arial" w:eastAsia="Arial" w:hAnsi="Arial"/>
          <w:sz w:val="13"/>
          <w:szCs w:val="13"/>
          <w:color w:val="auto"/>
        </w:rPr>
      </w:pPr>
      <w:r>
        <w:rPr>
          <w:rFonts w:ascii="Arial" w:cs="Arial" w:eastAsia="Arial" w:hAnsi="Arial"/>
          <w:sz w:val="13"/>
          <w:szCs w:val="13"/>
          <w:color w:val="auto"/>
        </w:rPr>
        <w:t xml:space="preserve">no Default, Event of Default or a Prepayment Event other than pursuant to Article </w:t>
      </w:r>
      <w:r>
        <w:rPr>
          <w:rFonts w:ascii="Arial" w:cs="Arial" w:eastAsia="Arial" w:hAnsi="Arial"/>
          <w:sz w:val="13"/>
          <w:szCs w:val="13"/>
          <w:u w:val="single" w:color="auto"/>
          <w:color w:val="0000EE"/>
        </w:rPr>
        <w:t>5.3.1</w:t>
      </w:r>
      <w:r>
        <w:rPr>
          <w:rFonts w:ascii="Arial" w:cs="Arial" w:eastAsia="Arial" w:hAnsi="Arial"/>
          <w:sz w:val="13"/>
          <w:szCs w:val="13"/>
          <w:color w:val="auto"/>
        </w:rPr>
        <w:t xml:space="preserve"> (</w:t>
      </w:r>
      <w:r>
        <w:rPr>
          <w:rFonts w:ascii="Arial" w:cs="Arial" w:eastAsia="Arial" w:hAnsi="Arial"/>
          <w:sz w:val="13"/>
          <w:szCs w:val="13"/>
          <w:i w:val="1"/>
          <w:iCs w:val="1"/>
          <w:color w:val="auto"/>
        </w:rPr>
        <w:t>Cost Reduction</w:t>
      </w:r>
      <w:r>
        <w:rPr>
          <w:rFonts w:ascii="Arial" w:cs="Arial" w:eastAsia="Arial" w:hAnsi="Arial"/>
          <w:sz w:val="13"/>
          <w:szCs w:val="13"/>
          <w:color w:val="auto"/>
        </w:rPr>
        <w:t>) of the Finance Contract has occurred or is continuing, or would, in each case, result from the disbursement of the proposed Tranche;</w:t>
      </w:r>
    </w:p>
    <w:p>
      <w:pPr>
        <w:sectPr>
          <w:pgSz w:w="11900" w:h="16838" w:orient="portrait"/>
          <w:cols w:equalWidth="0" w:num="1">
            <w:col w:w="11260"/>
          </w:cols>
          <w:pgMar w:left="320" w:top="127" w:right="319" w:bottom="1440" w:gutter="0" w:footer="0" w:header="0"/>
        </w:sectPr>
      </w:pPr>
    </w:p>
    <w:p>
      <w:pPr>
        <w:spacing w:after="0" w:line="44"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(e)</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24" w:lineRule="exact"/>
        <w:rPr>
          <w:rFonts w:ascii="Arial" w:cs="Arial" w:eastAsia="Arial" w:hAnsi="Arial"/>
          <w:sz w:val="13"/>
          <w:szCs w:val="13"/>
          <w:color w:val="auto"/>
        </w:rPr>
      </w:pPr>
    </w:p>
    <w:p>
      <w:pPr>
        <w:ind w:right="180"/>
        <w:spacing w:after="0" w:line="249" w:lineRule="auto"/>
        <w:rPr>
          <w:sz w:val="20"/>
          <w:szCs w:val="20"/>
          <w:color w:val="auto"/>
        </w:rPr>
      </w:pPr>
      <w:r>
        <w:rPr>
          <w:rFonts w:ascii="Arial" w:cs="Arial" w:eastAsia="Arial" w:hAnsi="Arial"/>
          <w:sz w:val="13"/>
          <w:szCs w:val="13"/>
          <w:color w:val="auto"/>
        </w:rPr>
        <w:t>no litigation, arbitration administrative proceedings or investigation is current or to our knowledge and belief (having made due and careful enquiry) is threatened or pending before any court, arbitral body or agency which has resulted or if adversely determined is reasonably likely to result in a Material Adverse Change, nor is there subsisting against us or any of our subsidiaries any unsatisfied judgement or award;</w:t>
      </w:r>
    </w:p>
    <w:p>
      <w:pPr>
        <w:spacing w:after="0" w:line="65" w:lineRule="exact"/>
        <w:rPr>
          <w:rFonts w:ascii="Arial" w:cs="Arial" w:eastAsia="Arial" w:hAnsi="Arial"/>
          <w:sz w:val="13"/>
          <w:szCs w:val="13"/>
          <w:color w:val="auto"/>
        </w:rPr>
      </w:pPr>
    </w:p>
    <w:p>
      <w:pPr>
        <w:sectPr>
          <w:pgSz w:w="11900" w:h="16838" w:orient="portrait"/>
          <w:cols w:equalWidth="0" w:num="2">
            <w:col w:w="880" w:space="540"/>
            <w:col w:w="9840"/>
          </w:cols>
          <w:pgMar w:left="320" w:top="127" w:right="319" w:bottom="1440" w:gutter="0" w:footer="0" w:header="0"/>
          <w:type w:val="continuous"/>
        </w:sectPr>
      </w:pPr>
    </w:p>
    <w:p>
      <w:pPr>
        <w:ind w:left="1420" w:hanging="700"/>
        <w:spacing w:after="0"/>
        <w:tabs>
          <w:tab w:leader="none" w:pos="1420" w:val="left"/>
        </w:tabs>
        <w:numPr>
          <w:ilvl w:val="0"/>
          <w:numId w:val="433"/>
        </w:numPr>
        <w:rPr>
          <w:rFonts w:ascii="Arial" w:cs="Arial" w:eastAsia="Arial" w:hAnsi="Arial"/>
          <w:sz w:val="13"/>
          <w:szCs w:val="13"/>
          <w:color w:val="auto"/>
        </w:rPr>
      </w:pPr>
      <w:r>
        <w:rPr>
          <w:rFonts w:ascii="Arial" w:cs="Arial" w:eastAsia="Arial" w:hAnsi="Arial"/>
          <w:sz w:val="13"/>
          <w:szCs w:val="13"/>
          <w:color w:val="auto"/>
        </w:rPr>
        <w:t>the Repeating Representations are correct in all respects;</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433"/>
        </w:numPr>
        <w:rPr>
          <w:rFonts w:ascii="Arial" w:cs="Arial" w:eastAsia="Arial" w:hAnsi="Arial"/>
          <w:sz w:val="13"/>
          <w:szCs w:val="13"/>
          <w:color w:val="auto"/>
        </w:rPr>
      </w:pPr>
      <w:r>
        <w:rPr>
          <w:rFonts w:ascii="Arial" w:cs="Arial" w:eastAsia="Arial" w:hAnsi="Arial"/>
          <w:sz w:val="13"/>
          <w:szCs w:val="13"/>
          <w:color w:val="auto"/>
        </w:rPr>
        <w:t>no Material Adverse Change has occurred, as compared with the situation at the date of the Finance Contract; and</w:t>
      </w:r>
    </w:p>
    <w:p>
      <w:pPr>
        <w:spacing w:after="0" w:line="70" w:lineRule="exact"/>
        <w:rPr>
          <w:rFonts w:ascii="Arial" w:cs="Arial" w:eastAsia="Arial" w:hAnsi="Arial"/>
          <w:sz w:val="13"/>
          <w:szCs w:val="13"/>
          <w:color w:val="auto"/>
        </w:rPr>
      </w:pPr>
    </w:p>
    <w:p>
      <w:pPr>
        <w:ind w:left="1420" w:hanging="700"/>
        <w:spacing w:after="0"/>
        <w:tabs>
          <w:tab w:leader="none" w:pos="1420" w:val="left"/>
        </w:tabs>
        <w:numPr>
          <w:ilvl w:val="0"/>
          <w:numId w:val="433"/>
        </w:numPr>
        <w:rPr>
          <w:rFonts w:ascii="Arial" w:cs="Arial" w:eastAsia="Arial" w:hAnsi="Arial"/>
          <w:sz w:val="13"/>
          <w:szCs w:val="13"/>
          <w:color w:val="auto"/>
        </w:rPr>
      </w:pPr>
      <w:r>
        <w:rPr>
          <w:rFonts w:ascii="Arial" w:cs="Arial" w:eastAsia="Arial" w:hAnsi="Arial"/>
          <w:sz w:val="13"/>
          <w:szCs w:val="13"/>
          <w:color w:val="auto"/>
        </w:rPr>
        <w:t>the borrowing of the Credit, or any part thereof, by the Borrower is within the corporate powers of the Borrower.</w:t>
      </w:r>
    </w:p>
    <w:p>
      <w:pPr>
        <w:spacing w:after="0" w:line="320"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Yours faithfully,</w:t>
      </w:r>
    </w:p>
    <w:p>
      <w:pPr>
        <w:spacing w:after="0" w:line="231"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For and on behalf of BioNTech SE Date:</w:t>
      </w:r>
    </w:p>
    <w:p>
      <w:pPr>
        <w:ind w:left="720"/>
        <w:spacing w:after="0"/>
        <w:rPr>
          <w:sz w:val="20"/>
          <w:szCs w:val="20"/>
          <w:color w:val="auto"/>
        </w:rPr>
      </w:pPr>
      <w:r>
        <w:rPr>
          <w:rFonts w:ascii="Arial" w:cs="Arial" w:eastAsia="Arial" w:hAnsi="Arial"/>
          <w:sz w:val="13"/>
          <w:szCs w:val="13"/>
          <w:color w:val="auto"/>
        </w:rPr>
        <w:t>Name(s)/Title(s):</w:t>
      </w:r>
    </w:p>
    <w:p>
      <w:pPr>
        <w:spacing w:after="0" w:line="29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39</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379" w:name="page380"/>
    <w:bookmarkEnd w:id="379"/>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Schedule E</w:t>
      </w:r>
    </w:p>
    <w:p>
      <w:pPr>
        <w:spacing w:after="0" w:line="78"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Form of Compliance Certificate</w:t>
            </w:r>
          </w:p>
        </w:tc>
      </w:tr>
      <w:tr>
        <w:trPr>
          <w:trHeight w:val="309"/>
        </w:trPr>
        <w:tc>
          <w:tcPr>
            <w:tcW w:w="740" w:type="dxa"/>
            <w:vAlign w:val="bottom"/>
          </w:tcPr>
          <w:p>
            <w:pPr>
              <w:spacing w:after="0"/>
              <w:rPr>
                <w:sz w:val="20"/>
                <w:szCs w:val="20"/>
                <w:color w:val="auto"/>
              </w:rPr>
            </w:pPr>
            <w:r>
              <w:rPr>
                <w:rFonts w:ascii="Arial" w:cs="Arial" w:eastAsia="Arial" w:hAnsi="Arial"/>
                <w:sz w:val="13"/>
                <w:szCs w:val="13"/>
                <w:color w:val="auto"/>
              </w:rPr>
              <w:t>To:</w:t>
            </w:r>
          </w:p>
        </w:tc>
        <w:tc>
          <w:tcPr>
            <w:tcW w:w="2600" w:type="dxa"/>
            <w:vAlign w:val="bottom"/>
            <w:gridSpan w:val="2"/>
          </w:tcPr>
          <w:p>
            <w:pPr>
              <w:ind w:left="400"/>
              <w:spacing w:after="0"/>
              <w:rPr>
                <w:sz w:val="20"/>
                <w:szCs w:val="20"/>
                <w:color w:val="auto"/>
              </w:rPr>
            </w:pPr>
            <w:r>
              <w:rPr>
                <w:rFonts w:ascii="Arial" w:cs="Arial" w:eastAsia="Arial" w:hAnsi="Arial"/>
                <w:sz w:val="13"/>
                <w:szCs w:val="13"/>
                <w:color w:val="auto"/>
              </w:rPr>
              <w:t>European Investment Bank</w:t>
            </w:r>
          </w:p>
        </w:tc>
      </w:tr>
      <w:tr>
        <w:trPr>
          <w:trHeight w:val="150"/>
        </w:trPr>
        <w:tc>
          <w:tcPr>
            <w:tcW w:w="740" w:type="dxa"/>
            <w:vAlign w:val="bottom"/>
          </w:tcPr>
          <w:p>
            <w:pPr>
              <w:spacing w:after="0"/>
              <w:rPr>
                <w:sz w:val="20"/>
                <w:szCs w:val="20"/>
                <w:color w:val="auto"/>
              </w:rPr>
            </w:pPr>
            <w:r>
              <w:rPr>
                <w:rFonts w:ascii="Arial" w:cs="Arial" w:eastAsia="Arial" w:hAnsi="Arial"/>
                <w:sz w:val="13"/>
                <w:szCs w:val="13"/>
                <w:color w:val="auto"/>
              </w:rPr>
              <w:t>From:</w:t>
            </w:r>
          </w:p>
        </w:tc>
        <w:tc>
          <w:tcPr>
            <w:tcW w:w="2600" w:type="dxa"/>
            <w:vAlign w:val="bottom"/>
            <w:gridSpan w:val="2"/>
          </w:tcPr>
          <w:p>
            <w:pPr>
              <w:ind w:left="560"/>
              <w:spacing w:after="0"/>
              <w:rPr>
                <w:sz w:val="20"/>
                <w:szCs w:val="20"/>
                <w:color w:val="auto"/>
              </w:rPr>
            </w:pPr>
            <w:r>
              <w:rPr>
                <w:rFonts w:ascii="Arial" w:cs="Arial" w:eastAsia="Arial" w:hAnsi="Arial"/>
                <w:sz w:val="13"/>
                <w:szCs w:val="13"/>
                <w:color w:val="auto"/>
              </w:rPr>
              <w:t>BioNTech SE</w:t>
            </w:r>
          </w:p>
        </w:tc>
      </w:tr>
      <w:tr>
        <w:trPr>
          <w:trHeight w:val="161"/>
        </w:trPr>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660" w:type="dxa"/>
            <w:vAlign w:val="bottom"/>
          </w:tcPr>
          <w:p>
            <w:pPr>
              <w:spacing w:after="0"/>
              <w:rPr>
                <w:sz w:val="13"/>
                <w:szCs w:val="13"/>
                <w:color w:val="auto"/>
              </w:rPr>
            </w:pPr>
          </w:p>
        </w:tc>
        <w:tc>
          <w:tcPr>
            <w:tcW w:w="1940" w:type="dxa"/>
            <w:vAlign w:val="bottom"/>
          </w:tcPr>
          <w:p>
            <w:pPr>
              <w:spacing w:after="0"/>
              <w:rPr>
                <w:sz w:val="13"/>
                <w:szCs w:val="13"/>
                <w:color w:val="auto"/>
              </w:rPr>
            </w:pPr>
          </w:p>
        </w:tc>
      </w:tr>
    </w:tbl>
    <w:p>
      <w:pPr>
        <w:spacing w:after="0" w:line="4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Subject: Finance Contract between European Investment Bank and BioNTech SE dated 12 December 2019 (the "</w:t>
      </w:r>
      <w:r>
        <w:rPr>
          <w:rFonts w:ascii="Arial" w:cs="Arial" w:eastAsia="Arial" w:hAnsi="Arial"/>
          <w:sz w:val="13"/>
          <w:szCs w:val="13"/>
          <w:b w:val="1"/>
          <w:bCs w:val="1"/>
          <w:color w:val="auto"/>
        </w:rPr>
        <w:t>Finance Contract</w:t>
      </w:r>
      <w:r>
        <w:rPr>
          <w:rFonts w:ascii="Arial" w:cs="Arial" w:eastAsia="Arial" w:hAnsi="Arial"/>
          <w:sz w:val="13"/>
          <w:szCs w:val="13"/>
          <w:color w:val="auto"/>
        </w:rPr>
        <w:t>")</w:t>
      </w:r>
    </w:p>
    <w:p>
      <w:pPr>
        <w:spacing w:after="0" w:line="96" w:lineRule="exact"/>
        <w:rPr>
          <w:sz w:val="20"/>
          <w:szCs w:val="20"/>
          <w:color w:val="auto"/>
        </w:rPr>
      </w:pPr>
    </w:p>
    <w:p>
      <w:pPr>
        <w:ind w:left="1800"/>
        <w:spacing w:after="0"/>
        <w:tabs>
          <w:tab w:leader="none" w:pos="7340" w:val="left"/>
        </w:tabs>
        <w:rPr>
          <w:sz w:val="20"/>
          <w:szCs w:val="20"/>
          <w:color w:val="auto"/>
        </w:rPr>
      </w:pPr>
      <w:r>
        <w:rPr>
          <w:rFonts w:ascii="Arial" w:cs="Arial" w:eastAsia="Arial" w:hAnsi="Arial"/>
          <w:sz w:val="13"/>
          <w:szCs w:val="13"/>
          <w:color w:val="auto"/>
        </w:rPr>
        <w:t>Contract Number [***] and [***]</w:t>
      </w:r>
      <w:r>
        <w:rPr>
          <w:sz w:val="20"/>
          <w:szCs w:val="20"/>
          <w:color w:val="auto"/>
        </w:rPr>
        <w:tab/>
      </w:r>
      <w:r>
        <w:rPr>
          <w:rFonts w:ascii="Arial" w:cs="Arial" w:eastAsia="Arial" w:hAnsi="Arial"/>
          <w:sz w:val="13"/>
          <w:szCs w:val="13"/>
          <w:color w:val="auto"/>
        </w:rPr>
        <w:t>Serapis Number [***]</w:t>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Dear Sirs,</w:t>
      </w:r>
    </w:p>
    <w:p>
      <w:pPr>
        <w:spacing w:after="0" w:line="320" w:lineRule="exact"/>
        <w:rPr>
          <w:sz w:val="20"/>
          <w:szCs w:val="20"/>
          <w:color w:val="auto"/>
        </w:rPr>
      </w:pPr>
    </w:p>
    <w:p>
      <w:pPr>
        <w:ind w:left="720" w:right="780"/>
        <w:spacing w:after="0" w:line="258" w:lineRule="auto"/>
        <w:rPr>
          <w:sz w:val="20"/>
          <w:szCs w:val="20"/>
          <w:color w:val="auto"/>
        </w:rPr>
      </w:pPr>
      <w:r>
        <w:rPr>
          <w:rFonts w:ascii="Arial" w:cs="Arial" w:eastAsia="Arial" w:hAnsi="Arial"/>
          <w:sz w:val="13"/>
          <w:szCs w:val="13"/>
          <w:color w:val="auto"/>
        </w:rPr>
        <w:t>We refer to the Finance Contract. This is a Compliance Certificate. Terms defined in the Finance Contract have the same meaning when used in this Compliance Certificate.</w:t>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hereby confirm:</w:t>
      </w:r>
    </w:p>
    <w:p>
      <w:pPr>
        <w:spacing w:after="0" w:line="80" w:lineRule="exact"/>
        <w:rPr>
          <w:sz w:val="20"/>
          <w:szCs w:val="20"/>
          <w:color w:val="auto"/>
        </w:rPr>
      </w:pPr>
    </w:p>
    <w:p>
      <w:pPr>
        <w:ind w:left="1420" w:hanging="700"/>
        <w:spacing w:after="0"/>
        <w:tabs>
          <w:tab w:leader="none" w:pos="1420" w:val="left"/>
        </w:tabs>
        <w:numPr>
          <w:ilvl w:val="0"/>
          <w:numId w:val="434"/>
        </w:numPr>
        <w:rPr>
          <w:rFonts w:ascii="Arial" w:cs="Arial" w:eastAsia="Arial" w:hAnsi="Arial"/>
          <w:sz w:val="13"/>
          <w:szCs w:val="13"/>
          <w:color w:val="auto"/>
        </w:rPr>
      </w:pPr>
      <w:r>
        <w:rPr>
          <w:rFonts w:ascii="Arial" w:cs="Arial" w:eastAsia="Arial" w:hAnsi="Arial"/>
          <w:sz w:val="13"/>
          <w:szCs w:val="13"/>
          <w:color w:val="auto"/>
        </w:rPr>
        <w:t>[insert information regarding asset disposal];</w:t>
      </w:r>
    </w:p>
    <w:p>
      <w:pPr>
        <w:spacing w:after="0" w:line="136" w:lineRule="exact"/>
        <w:rPr>
          <w:rFonts w:ascii="Arial" w:cs="Arial" w:eastAsia="Arial" w:hAnsi="Arial"/>
          <w:sz w:val="13"/>
          <w:szCs w:val="13"/>
          <w:color w:val="auto"/>
        </w:rPr>
      </w:pPr>
    </w:p>
    <w:p>
      <w:pPr>
        <w:ind w:left="1420" w:hanging="700"/>
        <w:spacing w:after="0"/>
        <w:tabs>
          <w:tab w:leader="none" w:pos="1420" w:val="left"/>
        </w:tabs>
        <w:numPr>
          <w:ilvl w:val="0"/>
          <w:numId w:val="434"/>
        </w:numPr>
        <w:rPr>
          <w:rFonts w:ascii="Arial" w:cs="Arial" w:eastAsia="Arial" w:hAnsi="Arial"/>
          <w:sz w:val="13"/>
          <w:szCs w:val="13"/>
          <w:color w:val="auto"/>
        </w:rPr>
      </w:pPr>
      <w:r>
        <w:rPr>
          <w:rFonts w:ascii="Arial" w:cs="Arial" w:eastAsia="Arial" w:hAnsi="Arial"/>
          <w:sz w:val="13"/>
          <w:szCs w:val="13"/>
          <w:color w:val="auto"/>
        </w:rPr>
        <w:t xml:space="preserve">[no </w:t>
      </w:r>
      <w:hyperlink w:anchor="page387">
        <w:r>
          <w:rPr>
            <w:rFonts w:ascii="Arial" w:cs="Arial" w:eastAsia="Arial" w:hAnsi="Arial"/>
            <w:sz w:val="13"/>
            <w:szCs w:val="13"/>
            <w:u w:val="single" w:color="auto"/>
            <w:color w:val="0000EE"/>
          </w:rPr>
          <w:t xml:space="preserve">security of the type prohibited under Paragraph </w:t>
        </w:r>
      </w:hyperlink>
      <w:hyperlink w:anchor="page393">
        <w:r>
          <w:rPr>
            <w:rFonts w:ascii="Arial" w:cs="Arial" w:eastAsia="Arial" w:hAnsi="Arial"/>
            <w:sz w:val="13"/>
            <w:szCs w:val="13"/>
            <w:u w:val="single" w:color="auto"/>
            <w:color w:val="auto"/>
          </w:rPr>
          <w:t xml:space="preserve">23 </w:t>
        </w:r>
      </w:hyperlink>
      <w:hyperlink w:anchor="page387">
        <w:r>
          <w:rPr>
            <w:rFonts w:ascii="Arial" w:cs="Arial" w:eastAsia="Arial" w:hAnsi="Arial"/>
            <w:sz w:val="13"/>
            <w:szCs w:val="13"/>
            <w:u w:val="single" w:color="auto"/>
            <w:color w:val="0000EE"/>
          </w:rPr>
          <w:t>(</w:t>
        </w:r>
        <w:r>
          <w:rPr>
            <w:rFonts w:ascii="Arial" w:cs="Arial" w:eastAsia="Arial" w:hAnsi="Arial"/>
            <w:sz w:val="13"/>
            <w:szCs w:val="13"/>
            <w:i w:val="1"/>
            <w:iCs w:val="1"/>
            <w:u w:val="single" w:color="auto"/>
            <w:color w:val="0000EE"/>
          </w:rPr>
          <w:t>Negative pledge</w:t>
        </w:r>
        <w:r>
          <w:rPr>
            <w:rFonts w:ascii="Arial" w:cs="Arial" w:eastAsia="Arial" w:hAnsi="Arial"/>
            <w:sz w:val="13"/>
            <w:szCs w:val="13"/>
            <w:u w:val="single" w:color="auto"/>
            <w:color w:val="0000EE"/>
          </w:rPr>
          <w:t>) of</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Schedule H (</w:t>
      </w:r>
      <w:r>
        <w:rPr>
          <w:rFonts w:ascii="Arial" w:cs="Arial" w:eastAsia="Arial" w:hAnsi="Arial"/>
          <w:sz w:val="13"/>
          <w:szCs w:val="13"/>
          <w:i w:val="1"/>
          <w:iCs w:val="1"/>
          <w:color w:val="auto"/>
        </w:rPr>
        <w:t>General Undertakings</w:t>
      </w:r>
      <w:r>
        <w:rPr>
          <w:rFonts w:ascii="Arial" w:cs="Arial" w:eastAsia="Arial" w:hAnsi="Arial"/>
          <w:sz w:val="13"/>
          <w:szCs w:val="13"/>
          <w:color w:val="auto"/>
        </w:rPr>
        <w:t>) has been created or is in existence; and]</w:t>
      </w:r>
    </w:p>
    <w:p>
      <w:pPr>
        <w:spacing w:after="0" w:line="164" w:lineRule="exact"/>
        <w:rPr>
          <w:rFonts w:ascii="Arial" w:cs="Arial" w:eastAsia="Arial" w:hAnsi="Arial"/>
          <w:sz w:val="13"/>
          <w:szCs w:val="13"/>
          <w:color w:val="auto"/>
        </w:rPr>
      </w:pPr>
    </w:p>
    <w:p>
      <w:pPr>
        <w:ind w:left="1420" w:hanging="700"/>
        <w:spacing w:after="0"/>
        <w:tabs>
          <w:tab w:leader="none" w:pos="1420" w:val="left"/>
        </w:tabs>
        <w:numPr>
          <w:ilvl w:val="0"/>
          <w:numId w:val="434"/>
        </w:numPr>
        <w:rPr>
          <w:rFonts w:ascii="Arial" w:cs="Arial" w:eastAsia="Arial" w:hAnsi="Arial"/>
          <w:sz w:val="13"/>
          <w:szCs w:val="13"/>
          <w:color w:val="auto"/>
        </w:rPr>
      </w:pPr>
      <w:r>
        <w:rPr>
          <w:rFonts w:ascii="Arial" w:cs="Arial" w:eastAsia="Arial" w:hAnsi="Arial"/>
          <w:sz w:val="13"/>
          <w:szCs w:val="13"/>
          <w:color w:val="auto"/>
        </w:rPr>
        <w:t>[no Default, Event of Default or a Prepayment Event other than pursuant to Article</w:t>
      </w:r>
    </w:p>
    <w:p>
      <w:pPr>
        <w:ind w:left="1440" w:right="180"/>
        <w:spacing w:after="0" w:line="258" w:lineRule="auto"/>
        <w:rPr>
          <w:rFonts w:ascii="Arial" w:cs="Arial" w:eastAsia="Arial" w:hAnsi="Arial"/>
          <w:sz w:val="13"/>
          <w:szCs w:val="13"/>
          <w:color w:val="auto"/>
        </w:rPr>
      </w:pPr>
      <w:r>
        <w:rPr>
          <w:rFonts w:ascii="Arial" w:cs="Arial" w:eastAsia="Arial" w:hAnsi="Arial"/>
          <w:sz w:val="13"/>
          <w:szCs w:val="13"/>
          <w:color w:val="auto"/>
        </w:rPr>
        <w:t>5.3.1 (Cost Reduction) of the Finance Contract has occurred or is continuing. [</w:t>
      </w:r>
      <w:r>
        <w:rPr>
          <w:rFonts w:ascii="Arial" w:cs="Arial" w:eastAsia="Arial" w:hAnsi="Arial"/>
          <w:sz w:val="13"/>
          <w:szCs w:val="13"/>
          <w:i w:val="1"/>
          <w:iCs w:val="1"/>
          <w:color w:val="auto"/>
        </w:rPr>
        <w:t>If this statement cannot be made, this certificate should identify any potential</w:t>
      </w:r>
      <w:r>
        <w:rPr>
          <w:rFonts w:ascii="Arial" w:cs="Arial" w:eastAsia="Arial" w:hAnsi="Arial"/>
          <w:sz w:val="13"/>
          <w:szCs w:val="13"/>
          <w:color w:val="auto"/>
        </w:rPr>
        <w:t xml:space="preserve"> </w:t>
      </w:r>
      <w:r>
        <w:rPr>
          <w:rFonts w:ascii="Arial" w:cs="Arial" w:eastAsia="Arial" w:hAnsi="Arial"/>
          <w:sz w:val="13"/>
          <w:szCs w:val="13"/>
          <w:i w:val="1"/>
          <w:iCs w:val="1"/>
          <w:color w:val="auto"/>
        </w:rPr>
        <w:t>event of default that is continuing and the steps, if any, being taken to remedy it</w:t>
      </w:r>
      <w:r>
        <w:rPr>
          <w:rFonts w:ascii="Arial" w:cs="Arial" w:eastAsia="Arial" w:hAnsi="Arial"/>
          <w:sz w:val="13"/>
          <w:szCs w:val="13"/>
          <w:color w:val="auto"/>
        </w:rPr>
        <w:t>].</w:t>
      </w:r>
    </w:p>
    <w:p>
      <w:pPr>
        <w:spacing w:after="0" w:line="218"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Yours faithfully,</w:t>
      </w:r>
    </w:p>
    <w:p>
      <w:pPr>
        <w:spacing w:after="0" w:line="320"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For and on behalf of BioNTech SE</w:t>
      </w:r>
    </w:p>
    <w:p>
      <w:pPr>
        <w:spacing w:after="0" w:line="320" w:lineRule="exact"/>
        <w:rPr>
          <w:rFonts w:ascii="Arial" w:cs="Arial" w:eastAsia="Arial" w:hAnsi="Arial"/>
          <w:sz w:val="13"/>
          <w:szCs w:val="13"/>
          <w:color w:val="auto"/>
        </w:rPr>
      </w:pPr>
    </w:p>
    <w:p>
      <w:pPr>
        <w:ind w:left="720"/>
        <w:spacing w:after="0"/>
        <w:rPr>
          <w:sz w:val="20"/>
          <w:szCs w:val="20"/>
          <w:color w:val="auto"/>
        </w:rPr>
      </w:pPr>
      <w:r>
        <w:rPr>
          <w:rFonts w:ascii="Arial" w:cs="Arial" w:eastAsia="Arial" w:hAnsi="Arial"/>
          <w:sz w:val="13"/>
          <w:szCs w:val="13"/>
          <w:color w:val="auto"/>
        </w:rPr>
        <w:t>Date: Name(s)/Title(s):</w:t>
      </w:r>
    </w:p>
    <w:p>
      <w:pPr>
        <w:spacing w:after="0" w:line="32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40</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80" w:name="page381"/>
    <w:bookmarkEnd w:id="380"/>
    <w:p>
      <w:pPr>
        <w:ind w:left="10580"/>
        <w:spacing w:after="0"/>
        <w:rPr>
          <w:sz w:val="20"/>
          <w:szCs w:val="20"/>
          <w:color w:val="auto"/>
        </w:rPr>
      </w:pPr>
      <w:r>
        <w:rPr>
          <w:rFonts w:ascii="Arial" w:cs="Arial" w:eastAsia="Arial" w:hAnsi="Arial"/>
          <w:sz w:val="12"/>
          <w:szCs w:val="12"/>
          <w:b w:val="1"/>
          <w:bCs w:val="1"/>
          <w:color w:val="auto"/>
        </w:rPr>
        <w:t>Exhibit 4.41</w:t>
      </w:r>
    </w:p>
    <w:p>
      <w:pPr>
        <w:spacing w:after="0" w:line="48" w:lineRule="exact"/>
        <w:rPr>
          <w:sz w:val="20"/>
          <w:szCs w:val="20"/>
          <w:color w:val="auto"/>
        </w:rPr>
      </w:pPr>
    </w:p>
    <w:p>
      <w:pPr>
        <w:ind w:left="9480"/>
        <w:spacing w:after="0"/>
        <w:rPr>
          <w:sz w:val="20"/>
          <w:szCs w:val="20"/>
          <w:color w:val="auto"/>
        </w:rPr>
      </w:pPr>
      <w:r>
        <w:rPr>
          <w:rFonts w:ascii="Arial" w:cs="Arial" w:eastAsia="Arial" w:hAnsi="Arial"/>
          <w:sz w:val="13"/>
          <w:szCs w:val="13"/>
          <w:b w:val="1"/>
          <w:bCs w:val="1"/>
          <w:color w:val="auto"/>
        </w:rPr>
        <w:t xml:space="preserve">Schedule F </w:t>
      </w:r>
      <w:r>
        <w:rPr>
          <w:rFonts w:ascii="Arial" w:cs="Arial" w:eastAsia="Arial" w:hAnsi="Arial"/>
          <w:sz w:val="13"/>
          <w:szCs w:val="13"/>
          <w:b w:val="1"/>
          <w:bCs w:val="1"/>
          <w:u w:val="single" w:color="auto"/>
          <w:color w:val="auto"/>
        </w:rPr>
        <w:t>Part A - Initial</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3"/>
          <w:szCs w:val="13"/>
          <w:b w:val="1"/>
          <w:bCs w:val="1"/>
          <w:u w:val="single" w:color="auto"/>
          <w:color w:val="auto"/>
        </w:rPr>
        <w:t>Documentary Conditions Precedent and Credit A Conditions Precedents</w:t>
      </w:r>
    </w:p>
    <w:p>
      <w:pPr>
        <w:spacing w:after="0" w:line="80" w:lineRule="exact"/>
        <w:rPr>
          <w:sz w:val="20"/>
          <w:szCs w:val="20"/>
          <w:color w:val="auto"/>
        </w:rPr>
      </w:pPr>
    </w:p>
    <w:p>
      <w:pPr>
        <w:ind w:left="1420" w:hanging="700"/>
        <w:spacing w:after="0"/>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The following, duly executed Finance Documents:</w:t>
      </w:r>
    </w:p>
    <w:p>
      <w:pPr>
        <w:spacing w:after="0" w:line="80" w:lineRule="exact"/>
        <w:rPr>
          <w:rFonts w:ascii="Arial" w:cs="Arial" w:eastAsia="Arial" w:hAnsi="Arial"/>
          <w:sz w:val="13"/>
          <w:szCs w:val="13"/>
          <w:color w:val="auto"/>
        </w:rPr>
      </w:pPr>
    </w:p>
    <w:p>
      <w:pPr>
        <w:ind w:left="2140" w:hanging="700"/>
        <w:spacing w:after="0"/>
        <w:tabs>
          <w:tab w:leader="none" w:pos="214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originals of this Contract;</w:t>
      </w:r>
    </w:p>
    <w:p>
      <w:pPr>
        <w:spacing w:after="0" w:line="80" w:lineRule="exact"/>
        <w:rPr>
          <w:rFonts w:ascii="Arial" w:cs="Arial" w:eastAsia="Arial" w:hAnsi="Arial"/>
          <w:sz w:val="13"/>
          <w:szCs w:val="13"/>
          <w:color w:val="auto"/>
        </w:rPr>
      </w:pPr>
    </w:p>
    <w:p>
      <w:pPr>
        <w:ind w:left="2140" w:hanging="700"/>
        <w:spacing w:after="0"/>
        <w:tabs>
          <w:tab w:leader="none" w:pos="214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originals of the Guarantee Agreements;</w:t>
      </w:r>
    </w:p>
    <w:p>
      <w:pPr>
        <w:spacing w:after="0" w:line="56" w:lineRule="exact"/>
        <w:rPr>
          <w:rFonts w:ascii="Arial" w:cs="Arial" w:eastAsia="Arial" w:hAnsi="Arial"/>
          <w:sz w:val="13"/>
          <w:szCs w:val="13"/>
          <w:color w:val="auto"/>
        </w:rPr>
      </w:pPr>
    </w:p>
    <w:p>
      <w:pPr>
        <w:ind w:left="2140" w:hanging="700"/>
        <w:spacing w:after="0"/>
        <w:tabs>
          <w:tab w:leader="none" w:pos="214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originals of each Security Document, including an enforceable copy (</w:t>
      </w:r>
      <w:r>
        <w:rPr>
          <w:rFonts w:ascii="Arial" w:cs="Arial" w:eastAsia="Arial" w:hAnsi="Arial"/>
          <w:sz w:val="13"/>
          <w:szCs w:val="13"/>
          <w:i w:val="1"/>
          <w:iCs w:val="1"/>
          <w:color w:val="auto"/>
        </w:rPr>
        <w:t>vollstreckbare Ausfertigung</w:t>
      </w:r>
      <w:r>
        <w:rPr>
          <w:rFonts w:ascii="Arial" w:cs="Arial" w:eastAsia="Arial" w:hAnsi="Arial"/>
          <w:sz w:val="13"/>
          <w:szCs w:val="13"/>
          <w:color w:val="auto"/>
        </w:rPr>
        <w:t>) of the Land Charge Creation Deed; and</w:t>
      </w:r>
    </w:p>
    <w:p>
      <w:pPr>
        <w:spacing w:after="0" w:line="94" w:lineRule="exact"/>
        <w:rPr>
          <w:rFonts w:ascii="Arial" w:cs="Arial" w:eastAsia="Arial" w:hAnsi="Arial"/>
          <w:sz w:val="13"/>
          <w:szCs w:val="13"/>
          <w:color w:val="auto"/>
        </w:rPr>
      </w:pPr>
    </w:p>
    <w:p>
      <w:pPr>
        <w:ind w:left="2140" w:hanging="700"/>
        <w:spacing w:after="0"/>
        <w:tabs>
          <w:tab w:leader="none" w:pos="214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original of the Fee Letters.</w:t>
      </w:r>
    </w:p>
    <w:p>
      <w:pPr>
        <w:spacing w:after="0" w:line="80" w:lineRule="exact"/>
        <w:rPr>
          <w:rFonts w:ascii="Arial" w:cs="Arial" w:eastAsia="Arial" w:hAnsi="Arial"/>
          <w:sz w:val="13"/>
          <w:szCs w:val="13"/>
          <w:color w:val="auto"/>
        </w:rPr>
      </w:pPr>
    </w:p>
    <w:p>
      <w:pPr>
        <w:ind w:left="1420" w:right="180" w:hanging="700"/>
        <w:spacing w:after="0" w:line="246" w:lineRule="auto"/>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The constitutional documents of each Obligor, being in relation to an Obligor incorporated in Germany electronic copies of (i) an up-to-date (dated no earlier than the date falling [***] days before the Disbursement Date) electronic extract from the commercial register (</w:t>
      </w:r>
      <w:r>
        <w:rPr>
          <w:rFonts w:ascii="Arial" w:cs="Arial" w:eastAsia="Arial" w:hAnsi="Arial"/>
          <w:sz w:val="13"/>
          <w:szCs w:val="13"/>
          <w:i w:val="1"/>
          <w:iCs w:val="1"/>
          <w:color w:val="auto"/>
        </w:rPr>
        <w:t>Handelsregisterauszug</w:t>
      </w:r>
      <w:r>
        <w:rPr>
          <w:rFonts w:ascii="Arial" w:cs="Arial" w:eastAsia="Arial" w:hAnsi="Arial"/>
          <w:sz w:val="13"/>
          <w:szCs w:val="13"/>
          <w:color w:val="auto"/>
        </w:rPr>
        <w:t>), (ii) its articles of association (</w:t>
      </w:r>
      <w:r>
        <w:rPr>
          <w:rFonts w:ascii="Arial" w:cs="Arial" w:eastAsia="Arial" w:hAnsi="Arial"/>
          <w:sz w:val="13"/>
          <w:szCs w:val="13"/>
          <w:i w:val="1"/>
          <w:iCs w:val="1"/>
          <w:color w:val="auto"/>
        </w:rPr>
        <w:t>Gesellschaftsvertrag</w:t>
      </w:r>
      <w:r>
        <w:rPr>
          <w:rFonts w:ascii="Arial" w:cs="Arial" w:eastAsia="Arial" w:hAnsi="Arial"/>
          <w:sz w:val="13"/>
          <w:szCs w:val="13"/>
          <w:color w:val="auto"/>
        </w:rPr>
        <w:t>) and copies of any by-laws and rules of procedures (</w:t>
      </w:r>
      <w:r>
        <w:rPr>
          <w:rFonts w:ascii="Arial" w:cs="Arial" w:eastAsia="Arial" w:hAnsi="Arial"/>
          <w:sz w:val="13"/>
          <w:szCs w:val="13"/>
          <w:i w:val="1"/>
          <w:iCs w:val="1"/>
          <w:color w:val="auto"/>
        </w:rPr>
        <w:t>Geschäftsordnungen</w:t>
      </w:r>
      <w:r>
        <w:rPr>
          <w:rFonts w:ascii="Arial" w:cs="Arial" w:eastAsia="Arial" w:hAnsi="Arial"/>
          <w:sz w:val="13"/>
          <w:szCs w:val="13"/>
          <w:color w:val="auto"/>
        </w:rPr>
        <w:t>) and (iii) its list of shareholders (</w:t>
      </w:r>
      <w:r>
        <w:rPr>
          <w:rFonts w:ascii="Arial" w:cs="Arial" w:eastAsia="Arial" w:hAnsi="Arial"/>
          <w:sz w:val="13"/>
          <w:szCs w:val="13"/>
          <w:i w:val="1"/>
          <w:iCs w:val="1"/>
          <w:color w:val="auto"/>
        </w:rPr>
        <w:t>Gesellschafterliste</w:t>
      </w:r>
      <w:r>
        <w:rPr>
          <w:rFonts w:ascii="Arial" w:cs="Arial" w:eastAsia="Arial" w:hAnsi="Arial"/>
          <w:sz w:val="13"/>
          <w:szCs w:val="13"/>
          <w:color w:val="auto"/>
        </w:rPr>
        <w:t>) or list of supervisory board members (if applicable).</w:t>
      </w:r>
    </w:p>
    <w:p>
      <w:pPr>
        <w:spacing w:after="0" w:line="32" w:lineRule="exact"/>
        <w:rPr>
          <w:rFonts w:ascii="Arial" w:cs="Arial" w:eastAsia="Arial" w:hAnsi="Arial"/>
          <w:sz w:val="13"/>
          <w:szCs w:val="13"/>
          <w:color w:val="auto"/>
        </w:rPr>
      </w:pPr>
    </w:p>
    <w:p>
      <w:pPr>
        <w:ind w:left="1420" w:right="140" w:hanging="700"/>
        <w:spacing w:after="0" w:line="281" w:lineRule="auto"/>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A copy of the resolution of the competent body (board of directors (</w:t>
      </w:r>
      <w:r>
        <w:rPr>
          <w:rFonts w:ascii="Arial" w:cs="Arial" w:eastAsia="Arial" w:hAnsi="Arial"/>
          <w:sz w:val="13"/>
          <w:szCs w:val="13"/>
          <w:i w:val="1"/>
          <w:iCs w:val="1"/>
          <w:color w:val="auto"/>
        </w:rPr>
        <w:t>Vorstand</w:t>
      </w:r>
      <w:r>
        <w:rPr>
          <w:rFonts w:ascii="Arial" w:cs="Arial" w:eastAsia="Arial" w:hAnsi="Arial"/>
          <w:sz w:val="13"/>
          <w:szCs w:val="13"/>
          <w:color w:val="auto"/>
        </w:rPr>
        <w:t>), supervisory board (</w:t>
      </w:r>
      <w:r>
        <w:rPr>
          <w:rFonts w:ascii="Arial" w:cs="Arial" w:eastAsia="Arial" w:hAnsi="Arial"/>
          <w:sz w:val="13"/>
          <w:szCs w:val="13"/>
          <w:i w:val="1"/>
          <w:iCs w:val="1"/>
          <w:color w:val="auto"/>
        </w:rPr>
        <w:t>Aufsichtsrat</w:t>
      </w:r>
      <w:r>
        <w:rPr>
          <w:rFonts w:ascii="Arial" w:cs="Arial" w:eastAsia="Arial" w:hAnsi="Arial"/>
          <w:sz w:val="13"/>
          <w:szCs w:val="13"/>
          <w:color w:val="auto"/>
        </w:rPr>
        <w:t>), administrative board (</w:t>
      </w:r>
      <w:r>
        <w:rPr>
          <w:rFonts w:ascii="Arial" w:cs="Arial" w:eastAsia="Arial" w:hAnsi="Arial"/>
          <w:sz w:val="13"/>
          <w:szCs w:val="13"/>
          <w:i w:val="1"/>
          <w:iCs w:val="1"/>
          <w:color w:val="auto"/>
        </w:rPr>
        <w:t>Verwaltungsrat</w:t>
      </w:r>
      <w:r>
        <w:rPr>
          <w:rFonts w:ascii="Arial" w:cs="Arial" w:eastAsia="Arial" w:hAnsi="Arial"/>
          <w:sz w:val="13"/>
          <w:szCs w:val="13"/>
          <w:color w:val="auto"/>
        </w:rPr>
        <w:t>) or general meeting of shareholders (</w:t>
      </w:r>
      <w:r>
        <w:rPr>
          <w:rFonts w:ascii="Arial" w:cs="Arial" w:eastAsia="Arial" w:hAnsi="Arial"/>
          <w:sz w:val="13"/>
          <w:szCs w:val="13"/>
          <w:i w:val="1"/>
          <w:iCs w:val="1"/>
          <w:color w:val="auto"/>
        </w:rPr>
        <w:t>Gesellschafterversammlung</w:t>
      </w:r>
      <w:r>
        <w:rPr>
          <w:rFonts w:ascii="Arial" w:cs="Arial" w:eastAsia="Arial" w:hAnsi="Arial"/>
          <w:sz w:val="13"/>
          <w:szCs w:val="13"/>
          <w:color w:val="auto"/>
        </w:rPr>
        <w:t>)) of each Obligor:</w:t>
      </w:r>
    </w:p>
    <w:p>
      <w:pPr>
        <w:spacing w:after="0" w:line="53" w:lineRule="exact"/>
        <w:rPr>
          <w:rFonts w:ascii="Arial" w:cs="Arial" w:eastAsia="Arial" w:hAnsi="Arial"/>
          <w:sz w:val="13"/>
          <w:szCs w:val="13"/>
          <w:color w:val="auto"/>
        </w:rPr>
      </w:pPr>
    </w:p>
    <w:p>
      <w:pPr>
        <w:ind w:left="2140" w:right="120" w:hanging="700"/>
        <w:spacing w:after="0" w:line="258" w:lineRule="auto"/>
        <w:tabs>
          <w:tab w:leader="none" w:pos="214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approving the terms of, and the transactions contemplated by, the Finance Documents to which it is a party as and duly authorising the execution of the Finance Documents to which it is a party;</w:t>
      </w:r>
    </w:p>
    <w:p>
      <w:pPr>
        <w:spacing w:after="0" w:line="58" w:lineRule="exact"/>
        <w:rPr>
          <w:rFonts w:ascii="Arial" w:cs="Arial" w:eastAsia="Arial" w:hAnsi="Arial"/>
          <w:sz w:val="13"/>
          <w:szCs w:val="13"/>
          <w:color w:val="auto"/>
        </w:rPr>
      </w:pPr>
    </w:p>
    <w:p>
      <w:pPr>
        <w:ind w:left="2140" w:hanging="700"/>
        <w:spacing w:after="0"/>
        <w:tabs>
          <w:tab w:leader="none" w:pos="214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duly authorising the relevant signatories to execute the Finance Documents to which it is a party on its behalf; and</w:t>
      </w:r>
    </w:p>
    <w:p>
      <w:pPr>
        <w:spacing w:after="0" w:line="60" w:lineRule="exact"/>
        <w:rPr>
          <w:rFonts w:ascii="Arial" w:cs="Arial" w:eastAsia="Arial" w:hAnsi="Arial"/>
          <w:sz w:val="13"/>
          <w:szCs w:val="13"/>
          <w:color w:val="auto"/>
        </w:rPr>
      </w:pPr>
    </w:p>
    <w:p>
      <w:pPr>
        <w:ind w:left="2140" w:right="120" w:hanging="700"/>
        <w:spacing w:after="0" w:line="258" w:lineRule="auto"/>
        <w:tabs>
          <w:tab w:leader="none" w:pos="214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authorising a signatory or signatories, on its behalf, to sign and/or despatch all documents and notices to be signed and/or despatched by it under or in connection with the Finance Documents to which it is a party.</w:t>
      </w:r>
    </w:p>
    <w:p>
      <w:pPr>
        <w:spacing w:after="0" w:line="68" w:lineRule="exact"/>
        <w:rPr>
          <w:rFonts w:ascii="Arial" w:cs="Arial" w:eastAsia="Arial" w:hAnsi="Arial"/>
          <w:sz w:val="13"/>
          <w:szCs w:val="13"/>
          <w:color w:val="auto"/>
        </w:rPr>
      </w:pPr>
    </w:p>
    <w:p>
      <w:pPr>
        <w:ind w:left="1420" w:right="240" w:hanging="700"/>
        <w:spacing w:after="0" w:line="258" w:lineRule="auto"/>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An up-to-date (dated no earlier than the date falling [***] days before the Disbursement Date) structure chart showing the Group certified as being complete and correct by an Authorised Signatory of the Borrower.</w:t>
      </w:r>
    </w:p>
    <w:p>
      <w:pPr>
        <w:spacing w:after="0" w:line="38" w:lineRule="exact"/>
        <w:rPr>
          <w:rFonts w:ascii="Arial" w:cs="Arial" w:eastAsia="Arial" w:hAnsi="Arial"/>
          <w:sz w:val="13"/>
          <w:szCs w:val="13"/>
          <w:color w:val="auto"/>
        </w:rPr>
      </w:pPr>
    </w:p>
    <w:p>
      <w:pPr>
        <w:ind w:left="1420" w:right="240" w:hanging="700"/>
        <w:spacing w:after="0" w:line="249" w:lineRule="auto"/>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A certificate of an Authorised Signatory of each Obligor certifying that each copy document relating to it specified in Paragraph (b) and (c) of this Part A of Schedule F (</w:t>
      </w:r>
      <w:r>
        <w:rPr>
          <w:rFonts w:ascii="Arial" w:cs="Arial" w:eastAsia="Arial" w:hAnsi="Arial"/>
          <w:sz w:val="13"/>
          <w:szCs w:val="13"/>
          <w:i w:val="1"/>
          <w:iCs w:val="1"/>
          <w:color w:val="auto"/>
        </w:rPr>
        <w:t>Initial Documentary Conditions Precedent and Credit A Conditions Precedents</w:t>
      </w:r>
      <w:r>
        <w:rPr>
          <w:rFonts w:ascii="Arial" w:cs="Arial" w:eastAsia="Arial" w:hAnsi="Arial"/>
          <w:sz w:val="13"/>
          <w:szCs w:val="13"/>
          <w:color w:val="auto"/>
        </w:rPr>
        <w:t>) is correct, complete and in full force and effect as at a date no earlier than the date falling 14 (fourteen) days before the first Disbursement Date.</w:t>
      </w:r>
    </w:p>
    <w:p>
      <w:pPr>
        <w:spacing w:after="0" w:line="54" w:lineRule="exact"/>
        <w:rPr>
          <w:rFonts w:ascii="Arial" w:cs="Arial" w:eastAsia="Arial" w:hAnsi="Arial"/>
          <w:sz w:val="13"/>
          <w:szCs w:val="13"/>
          <w:color w:val="auto"/>
        </w:rPr>
      </w:pPr>
    </w:p>
    <w:p>
      <w:pPr>
        <w:ind w:left="1420" w:hanging="700"/>
        <w:spacing w:after="0"/>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The List of Authorised Signatories and Accounts.</w:t>
      </w:r>
    </w:p>
    <w:p>
      <w:pPr>
        <w:spacing w:after="0" w:line="90" w:lineRule="exact"/>
        <w:rPr>
          <w:rFonts w:ascii="Arial" w:cs="Arial" w:eastAsia="Arial" w:hAnsi="Arial"/>
          <w:sz w:val="13"/>
          <w:szCs w:val="13"/>
          <w:color w:val="auto"/>
        </w:rPr>
      </w:pPr>
    </w:p>
    <w:p>
      <w:pPr>
        <w:ind w:left="1420" w:right="580" w:hanging="700"/>
        <w:spacing w:after="0" w:line="249" w:lineRule="auto"/>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A legal enforceability opinion of Noerr LLP, addressed to the Bank on the legality, validity and enforceability of the Finance Documents and including statements as to no consents, registrations or filings are required and no stamp duty is to be paid in respect of the Finance Documents, choice of law and enforceability of judgments.</w:t>
      </w:r>
    </w:p>
    <w:p>
      <w:pPr>
        <w:spacing w:after="0" w:line="54" w:lineRule="exact"/>
        <w:rPr>
          <w:rFonts w:ascii="Arial" w:cs="Arial" w:eastAsia="Arial" w:hAnsi="Arial"/>
          <w:sz w:val="13"/>
          <w:szCs w:val="13"/>
          <w:color w:val="auto"/>
        </w:rPr>
      </w:pPr>
    </w:p>
    <w:p>
      <w:pPr>
        <w:ind w:left="1420" w:right="780" w:hanging="700"/>
        <w:spacing w:after="0" w:line="242" w:lineRule="auto"/>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A legal enforceability opinion of Arendt &amp; Medernach, addressed to the Bank on the legality, validity and enforceability of the Finance Fee Letter under Luxembourg law;</w:t>
      </w:r>
    </w:p>
    <w:p>
      <w:pPr>
        <w:spacing w:after="0" w:line="138" w:lineRule="exact"/>
        <w:rPr>
          <w:rFonts w:ascii="Arial" w:cs="Arial" w:eastAsia="Arial" w:hAnsi="Arial"/>
          <w:sz w:val="13"/>
          <w:szCs w:val="13"/>
          <w:color w:val="auto"/>
        </w:rPr>
      </w:pPr>
    </w:p>
    <w:p>
      <w:pPr>
        <w:ind w:left="1420" w:right="220" w:hanging="700"/>
        <w:spacing w:after="0" w:line="258" w:lineRule="auto"/>
        <w:tabs>
          <w:tab w:leader="none" w:pos="142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A legal opinion of Osborne Clarke Rechtsanwälte Steuerberater Partnerschaft mbB, legal adviser to the Borrower, addressed to the Bank, and dated no earlier than the date falling [***] days before the Disbursement Date:</w:t>
      </w:r>
    </w:p>
    <w:p>
      <w:pPr>
        <w:spacing w:after="0" w:line="128" w:lineRule="exact"/>
        <w:rPr>
          <w:rFonts w:ascii="Arial" w:cs="Arial" w:eastAsia="Arial" w:hAnsi="Arial"/>
          <w:sz w:val="13"/>
          <w:szCs w:val="13"/>
          <w:color w:val="auto"/>
        </w:rPr>
      </w:pPr>
    </w:p>
    <w:p>
      <w:pPr>
        <w:ind w:left="2140" w:hanging="700"/>
        <w:spacing w:after="0"/>
        <w:tabs>
          <w:tab w:leader="none" w:pos="2140" w:val="left"/>
        </w:tabs>
        <w:numPr>
          <w:ilvl w:val="1"/>
          <w:numId w:val="435"/>
        </w:numPr>
        <w:rPr>
          <w:rFonts w:ascii="Arial" w:cs="Arial" w:eastAsia="Arial" w:hAnsi="Arial"/>
          <w:sz w:val="13"/>
          <w:szCs w:val="13"/>
          <w:color w:val="auto"/>
        </w:rPr>
      </w:pPr>
      <w:r>
        <w:rPr>
          <w:rFonts w:ascii="Arial" w:cs="Arial" w:eastAsia="Arial" w:hAnsi="Arial"/>
          <w:sz w:val="13"/>
          <w:szCs w:val="13"/>
          <w:color w:val="auto"/>
        </w:rPr>
        <w:t>which includes an insolvency search on www.insolvenzbekanntmachungen.de on the relevant Obligor conducted on the date of such legal opinion; and</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81" w:name="page382"/>
    <w:bookmarkEnd w:id="381"/>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2140" w:right="320" w:hanging="700"/>
        <w:spacing w:after="0" w:line="249" w:lineRule="auto"/>
        <w:tabs>
          <w:tab w:leader="none" w:pos="2140" w:val="left"/>
        </w:tabs>
        <w:numPr>
          <w:ilvl w:val="1"/>
          <w:numId w:val="436"/>
        </w:numPr>
        <w:rPr>
          <w:rFonts w:ascii="Arial" w:cs="Arial" w:eastAsia="Arial" w:hAnsi="Arial"/>
          <w:sz w:val="13"/>
          <w:szCs w:val="13"/>
          <w:color w:val="auto"/>
        </w:rPr>
      </w:pPr>
      <w:r>
        <w:rPr>
          <w:rFonts w:ascii="Arial" w:cs="Arial" w:eastAsia="Arial" w:hAnsi="Arial"/>
          <w:sz w:val="13"/>
          <w:szCs w:val="13"/>
          <w:color w:val="auto"/>
        </w:rPr>
        <w:t>on the valid existence of each Obligor, the authority and capacity of each Obligor to enter into the Finance Documents and perform its obligations thereunder, non-conflict with constitutional documents and on laws applicable to companies generally in Germany, all corporate and other action required to be taken has indeed been taken, the due execution of the Finance Documents and that the Obligor is not entitled to claim immunity.</w:t>
      </w:r>
    </w:p>
    <w:p>
      <w:pPr>
        <w:spacing w:after="0" w:line="54" w:lineRule="exact"/>
        <w:rPr>
          <w:rFonts w:ascii="Arial" w:cs="Arial" w:eastAsia="Arial" w:hAnsi="Arial"/>
          <w:sz w:val="13"/>
          <w:szCs w:val="13"/>
          <w:color w:val="auto"/>
        </w:rPr>
      </w:pPr>
    </w:p>
    <w:p>
      <w:pPr>
        <w:ind w:left="1420" w:hanging="700"/>
        <w:spacing w:after="0"/>
        <w:tabs>
          <w:tab w:leader="none" w:pos="1420" w:val="left"/>
        </w:tabs>
        <w:numPr>
          <w:ilvl w:val="0"/>
          <w:numId w:val="437"/>
        </w:numPr>
        <w:rPr>
          <w:rFonts w:ascii="Arial" w:cs="Arial" w:eastAsia="Arial" w:hAnsi="Arial"/>
          <w:sz w:val="13"/>
          <w:szCs w:val="13"/>
          <w:color w:val="auto"/>
        </w:rPr>
      </w:pPr>
      <w:r>
        <w:rPr>
          <w:rFonts w:ascii="Arial" w:cs="Arial" w:eastAsia="Arial" w:hAnsi="Arial"/>
          <w:sz w:val="13"/>
          <w:szCs w:val="13"/>
          <w:color w:val="auto"/>
        </w:rPr>
        <w:t>The latest audited financial statements of the Obligors.</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437"/>
        </w:numPr>
        <w:rPr>
          <w:rFonts w:ascii="Arial" w:cs="Arial" w:eastAsia="Arial" w:hAnsi="Arial"/>
          <w:sz w:val="13"/>
          <w:szCs w:val="13"/>
          <w:color w:val="auto"/>
        </w:rPr>
      </w:pPr>
      <w:r>
        <w:rPr>
          <w:rFonts w:ascii="Arial" w:cs="Arial" w:eastAsia="Arial" w:hAnsi="Arial"/>
          <w:sz w:val="13"/>
          <w:szCs w:val="13"/>
          <w:color w:val="auto"/>
        </w:rPr>
        <w:t>Evidence of payment of all the fees (including lawyer fees) and expenses as required under the Finance Documents.</w:t>
      </w:r>
    </w:p>
    <w:p>
      <w:pPr>
        <w:spacing w:after="0" w:line="54"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3"/>
          <w:szCs w:val="13"/>
          <w:color w:val="auto"/>
        </w:rPr>
        <w:t>(l)</w:t>
      </w:r>
      <w:r>
        <w:rPr>
          <w:sz w:val="20"/>
          <w:szCs w:val="20"/>
          <w:color w:val="auto"/>
        </w:rPr>
        <w:tab/>
      </w:r>
      <w:r>
        <w:rPr>
          <w:rFonts w:ascii="Arial" w:cs="Arial" w:eastAsia="Arial" w:hAnsi="Arial"/>
          <w:sz w:val="13"/>
          <w:szCs w:val="13"/>
          <w:color w:val="auto"/>
        </w:rPr>
        <w:t>Evidence satisfactory to the Bank of the fulfilment of the following milestones (the  "</w:t>
      </w:r>
      <w:r>
        <w:rPr>
          <w:rFonts w:ascii="Arial" w:cs="Arial" w:eastAsia="Arial" w:hAnsi="Arial"/>
          <w:sz w:val="13"/>
          <w:szCs w:val="13"/>
          <w:b w:val="1"/>
          <w:bCs w:val="1"/>
          <w:color w:val="auto"/>
        </w:rPr>
        <w:t>Credit A Milestone Events</w:t>
      </w:r>
      <w:r>
        <w:rPr>
          <w:rFonts w:ascii="Arial" w:cs="Arial" w:eastAsia="Arial" w:hAnsi="Arial"/>
          <w:sz w:val="13"/>
          <w:szCs w:val="13"/>
          <w:color w:val="auto"/>
        </w:rPr>
        <w:t>"):</w:t>
      </w:r>
    </w:p>
    <w:p>
      <w:pPr>
        <w:spacing w:after="0" w:line="86" w:lineRule="exact"/>
        <w:rPr>
          <w:sz w:val="20"/>
          <w:szCs w:val="20"/>
          <w:color w:val="auto"/>
        </w:rPr>
      </w:pPr>
    </w:p>
    <w:p>
      <w:pPr>
        <w:ind w:left="2140" w:hanging="700"/>
        <w:spacing w:after="0"/>
        <w:tabs>
          <w:tab w:leader="none" w:pos="2140" w:val="left"/>
        </w:tabs>
        <w:numPr>
          <w:ilvl w:val="1"/>
          <w:numId w:val="438"/>
        </w:numPr>
        <w:rPr>
          <w:rFonts w:ascii="Arial" w:cs="Arial" w:eastAsia="Arial" w:hAnsi="Arial"/>
          <w:sz w:val="13"/>
          <w:szCs w:val="13"/>
          <w:color w:val="auto"/>
        </w:rPr>
      </w:pPr>
      <w:r>
        <w:rPr>
          <w:rFonts w:ascii="Arial" w:cs="Arial" w:eastAsia="Arial" w:hAnsi="Arial"/>
          <w:sz w:val="13"/>
          <w:szCs w:val="13"/>
          <w:color w:val="auto"/>
        </w:rPr>
        <w:t>achievement of a series B equity raise of at least USD [***] (already achieved at the date of this Contract and fulfilled);</w:t>
      </w:r>
    </w:p>
    <w:p>
      <w:pPr>
        <w:spacing w:after="0" w:line="66" w:lineRule="exact"/>
        <w:rPr>
          <w:rFonts w:ascii="Arial" w:cs="Arial" w:eastAsia="Arial" w:hAnsi="Arial"/>
          <w:sz w:val="13"/>
          <w:szCs w:val="13"/>
          <w:color w:val="auto"/>
        </w:rPr>
      </w:pPr>
    </w:p>
    <w:p>
      <w:pPr>
        <w:ind w:left="2140" w:right="140" w:hanging="700"/>
        <w:spacing w:after="0" w:line="281" w:lineRule="auto"/>
        <w:tabs>
          <w:tab w:leader="none" w:pos="2140" w:val="left"/>
        </w:tabs>
        <w:numPr>
          <w:ilvl w:val="1"/>
          <w:numId w:val="438"/>
        </w:numPr>
        <w:rPr>
          <w:rFonts w:ascii="Arial" w:cs="Arial" w:eastAsia="Arial" w:hAnsi="Arial"/>
          <w:sz w:val="13"/>
          <w:szCs w:val="13"/>
          <w:color w:val="auto"/>
        </w:rPr>
      </w:pPr>
      <w:r>
        <w:rPr>
          <w:rFonts w:ascii="Arial" w:cs="Arial" w:eastAsia="Arial" w:hAnsi="Arial"/>
          <w:sz w:val="13"/>
          <w:szCs w:val="13"/>
          <w:color w:val="auto"/>
        </w:rPr>
        <w:t>delivery of a copy of (A) the written completion notification (</w:t>
      </w:r>
      <w:r>
        <w:rPr>
          <w:rFonts w:ascii="Arial" w:cs="Arial" w:eastAsia="Arial" w:hAnsi="Arial"/>
          <w:sz w:val="13"/>
          <w:szCs w:val="13"/>
          <w:i w:val="1"/>
          <w:iCs w:val="1"/>
          <w:color w:val="auto"/>
        </w:rPr>
        <w:t>Fertigstellungsmitteilung</w:t>
      </w:r>
      <w:r>
        <w:rPr>
          <w:rFonts w:ascii="Arial" w:cs="Arial" w:eastAsia="Arial" w:hAnsi="Arial"/>
          <w:sz w:val="13"/>
          <w:szCs w:val="13"/>
          <w:color w:val="auto"/>
        </w:rPr>
        <w:t>) or the acceptance report (</w:t>
      </w:r>
      <w:r>
        <w:rPr>
          <w:rFonts w:ascii="Arial" w:cs="Arial" w:eastAsia="Arial" w:hAnsi="Arial"/>
          <w:sz w:val="13"/>
          <w:szCs w:val="13"/>
          <w:i w:val="1"/>
          <w:iCs w:val="1"/>
          <w:color w:val="auto"/>
        </w:rPr>
        <w:t>Abnahmeprotokoll</w:t>
      </w:r>
      <w:r>
        <w:rPr>
          <w:rFonts w:ascii="Arial" w:cs="Arial" w:eastAsia="Arial" w:hAnsi="Arial"/>
          <w:sz w:val="13"/>
          <w:szCs w:val="13"/>
          <w:color w:val="auto"/>
        </w:rPr>
        <w:t>) of the new [***] (for the avoidance of doubt, without the [***]); and</w:t>
      </w:r>
    </w:p>
    <w:p>
      <w:pPr>
        <w:spacing w:after="0" w:line="19" w:lineRule="exact"/>
        <w:rPr>
          <w:rFonts w:ascii="Arial" w:cs="Arial" w:eastAsia="Arial" w:hAnsi="Arial"/>
          <w:sz w:val="13"/>
          <w:szCs w:val="13"/>
          <w:color w:val="auto"/>
        </w:rPr>
      </w:pPr>
    </w:p>
    <w:p>
      <w:pPr>
        <w:ind w:left="2140" w:right="180" w:hanging="700"/>
        <w:spacing w:after="0" w:line="281" w:lineRule="auto"/>
        <w:tabs>
          <w:tab w:leader="none" w:pos="2140" w:val="left"/>
        </w:tabs>
        <w:numPr>
          <w:ilvl w:val="1"/>
          <w:numId w:val="438"/>
        </w:numPr>
        <w:rPr>
          <w:rFonts w:ascii="Arial" w:cs="Arial" w:eastAsia="Arial" w:hAnsi="Arial"/>
          <w:sz w:val="13"/>
          <w:szCs w:val="13"/>
          <w:color w:val="auto"/>
        </w:rPr>
      </w:pPr>
      <w:r>
        <w:rPr>
          <w:rFonts w:ascii="Arial" w:cs="Arial" w:eastAsia="Arial" w:hAnsi="Arial"/>
          <w:sz w:val="13"/>
          <w:szCs w:val="13"/>
          <w:color w:val="auto"/>
        </w:rPr>
        <w:t>granting of the Land Charge, by way of a certified land register excerpt (</w:t>
      </w:r>
      <w:r>
        <w:rPr>
          <w:rFonts w:ascii="Arial" w:cs="Arial" w:eastAsia="Arial" w:hAnsi="Arial"/>
          <w:sz w:val="13"/>
          <w:szCs w:val="13"/>
          <w:i w:val="1"/>
          <w:iCs w:val="1"/>
          <w:color w:val="auto"/>
        </w:rPr>
        <w:t>Grundbuchauszug</w:t>
      </w:r>
      <w:r>
        <w:rPr>
          <w:rFonts w:ascii="Arial" w:cs="Arial" w:eastAsia="Arial" w:hAnsi="Arial"/>
          <w:sz w:val="13"/>
          <w:szCs w:val="13"/>
          <w:color w:val="auto"/>
        </w:rPr>
        <w:t>) for the Property, evidencing the registration of the Land Charge in favour of the Bank.</w:t>
      </w:r>
    </w:p>
    <w:p>
      <w:pPr>
        <w:spacing w:after="0" w:line="43" w:lineRule="exact"/>
        <w:rPr>
          <w:rFonts w:ascii="Arial" w:cs="Arial" w:eastAsia="Arial" w:hAnsi="Arial"/>
          <w:sz w:val="13"/>
          <w:szCs w:val="13"/>
          <w:color w:val="auto"/>
        </w:rPr>
      </w:pPr>
    </w:p>
    <w:p>
      <w:pPr>
        <w:ind w:left="1420" w:right="300" w:hanging="700"/>
        <w:spacing w:after="0" w:line="258" w:lineRule="auto"/>
        <w:tabs>
          <w:tab w:leader="none" w:pos="1420" w:val="left"/>
        </w:tabs>
        <w:numPr>
          <w:ilvl w:val="0"/>
          <w:numId w:val="439"/>
        </w:numPr>
        <w:rPr>
          <w:rFonts w:ascii="Arial" w:cs="Arial" w:eastAsia="Arial" w:hAnsi="Arial"/>
          <w:sz w:val="13"/>
          <w:szCs w:val="13"/>
          <w:color w:val="auto"/>
        </w:rPr>
      </w:pPr>
      <w:r>
        <w:rPr>
          <w:rFonts w:ascii="Arial" w:cs="Arial" w:eastAsia="Arial" w:hAnsi="Arial"/>
          <w:sz w:val="13"/>
          <w:szCs w:val="13"/>
          <w:color w:val="auto"/>
        </w:rPr>
        <w:t>A copy of any other document, authorisation, opinion or assurance which the Bank has notified the Borrower is necessary or desirable in connection with the entry into and performance of, and the transactions contemplated by, the Finance Documents or the validity and enforceability of the same.</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u w:val="single" w:color="auto"/>
          <w:color w:val="auto"/>
        </w:rPr>
        <w:t>Part B – Credit B Conditions Precedent</w:t>
      </w:r>
    </w:p>
    <w:p>
      <w:pPr>
        <w:spacing w:after="0" w:line="156" w:lineRule="exact"/>
        <w:rPr>
          <w:sz w:val="20"/>
          <w:szCs w:val="20"/>
          <w:color w:val="auto"/>
        </w:rPr>
      </w:pPr>
    </w:p>
    <w:p>
      <w:pPr>
        <w:ind w:left="1420" w:hanging="700"/>
        <w:spacing w:after="0"/>
        <w:tabs>
          <w:tab w:leader="none" w:pos="1420" w:val="left"/>
        </w:tabs>
        <w:numPr>
          <w:ilvl w:val="0"/>
          <w:numId w:val="440"/>
        </w:numPr>
        <w:rPr>
          <w:rFonts w:ascii="Arial" w:cs="Arial" w:eastAsia="Arial" w:hAnsi="Arial"/>
          <w:sz w:val="13"/>
          <w:szCs w:val="13"/>
          <w:color w:val="auto"/>
        </w:rPr>
      </w:pPr>
      <w:r>
        <w:rPr>
          <w:rFonts w:ascii="Arial" w:cs="Arial" w:eastAsia="Arial" w:hAnsi="Arial"/>
          <w:sz w:val="13"/>
          <w:szCs w:val="13"/>
          <w:color w:val="auto"/>
        </w:rPr>
        <w:t>Credit A has been fully drawn.</w:t>
      </w:r>
    </w:p>
    <w:p>
      <w:pPr>
        <w:spacing w:after="0" w:line="64"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Evidence satisfactory to the Bank of the fulfilment of the following milestones (the  "</w:t>
      </w:r>
      <w:r>
        <w:rPr>
          <w:rFonts w:ascii="Arial" w:cs="Arial" w:eastAsia="Arial" w:hAnsi="Arial"/>
          <w:sz w:val="13"/>
          <w:szCs w:val="13"/>
          <w:b w:val="1"/>
          <w:bCs w:val="1"/>
          <w:color w:val="auto"/>
        </w:rPr>
        <w:t>Credit B Milestone Events</w:t>
      </w:r>
      <w:r>
        <w:rPr>
          <w:rFonts w:ascii="Arial" w:cs="Arial" w:eastAsia="Arial" w:hAnsi="Arial"/>
          <w:sz w:val="13"/>
          <w:szCs w:val="13"/>
          <w:color w:val="auto"/>
        </w:rPr>
        <w:t>"):</w:t>
      </w:r>
    </w:p>
    <w:p>
      <w:pPr>
        <w:spacing w:after="0" w:line="86" w:lineRule="exact"/>
        <w:rPr>
          <w:sz w:val="20"/>
          <w:szCs w:val="20"/>
          <w:color w:val="auto"/>
        </w:rPr>
      </w:pPr>
    </w:p>
    <w:p>
      <w:pPr>
        <w:ind w:left="2140" w:hanging="700"/>
        <w:spacing w:after="0"/>
        <w:tabs>
          <w:tab w:leader="none" w:pos="2140" w:val="left"/>
        </w:tabs>
        <w:numPr>
          <w:ilvl w:val="0"/>
          <w:numId w:val="441"/>
        </w:numPr>
        <w:rPr>
          <w:rFonts w:ascii="Arial" w:cs="Arial" w:eastAsia="Arial" w:hAnsi="Arial"/>
          <w:sz w:val="13"/>
          <w:szCs w:val="13"/>
          <w:color w:val="auto"/>
        </w:rPr>
      </w:pPr>
      <w:r>
        <w:rPr>
          <w:rFonts w:ascii="Arial" w:cs="Arial" w:eastAsia="Arial" w:hAnsi="Arial"/>
          <w:sz w:val="13"/>
          <w:szCs w:val="13"/>
          <w:color w:val="auto"/>
        </w:rPr>
        <w:t>commencement of three additional clinical trials after the end of H1 2019 (two in phase 1 and one beyond phase 1);</w:t>
      </w:r>
    </w:p>
    <w:p>
      <w:pPr>
        <w:spacing w:after="0" w:line="70" w:lineRule="exact"/>
        <w:rPr>
          <w:rFonts w:ascii="Arial" w:cs="Arial" w:eastAsia="Arial" w:hAnsi="Arial"/>
          <w:sz w:val="13"/>
          <w:szCs w:val="13"/>
          <w:color w:val="auto"/>
        </w:rPr>
      </w:pPr>
    </w:p>
    <w:p>
      <w:pPr>
        <w:ind w:left="2140" w:hanging="700"/>
        <w:spacing w:after="0"/>
        <w:tabs>
          <w:tab w:leader="none" w:pos="2140" w:val="left"/>
        </w:tabs>
        <w:numPr>
          <w:ilvl w:val="0"/>
          <w:numId w:val="441"/>
        </w:numPr>
        <w:rPr>
          <w:rFonts w:ascii="Arial" w:cs="Arial" w:eastAsia="Arial" w:hAnsi="Arial"/>
          <w:sz w:val="13"/>
          <w:szCs w:val="13"/>
          <w:color w:val="auto"/>
        </w:rPr>
      </w:pPr>
      <w:r>
        <w:rPr>
          <w:rFonts w:ascii="Arial" w:cs="Arial" w:eastAsia="Arial" w:hAnsi="Arial"/>
          <w:sz w:val="13"/>
          <w:szCs w:val="13"/>
          <w:color w:val="auto"/>
        </w:rPr>
        <w:t>cumulative equity raised in an amount of USD [***] (in addition to the series B equity raise evidenced under the Credit A Milestone Events); and</w:t>
      </w:r>
    </w:p>
    <w:p>
      <w:pPr>
        <w:spacing w:after="0" w:line="56" w:lineRule="exact"/>
        <w:rPr>
          <w:rFonts w:ascii="Arial" w:cs="Arial" w:eastAsia="Arial" w:hAnsi="Arial"/>
          <w:sz w:val="13"/>
          <w:szCs w:val="13"/>
          <w:color w:val="auto"/>
        </w:rPr>
      </w:pPr>
    </w:p>
    <w:p>
      <w:pPr>
        <w:ind w:left="2140" w:right="140" w:hanging="700"/>
        <w:spacing w:after="0" w:line="254" w:lineRule="auto"/>
        <w:tabs>
          <w:tab w:leader="none" w:pos="2140" w:val="left"/>
        </w:tabs>
        <w:numPr>
          <w:ilvl w:val="0"/>
          <w:numId w:val="441"/>
        </w:numPr>
        <w:rPr>
          <w:rFonts w:ascii="Arial" w:cs="Arial" w:eastAsia="Arial" w:hAnsi="Arial"/>
          <w:sz w:val="13"/>
          <w:szCs w:val="13"/>
          <w:color w:val="auto"/>
        </w:rPr>
      </w:pPr>
      <w:r>
        <w:rPr>
          <w:rFonts w:ascii="Arial" w:cs="Arial" w:eastAsia="Arial" w:hAnsi="Arial"/>
          <w:sz w:val="13"/>
          <w:szCs w:val="13"/>
          <w:color w:val="auto"/>
        </w:rPr>
        <w:t>conclusion (</w:t>
      </w:r>
      <w:r>
        <w:rPr>
          <w:rFonts w:ascii="Arial" w:cs="Arial" w:eastAsia="Arial" w:hAnsi="Arial"/>
          <w:sz w:val="13"/>
          <w:szCs w:val="13"/>
          <w:i w:val="1"/>
          <w:iCs w:val="1"/>
          <w:color w:val="auto"/>
        </w:rPr>
        <w:t>Vertragsschluss</w:t>
      </w:r>
      <w:r>
        <w:rPr>
          <w:rFonts w:ascii="Arial" w:cs="Arial" w:eastAsia="Arial" w:hAnsi="Arial"/>
          <w:sz w:val="13"/>
          <w:szCs w:val="13"/>
          <w:color w:val="auto"/>
        </w:rPr>
        <w:t>) of one or more new partnership agreements/equity deals since end of H1 2019 with a pharmaceutical company, a biotech company or similar companies of international reputation, or institutions that primarily invest in the area of pharmaceuticals, biotechnology or public health, with combined upfront or initial cash contributions of at least USD [***]. In the case of equity investments, these are to be in addition to those evidenced under the Credit A Milestone Events and the Credit B Milestone Events (already achieved at the date of this Contract).</w:t>
      </w:r>
    </w:p>
    <w:p>
      <w:pPr>
        <w:spacing w:after="0" w:line="205" w:lineRule="exact"/>
        <w:rPr>
          <w:sz w:val="20"/>
          <w:szCs w:val="20"/>
          <w:color w:val="auto"/>
        </w:rPr>
      </w:pPr>
    </w:p>
    <w:p>
      <w:pPr>
        <w:jc w:val="center"/>
        <w:ind w:right="380"/>
        <w:spacing w:after="0"/>
        <w:rPr>
          <w:sz w:val="20"/>
          <w:szCs w:val="20"/>
          <w:color w:val="auto"/>
        </w:rPr>
      </w:pPr>
      <w:r>
        <w:rPr>
          <w:rFonts w:ascii="Arial" w:cs="Arial" w:eastAsia="Arial" w:hAnsi="Arial"/>
          <w:sz w:val="13"/>
          <w:szCs w:val="13"/>
          <w:b w:val="1"/>
          <w:bCs w:val="1"/>
          <w:u w:val="single" w:color="auto"/>
          <w:color w:val="auto"/>
        </w:rPr>
        <w:t>Part C – Guarantor Conditions Precedent</w:t>
      </w:r>
    </w:p>
    <w:p>
      <w:pPr>
        <w:spacing w:after="0" w:line="156" w:lineRule="exact"/>
        <w:rPr>
          <w:sz w:val="20"/>
          <w:szCs w:val="20"/>
          <w:color w:val="auto"/>
        </w:rPr>
      </w:pPr>
    </w:p>
    <w:p>
      <w:pPr>
        <w:ind w:left="1420" w:hanging="700"/>
        <w:spacing w:after="0"/>
        <w:tabs>
          <w:tab w:leader="none" w:pos="1420" w:val="left"/>
        </w:tabs>
        <w:numPr>
          <w:ilvl w:val="0"/>
          <w:numId w:val="442"/>
        </w:numPr>
        <w:rPr>
          <w:rFonts w:ascii="Arial" w:cs="Arial" w:eastAsia="Arial" w:hAnsi="Arial"/>
          <w:sz w:val="13"/>
          <w:szCs w:val="13"/>
          <w:color w:val="auto"/>
        </w:rPr>
      </w:pPr>
      <w:r>
        <w:rPr>
          <w:rFonts w:ascii="Arial" w:cs="Arial" w:eastAsia="Arial" w:hAnsi="Arial"/>
          <w:sz w:val="13"/>
          <w:szCs w:val="13"/>
          <w:color w:val="auto"/>
        </w:rPr>
        <w:t>The duly executed Guarantee Agreement or, as applicable, accession letter to the Guarantee Agreement.</w:t>
      </w:r>
    </w:p>
    <w:p>
      <w:pPr>
        <w:spacing w:after="0" w:line="80" w:lineRule="exact"/>
        <w:rPr>
          <w:rFonts w:ascii="Arial" w:cs="Arial" w:eastAsia="Arial" w:hAnsi="Arial"/>
          <w:sz w:val="13"/>
          <w:szCs w:val="13"/>
          <w:color w:val="auto"/>
        </w:rPr>
      </w:pPr>
    </w:p>
    <w:p>
      <w:pPr>
        <w:ind w:left="1420" w:hanging="700"/>
        <w:spacing w:after="0"/>
        <w:tabs>
          <w:tab w:leader="none" w:pos="1420" w:val="left"/>
        </w:tabs>
        <w:numPr>
          <w:ilvl w:val="0"/>
          <w:numId w:val="442"/>
        </w:numPr>
        <w:rPr>
          <w:rFonts w:ascii="Arial" w:cs="Arial" w:eastAsia="Arial" w:hAnsi="Arial"/>
          <w:sz w:val="13"/>
          <w:szCs w:val="13"/>
          <w:color w:val="auto"/>
        </w:rPr>
      </w:pPr>
      <w:r>
        <w:rPr>
          <w:rFonts w:ascii="Arial" w:cs="Arial" w:eastAsia="Arial" w:hAnsi="Arial"/>
          <w:sz w:val="13"/>
          <w:szCs w:val="13"/>
          <w:color w:val="auto"/>
        </w:rPr>
        <w:t>The constitutional documents of such Guarantor(s).</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82" w:name="page383"/>
    <w:bookmarkEnd w:id="382"/>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420" w:right="540" w:hanging="700"/>
        <w:spacing w:after="0" w:line="249" w:lineRule="auto"/>
        <w:tabs>
          <w:tab w:leader="none" w:pos="1420" w:val="left"/>
        </w:tabs>
        <w:numPr>
          <w:ilvl w:val="0"/>
          <w:numId w:val="443"/>
        </w:numPr>
        <w:rPr>
          <w:rFonts w:ascii="Arial" w:cs="Arial" w:eastAsia="Arial" w:hAnsi="Arial"/>
          <w:sz w:val="13"/>
          <w:szCs w:val="13"/>
          <w:color w:val="auto"/>
        </w:rPr>
      </w:pPr>
      <w:r>
        <w:rPr>
          <w:rFonts w:ascii="Arial" w:cs="Arial" w:eastAsia="Arial" w:hAnsi="Arial"/>
          <w:sz w:val="13"/>
          <w:szCs w:val="13"/>
          <w:color w:val="auto"/>
        </w:rPr>
        <w:t>If applicable, an original of a certificate of incorporation and an encumbrance certificate of the Guarantor(s) not incorporated or established in Germany ("</w:t>
      </w:r>
      <w:r>
        <w:rPr>
          <w:rFonts w:ascii="Arial" w:cs="Arial" w:eastAsia="Arial" w:hAnsi="Arial"/>
          <w:sz w:val="13"/>
          <w:szCs w:val="13"/>
          <w:b w:val="1"/>
          <w:bCs w:val="1"/>
          <w:color w:val="auto"/>
        </w:rPr>
        <w:t>Non- German Guarantor</w:t>
      </w:r>
      <w:r>
        <w:rPr>
          <w:rFonts w:ascii="Arial" w:cs="Arial" w:eastAsia="Arial" w:hAnsi="Arial"/>
          <w:sz w:val="13"/>
          <w:szCs w:val="13"/>
          <w:color w:val="auto"/>
        </w:rPr>
        <w:t>") dated no more than [***] Business Days from the date of execution of the Guarantee Agreement or accession letter to the Guarantee Agreement (as applicable) (or any equivalent document in the jurisdiction of incorporation of such Non-German Guarantor(s)).</w:t>
      </w:r>
    </w:p>
    <w:p>
      <w:pPr>
        <w:spacing w:after="0" w:line="40" w:lineRule="exact"/>
        <w:rPr>
          <w:rFonts w:ascii="Arial" w:cs="Arial" w:eastAsia="Arial" w:hAnsi="Arial"/>
          <w:sz w:val="13"/>
          <w:szCs w:val="13"/>
          <w:color w:val="auto"/>
        </w:rPr>
      </w:pPr>
    </w:p>
    <w:p>
      <w:pPr>
        <w:ind w:left="1420" w:right="180" w:hanging="700"/>
        <w:spacing w:after="0" w:line="281" w:lineRule="auto"/>
        <w:tabs>
          <w:tab w:leader="none" w:pos="1420" w:val="left"/>
        </w:tabs>
        <w:numPr>
          <w:ilvl w:val="0"/>
          <w:numId w:val="443"/>
        </w:numPr>
        <w:rPr>
          <w:rFonts w:ascii="Arial" w:cs="Arial" w:eastAsia="Arial" w:hAnsi="Arial"/>
          <w:sz w:val="13"/>
          <w:szCs w:val="13"/>
          <w:color w:val="auto"/>
        </w:rPr>
      </w:pPr>
      <w:r>
        <w:rPr>
          <w:rFonts w:ascii="Arial" w:cs="Arial" w:eastAsia="Arial" w:hAnsi="Arial"/>
          <w:sz w:val="13"/>
          <w:szCs w:val="13"/>
          <w:color w:val="auto"/>
        </w:rPr>
        <w:t>A copy of the resolution of the competent body (board of directors, supervisory board (</w:t>
      </w:r>
      <w:r>
        <w:rPr>
          <w:rFonts w:ascii="Arial" w:cs="Arial" w:eastAsia="Arial" w:hAnsi="Arial"/>
          <w:sz w:val="13"/>
          <w:szCs w:val="13"/>
          <w:i w:val="1"/>
          <w:iCs w:val="1"/>
          <w:color w:val="auto"/>
        </w:rPr>
        <w:t>Aufsichtsrat</w:t>
      </w:r>
      <w:r>
        <w:rPr>
          <w:rFonts w:ascii="Arial" w:cs="Arial" w:eastAsia="Arial" w:hAnsi="Arial"/>
          <w:sz w:val="13"/>
          <w:szCs w:val="13"/>
          <w:color w:val="auto"/>
        </w:rPr>
        <w:t>), administrative body (</w:t>
      </w:r>
      <w:r>
        <w:rPr>
          <w:rFonts w:ascii="Arial" w:cs="Arial" w:eastAsia="Arial" w:hAnsi="Arial"/>
          <w:sz w:val="13"/>
          <w:szCs w:val="13"/>
          <w:i w:val="1"/>
          <w:iCs w:val="1"/>
          <w:color w:val="auto"/>
        </w:rPr>
        <w:t>Verwaltungsrat</w:t>
      </w:r>
      <w:r>
        <w:rPr>
          <w:rFonts w:ascii="Arial" w:cs="Arial" w:eastAsia="Arial" w:hAnsi="Arial"/>
          <w:sz w:val="13"/>
          <w:szCs w:val="13"/>
          <w:color w:val="auto"/>
        </w:rPr>
        <w:t>), advisory board (</w:t>
      </w:r>
      <w:r>
        <w:rPr>
          <w:rFonts w:ascii="Arial" w:cs="Arial" w:eastAsia="Arial" w:hAnsi="Arial"/>
          <w:sz w:val="13"/>
          <w:szCs w:val="13"/>
          <w:i w:val="1"/>
          <w:iCs w:val="1"/>
          <w:color w:val="auto"/>
        </w:rPr>
        <w:t>Beirat</w:t>
      </w:r>
      <w:r>
        <w:rPr>
          <w:rFonts w:ascii="Arial" w:cs="Arial" w:eastAsia="Arial" w:hAnsi="Arial"/>
          <w:sz w:val="13"/>
          <w:szCs w:val="13"/>
          <w:color w:val="auto"/>
        </w:rPr>
        <w:t>) or general meeting of shareholders (</w:t>
      </w:r>
      <w:r>
        <w:rPr>
          <w:rFonts w:ascii="Arial" w:cs="Arial" w:eastAsia="Arial" w:hAnsi="Arial"/>
          <w:sz w:val="13"/>
          <w:szCs w:val="13"/>
          <w:i w:val="1"/>
          <w:iCs w:val="1"/>
          <w:color w:val="auto"/>
        </w:rPr>
        <w:t>Gesellschafterversammlung</w:t>
      </w:r>
      <w:r>
        <w:rPr>
          <w:rFonts w:ascii="Arial" w:cs="Arial" w:eastAsia="Arial" w:hAnsi="Arial"/>
          <w:sz w:val="13"/>
          <w:szCs w:val="13"/>
          <w:color w:val="auto"/>
        </w:rPr>
        <w:t>)) of each Obligor:</w:t>
      </w:r>
    </w:p>
    <w:p>
      <w:pPr>
        <w:spacing w:after="0" w:line="43" w:lineRule="exact"/>
        <w:rPr>
          <w:rFonts w:ascii="Arial" w:cs="Arial" w:eastAsia="Arial" w:hAnsi="Arial"/>
          <w:sz w:val="13"/>
          <w:szCs w:val="13"/>
          <w:color w:val="auto"/>
        </w:rPr>
      </w:pPr>
    </w:p>
    <w:p>
      <w:pPr>
        <w:ind w:left="2140" w:right="120" w:hanging="700"/>
        <w:spacing w:after="0" w:line="258" w:lineRule="auto"/>
        <w:tabs>
          <w:tab w:leader="none" w:pos="2140" w:val="left"/>
        </w:tabs>
        <w:numPr>
          <w:ilvl w:val="1"/>
          <w:numId w:val="443"/>
        </w:numPr>
        <w:rPr>
          <w:rFonts w:ascii="Arial" w:cs="Arial" w:eastAsia="Arial" w:hAnsi="Arial"/>
          <w:sz w:val="13"/>
          <w:szCs w:val="13"/>
          <w:color w:val="auto"/>
        </w:rPr>
      </w:pPr>
      <w:r>
        <w:rPr>
          <w:rFonts w:ascii="Arial" w:cs="Arial" w:eastAsia="Arial" w:hAnsi="Arial"/>
          <w:sz w:val="13"/>
          <w:szCs w:val="13"/>
          <w:color w:val="auto"/>
        </w:rPr>
        <w:t>approving the terms of, and the transactions contemplated by, the Finance Documents to which it is a party as and duly authorising the execution of the Finance Documents to which it is a party;</w:t>
      </w:r>
    </w:p>
    <w:p>
      <w:pPr>
        <w:spacing w:after="0" w:line="58" w:lineRule="exact"/>
        <w:rPr>
          <w:rFonts w:ascii="Arial" w:cs="Arial" w:eastAsia="Arial" w:hAnsi="Arial"/>
          <w:sz w:val="13"/>
          <w:szCs w:val="13"/>
          <w:color w:val="auto"/>
        </w:rPr>
      </w:pPr>
    </w:p>
    <w:p>
      <w:pPr>
        <w:ind w:left="2140" w:hanging="700"/>
        <w:spacing w:after="0"/>
        <w:tabs>
          <w:tab w:leader="none" w:pos="2140" w:val="left"/>
        </w:tabs>
        <w:numPr>
          <w:ilvl w:val="1"/>
          <w:numId w:val="443"/>
        </w:numPr>
        <w:rPr>
          <w:rFonts w:ascii="Arial" w:cs="Arial" w:eastAsia="Arial" w:hAnsi="Arial"/>
          <w:sz w:val="13"/>
          <w:szCs w:val="13"/>
          <w:color w:val="auto"/>
        </w:rPr>
      </w:pPr>
      <w:r>
        <w:rPr>
          <w:rFonts w:ascii="Arial" w:cs="Arial" w:eastAsia="Arial" w:hAnsi="Arial"/>
          <w:sz w:val="13"/>
          <w:szCs w:val="13"/>
          <w:color w:val="auto"/>
        </w:rPr>
        <w:t>duly authorising the relevant signatories to execute the Finance Documents to which it is a party on its behalf; and</w:t>
      </w:r>
    </w:p>
    <w:p>
      <w:pPr>
        <w:spacing w:after="0" w:line="80" w:lineRule="exact"/>
        <w:rPr>
          <w:rFonts w:ascii="Arial" w:cs="Arial" w:eastAsia="Arial" w:hAnsi="Arial"/>
          <w:sz w:val="13"/>
          <w:szCs w:val="13"/>
          <w:color w:val="auto"/>
        </w:rPr>
      </w:pPr>
    </w:p>
    <w:p>
      <w:pPr>
        <w:ind w:left="2140" w:right="120" w:hanging="700"/>
        <w:spacing w:after="0" w:line="258" w:lineRule="auto"/>
        <w:tabs>
          <w:tab w:leader="none" w:pos="2140" w:val="left"/>
        </w:tabs>
        <w:numPr>
          <w:ilvl w:val="1"/>
          <w:numId w:val="443"/>
        </w:numPr>
        <w:rPr>
          <w:rFonts w:ascii="Arial" w:cs="Arial" w:eastAsia="Arial" w:hAnsi="Arial"/>
          <w:sz w:val="13"/>
          <w:szCs w:val="13"/>
          <w:color w:val="auto"/>
        </w:rPr>
      </w:pPr>
      <w:r>
        <w:rPr>
          <w:rFonts w:ascii="Arial" w:cs="Arial" w:eastAsia="Arial" w:hAnsi="Arial"/>
          <w:sz w:val="13"/>
          <w:szCs w:val="13"/>
          <w:color w:val="auto"/>
        </w:rPr>
        <w:t>authorising a signatory or signatories, on its behalf, to sign and/or despatch all documents and notices to be signed and/or despatched by it under or in connection with the Finance Documents to which it is a party.</w:t>
      </w:r>
    </w:p>
    <w:p>
      <w:pPr>
        <w:spacing w:after="0" w:line="48" w:lineRule="exact"/>
        <w:rPr>
          <w:rFonts w:ascii="Arial" w:cs="Arial" w:eastAsia="Arial" w:hAnsi="Arial"/>
          <w:sz w:val="13"/>
          <w:szCs w:val="13"/>
          <w:color w:val="auto"/>
        </w:rPr>
      </w:pPr>
    </w:p>
    <w:p>
      <w:pPr>
        <w:ind w:left="1420" w:right="300" w:hanging="700"/>
        <w:spacing w:after="0"/>
        <w:tabs>
          <w:tab w:leader="none" w:pos="1420" w:val="left"/>
        </w:tabs>
        <w:numPr>
          <w:ilvl w:val="0"/>
          <w:numId w:val="443"/>
        </w:numPr>
        <w:rPr>
          <w:rFonts w:ascii="Arial" w:cs="Arial" w:eastAsia="Arial" w:hAnsi="Arial"/>
          <w:sz w:val="13"/>
          <w:szCs w:val="13"/>
          <w:color w:val="auto"/>
        </w:rPr>
      </w:pPr>
      <w:r>
        <w:rPr>
          <w:rFonts w:ascii="Arial" w:cs="Arial" w:eastAsia="Arial" w:hAnsi="Arial"/>
          <w:sz w:val="13"/>
          <w:szCs w:val="13"/>
          <w:color w:val="auto"/>
        </w:rPr>
        <w:t>A certificate of an authorised signatory of the respective Guarantor(s) certifying that each copy document relating to it specified in Paragraphs (b) to (d) of this Part C of Schedule F is correct, complete and in full force and effect as at a date no earlier than the date of their/its entry into or accession to the Guarantee Agreement, including a specimen of the signature of each person authorised by the resolution in Paragraph</w:t>
      </w:r>
    </w:p>
    <w:p>
      <w:pPr>
        <w:spacing w:after="0" w:line="1" w:lineRule="exact"/>
        <w:rPr>
          <w:rFonts w:ascii="Arial" w:cs="Arial" w:eastAsia="Arial" w:hAnsi="Arial"/>
          <w:sz w:val="13"/>
          <w:szCs w:val="13"/>
          <w:color w:val="auto"/>
        </w:rPr>
      </w:pPr>
    </w:p>
    <w:p>
      <w:pPr>
        <w:ind w:left="1440" w:right="120" w:firstLine="5"/>
        <w:spacing w:after="0" w:line="258" w:lineRule="auto"/>
        <w:tabs>
          <w:tab w:leader="none" w:pos="1640" w:val="left"/>
        </w:tabs>
        <w:numPr>
          <w:ilvl w:val="2"/>
          <w:numId w:val="443"/>
        </w:numPr>
        <w:rPr>
          <w:rFonts w:ascii="Arial" w:cs="Arial" w:eastAsia="Arial" w:hAnsi="Arial"/>
          <w:sz w:val="13"/>
          <w:szCs w:val="13"/>
          <w:color w:val="auto"/>
        </w:rPr>
      </w:pPr>
      <w:r>
        <w:rPr>
          <w:rFonts w:ascii="Arial" w:cs="Arial" w:eastAsia="Arial" w:hAnsi="Arial"/>
          <w:sz w:val="13"/>
          <w:szCs w:val="13"/>
          <w:color w:val="auto"/>
        </w:rPr>
        <w:t>above and, if applicable, confirming that guaranteeing or securing, as appropriate, the Loan would not cause any guarantee, security or similar limit or restriction binding on it to be exceeded.</w:t>
      </w:r>
    </w:p>
    <w:p>
      <w:pPr>
        <w:spacing w:after="0" w:line="58" w:lineRule="exact"/>
        <w:rPr>
          <w:rFonts w:ascii="Arial" w:cs="Arial" w:eastAsia="Arial" w:hAnsi="Arial"/>
          <w:sz w:val="13"/>
          <w:szCs w:val="13"/>
          <w:color w:val="auto"/>
        </w:rPr>
      </w:pPr>
    </w:p>
    <w:p>
      <w:pPr>
        <w:ind w:left="1420" w:hanging="700"/>
        <w:spacing w:after="0"/>
        <w:tabs>
          <w:tab w:leader="none" w:pos="1420" w:val="left"/>
        </w:tabs>
        <w:numPr>
          <w:ilvl w:val="0"/>
          <w:numId w:val="443"/>
        </w:numPr>
        <w:rPr>
          <w:rFonts w:ascii="Arial" w:cs="Arial" w:eastAsia="Arial" w:hAnsi="Arial"/>
          <w:sz w:val="13"/>
          <w:szCs w:val="13"/>
          <w:color w:val="auto"/>
        </w:rPr>
      </w:pPr>
      <w:r>
        <w:rPr>
          <w:rFonts w:ascii="Arial" w:cs="Arial" w:eastAsia="Arial" w:hAnsi="Arial"/>
          <w:sz w:val="13"/>
          <w:szCs w:val="13"/>
          <w:color w:val="auto"/>
        </w:rPr>
        <w:t>A legal opinion of a reputable law firm, addressed to the Bank, on the valid existence of the Guarantor(s), the authority and capacity of the Guarantor(s) to enter</w:t>
      </w:r>
    </w:p>
    <w:p>
      <w:pPr>
        <w:ind w:left="1420" w:right="480"/>
        <w:spacing w:after="0" w:line="258" w:lineRule="auto"/>
        <w:rPr>
          <w:sz w:val="20"/>
          <w:szCs w:val="20"/>
          <w:color w:val="auto"/>
        </w:rPr>
      </w:pPr>
      <w:r>
        <w:rPr>
          <w:rFonts w:ascii="Arial" w:cs="Arial" w:eastAsia="Arial" w:hAnsi="Arial"/>
          <w:sz w:val="13"/>
          <w:szCs w:val="13"/>
          <w:color w:val="auto"/>
        </w:rPr>
        <w:t>into or accede to the Guarantee Agreement (and execute its/their obligations therein) and on the due execution of the Guarantee Agreement (or the accession letter).</w:t>
      </w:r>
    </w:p>
    <w:p>
      <w:pPr>
        <w:spacing w:after="0" w:line="49" w:lineRule="exact"/>
        <w:rPr>
          <w:sz w:val="20"/>
          <w:szCs w:val="20"/>
          <w:color w:val="auto"/>
        </w:rPr>
      </w:pPr>
    </w:p>
    <w:p>
      <w:pPr>
        <w:ind w:left="1420" w:right="120" w:hanging="700"/>
        <w:spacing w:after="0" w:line="249" w:lineRule="auto"/>
        <w:tabs>
          <w:tab w:leader="none" w:pos="1420" w:val="left"/>
        </w:tabs>
        <w:numPr>
          <w:ilvl w:val="0"/>
          <w:numId w:val="444"/>
        </w:numPr>
        <w:rPr>
          <w:rFonts w:ascii="Arial" w:cs="Arial" w:eastAsia="Arial" w:hAnsi="Arial"/>
          <w:sz w:val="13"/>
          <w:szCs w:val="13"/>
          <w:color w:val="auto"/>
        </w:rPr>
      </w:pPr>
      <w:r>
        <w:rPr>
          <w:rFonts w:ascii="Arial" w:cs="Arial" w:eastAsia="Arial" w:hAnsi="Arial"/>
          <w:sz w:val="13"/>
          <w:szCs w:val="13"/>
          <w:color w:val="auto"/>
        </w:rPr>
        <w:t>Copies of such documentation and other evidence as the Bank may request to carry out and be satisfied with the results of all necessary “know your customer” requirements or other checks in relation to the identity of any person that it is required (in order to comply with applicable money laundering laws and regulations) to carry out in relation to the concerned Guarantor(s).</w:t>
      </w:r>
    </w:p>
    <w:p>
      <w:pPr>
        <w:spacing w:after="0" w:line="54" w:lineRule="exact"/>
        <w:rPr>
          <w:rFonts w:ascii="Arial" w:cs="Arial" w:eastAsia="Arial" w:hAnsi="Arial"/>
          <w:sz w:val="13"/>
          <w:szCs w:val="13"/>
          <w:color w:val="auto"/>
        </w:rPr>
      </w:pPr>
    </w:p>
    <w:p>
      <w:pPr>
        <w:ind w:left="1420" w:right="200" w:hanging="700"/>
        <w:spacing w:after="0" w:line="252" w:lineRule="auto"/>
        <w:tabs>
          <w:tab w:leader="none" w:pos="1420" w:val="left"/>
        </w:tabs>
        <w:numPr>
          <w:ilvl w:val="0"/>
          <w:numId w:val="444"/>
        </w:numPr>
        <w:rPr>
          <w:rFonts w:ascii="Arial" w:cs="Arial" w:eastAsia="Arial" w:hAnsi="Arial"/>
          <w:sz w:val="13"/>
          <w:szCs w:val="13"/>
          <w:color w:val="auto"/>
        </w:rPr>
      </w:pPr>
      <w:r>
        <w:rPr>
          <w:rFonts w:ascii="Arial" w:cs="Arial" w:eastAsia="Arial" w:hAnsi="Arial"/>
          <w:sz w:val="13"/>
          <w:szCs w:val="13"/>
          <w:color w:val="auto"/>
        </w:rPr>
        <w:t>A copy of any other document, authorisation, opinion or assurance which the Bank has notified the Borrower or the respective Guarantor is necessary or desirable in connection with the entry into and performance of, and the transactions contemplated by, the Guarantee Agreement or the validity and enforceability of the same.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83" w:name="page384"/>
    <w:bookmarkEnd w:id="383"/>
    <w:p>
      <w:pPr>
        <w:ind w:left="10580"/>
        <w:spacing w:after="0"/>
        <w:rPr>
          <w:sz w:val="20"/>
          <w:szCs w:val="20"/>
          <w:color w:val="auto"/>
        </w:rPr>
      </w:pPr>
      <w:r>
        <w:rPr>
          <w:rFonts w:ascii="Arial" w:cs="Arial" w:eastAsia="Arial" w:hAnsi="Arial"/>
          <w:sz w:val="12"/>
          <w:szCs w:val="12"/>
          <w:b w:val="1"/>
          <w:bCs w:val="1"/>
          <w:color w:val="auto"/>
        </w:rPr>
        <w:t>Exhibit 4.41</w:t>
      </w:r>
    </w:p>
    <w:p>
      <w:pPr>
        <w:spacing w:after="0" w:line="48" w:lineRule="exact"/>
        <w:rPr>
          <w:sz w:val="20"/>
          <w:szCs w:val="20"/>
          <w:color w:val="auto"/>
        </w:rPr>
      </w:pPr>
    </w:p>
    <w:p>
      <w:pPr>
        <w:ind w:left="8280"/>
        <w:spacing w:after="0"/>
        <w:rPr>
          <w:sz w:val="20"/>
          <w:szCs w:val="20"/>
          <w:color w:val="auto"/>
        </w:rPr>
      </w:pPr>
      <w:r>
        <w:rPr>
          <w:rFonts w:ascii="Arial" w:cs="Arial" w:eastAsia="Arial" w:hAnsi="Arial"/>
          <w:sz w:val="13"/>
          <w:szCs w:val="13"/>
          <w:b w:val="1"/>
          <w:bCs w:val="1"/>
          <w:color w:val="auto"/>
        </w:rPr>
        <w:t>Schedule G</w:t>
      </w:r>
    </w:p>
    <w:p>
      <w:pPr>
        <w:spacing w:after="0" w:line="80" w:lineRule="exact"/>
        <w:rPr>
          <w:sz w:val="20"/>
          <w:szCs w:val="20"/>
          <w:color w:val="auto"/>
        </w:rPr>
      </w:pPr>
    </w:p>
    <w:p>
      <w:pPr>
        <w:ind w:left="2480"/>
        <w:spacing w:after="0"/>
        <w:rPr>
          <w:sz w:val="20"/>
          <w:szCs w:val="20"/>
          <w:color w:val="auto"/>
        </w:rPr>
      </w:pPr>
      <w:r>
        <w:rPr>
          <w:rFonts w:ascii="Arial" w:cs="Arial" w:eastAsia="Arial" w:hAnsi="Arial"/>
          <w:sz w:val="13"/>
          <w:szCs w:val="13"/>
          <w:b w:val="1"/>
          <w:bCs w:val="1"/>
          <w:u w:val="single" w:color="auto"/>
          <w:color w:val="auto"/>
        </w:rPr>
        <w:t>Representations and Warranties</w:t>
      </w:r>
    </w:p>
    <w:p>
      <w:pPr>
        <w:spacing w:after="0" w:line="160" w:lineRule="exact"/>
        <w:rPr>
          <w:sz w:val="20"/>
          <w:szCs w:val="20"/>
          <w:color w:val="auto"/>
        </w:rPr>
      </w:pPr>
    </w:p>
    <w:p>
      <w:pPr>
        <w:jc w:val="both"/>
        <w:ind w:left="1380"/>
        <w:spacing w:after="0"/>
        <w:tabs>
          <w:tab w:leader="none" w:pos="878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3"/>
          <w:szCs w:val="13"/>
          <w:b w:val="1"/>
          <w:bCs w:val="1"/>
          <w:color w:val="auto"/>
        </w:rPr>
        <w:t>Authorisations and Binding Obligations</w:t>
      </w:r>
    </w:p>
    <w:p>
      <w:pPr>
        <w:spacing w:after="0" w:line="136" w:lineRule="exact"/>
        <w:rPr>
          <w:sz w:val="20"/>
          <w:szCs w:val="20"/>
          <w:color w:val="auto"/>
        </w:rPr>
      </w:pPr>
    </w:p>
    <w:p>
      <w:pPr>
        <w:ind w:left="2300" w:hanging="283"/>
        <w:spacing w:after="0"/>
        <w:tabs>
          <w:tab w:leader="none" w:pos="2300" w:val="left"/>
        </w:tabs>
        <w:numPr>
          <w:ilvl w:val="0"/>
          <w:numId w:val="445"/>
        </w:numPr>
        <w:rPr>
          <w:rFonts w:ascii="Arial" w:cs="Arial" w:eastAsia="Arial" w:hAnsi="Arial"/>
          <w:sz w:val="13"/>
          <w:szCs w:val="13"/>
          <w:color w:val="auto"/>
        </w:rPr>
      </w:pPr>
      <w:r>
        <w:rPr>
          <w:rFonts w:ascii="Arial" w:cs="Arial" w:eastAsia="Arial" w:hAnsi="Arial"/>
          <w:sz w:val="13"/>
          <w:szCs w:val="13"/>
          <w:color w:val="auto"/>
        </w:rPr>
        <w:t>Each Obligor is duly incorporated and validly existing as a corporation or company with limited liability under the laws of its jurisdiction of incorporation.</w:t>
      </w:r>
    </w:p>
    <w:p>
      <w:pPr>
        <w:spacing w:after="0" w:line="80" w:lineRule="exact"/>
        <w:rPr>
          <w:rFonts w:ascii="Arial" w:cs="Arial" w:eastAsia="Arial" w:hAnsi="Arial"/>
          <w:sz w:val="13"/>
          <w:szCs w:val="13"/>
          <w:color w:val="auto"/>
        </w:rPr>
      </w:pPr>
    </w:p>
    <w:p>
      <w:pPr>
        <w:jc w:val="right"/>
        <w:ind w:left="2720" w:right="120" w:hanging="703"/>
        <w:spacing w:after="0"/>
        <w:tabs>
          <w:tab w:leader="none" w:pos="2303" w:val="left"/>
        </w:tabs>
        <w:numPr>
          <w:ilvl w:val="0"/>
          <w:numId w:val="445"/>
        </w:numPr>
        <w:rPr>
          <w:rFonts w:ascii="Arial" w:cs="Arial" w:eastAsia="Arial" w:hAnsi="Arial"/>
          <w:sz w:val="13"/>
          <w:szCs w:val="13"/>
          <w:color w:val="auto"/>
        </w:rPr>
      </w:pPr>
      <w:r>
        <w:rPr>
          <w:rFonts w:ascii="Arial" w:cs="Arial" w:eastAsia="Arial" w:hAnsi="Arial"/>
          <w:sz w:val="13"/>
          <w:szCs w:val="13"/>
          <w:color w:val="auto"/>
        </w:rPr>
        <w:t>The place of incorporation or establishment of each Obligor is not (a) a jurisdiction classified by any Lead Organisation as being weakly regulated and/or weakly supervised and/or non-transparent and/or uncooperative or any equivalent classification used by any Lead Organisation, in connection with activities such as money laundering, financing of terrorism, tax fraud and tax evasion or harmful tax practices, and/or (b) a</w:t>
      </w:r>
    </w:p>
    <w:p>
      <w:pPr>
        <w:ind w:left="7680"/>
        <w:spacing w:after="0" w:line="227" w:lineRule="auto"/>
        <w:rPr>
          <w:sz w:val="20"/>
          <w:szCs w:val="20"/>
          <w:color w:val="auto"/>
        </w:rPr>
      </w:pPr>
      <w:r>
        <w:rPr>
          <w:rFonts w:ascii="Arial" w:cs="Arial" w:eastAsia="Arial" w:hAnsi="Arial"/>
          <w:sz w:val="13"/>
          <w:szCs w:val="13"/>
          <w:color w:val="auto"/>
        </w:rPr>
        <w:t>jurisdiction that is blacklisted by any Lead Organisation in</w:t>
      </w:r>
    </w:p>
    <w:p>
      <w:pPr>
        <w:ind w:left="2180"/>
        <w:spacing w:after="0"/>
        <w:rPr>
          <w:sz w:val="20"/>
          <w:szCs w:val="20"/>
          <w:color w:val="auto"/>
        </w:rPr>
      </w:pPr>
      <w:r>
        <w:rPr>
          <w:rFonts w:ascii="Arial" w:cs="Arial" w:eastAsia="Arial" w:hAnsi="Arial"/>
          <w:sz w:val="13"/>
          <w:szCs w:val="13"/>
          <w:color w:val="auto"/>
        </w:rPr>
        <w:t>connection with such activities.</w:t>
      </w:r>
      <w:r>
        <w:rPr>
          <w:rFonts w:ascii="Arial" w:cs="Arial" w:eastAsia="Arial" w:hAnsi="Arial"/>
          <w:sz w:val="8"/>
          <w:szCs w:val="8"/>
          <w:color w:val="auto"/>
        </w:rPr>
        <w:t>1</w:t>
      </w:r>
    </w:p>
    <w:p>
      <w:pPr>
        <w:spacing w:after="0" w:line="90" w:lineRule="exact"/>
        <w:rPr>
          <w:sz w:val="20"/>
          <w:szCs w:val="20"/>
          <w:color w:val="auto"/>
        </w:rPr>
      </w:pPr>
    </w:p>
    <w:p>
      <w:pPr>
        <w:jc w:val="right"/>
        <w:ind w:left="7720" w:right="120" w:hanging="5696"/>
        <w:spacing w:after="0" w:line="258" w:lineRule="auto"/>
        <w:tabs>
          <w:tab w:leader="none" w:pos="2316" w:val="left"/>
        </w:tabs>
        <w:numPr>
          <w:ilvl w:val="0"/>
          <w:numId w:val="446"/>
        </w:numPr>
        <w:rPr>
          <w:rFonts w:ascii="Arial" w:cs="Arial" w:eastAsia="Arial" w:hAnsi="Arial"/>
          <w:sz w:val="13"/>
          <w:szCs w:val="13"/>
          <w:color w:val="auto"/>
        </w:rPr>
      </w:pPr>
      <w:r>
        <w:rPr>
          <w:rFonts w:ascii="Arial" w:cs="Arial" w:eastAsia="Arial" w:hAnsi="Arial"/>
          <w:sz w:val="13"/>
          <w:szCs w:val="13"/>
          <w:color w:val="auto"/>
        </w:rPr>
        <w:t>Each Obligor has the power to carry on its business as it is now being conducted and to own its property and other assets, and to execute, deliver and perform its obligations under the Finance Documents.</w:t>
      </w:r>
    </w:p>
    <w:p>
      <w:pPr>
        <w:spacing w:after="0" w:line="58" w:lineRule="exact"/>
        <w:rPr>
          <w:rFonts w:ascii="Arial" w:cs="Arial" w:eastAsia="Arial" w:hAnsi="Arial"/>
          <w:sz w:val="13"/>
          <w:szCs w:val="13"/>
          <w:color w:val="auto"/>
        </w:rPr>
      </w:pPr>
    </w:p>
    <w:p>
      <w:pPr>
        <w:jc w:val="right"/>
        <w:ind w:left="2520" w:right="120" w:hanging="503"/>
        <w:spacing w:after="0"/>
        <w:tabs>
          <w:tab w:leader="none" w:pos="2349" w:val="left"/>
        </w:tabs>
        <w:numPr>
          <w:ilvl w:val="0"/>
          <w:numId w:val="446"/>
        </w:numPr>
        <w:rPr>
          <w:rFonts w:ascii="Arial" w:cs="Arial" w:eastAsia="Arial" w:hAnsi="Arial"/>
          <w:sz w:val="13"/>
          <w:szCs w:val="13"/>
          <w:color w:val="auto"/>
        </w:rPr>
      </w:pPr>
      <w:r>
        <w:rPr>
          <w:rFonts w:ascii="Arial" w:cs="Arial" w:eastAsia="Arial" w:hAnsi="Arial"/>
          <w:sz w:val="13"/>
          <w:szCs w:val="13"/>
          <w:color w:val="auto"/>
        </w:rPr>
        <w:t>Each Obligor has obtained all necessary Authorisations in connection with the execution, delivery and performance of the Finance Documents and in order to lawfully comply with its obligations thereunder, and in respect of the Investment, and all such Authorisations are in full force and</w:t>
      </w:r>
    </w:p>
    <w:p>
      <w:pPr>
        <w:spacing w:after="0" w:line="1" w:lineRule="exact"/>
        <w:rPr>
          <w:sz w:val="20"/>
          <w:szCs w:val="20"/>
          <w:color w:val="auto"/>
        </w:rPr>
      </w:pPr>
    </w:p>
    <w:p>
      <w:pPr>
        <w:ind w:left="9180"/>
        <w:spacing w:after="0"/>
        <w:rPr>
          <w:sz w:val="20"/>
          <w:szCs w:val="20"/>
          <w:color w:val="auto"/>
        </w:rPr>
      </w:pPr>
      <w:r>
        <w:rPr>
          <w:rFonts w:ascii="Arial" w:cs="Arial" w:eastAsia="Arial" w:hAnsi="Arial"/>
          <w:sz w:val="13"/>
          <w:szCs w:val="13"/>
          <w:color w:val="auto"/>
        </w:rPr>
        <w:t>effect and admissible in evidence.</w:t>
      </w:r>
    </w:p>
    <w:p>
      <w:pPr>
        <w:spacing w:after="0" w:line="70" w:lineRule="exact"/>
        <w:rPr>
          <w:sz w:val="20"/>
          <w:szCs w:val="20"/>
          <w:color w:val="auto"/>
        </w:rPr>
      </w:pPr>
    </w:p>
    <w:p>
      <w:pPr>
        <w:jc w:val="right"/>
        <w:ind w:left="8600" w:right="120" w:hanging="6583"/>
        <w:spacing w:after="0" w:line="258" w:lineRule="auto"/>
        <w:tabs>
          <w:tab w:leader="none" w:pos="2325" w:val="left"/>
        </w:tabs>
        <w:numPr>
          <w:ilvl w:val="0"/>
          <w:numId w:val="447"/>
        </w:numPr>
        <w:rPr>
          <w:rFonts w:ascii="Arial" w:cs="Arial" w:eastAsia="Arial" w:hAnsi="Arial"/>
          <w:sz w:val="13"/>
          <w:szCs w:val="13"/>
          <w:color w:val="auto"/>
        </w:rPr>
      </w:pPr>
      <w:r>
        <w:rPr>
          <w:rFonts w:ascii="Arial" w:cs="Arial" w:eastAsia="Arial" w:hAnsi="Arial"/>
          <w:sz w:val="13"/>
          <w:szCs w:val="13"/>
          <w:color w:val="auto"/>
        </w:rPr>
        <w:t>The execution and delivery of, the performance of each Obligor’s obligations under and compliance with the provisions of the Finance Documents do not and will not contravene or conflict with:</w:t>
      </w:r>
    </w:p>
    <w:p>
      <w:pPr>
        <w:spacing w:after="0" w:line="59" w:lineRule="exact"/>
        <w:rPr>
          <w:sz w:val="20"/>
          <w:szCs w:val="20"/>
          <w:color w:val="auto"/>
        </w:rPr>
      </w:pPr>
    </w:p>
    <w:p>
      <w:pPr>
        <w:ind w:left="2740"/>
        <w:spacing w:after="0"/>
        <w:tabs>
          <w:tab w:leader="none" w:pos="500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any applicable law, statute, rule or regulation, or any judgement, decree or permit to which it is subject;</w:t>
      </w:r>
    </w:p>
    <w:p>
      <w:pPr>
        <w:spacing w:after="0" w:line="80" w:lineRule="exact"/>
        <w:rPr>
          <w:sz w:val="20"/>
          <w:szCs w:val="20"/>
          <w:color w:val="auto"/>
        </w:rPr>
      </w:pPr>
    </w:p>
    <w:p>
      <w:pPr>
        <w:jc w:val="right"/>
        <w:ind w:left="7660" w:right="120" w:hanging="4948"/>
        <w:spacing w:after="0" w:line="258" w:lineRule="auto"/>
        <w:tabs>
          <w:tab w:leader="none" w:pos="2976" w:val="left"/>
        </w:tabs>
        <w:numPr>
          <w:ilvl w:val="0"/>
          <w:numId w:val="448"/>
        </w:numPr>
        <w:rPr>
          <w:rFonts w:ascii="Arial" w:cs="Arial" w:eastAsia="Arial" w:hAnsi="Arial"/>
          <w:sz w:val="13"/>
          <w:szCs w:val="13"/>
          <w:color w:val="auto"/>
        </w:rPr>
      </w:pPr>
      <w:r>
        <w:rPr>
          <w:rFonts w:ascii="Arial" w:cs="Arial" w:eastAsia="Arial" w:hAnsi="Arial"/>
          <w:sz w:val="13"/>
          <w:szCs w:val="13"/>
          <w:color w:val="auto"/>
        </w:rPr>
        <w:t>any agreement or other instrument binding upon it which might reasonably be expected to have a material adverse effect on its ability to perform its obligations under the Finance Documents; or</w:t>
      </w:r>
    </w:p>
    <w:p>
      <w:pPr>
        <w:spacing w:after="0" w:line="59" w:lineRule="exact"/>
        <w:rPr>
          <w:sz w:val="20"/>
          <w:szCs w:val="20"/>
          <w:color w:val="auto"/>
        </w:rPr>
      </w:pPr>
    </w:p>
    <w:p>
      <w:pPr>
        <w:ind w:left="2680"/>
        <w:spacing w:after="0"/>
        <w:tabs>
          <w:tab w:leader="none" w:pos="8640" w:val="left"/>
        </w:tabs>
        <w:rPr>
          <w:sz w:val="20"/>
          <w:szCs w:val="20"/>
          <w:color w:val="auto"/>
        </w:rPr>
      </w:pPr>
      <w:r>
        <w:rPr>
          <w:rFonts w:ascii="Arial" w:cs="Arial" w:eastAsia="Arial" w:hAnsi="Arial"/>
          <w:sz w:val="13"/>
          <w:szCs w:val="13"/>
          <w:color w:val="auto"/>
        </w:rPr>
        <w:t>(iii)</w:t>
      </w:r>
      <w:r>
        <w:rPr>
          <w:sz w:val="20"/>
          <w:szCs w:val="20"/>
          <w:color w:val="auto"/>
        </w:rPr>
        <w:tab/>
      </w:r>
      <w:r>
        <w:rPr>
          <w:rFonts w:ascii="Arial" w:cs="Arial" w:eastAsia="Arial" w:hAnsi="Arial"/>
          <w:sz w:val="13"/>
          <w:szCs w:val="13"/>
          <w:color w:val="auto"/>
        </w:rPr>
        <w:t>any provision of its constitutional documents.</w:t>
      </w:r>
    </w:p>
    <w:p>
      <w:pPr>
        <w:spacing w:after="0" w:line="80" w:lineRule="exact"/>
        <w:rPr>
          <w:sz w:val="20"/>
          <w:szCs w:val="20"/>
          <w:color w:val="auto"/>
        </w:rPr>
      </w:pPr>
    </w:p>
    <w:p>
      <w:pPr>
        <w:jc w:val="right"/>
        <w:ind w:left="10480" w:right="120" w:hanging="8426"/>
        <w:spacing w:after="0" w:line="258" w:lineRule="auto"/>
        <w:tabs>
          <w:tab w:leader="none" w:pos="2210" w:val="left"/>
        </w:tabs>
        <w:numPr>
          <w:ilvl w:val="0"/>
          <w:numId w:val="449"/>
        </w:numPr>
        <w:rPr>
          <w:rFonts w:ascii="Arial" w:cs="Arial" w:eastAsia="Arial" w:hAnsi="Arial"/>
          <w:sz w:val="13"/>
          <w:szCs w:val="13"/>
          <w:color w:val="auto"/>
        </w:rPr>
      </w:pPr>
      <w:r>
        <w:rPr>
          <w:rFonts w:ascii="Arial" w:cs="Arial" w:eastAsia="Arial" w:hAnsi="Arial"/>
          <w:sz w:val="13"/>
          <w:szCs w:val="13"/>
          <w:color w:val="auto"/>
        </w:rPr>
        <w:t>The obligations expressed to be assumed by each Obligor in each Finance Document to which it is a party are legal, valid, binding and enforceable obligations.</w:t>
      </w:r>
    </w:p>
    <w:p>
      <w:pPr>
        <w:sectPr>
          <w:pgSz w:w="11900" w:h="16838" w:orient="portrait"/>
          <w:cols w:equalWidth="0" w:num="1">
            <w:col w:w="11260"/>
          </w:cols>
          <w:pgMar w:left="320" w:top="126" w:right="319" w:bottom="1440" w:gutter="0" w:footer="0" w:header="0"/>
        </w:sectPr>
      </w:pPr>
    </w:p>
    <w:p>
      <w:pPr>
        <w:spacing w:after="0" w:line="83"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2.</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default or other adverse event</w:t>
      </w:r>
    </w:p>
    <w:p>
      <w:pPr>
        <w:spacing w:after="0" w:line="125" w:lineRule="exact"/>
        <w:rPr>
          <w:sz w:val="20"/>
          <w:szCs w:val="20"/>
          <w:color w:val="auto"/>
        </w:rPr>
      </w:pPr>
    </w:p>
    <w:p>
      <w:pPr>
        <w:sectPr>
          <w:pgSz w:w="11900" w:h="16838" w:orient="portrait"/>
          <w:cols w:equalWidth="0" w:num="2">
            <w:col w:w="8480" w:space="720"/>
            <w:col w:w="2060"/>
          </w:cols>
          <w:pgMar w:left="320" w:top="126" w:right="319" w:bottom="1440" w:gutter="0" w:footer="0" w:header="0"/>
          <w:type w:val="continuous"/>
        </w:sectPr>
      </w:pPr>
    </w:p>
    <w:p>
      <w:pPr>
        <w:spacing w:after="0" w:line="12"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There has been no Material Adverse Change since </w:t>
      </w:r>
      <w:r>
        <w:rPr>
          <w:rFonts w:ascii="Arial" w:cs="Arial" w:eastAsia="Arial" w:hAnsi="Arial"/>
          <w:sz w:val="14"/>
          <w:szCs w:val="14"/>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(Non-repeating)</w:t>
      </w:r>
    </w:p>
    <w:p>
      <w:pPr>
        <w:spacing w:after="0" w:line="90" w:lineRule="exact"/>
        <w:rPr>
          <w:sz w:val="20"/>
          <w:szCs w:val="20"/>
          <w:color w:val="auto"/>
        </w:rPr>
      </w:pPr>
    </w:p>
    <w:p>
      <w:pPr>
        <w:sectPr>
          <w:pgSz w:w="11900" w:h="16838" w:orient="portrait"/>
          <w:cols w:equalWidth="0" w:num="2">
            <w:col w:w="6240" w:space="720"/>
            <w:col w:w="4300"/>
          </w:cols>
          <w:pgMar w:left="320" w:top="126" w:right="319" w:bottom="1440" w:gutter="0" w:footer="0" w:header="0"/>
          <w:type w:val="continuous"/>
        </w:sectPr>
      </w:pPr>
    </w:p>
    <w:p>
      <w:pPr>
        <w:jc w:val="center"/>
        <w:ind w:left="9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 event or circumstance which constitutes an Event of Default has occurred and is continuing unremedied or unwaived.</w:t>
      </w:r>
    </w:p>
    <w:p>
      <w:pPr>
        <w:spacing w:after="0" w:line="200" w:lineRule="exact"/>
        <w:rPr>
          <w:sz w:val="20"/>
          <w:szCs w:val="20"/>
          <w:color w:val="auto"/>
        </w:rPr>
      </w:pPr>
    </w:p>
    <w:p>
      <w:pPr>
        <w:sectPr>
          <w:pgSz w:w="11900" w:h="16838" w:orient="portrait"/>
          <w:cols w:equalWidth="0" w:num="2">
            <w:col w:w="3280" w:space="720"/>
            <w:col w:w="7260"/>
          </w:cols>
          <w:pgMar w:left="320" w:top="12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7"/>
          <w:szCs w:val="7"/>
          <w:color w:val="auto"/>
        </w:rPr>
        <w:t xml:space="preserve">1 </w:t>
      </w:r>
      <w:r>
        <w:rPr>
          <w:rFonts w:ascii="Arial" w:cs="Arial" w:eastAsia="Arial" w:hAnsi="Arial"/>
          <w:sz w:val="10"/>
          <w:szCs w:val="10"/>
          <w:color w:val="auto"/>
        </w:rPr>
        <w:t>Relevant jurisdictions may be identified on the basis of lists of Lead Organisations, as such lists are updated, amended or supplemented from time to time, including: jurisdictions with strategic deficiencies in the area of AML-CFT</w:t>
      </w:r>
      <w:r>
        <w:rPr>
          <w:rFonts w:ascii="Arial" w:cs="Arial" w:eastAsia="Arial" w:hAnsi="Arial"/>
          <w:sz w:val="7"/>
          <w:szCs w:val="7"/>
          <w:color w:val="auto"/>
        </w:rPr>
        <w:t xml:space="preserve"> </w:t>
      </w:r>
      <w:r>
        <w:rPr>
          <w:rFonts w:ascii="Arial" w:cs="Arial" w:eastAsia="Arial" w:hAnsi="Arial"/>
          <w:sz w:val="10"/>
          <w:szCs w:val="10"/>
          <w:color w:val="auto"/>
        </w:rPr>
        <w:t>as identified by FATF (http://www.fatf-gafi.org/countries/#high-risk); jurisdictions listed “partially compliant”, “provisionally partially compliant” or “non- compliant” in the OECD Global Forum progress reports/ Global Forum rating (http://www.oecd.org/tax/transparency/GFratings.pdf; http://www.oecd.org/tax/transparency/exchange-of-information-on- request/ratings/); jurisdictions identified in EU delegated regulation 2016/1675 of 14.7.2016 supplementing Directive (EU) 2015/849 as high-risk third countries with strategic deficiencies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0"/>
          <w:szCs w:val="10"/>
          <w:color w:val="auto"/>
        </w:rPr>
        <w:t>(http://eur-lex.europa.eu/legal-content/EN/TXT/?uri=CELEX%3A32016R1675); and jurisdictions included in the EU list of non-  cooperative jurisdictions for tax purposes (https://ec.europa.eu/taxation_customs/tax-common-eu-list_en).</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384" w:name="page385"/>
    <w:bookmarkEnd w:id="384"/>
    <w:p>
      <w:pPr>
        <w:ind w:left="10580"/>
        <w:spacing w:after="0"/>
        <w:rPr>
          <w:sz w:val="20"/>
          <w:szCs w:val="20"/>
          <w:color w:val="auto"/>
        </w:rPr>
      </w:pPr>
      <w:r>
        <w:rPr>
          <w:rFonts w:ascii="Arial" w:cs="Arial" w:eastAsia="Arial" w:hAnsi="Arial"/>
          <w:sz w:val="12"/>
          <w:szCs w:val="12"/>
          <w:b w:val="1"/>
          <w:bCs w:val="1"/>
          <w:color w:val="auto"/>
        </w:rPr>
        <w:t>Exhibit 4.41</w:t>
      </w:r>
    </w:p>
    <w:p>
      <w:pPr>
        <w:spacing w:after="0" w:line="48" w:lineRule="exact"/>
        <w:rPr>
          <w:sz w:val="20"/>
          <w:szCs w:val="20"/>
          <w:color w:val="auto"/>
        </w:rPr>
      </w:pPr>
    </w:p>
    <w:p>
      <w:pPr>
        <w:ind w:left="960"/>
        <w:spacing w:after="0"/>
        <w:tabs>
          <w:tab w:leader="none" w:pos="1026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2"/>
          <w:szCs w:val="12"/>
          <w:b w:val="1"/>
          <w:bCs w:val="1"/>
          <w:color w:val="auto"/>
        </w:rPr>
        <w:t>No proceedings</w:t>
      </w:r>
    </w:p>
    <w:p>
      <w:pPr>
        <w:spacing w:after="0" w:line="148" w:lineRule="exact"/>
        <w:rPr>
          <w:sz w:val="20"/>
          <w:szCs w:val="20"/>
          <w:color w:val="auto"/>
        </w:rPr>
      </w:pPr>
    </w:p>
    <w:p>
      <w:pPr>
        <w:ind w:left="2060" w:hanging="443"/>
        <w:spacing w:after="0"/>
        <w:tabs>
          <w:tab w:leader="none" w:pos="2060" w:val="left"/>
        </w:tabs>
        <w:numPr>
          <w:ilvl w:val="0"/>
          <w:numId w:val="450"/>
        </w:numPr>
        <w:rPr>
          <w:rFonts w:ascii="Arial" w:cs="Arial" w:eastAsia="Arial" w:hAnsi="Arial"/>
          <w:sz w:val="13"/>
          <w:szCs w:val="13"/>
          <w:color w:val="auto"/>
        </w:rPr>
      </w:pPr>
      <w:r>
        <w:rPr>
          <w:rFonts w:ascii="Arial" w:cs="Arial" w:eastAsia="Arial" w:hAnsi="Arial"/>
          <w:sz w:val="13"/>
          <w:szCs w:val="13"/>
          <w:color w:val="auto"/>
        </w:rPr>
        <w:t>No litigation, arbitration, administrative proceedings or investigation is current or to the best of its knowledge and belief (having made due and careful</w:t>
      </w:r>
    </w:p>
    <w:p>
      <w:pPr>
        <w:ind w:left="1900"/>
        <w:spacing w:after="0"/>
        <w:rPr>
          <w:sz w:val="20"/>
          <w:szCs w:val="20"/>
          <w:color w:val="auto"/>
        </w:rPr>
      </w:pPr>
      <w:r>
        <w:rPr>
          <w:rFonts w:ascii="Arial" w:cs="Arial" w:eastAsia="Arial" w:hAnsi="Arial"/>
          <w:sz w:val="13"/>
          <w:szCs w:val="13"/>
          <w:color w:val="auto"/>
        </w:rPr>
        <w:t>enquiry) is threatened or pending before any court, arbitral body or agency which has resulted or if adversely determined is reasonably likely to result in</w:t>
      </w:r>
    </w:p>
    <w:p>
      <w:pPr>
        <w:ind w:left="3020" w:hanging="150"/>
        <w:spacing w:after="0"/>
        <w:tabs>
          <w:tab w:leader="none" w:pos="3020" w:val="left"/>
        </w:tabs>
        <w:numPr>
          <w:ilvl w:val="1"/>
          <w:numId w:val="451"/>
        </w:numPr>
        <w:rPr>
          <w:rFonts w:ascii="Arial" w:cs="Arial" w:eastAsia="Arial" w:hAnsi="Arial"/>
          <w:sz w:val="13"/>
          <w:szCs w:val="13"/>
          <w:color w:val="auto"/>
        </w:rPr>
      </w:pPr>
      <w:r>
        <w:rPr>
          <w:rFonts w:ascii="Arial" w:cs="Arial" w:eastAsia="Arial" w:hAnsi="Arial"/>
          <w:sz w:val="13"/>
          <w:szCs w:val="13"/>
          <w:color w:val="auto"/>
        </w:rPr>
        <w:t>Material Adverse Change, nor is there subsisting against it or any of its Subsidiaries any unsatisfied judgement or award.(</w:t>
      </w:r>
      <w:r>
        <w:rPr>
          <w:rFonts w:ascii="Arial" w:cs="Arial" w:eastAsia="Arial" w:hAnsi="Arial"/>
          <w:sz w:val="13"/>
          <w:szCs w:val="13"/>
          <w:i w:val="1"/>
          <w:iCs w:val="1"/>
          <w:color w:val="auto"/>
        </w:rPr>
        <w:t>Non-repeating</w:t>
      </w:r>
      <w:r>
        <w:rPr>
          <w:rFonts w:ascii="Arial" w:cs="Arial" w:eastAsia="Arial" w:hAnsi="Arial"/>
          <w:sz w:val="13"/>
          <w:szCs w:val="13"/>
          <w:color w:val="auto"/>
        </w:rPr>
        <w:t>)</w:t>
      </w:r>
    </w:p>
    <w:p>
      <w:pPr>
        <w:spacing w:after="0" w:line="80" w:lineRule="exact"/>
        <w:rPr>
          <w:rFonts w:ascii="Arial" w:cs="Arial" w:eastAsia="Arial" w:hAnsi="Arial"/>
          <w:sz w:val="13"/>
          <w:szCs w:val="13"/>
          <w:color w:val="auto"/>
        </w:rPr>
      </w:pPr>
    </w:p>
    <w:p>
      <w:pPr>
        <w:jc w:val="right"/>
        <w:ind w:left="9940" w:right="120" w:hanging="8323"/>
        <w:spacing w:after="0" w:line="258" w:lineRule="auto"/>
        <w:tabs>
          <w:tab w:leader="none" w:pos="2125" w:val="left"/>
        </w:tabs>
        <w:numPr>
          <w:ilvl w:val="0"/>
          <w:numId w:val="451"/>
        </w:numPr>
        <w:rPr>
          <w:rFonts w:ascii="Arial" w:cs="Arial" w:eastAsia="Arial" w:hAnsi="Arial"/>
          <w:sz w:val="13"/>
          <w:szCs w:val="13"/>
          <w:color w:val="auto"/>
        </w:rPr>
      </w:pPr>
      <w:r>
        <w:rPr>
          <w:rFonts w:ascii="Arial" w:cs="Arial" w:eastAsia="Arial" w:hAnsi="Arial"/>
          <w:sz w:val="13"/>
          <w:szCs w:val="13"/>
          <w:color w:val="auto"/>
        </w:rPr>
        <w:t>To the best of its knowledge and belief (having made due and careful enquiry) no material Environmental Claim has been commenced or is threatened against any Obligor.</w:t>
      </w:r>
    </w:p>
    <w:p>
      <w:pPr>
        <w:spacing w:after="0" w:line="59" w:lineRule="exact"/>
        <w:rPr>
          <w:sz w:val="20"/>
          <w:szCs w:val="20"/>
          <w:color w:val="auto"/>
        </w:rPr>
      </w:pPr>
    </w:p>
    <w:p>
      <w:pPr>
        <w:jc w:val="right"/>
        <w:ind w:left="1620" w:right="120"/>
        <w:spacing w:after="0" w:line="246" w:lineRule="auto"/>
        <w:rPr>
          <w:sz w:val="20"/>
          <w:szCs w:val="20"/>
          <w:color w:val="auto"/>
        </w:rPr>
      </w:pPr>
      <w:r>
        <w:rPr>
          <w:rFonts w:ascii="Arial" w:cs="Arial" w:eastAsia="Arial" w:hAnsi="Arial"/>
          <w:sz w:val="13"/>
          <w:szCs w:val="13"/>
          <w:color w:val="auto"/>
        </w:rPr>
        <w:t>(c)As at the date of this Contract, no Obligor has taken any action to commence proceedings for, nor have any other steps been taken or legal proceedings commenced or, so far as the Borrower is aware, threatened against any Obligor for its insolvency, winding up or dissolution, or for any Obligor to enter into any arrangement or compositions for the benefit of creditors, or for the appointment of an administrator, receiver, administrative receiver, examiner, trustee or similar officer.</w:t>
      </w:r>
    </w:p>
    <w:p>
      <w:pPr>
        <w:spacing w:after="0" w:line="91" w:lineRule="exact"/>
        <w:rPr>
          <w:sz w:val="20"/>
          <w:szCs w:val="20"/>
          <w:color w:val="auto"/>
        </w:rPr>
      </w:pPr>
    </w:p>
    <w:p>
      <w:pPr>
        <w:ind w:left="960"/>
        <w:spacing w:after="0"/>
        <w:tabs>
          <w:tab w:leader="none" w:pos="1072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3"/>
          <w:szCs w:val="13"/>
          <w:b w:val="1"/>
          <w:bCs w:val="1"/>
          <w:color w:val="auto"/>
        </w:rPr>
        <w:t>Security</w:t>
      </w:r>
    </w:p>
    <w:p>
      <w:pPr>
        <w:spacing w:after="0" w:line="136" w:lineRule="exact"/>
        <w:rPr>
          <w:sz w:val="20"/>
          <w:szCs w:val="20"/>
          <w:color w:val="auto"/>
        </w:rPr>
      </w:pPr>
    </w:p>
    <w:p>
      <w:pPr>
        <w:jc w:val="both"/>
        <w:ind w:left="1080" w:right="120"/>
        <w:spacing w:after="0" w:line="258" w:lineRule="auto"/>
        <w:rPr>
          <w:sz w:val="20"/>
          <w:szCs w:val="20"/>
          <w:color w:val="auto"/>
        </w:rPr>
      </w:pPr>
      <w:r>
        <w:rPr>
          <w:rFonts w:ascii="Arial" w:cs="Arial" w:eastAsia="Arial" w:hAnsi="Arial"/>
          <w:sz w:val="13"/>
          <w:szCs w:val="13"/>
          <w:color w:val="auto"/>
        </w:rPr>
        <w:t>It is the sole legal and beneficial owner and has good title to the assets which it charges or purports to charge pursuant to the Security Documents. At the date of this Contract, no Security exists over the assets of any Group Company other than Permitted Security.</w:t>
      </w:r>
    </w:p>
    <w:p>
      <w:pPr>
        <w:spacing w:after="0" w:line="83" w:lineRule="exact"/>
        <w:rPr>
          <w:sz w:val="20"/>
          <w:szCs w:val="20"/>
          <w:color w:val="auto"/>
        </w:rPr>
      </w:pPr>
    </w:p>
    <w:p>
      <w:pPr>
        <w:ind w:left="960"/>
        <w:spacing w:after="0"/>
        <w:tabs>
          <w:tab w:leader="none" w:pos="10720" w:val="left"/>
        </w:tabs>
        <w:rPr>
          <w:sz w:val="20"/>
          <w:szCs w:val="20"/>
          <w:color w:val="auto"/>
        </w:rPr>
      </w:pPr>
      <w:r>
        <w:rPr>
          <w:rFonts w:ascii="Arial" w:cs="Arial" w:eastAsia="Arial" w:hAnsi="Arial"/>
          <w:sz w:val="13"/>
          <w:szCs w:val="13"/>
          <w:b w:val="1"/>
          <w:bCs w:val="1"/>
          <w:color w:val="auto"/>
        </w:rPr>
        <w:t>5.</w:t>
      </w:r>
      <w:r>
        <w:rPr>
          <w:sz w:val="20"/>
          <w:szCs w:val="20"/>
          <w:color w:val="auto"/>
        </w:rPr>
        <w:tab/>
      </w:r>
      <w:r>
        <w:rPr>
          <w:rFonts w:ascii="Arial" w:cs="Arial" w:eastAsia="Arial" w:hAnsi="Arial"/>
          <w:sz w:val="13"/>
          <w:szCs w:val="13"/>
          <w:b w:val="1"/>
          <w:bCs w:val="1"/>
          <w:color w:val="auto"/>
        </w:rPr>
        <w:t>Ranking</w:t>
      </w:r>
    </w:p>
    <w:p>
      <w:pPr>
        <w:spacing w:after="0" w:line="122" w:lineRule="exact"/>
        <w:rPr>
          <w:sz w:val="20"/>
          <w:szCs w:val="20"/>
          <w:color w:val="auto"/>
        </w:rPr>
      </w:pPr>
    </w:p>
    <w:p>
      <w:pPr>
        <w:jc w:val="right"/>
        <w:ind w:left="3400" w:right="120" w:hanging="1783"/>
        <w:spacing w:after="0" w:line="281" w:lineRule="auto"/>
        <w:tabs>
          <w:tab w:leader="none" w:pos="2049" w:val="left"/>
        </w:tabs>
        <w:numPr>
          <w:ilvl w:val="0"/>
          <w:numId w:val="452"/>
        </w:numPr>
        <w:rPr>
          <w:rFonts w:ascii="Arial" w:cs="Arial" w:eastAsia="Arial" w:hAnsi="Arial"/>
          <w:sz w:val="13"/>
          <w:szCs w:val="13"/>
          <w:color w:val="auto"/>
        </w:rPr>
      </w:pPr>
      <w:r>
        <w:rPr>
          <w:rFonts w:ascii="Arial" w:cs="Arial" w:eastAsia="Arial" w:hAnsi="Arial"/>
          <w:sz w:val="13"/>
          <w:szCs w:val="13"/>
          <w:color w:val="auto"/>
        </w:rPr>
        <w:t xml:space="preserve">Its payment obligations under this Contract rank not less than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all other present and future secured and unsubordinated obligations under any of its debt instruments except for obligations mandatorily preferred by law applying to companies generally.</w:t>
      </w:r>
    </w:p>
    <w:p>
      <w:pPr>
        <w:sectPr>
          <w:pgSz w:w="11900" w:h="16838" w:orient="portrait"/>
          <w:cols w:equalWidth="0" w:num="1">
            <w:col w:w="11260"/>
          </w:cols>
          <w:pgMar w:left="320" w:top="126" w:right="319" w:bottom="1440" w:gutter="0" w:footer="0" w:header="0"/>
        </w:sectPr>
      </w:pPr>
    </w:p>
    <w:p>
      <w:pPr>
        <w:spacing w:after="0" w:line="3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No financial covenants have been concluded with any other creditor of any Obligor.</w:t>
      </w:r>
    </w:p>
    <w:p>
      <w:pPr>
        <w:spacing w:after="0" w:line="70" w:lineRule="exact"/>
        <w:rPr>
          <w:sz w:val="20"/>
          <w:szCs w:val="20"/>
          <w:color w:val="auto"/>
        </w:rPr>
      </w:pPr>
    </w:p>
    <w:p>
      <w:pPr>
        <w:sectPr>
          <w:pgSz w:w="11900" w:h="16838" w:orient="portrait"/>
          <w:cols w:equalWidth="0" w:num="2">
            <w:col w:w="5720" w:space="720"/>
            <w:col w:w="4820"/>
          </w:cols>
          <w:pgMar w:left="320" w:top="126" w:right="319" w:bottom="1440" w:gutter="0" w:footer="0" w:header="0"/>
          <w:type w:val="continuous"/>
        </w:sectPr>
      </w:pPr>
    </w:p>
    <w:p>
      <w:pPr>
        <w:ind w:left="16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 Voluntary Non-EIB Prepayment has occurred.</w:t>
      </w:r>
    </w:p>
    <w:p>
      <w:pPr>
        <w:spacing w:after="0" w:line="104" w:lineRule="exact"/>
        <w:rPr>
          <w:sz w:val="20"/>
          <w:szCs w:val="20"/>
          <w:color w:val="auto"/>
        </w:rPr>
      </w:pPr>
    </w:p>
    <w:p>
      <w:pPr>
        <w:sectPr>
          <w:pgSz w:w="11900" w:h="16838" w:orient="portrait"/>
          <w:cols w:equalWidth="0" w:num="2">
            <w:col w:w="7700" w:space="720"/>
            <w:col w:w="2840"/>
          </w:cols>
          <w:pgMar w:left="320" w:top="126" w:right="31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Anti-Corruption</w:t>
      </w:r>
    </w:p>
    <w:p>
      <w:pPr>
        <w:spacing w:after="0" w:line="136" w:lineRule="exact"/>
        <w:rPr>
          <w:sz w:val="20"/>
          <w:szCs w:val="20"/>
          <w:color w:val="auto"/>
        </w:rPr>
      </w:pPr>
    </w:p>
    <w:p>
      <w:pPr>
        <w:sectPr>
          <w:pgSz w:w="11900" w:h="16838" w:orient="portrait"/>
          <w:cols w:equalWidth="0" w:num="2">
            <w:col w:w="9560" w:space="720"/>
            <w:col w:w="980"/>
          </w:cols>
          <w:pgMar w:left="320" w:top="126" w:right="319" w:bottom="1440" w:gutter="0" w:footer="0" w:header="0"/>
          <w:type w:val="continuous"/>
        </w:sectPr>
      </w:pPr>
    </w:p>
    <w:p>
      <w:pPr>
        <w:ind w:left="2640" w:hanging="1023"/>
        <w:spacing w:after="0"/>
        <w:tabs>
          <w:tab w:leader="none" w:pos="2640" w:val="left"/>
        </w:tabs>
        <w:numPr>
          <w:ilvl w:val="0"/>
          <w:numId w:val="453"/>
        </w:numPr>
        <w:rPr>
          <w:rFonts w:ascii="Arial" w:cs="Arial" w:eastAsia="Arial" w:hAnsi="Arial"/>
          <w:sz w:val="13"/>
          <w:szCs w:val="13"/>
          <w:color w:val="auto"/>
        </w:rPr>
      </w:pPr>
      <w:r>
        <w:rPr>
          <w:rFonts w:ascii="Arial" w:cs="Arial" w:eastAsia="Arial" w:hAnsi="Arial"/>
          <w:sz w:val="13"/>
          <w:szCs w:val="13"/>
          <w:color w:val="auto"/>
        </w:rPr>
        <w:t>Each Obligor is in compliance with all applicable European Union and national legislation, including any applicable anti-corruption legislation.</w:t>
      </w:r>
    </w:p>
    <w:p>
      <w:pPr>
        <w:spacing w:after="0" w:line="70" w:lineRule="exact"/>
        <w:rPr>
          <w:rFonts w:ascii="Arial" w:cs="Arial" w:eastAsia="Arial" w:hAnsi="Arial"/>
          <w:sz w:val="13"/>
          <w:szCs w:val="13"/>
          <w:color w:val="auto"/>
        </w:rPr>
      </w:pPr>
    </w:p>
    <w:p>
      <w:pPr>
        <w:jc w:val="right"/>
        <w:ind w:left="8340" w:right="120" w:hanging="6723"/>
        <w:spacing w:after="0" w:line="258" w:lineRule="auto"/>
        <w:tabs>
          <w:tab w:leader="none" w:pos="1803" w:val="left"/>
        </w:tabs>
        <w:numPr>
          <w:ilvl w:val="0"/>
          <w:numId w:val="453"/>
        </w:numPr>
        <w:rPr>
          <w:rFonts w:ascii="Arial" w:cs="Arial" w:eastAsia="Arial" w:hAnsi="Arial"/>
          <w:sz w:val="13"/>
          <w:szCs w:val="13"/>
          <w:color w:val="auto"/>
        </w:rPr>
      </w:pPr>
      <w:r>
        <w:rPr>
          <w:rFonts w:ascii="Arial" w:cs="Arial" w:eastAsia="Arial" w:hAnsi="Arial"/>
          <w:sz w:val="13"/>
          <w:szCs w:val="13"/>
          <w:color w:val="auto"/>
        </w:rPr>
        <w:t>To the best of its knowledge, no funds invested in the Investment by any Obligor or any other Group Company are of illicit origin, including products of money laundering or linked to the financing of terrorism.</w:t>
      </w:r>
    </w:p>
    <w:p>
      <w:pPr>
        <w:spacing w:after="0" w:line="58" w:lineRule="exact"/>
        <w:rPr>
          <w:rFonts w:ascii="Arial" w:cs="Arial" w:eastAsia="Arial" w:hAnsi="Arial"/>
          <w:sz w:val="13"/>
          <w:szCs w:val="13"/>
          <w:color w:val="auto"/>
        </w:rPr>
      </w:pPr>
    </w:p>
    <w:p>
      <w:pPr>
        <w:jc w:val="right"/>
        <w:ind w:left="9460" w:right="120" w:hanging="7836"/>
        <w:spacing w:after="0" w:line="258" w:lineRule="auto"/>
        <w:tabs>
          <w:tab w:leader="none" w:pos="2111" w:val="left"/>
        </w:tabs>
        <w:numPr>
          <w:ilvl w:val="0"/>
          <w:numId w:val="453"/>
        </w:numPr>
        <w:rPr>
          <w:rFonts w:ascii="Arial" w:cs="Arial" w:eastAsia="Arial" w:hAnsi="Arial"/>
          <w:sz w:val="13"/>
          <w:szCs w:val="13"/>
          <w:color w:val="auto"/>
        </w:rPr>
      </w:pPr>
      <w:r>
        <w:rPr>
          <w:rFonts w:ascii="Arial" w:cs="Arial" w:eastAsia="Arial" w:hAnsi="Arial"/>
          <w:sz w:val="13"/>
          <w:szCs w:val="13"/>
          <w:color w:val="auto"/>
        </w:rPr>
        <w:t>No Obligor is engaged in any Illegal Activities and to the best of the Borrower’s knowledge no Illegal Activities have occurred in connection with the Investment. (</w:t>
      </w:r>
      <w:r>
        <w:rPr>
          <w:rFonts w:ascii="Arial" w:cs="Arial" w:eastAsia="Arial" w:hAnsi="Arial"/>
          <w:sz w:val="13"/>
          <w:szCs w:val="13"/>
          <w:i w:val="1"/>
          <w:iCs w:val="1"/>
          <w:color w:val="auto"/>
        </w:rPr>
        <w:t>Non-repeating</w:t>
      </w:r>
      <w:r>
        <w:rPr>
          <w:rFonts w:ascii="Arial" w:cs="Arial" w:eastAsia="Arial" w:hAnsi="Arial"/>
          <w:sz w:val="13"/>
          <w:szCs w:val="13"/>
          <w:color w:val="auto"/>
        </w:rPr>
        <w:t>)</w:t>
      </w:r>
    </w:p>
    <w:p>
      <w:pPr>
        <w:spacing w:after="0" w:line="83" w:lineRule="exact"/>
        <w:rPr>
          <w:sz w:val="20"/>
          <w:szCs w:val="20"/>
          <w:color w:val="auto"/>
        </w:rPr>
      </w:pPr>
    </w:p>
    <w:p>
      <w:pPr>
        <w:ind w:left="960"/>
        <w:spacing w:after="0"/>
        <w:tabs>
          <w:tab w:leader="none" w:pos="1000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b w:val="1"/>
          <w:bCs w:val="1"/>
          <w:color w:val="auto"/>
        </w:rPr>
        <w:t>Accounting and Tax</w:t>
      </w:r>
    </w:p>
    <w:p>
      <w:pPr>
        <w:spacing w:after="0" w:line="148" w:lineRule="exact"/>
        <w:rPr>
          <w:sz w:val="20"/>
          <w:szCs w:val="20"/>
          <w:color w:val="auto"/>
        </w:rPr>
      </w:pPr>
    </w:p>
    <w:p>
      <w:pPr>
        <w:ind w:left="2400" w:hanging="783"/>
        <w:spacing w:after="0"/>
        <w:tabs>
          <w:tab w:leader="none" w:pos="2400" w:val="left"/>
        </w:tabs>
        <w:numPr>
          <w:ilvl w:val="0"/>
          <w:numId w:val="454"/>
        </w:numPr>
        <w:rPr>
          <w:rFonts w:ascii="Arial" w:cs="Arial" w:eastAsia="Arial" w:hAnsi="Arial"/>
          <w:sz w:val="13"/>
          <w:szCs w:val="13"/>
          <w:color w:val="auto"/>
        </w:rPr>
      </w:pPr>
      <w:r>
        <w:rPr>
          <w:rFonts w:ascii="Arial" w:cs="Arial" w:eastAsia="Arial" w:hAnsi="Arial"/>
          <w:sz w:val="13"/>
          <w:szCs w:val="13"/>
          <w:color w:val="auto"/>
        </w:rPr>
        <w:t>The latest available consolidated and unconsolidated audited accounts of the Borrower and the other Obligors have been prepared on a basis</w:t>
      </w:r>
    </w:p>
    <w:p>
      <w:pPr>
        <w:ind w:left="1800"/>
        <w:spacing w:after="0"/>
        <w:rPr>
          <w:rFonts w:ascii="Arial" w:cs="Arial" w:eastAsia="Arial" w:hAnsi="Arial"/>
          <w:sz w:val="13"/>
          <w:szCs w:val="13"/>
          <w:color w:val="auto"/>
        </w:rPr>
      </w:pPr>
      <w:r>
        <w:rPr>
          <w:rFonts w:ascii="Arial" w:cs="Arial" w:eastAsia="Arial" w:hAnsi="Arial"/>
          <w:sz w:val="13"/>
          <w:szCs w:val="13"/>
          <w:color w:val="auto"/>
        </w:rPr>
        <w:t>consistent with previous years and have been approved by its auditors as representing a true and fair view of the results of its operations for that year and</w:t>
      </w:r>
    </w:p>
    <w:p>
      <w:pPr>
        <w:spacing w:after="0" w:line="150" w:lineRule="exact"/>
        <w:rPr>
          <w:sz w:val="20"/>
          <w:szCs w:val="20"/>
          <w:color w:val="auto"/>
        </w:rPr>
      </w:pPr>
    </w:p>
    <w:p>
      <w:pPr>
        <w:ind w:left="3600"/>
        <w:spacing w:after="0"/>
        <w:rPr>
          <w:sz w:val="20"/>
          <w:szCs w:val="20"/>
          <w:color w:val="auto"/>
        </w:rPr>
      </w:pPr>
      <w:r>
        <w:rPr>
          <w:rFonts w:ascii="Arial" w:cs="Arial" w:eastAsia="Arial" w:hAnsi="Arial"/>
          <w:sz w:val="13"/>
          <w:szCs w:val="13"/>
          <w:color w:val="auto"/>
        </w:rPr>
        <w:t>accurately disclose or reserve against all the liabilities (actual or contingent) of the Borrower and the other  Obligors, as relevant.</w:t>
      </w:r>
    </w:p>
    <w:p>
      <w:pPr>
        <w:sectPr>
          <w:pgSz w:w="11900" w:h="16838" w:orient="portrait"/>
          <w:cols w:equalWidth="0" w:num="1">
            <w:col w:w="11260"/>
          </w:cols>
          <w:pgMar w:left="320" w:top="126" w:right="319" w:bottom="1440" w:gutter="0" w:footer="0" w:header="0"/>
          <w:type w:val="continuous"/>
        </w:sectPr>
      </w:pPr>
    </w:p>
    <w:p>
      <w:pPr>
        <w:spacing w:after="0" w:line="80"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accounting reference date of the Borrower and each Obligor is 31 December.</w:t>
      </w:r>
    </w:p>
    <w:p>
      <w:pPr>
        <w:spacing w:after="0" w:line="200" w:lineRule="exact"/>
        <w:rPr>
          <w:sz w:val="20"/>
          <w:szCs w:val="20"/>
          <w:color w:val="auto"/>
        </w:rPr>
      </w:pPr>
    </w:p>
    <w:p>
      <w:pPr>
        <w:sectPr>
          <w:pgSz w:w="11900" w:h="16838" w:orient="portrait"/>
          <w:cols w:equalWidth="0" w:num="2">
            <w:col w:w="5820" w:space="720"/>
            <w:col w:w="4720"/>
          </w:cols>
          <w:pgMar w:left="320" w:top="126" w:right="31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Personalised Immunotherapies (EGFF).</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385" w:name="page386"/>
    <w:bookmarkEnd w:id="385"/>
    <w:p>
      <w:pPr>
        <w:ind w:left="10580"/>
        <w:spacing w:after="0"/>
        <w:rPr>
          <w:sz w:val="20"/>
          <w:szCs w:val="20"/>
          <w:color w:val="auto"/>
        </w:rPr>
      </w:pPr>
      <w:r>
        <w:rPr>
          <w:rFonts w:ascii="Arial" w:cs="Arial" w:eastAsia="Arial" w:hAnsi="Arial"/>
          <w:sz w:val="12"/>
          <w:szCs w:val="12"/>
          <w:b w:val="1"/>
          <w:bCs w:val="1"/>
          <w:color w:val="auto"/>
        </w:rPr>
        <w:t>Exhibit 4.41</w:t>
      </w:r>
    </w:p>
    <w:p>
      <w:pPr>
        <w:spacing w:after="0" w:line="64" w:lineRule="exact"/>
        <w:rPr>
          <w:sz w:val="20"/>
          <w:szCs w:val="20"/>
          <w:color w:val="auto"/>
        </w:rPr>
      </w:pPr>
    </w:p>
    <w:p>
      <w:pPr>
        <w:ind w:left="2100" w:hanging="476"/>
        <w:spacing w:after="0"/>
        <w:tabs>
          <w:tab w:leader="none" w:pos="2100" w:val="left"/>
        </w:tabs>
        <w:numPr>
          <w:ilvl w:val="0"/>
          <w:numId w:val="455"/>
        </w:numPr>
        <w:rPr>
          <w:rFonts w:ascii="Arial" w:cs="Arial" w:eastAsia="Arial" w:hAnsi="Arial"/>
          <w:sz w:val="13"/>
          <w:szCs w:val="13"/>
          <w:color w:val="auto"/>
        </w:rPr>
      </w:pPr>
      <w:r>
        <w:rPr>
          <w:rFonts w:ascii="Arial" w:cs="Arial" w:eastAsia="Arial" w:hAnsi="Arial"/>
          <w:sz w:val="13"/>
          <w:szCs w:val="13"/>
          <w:color w:val="auto"/>
        </w:rPr>
        <w:t>No Obligor is required to make any deduction for or on account of any Tax from any payment it may make under the Finance Documents, except for</w:t>
      </w:r>
    </w:p>
    <w:p>
      <w:pPr>
        <w:ind w:left="3340"/>
        <w:spacing w:after="0"/>
        <w:rPr>
          <w:rFonts w:ascii="Arial" w:cs="Arial" w:eastAsia="Arial" w:hAnsi="Arial"/>
          <w:sz w:val="13"/>
          <w:szCs w:val="13"/>
          <w:color w:val="auto"/>
        </w:rPr>
      </w:pPr>
      <w:r>
        <w:rPr>
          <w:rFonts w:ascii="Arial" w:cs="Arial" w:eastAsia="Arial" w:hAnsi="Arial"/>
          <w:sz w:val="13"/>
          <w:szCs w:val="13"/>
          <w:color w:val="auto"/>
        </w:rPr>
        <w:t>withholding tax (</w:t>
      </w:r>
      <w:r>
        <w:rPr>
          <w:rFonts w:ascii="Arial" w:cs="Arial" w:eastAsia="Arial" w:hAnsi="Arial"/>
          <w:sz w:val="13"/>
          <w:szCs w:val="13"/>
          <w:i w:val="1"/>
          <w:iCs w:val="1"/>
          <w:color w:val="auto"/>
        </w:rPr>
        <w:t>Kapitalertragssteuer</w:t>
      </w:r>
      <w:r>
        <w:rPr>
          <w:rFonts w:ascii="Arial" w:cs="Arial" w:eastAsia="Arial" w:hAnsi="Arial"/>
          <w:sz w:val="13"/>
          <w:szCs w:val="13"/>
          <w:color w:val="auto"/>
        </w:rPr>
        <w:t xml:space="preserve">) which have to be deducted pursuant to Article </w:t>
      </w:r>
      <w:hyperlink w:anchor="page358">
        <w:r>
          <w:rPr>
            <w:rFonts w:ascii="Arial" w:cs="Arial" w:eastAsia="Arial" w:hAnsi="Arial"/>
            <w:sz w:val="13"/>
            <w:szCs w:val="13"/>
            <w:u w:val="single" w:color="auto"/>
            <w:color w:val="0000EE"/>
          </w:rPr>
          <w:t>4.3(e)</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Profit Participation</w:t>
      </w:r>
      <w:r>
        <w:rPr>
          <w:rFonts w:ascii="Arial" w:cs="Arial" w:eastAsia="Arial" w:hAnsi="Arial"/>
          <w:sz w:val="13"/>
          <w:szCs w:val="13"/>
          <w:color w:val="auto"/>
        </w:rPr>
        <w:t>). (</w:t>
      </w:r>
      <w:r>
        <w:rPr>
          <w:rFonts w:ascii="Arial" w:cs="Arial" w:eastAsia="Arial" w:hAnsi="Arial"/>
          <w:sz w:val="13"/>
          <w:szCs w:val="13"/>
          <w:i w:val="1"/>
          <w:iCs w:val="1"/>
          <w:color w:val="auto"/>
        </w:rPr>
        <w:t>Non-repeating</w:t>
      </w:r>
      <w:r>
        <w:rPr>
          <w:rFonts w:ascii="Arial" w:cs="Arial" w:eastAsia="Arial" w:hAnsi="Arial"/>
          <w:sz w:val="13"/>
          <w:szCs w:val="13"/>
          <w:color w:val="auto"/>
        </w:rPr>
        <w:t>)</w:t>
      </w:r>
    </w:p>
    <w:p>
      <w:pPr>
        <w:spacing w:after="0" w:line="80" w:lineRule="exact"/>
        <w:rPr>
          <w:sz w:val="20"/>
          <w:szCs w:val="20"/>
          <w:color w:val="auto"/>
        </w:rPr>
      </w:pPr>
    </w:p>
    <w:p>
      <w:pPr>
        <w:jc w:val="right"/>
        <w:ind w:left="8160" w:right="120" w:hanging="6543"/>
        <w:spacing w:after="0" w:line="258" w:lineRule="auto"/>
        <w:tabs>
          <w:tab w:leader="none" w:pos="1921" w:val="left"/>
        </w:tabs>
        <w:numPr>
          <w:ilvl w:val="0"/>
          <w:numId w:val="456"/>
        </w:numPr>
        <w:rPr>
          <w:rFonts w:ascii="Arial" w:cs="Arial" w:eastAsia="Arial" w:hAnsi="Arial"/>
          <w:sz w:val="13"/>
          <w:szCs w:val="13"/>
          <w:color w:val="auto"/>
        </w:rPr>
      </w:pPr>
      <w:r>
        <w:rPr>
          <w:rFonts w:ascii="Arial" w:cs="Arial" w:eastAsia="Arial" w:hAnsi="Arial"/>
          <w:sz w:val="13"/>
          <w:szCs w:val="13"/>
          <w:color w:val="auto"/>
        </w:rPr>
        <w:t>All Tax returns required to have been filed by each Obligor or on its behalf under any applicable law have been filed when due and contain the information required by applicable law to be contained in them.</w:t>
      </w:r>
    </w:p>
    <w:p>
      <w:pPr>
        <w:spacing w:after="0" w:line="58" w:lineRule="exact"/>
        <w:rPr>
          <w:rFonts w:ascii="Arial" w:cs="Arial" w:eastAsia="Arial" w:hAnsi="Arial"/>
          <w:sz w:val="13"/>
          <w:szCs w:val="13"/>
          <w:color w:val="auto"/>
        </w:rPr>
      </w:pPr>
    </w:p>
    <w:p>
      <w:pPr>
        <w:jc w:val="right"/>
        <w:ind w:left="9960" w:right="120" w:hanging="8343"/>
        <w:spacing w:after="0" w:line="258" w:lineRule="auto"/>
        <w:tabs>
          <w:tab w:leader="none" w:pos="2112" w:val="left"/>
        </w:tabs>
        <w:numPr>
          <w:ilvl w:val="0"/>
          <w:numId w:val="456"/>
        </w:numPr>
        <w:rPr>
          <w:rFonts w:ascii="Arial" w:cs="Arial" w:eastAsia="Arial" w:hAnsi="Arial"/>
          <w:sz w:val="13"/>
          <w:szCs w:val="13"/>
          <w:color w:val="auto"/>
        </w:rPr>
      </w:pPr>
      <w:r>
        <w:rPr>
          <w:rFonts w:ascii="Arial" w:cs="Arial" w:eastAsia="Arial" w:hAnsi="Arial"/>
          <w:sz w:val="13"/>
          <w:szCs w:val="13"/>
          <w:color w:val="auto"/>
        </w:rPr>
        <w:t>Each Obligor has paid when due all Taxes payable by it under applicable law except to the extent that it is contesting payment in good faith and by appropriate means.</w:t>
      </w:r>
    </w:p>
    <w:p>
      <w:pPr>
        <w:spacing w:after="0" w:line="58" w:lineRule="exact"/>
        <w:rPr>
          <w:rFonts w:ascii="Arial" w:cs="Arial" w:eastAsia="Arial" w:hAnsi="Arial"/>
          <w:sz w:val="13"/>
          <w:szCs w:val="13"/>
          <w:color w:val="auto"/>
        </w:rPr>
      </w:pPr>
    </w:p>
    <w:p>
      <w:pPr>
        <w:jc w:val="right"/>
        <w:ind w:left="8640" w:right="120" w:hanging="6986"/>
        <w:spacing w:after="0" w:line="258" w:lineRule="auto"/>
        <w:tabs>
          <w:tab w:leader="none" w:pos="2178" w:val="left"/>
        </w:tabs>
        <w:numPr>
          <w:ilvl w:val="0"/>
          <w:numId w:val="456"/>
        </w:numPr>
        <w:rPr>
          <w:rFonts w:ascii="Arial" w:cs="Arial" w:eastAsia="Arial" w:hAnsi="Arial"/>
          <w:sz w:val="13"/>
          <w:szCs w:val="13"/>
          <w:color w:val="auto"/>
        </w:rPr>
      </w:pPr>
      <w:r>
        <w:rPr>
          <w:rFonts w:ascii="Arial" w:cs="Arial" w:eastAsia="Arial" w:hAnsi="Arial"/>
          <w:sz w:val="13"/>
          <w:szCs w:val="13"/>
          <w:color w:val="auto"/>
        </w:rPr>
        <w:t>With respect to Taxes which have not fallen due or which it is contesting, each Obligor is maintaining reserves adequate for their payment and in accordance, where applicable, with GAAP.</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(g) Under the laws of the jurisdiction of incorporation of each Obligor, it is not  necessary that the Finance Documents be filed, recorded or enrolled with any court</w:t>
      </w:r>
    </w:p>
    <w:p>
      <w:pPr>
        <w:jc w:val="right"/>
        <w:ind w:left="1780" w:right="120"/>
        <w:spacing w:after="0" w:line="247" w:lineRule="auto"/>
        <w:rPr>
          <w:sz w:val="20"/>
          <w:szCs w:val="20"/>
          <w:color w:val="auto"/>
        </w:rPr>
      </w:pPr>
      <w:r>
        <w:rPr>
          <w:rFonts w:ascii="Arial" w:cs="Arial" w:eastAsia="Arial" w:hAnsi="Arial"/>
          <w:sz w:val="13"/>
          <w:szCs w:val="13"/>
          <w:color w:val="auto"/>
        </w:rPr>
        <w:t>or other authority or that any stamp, registration or similar tax be paid on or in relation to the Finance Documents, or the transactions contemplated by the Finance Documents other than the official certification (</w:t>
      </w:r>
      <w:r>
        <w:rPr>
          <w:rFonts w:ascii="Arial" w:cs="Arial" w:eastAsia="Arial" w:hAnsi="Arial"/>
          <w:sz w:val="13"/>
          <w:szCs w:val="13"/>
          <w:i w:val="1"/>
          <w:iCs w:val="1"/>
          <w:color w:val="auto"/>
        </w:rPr>
        <w:t>öffentliche Beglaubigung</w:t>
      </w:r>
      <w:r>
        <w:rPr>
          <w:rFonts w:ascii="Arial" w:cs="Arial" w:eastAsia="Arial" w:hAnsi="Arial"/>
          <w:sz w:val="13"/>
          <w:szCs w:val="13"/>
          <w:color w:val="auto"/>
        </w:rPr>
        <w:t>) of the Land Charge Creation Deed (</w:t>
      </w:r>
      <w:r>
        <w:rPr>
          <w:rFonts w:ascii="Arial" w:cs="Arial" w:eastAsia="Arial" w:hAnsi="Arial"/>
          <w:sz w:val="13"/>
          <w:szCs w:val="13"/>
          <w:i w:val="1"/>
          <w:iCs w:val="1"/>
          <w:color w:val="auto"/>
        </w:rPr>
        <w:t>Grundschuldbestellungsurkunde</w:t>
      </w:r>
      <w:r>
        <w:rPr>
          <w:rFonts w:ascii="Arial" w:cs="Arial" w:eastAsia="Arial" w:hAnsi="Arial"/>
          <w:sz w:val="13"/>
          <w:szCs w:val="13"/>
          <w:color w:val="auto"/>
        </w:rPr>
        <w:t>) and payment of related notary fees and the registration of the Land Charge in the land register (</w:t>
      </w:r>
      <w:r>
        <w:rPr>
          <w:rFonts w:ascii="Arial" w:cs="Arial" w:eastAsia="Arial" w:hAnsi="Arial"/>
          <w:sz w:val="13"/>
          <w:szCs w:val="13"/>
          <w:i w:val="1"/>
          <w:iCs w:val="1"/>
          <w:color w:val="auto"/>
        </w:rPr>
        <w:t>Grundbuch</w:t>
      </w:r>
      <w:r>
        <w:rPr>
          <w:rFonts w:ascii="Arial" w:cs="Arial" w:eastAsia="Arial" w:hAnsi="Arial"/>
          <w:sz w:val="13"/>
          <w:szCs w:val="13"/>
          <w:color w:val="auto"/>
        </w:rPr>
        <w:t>) and payment of the related registration fees. (</w:t>
      </w:r>
      <w:r>
        <w:rPr>
          <w:rFonts w:ascii="Arial" w:cs="Arial" w:eastAsia="Arial" w:hAnsi="Arial"/>
          <w:sz w:val="13"/>
          <w:szCs w:val="13"/>
          <w:i w:val="1"/>
          <w:iCs w:val="1"/>
          <w:color w:val="auto"/>
        </w:rPr>
        <w:t>Non-repeating</w:t>
      </w:r>
      <w:r>
        <w:rPr>
          <w:rFonts w:ascii="Arial" w:cs="Arial" w:eastAsia="Arial" w:hAnsi="Arial"/>
          <w:sz w:val="13"/>
          <w:szCs w:val="13"/>
          <w:color w:val="auto"/>
        </w:rPr>
        <w:t>)</w:t>
      </w:r>
    </w:p>
    <w:p>
      <w:pPr>
        <w:sectPr>
          <w:pgSz w:w="11900" w:h="16838" w:orient="portrait"/>
          <w:cols w:equalWidth="0" w:num="1">
            <w:col w:w="11260"/>
          </w:cols>
          <w:pgMar w:left="320" w:top="126" w:right="319" w:bottom="1440" w:gutter="0" w:footer="0" w:header="0"/>
        </w:sectPr>
      </w:pPr>
    </w:p>
    <w:p>
      <w:pPr>
        <w:spacing w:after="0" w:line="24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8.</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provided</w:t>
      </w:r>
    </w:p>
    <w:p>
      <w:pPr>
        <w:spacing w:after="0" w:line="147" w:lineRule="exact"/>
        <w:rPr>
          <w:sz w:val="20"/>
          <w:szCs w:val="20"/>
          <w:color w:val="auto"/>
        </w:rPr>
      </w:pPr>
    </w:p>
    <w:p>
      <w:pPr>
        <w:sectPr>
          <w:pgSz w:w="11900" w:h="16838" w:orient="portrait"/>
          <w:cols w:equalWidth="0" w:num="2">
            <w:col w:w="9240" w:space="720"/>
            <w:col w:w="1300"/>
          </w:cols>
          <w:pgMar w:left="320" w:top="126" w:right="319" w:bottom="1440" w:gutter="0" w:footer="0" w:header="0"/>
          <w:type w:val="continuous"/>
        </w:sectPr>
      </w:pPr>
    </w:p>
    <w:p>
      <w:pPr>
        <w:jc w:val="both"/>
        <w:ind w:left="1960" w:right="120" w:hanging="343"/>
        <w:spacing w:after="0"/>
        <w:tabs>
          <w:tab w:leader="none" w:pos="2067" w:val="left"/>
        </w:tabs>
        <w:numPr>
          <w:ilvl w:val="0"/>
          <w:numId w:val="457"/>
        </w:numPr>
        <w:rPr>
          <w:rFonts w:ascii="Arial" w:cs="Arial" w:eastAsia="Arial" w:hAnsi="Arial"/>
          <w:sz w:val="13"/>
          <w:szCs w:val="13"/>
          <w:color w:val="auto"/>
        </w:rPr>
      </w:pPr>
      <w:r>
        <w:rPr>
          <w:rFonts w:ascii="Arial" w:cs="Arial" w:eastAsia="Arial" w:hAnsi="Arial"/>
          <w:sz w:val="13"/>
          <w:szCs w:val="13"/>
          <w:color w:val="auto"/>
        </w:rPr>
        <w:t>Any factual information provided by any Group Company for the purposes of entering into this Contract and any related documentation was true and accurate in all material respects as at the date it was provided or as at the date (if any) at which it is stated and continues to be true and accurate in all</w:t>
      </w:r>
    </w:p>
    <w:p>
      <w:pPr>
        <w:spacing w:after="0" w:line="1" w:lineRule="exact"/>
        <w:rPr>
          <w:sz w:val="20"/>
          <w:szCs w:val="20"/>
          <w:color w:val="auto"/>
        </w:rPr>
      </w:pPr>
    </w:p>
    <w:p>
      <w:pPr>
        <w:ind w:left="7420"/>
        <w:spacing w:after="0"/>
        <w:rPr>
          <w:sz w:val="20"/>
          <w:szCs w:val="20"/>
          <w:color w:val="auto"/>
        </w:rPr>
      </w:pPr>
      <w:r>
        <w:rPr>
          <w:rFonts w:ascii="Arial" w:cs="Arial" w:eastAsia="Arial" w:hAnsi="Arial"/>
          <w:sz w:val="13"/>
          <w:szCs w:val="13"/>
          <w:color w:val="auto"/>
        </w:rPr>
        <w:t>material respect as at the date of this Contract. (</w:t>
      </w:r>
      <w:r>
        <w:rPr>
          <w:rFonts w:ascii="Arial" w:cs="Arial" w:eastAsia="Arial" w:hAnsi="Arial"/>
          <w:sz w:val="13"/>
          <w:szCs w:val="13"/>
          <w:i w:val="1"/>
          <w:iCs w:val="1"/>
          <w:color w:val="auto"/>
        </w:rPr>
        <w:t>Non-repeating</w:t>
      </w:r>
      <w:r>
        <w:rPr>
          <w:rFonts w:ascii="Arial" w:cs="Arial" w:eastAsia="Arial" w:hAnsi="Arial"/>
          <w:sz w:val="13"/>
          <w:szCs w:val="13"/>
          <w:color w:val="auto"/>
        </w:rPr>
        <w:t>)</w:t>
      </w:r>
    </w:p>
    <w:p>
      <w:pPr>
        <w:spacing w:after="0" w:line="80" w:lineRule="exact"/>
        <w:rPr>
          <w:sz w:val="20"/>
          <w:szCs w:val="20"/>
          <w:color w:val="auto"/>
        </w:rPr>
      </w:pPr>
    </w:p>
    <w:p>
      <w:pPr>
        <w:ind w:left="2060" w:hanging="443"/>
        <w:spacing w:after="0"/>
        <w:tabs>
          <w:tab w:leader="none" w:pos="2060" w:val="left"/>
        </w:tabs>
        <w:numPr>
          <w:ilvl w:val="0"/>
          <w:numId w:val="458"/>
        </w:numPr>
        <w:rPr>
          <w:rFonts w:ascii="Arial" w:cs="Arial" w:eastAsia="Arial" w:hAnsi="Arial"/>
          <w:sz w:val="13"/>
          <w:szCs w:val="13"/>
          <w:color w:val="auto"/>
        </w:rPr>
      </w:pPr>
      <w:r>
        <w:rPr>
          <w:rFonts w:ascii="Arial" w:cs="Arial" w:eastAsia="Arial" w:hAnsi="Arial"/>
          <w:sz w:val="13"/>
          <w:szCs w:val="13"/>
          <w:color w:val="auto"/>
        </w:rPr>
        <w:t>The Group structure chart is true, complete and accurate in all material respects and represents the complete corporate structure of the Group as at the</w:t>
      </w:r>
    </w:p>
    <w:p>
      <w:pPr>
        <w:ind w:left="2100"/>
        <w:spacing w:after="0"/>
        <w:rPr>
          <w:sz w:val="20"/>
          <w:szCs w:val="20"/>
          <w:color w:val="auto"/>
        </w:rPr>
      </w:pPr>
      <w:r>
        <w:rPr>
          <w:rFonts w:ascii="Arial" w:cs="Arial" w:eastAsia="Arial" w:hAnsi="Arial"/>
          <w:sz w:val="13"/>
          <w:szCs w:val="13"/>
          <w:color w:val="auto"/>
        </w:rPr>
        <w:t>date of this Contract, and other than as set out therein the Borrower owns no other equity and/or shares in any other business entity. (</w:t>
      </w:r>
      <w:r>
        <w:rPr>
          <w:rFonts w:ascii="Arial" w:cs="Arial" w:eastAsia="Arial" w:hAnsi="Arial"/>
          <w:sz w:val="13"/>
          <w:szCs w:val="13"/>
          <w:i w:val="1"/>
          <w:iCs w:val="1"/>
          <w:color w:val="auto"/>
        </w:rPr>
        <w:t>Non-repeating</w:t>
      </w:r>
      <w:r>
        <w:rPr>
          <w:rFonts w:ascii="Arial" w:cs="Arial" w:eastAsia="Arial" w:hAnsi="Arial"/>
          <w:sz w:val="13"/>
          <w:szCs w:val="13"/>
          <w:color w:val="auto"/>
        </w:rPr>
        <w:t>)</w:t>
      </w:r>
    </w:p>
    <w:p>
      <w:pPr>
        <w:spacing w:after="0" w:line="104" w:lineRule="exact"/>
        <w:rPr>
          <w:sz w:val="20"/>
          <w:szCs w:val="20"/>
          <w:color w:val="auto"/>
        </w:rPr>
      </w:pPr>
    </w:p>
    <w:p>
      <w:pPr>
        <w:ind w:left="960"/>
        <w:spacing w:after="0"/>
        <w:tabs>
          <w:tab w:leader="none" w:pos="1020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b w:val="1"/>
          <w:bCs w:val="1"/>
          <w:color w:val="auto"/>
        </w:rPr>
        <w:t>No indebtedness</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Obligor has Indebtedness outstanding other than Permitted Indebtedness. (</w:t>
      </w:r>
      <w:r>
        <w:rPr>
          <w:rFonts w:ascii="Arial" w:cs="Arial" w:eastAsia="Arial" w:hAnsi="Arial"/>
          <w:sz w:val="13"/>
          <w:szCs w:val="13"/>
          <w:i w:val="1"/>
          <w:iCs w:val="1"/>
          <w:color w:val="auto"/>
        </w:rPr>
        <w:t>Non- repeating</w:t>
      </w:r>
      <w:r>
        <w:rPr>
          <w:rFonts w:ascii="Arial" w:cs="Arial" w:eastAsia="Arial" w:hAnsi="Arial"/>
          <w:sz w:val="13"/>
          <w:szCs w:val="13"/>
          <w:color w:val="auto"/>
        </w:rPr>
        <w:t>).</w:t>
      </w:r>
    </w:p>
    <w:p>
      <w:pPr>
        <w:spacing w:after="0" w:line="118" w:lineRule="exact"/>
        <w:rPr>
          <w:sz w:val="20"/>
          <w:szCs w:val="20"/>
          <w:color w:val="auto"/>
        </w:rPr>
      </w:pPr>
    </w:p>
    <w:p>
      <w:pPr>
        <w:ind w:left="880"/>
        <w:spacing w:after="0"/>
        <w:tabs>
          <w:tab w:leader="none" w:pos="10460" w:val="left"/>
        </w:tabs>
        <w:rPr>
          <w:sz w:val="20"/>
          <w:szCs w:val="20"/>
          <w:color w:val="auto"/>
        </w:rPr>
      </w:pPr>
      <w:r>
        <w:rPr>
          <w:rFonts w:ascii="Arial" w:cs="Arial" w:eastAsia="Arial" w:hAnsi="Arial"/>
          <w:sz w:val="12"/>
          <w:szCs w:val="12"/>
          <w:b w:val="1"/>
          <w:bCs w:val="1"/>
          <w:color w:val="auto"/>
        </w:rPr>
        <w:t>10.</w:t>
      </w:r>
      <w:r>
        <w:rPr>
          <w:sz w:val="20"/>
          <w:szCs w:val="20"/>
          <w:color w:val="auto"/>
        </w:rPr>
        <w:tab/>
      </w:r>
      <w:r>
        <w:rPr>
          <w:rFonts w:ascii="Arial" w:cs="Arial" w:eastAsia="Arial" w:hAnsi="Arial"/>
          <w:sz w:val="12"/>
          <w:szCs w:val="12"/>
          <w:b w:val="1"/>
          <w:bCs w:val="1"/>
          <w:color w:val="auto"/>
        </w:rPr>
        <w:t>No Immunity</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Obligor, nor any of its assets, is entitled to immunity from suit, execution, attachment or other legal process.</w:t>
      </w:r>
    </w:p>
    <w:p>
      <w:pPr>
        <w:spacing w:after="0" w:line="104" w:lineRule="exact"/>
        <w:rPr>
          <w:sz w:val="20"/>
          <w:szCs w:val="20"/>
          <w:color w:val="auto"/>
        </w:rPr>
      </w:pPr>
    </w:p>
    <w:p>
      <w:pPr>
        <w:ind w:left="880"/>
        <w:spacing w:after="0"/>
        <w:tabs>
          <w:tab w:leader="none" w:pos="10660" w:val="left"/>
        </w:tabs>
        <w:rPr>
          <w:sz w:val="20"/>
          <w:szCs w:val="20"/>
          <w:color w:val="auto"/>
        </w:rPr>
      </w:pPr>
      <w:r>
        <w:rPr>
          <w:rFonts w:ascii="Arial" w:cs="Arial" w:eastAsia="Arial" w:hAnsi="Arial"/>
          <w:sz w:val="13"/>
          <w:szCs w:val="13"/>
          <w:b w:val="1"/>
          <w:bCs w:val="1"/>
          <w:color w:val="auto"/>
        </w:rPr>
        <w:t>11.</w:t>
      </w:r>
      <w:r>
        <w:rPr>
          <w:sz w:val="20"/>
          <w:szCs w:val="20"/>
          <w:color w:val="auto"/>
        </w:rPr>
        <w:tab/>
      </w:r>
      <w:r>
        <w:rPr>
          <w:rFonts w:ascii="Arial" w:cs="Arial" w:eastAsia="Arial" w:hAnsi="Arial"/>
          <w:sz w:val="13"/>
          <w:szCs w:val="13"/>
          <w:b w:val="1"/>
          <w:bCs w:val="1"/>
          <w:color w:val="auto"/>
        </w:rPr>
        <w:t>Pensions</w:t>
      </w:r>
    </w:p>
    <w:p>
      <w:pPr>
        <w:spacing w:after="0" w:line="136" w:lineRule="exact"/>
        <w:rPr>
          <w:sz w:val="20"/>
          <w:szCs w:val="20"/>
          <w:color w:val="auto"/>
        </w:rPr>
      </w:pPr>
    </w:p>
    <w:p>
      <w:pPr>
        <w:ind w:left="1080" w:right="120"/>
        <w:spacing w:after="0" w:line="258" w:lineRule="auto"/>
        <w:rPr>
          <w:sz w:val="20"/>
          <w:szCs w:val="20"/>
          <w:color w:val="auto"/>
        </w:rPr>
      </w:pPr>
      <w:r>
        <w:rPr>
          <w:rFonts w:ascii="Arial" w:cs="Arial" w:eastAsia="Arial" w:hAnsi="Arial"/>
          <w:sz w:val="13"/>
          <w:szCs w:val="13"/>
          <w:color w:val="auto"/>
        </w:rPr>
        <w:t>The pension schemes for the time being operated by the Obligors (if any) are funded in accordance with their rules and to the extent required by law or otherwise comply with the requirements of any law applicable in the jurisdiction in which the relevant pension scheme is maintained.</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386" w:name="page387"/>
    <w:bookmarkEnd w:id="386"/>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8120"/>
        <w:spacing w:after="0"/>
        <w:rPr>
          <w:sz w:val="20"/>
          <w:szCs w:val="20"/>
          <w:color w:val="auto"/>
        </w:rPr>
      </w:pPr>
      <w:r>
        <w:rPr>
          <w:rFonts w:ascii="Arial" w:cs="Arial" w:eastAsia="Arial" w:hAnsi="Arial"/>
          <w:sz w:val="13"/>
          <w:szCs w:val="13"/>
          <w:b w:val="1"/>
          <w:bCs w:val="1"/>
          <w:color w:val="auto"/>
        </w:rPr>
        <w:t>Schedule H</w:t>
      </w:r>
    </w:p>
    <w:p>
      <w:pPr>
        <w:spacing w:after="0" w:line="80" w:lineRule="exact"/>
        <w:rPr>
          <w:sz w:val="20"/>
          <w:szCs w:val="20"/>
          <w:color w:val="auto"/>
        </w:rPr>
      </w:pPr>
    </w:p>
    <w:p>
      <w:pPr>
        <w:ind w:left="2320"/>
        <w:spacing w:after="0"/>
        <w:rPr>
          <w:sz w:val="20"/>
          <w:szCs w:val="20"/>
          <w:color w:val="auto"/>
        </w:rPr>
      </w:pPr>
      <w:r>
        <w:rPr>
          <w:rFonts w:ascii="Arial" w:cs="Arial" w:eastAsia="Arial" w:hAnsi="Arial"/>
          <w:sz w:val="13"/>
          <w:szCs w:val="13"/>
          <w:b w:val="1"/>
          <w:bCs w:val="1"/>
          <w:u w:val="single" w:color="auto"/>
          <w:color w:val="auto"/>
        </w:rPr>
        <w:t>General Undertakings</w:t>
      </w:r>
    </w:p>
    <w:p>
      <w:pPr>
        <w:spacing w:after="0" w:line="160" w:lineRule="exact"/>
        <w:rPr>
          <w:sz w:val="20"/>
          <w:szCs w:val="20"/>
          <w:color w:val="auto"/>
        </w:rPr>
      </w:pPr>
    </w:p>
    <w:p>
      <w:pPr>
        <w:ind w:left="1060" w:hanging="510"/>
        <w:spacing w:after="0"/>
        <w:tabs>
          <w:tab w:leader="none" w:pos="1060" w:val="left"/>
        </w:tabs>
        <w:numPr>
          <w:ilvl w:val="0"/>
          <w:numId w:val="459"/>
        </w:numPr>
        <w:rPr>
          <w:rFonts w:ascii="Arial" w:cs="Arial" w:eastAsia="Arial" w:hAnsi="Arial"/>
          <w:sz w:val="13"/>
          <w:szCs w:val="13"/>
          <w:b w:val="1"/>
          <w:bCs w:val="1"/>
          <w:color w:val="auto"/>
        </w:rPr>
      </w:pPr>
      <w:r>
        <w:rPr>
          <w:rFonts w:ascii="Arial" w:cs="Arial" w:eastAsia="Arial" w:hAnsi="Arial"/>
          <w:sz w:val="13"/>
          <w:szCs w:val="13"/>
          <w:b w:val="1"/>
          <w:bCs w:val="1"/>
          <w:color w:val="auto"/>
        </w:rPr>
        <w:t>Use of Loan</w:t>
      </w:r>
    </w:p>
    <w:p>
      <w:pPr>
        <w:spacing w:after="0" w:line="13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The Borrower shall use all amounts borrowed by it under the Loan to carry out the Investment.</w:t>
      </w:r>
    </w:p>
    <w:p>
      <w:pPr>
        <w:spacing w:after="0" w:line="104" w:lineRule="exact"/>
        <w:rPr>
          <w:rFonts w:ascii="Arial" w:cs="Arial" w:eastAsia="Arial" w:hAnsi="Arial"/>
          <w:sz w:val="13"/>
          <w:szCs w:val="13"/>
          <w:b w:val="1"/>
          <w:bCs w:val="1"/>
          <w:color w:val="auto"/>
        </w:rPr>
      </w:pPr>
    </w:p>
    <w:p>
      <w:pPr>
        <w:ind w:left="1060" w:hanging="510"/>
        <w:spacing w:after="0"/>
        <w:tabs>
          <w:tab w:leader="none" w:pos="1060" w:val="left"/>
        </w:tabs>
        <w:numPr>
          <w:ilvl w:val="0"/>
          <w:numId w:val="459"/>
        </w:numPr>
        <w:rPr>
          <w:rFonts w:ascii="Arial" w:cs="Arial" w:eastAsia="Arial" w:hAnsi="Arial"/>
          <w:sz w:val="13"/>
          <w:szCs w:val="13"/>
          <w:b w:val="1"/>
          <w:bCs w:val="1"/>
          <w:color w:val="auto"/>
        </w:rPr>
      </w:pPr>
      <w:r>
        <w:rPr>
          <w:rFonts w:ascii="Arial" w:cs="Arial" w:eastAsia="Arial" w:hAnsi="Arial"/>
          <w:sz w:val="13"/>
          <w:szCs w:val="13"/>
          <w:b w:val="1"/>
          <w:bCs w:val="1"/>
          <w:color w:val="auto"/>
        </w:rPr>
        <w:t>Completion of Investment</w:t>
      </w:r>
    </w:p>
    <w:p>
      <w:pPr>
        <w:spacing w:after="0" w:line="136" w:lineRule="exact"/>
        <w:rPr>
          <w:rFonts w:ascii="Arial" w:cs="Arial" w:eastAsia="Arial" w:hAnsi="Arial"/>
          <w:sz w:val="13"/>
          <w:szCs w:val="13"/>
          <w:b w:val="1"/>
          <w:bCs w:val="1"/>
          <w:color w:val="auto"/>
        </w:rPr>
      </w:pPr>
    </w:p>
    <w:p>
      <w:pPr>
        <w:ind w:left="1080" w:right="120"/>
        <w:spacing w:after="0" w:line="258" w:lineRule="auto"/>
        <w:rPr>
          <w:rFonts w:ascii="Arial" w:cs="Arial" w:eastAsia="Arial" w:hAnsi="Arial"/>
          <w:sz w:val="13"/>
          <w:szCs w:val="13"/>
          <w:b w:val="1"/>
          <w:bCs w:val="1"/>
          <w:color w:val="auto"/>
        </w:rPr>
      </w:pPr>
      <w:r>
        <w:rPr>
          <w:rFonts w:ascii="Arial" w:cs="Arial" w:eastAsia="Arial" w:hAnsi="Arial"/>
          <w:sz w:val="13"/>
          <w:szCs w:val="13"/>
          <w:color w:val="auto"/>
        </w:rPr>
        <w:t>The Borrower shall or shall procure that the Investment is carried out in accordance with the Technical Description as may be modified from time to time with the approval of the Bank, and complete it by the final date specified therein.</w:t>
      </w:r>
    </w:p>
    <w:p>
      <w:pPr>
        <w:spacing w:after="0" w:line="82" w:lineRule="exact"/>
        <w:rPr>
          <w:rFonts w:ascii="Arial" w:cs="Arial" w:eastAsia="Arial" w:hAnsi="Arial"/>
          <w:sz w:val="13"/>
          <w:szCs w:val="13"/>
          <w:b w:val="1"/>
          <w:bCs w:val="1"/>
          <w:color w:val="auto"/>
        </w:rPr>
      </w:pPr>
    </w:p>
    <w:p>
      <w:pPr>
        <w:ind w:left="1060" w:hanging="510"/>
        <w:spacing w:after="0"/>
        <w:tabs>
          <w:tab w:leader="none" w:pos="1060" w:val="left"/>
        </w:tabs>
        <w:numPr>
          <w:ilvl w:val="0"/>
          <w:numId w:val="459"/>
        </w:numPr>
        <w:rPr>
          <w:rFonts w:ascii="Arial" w:cs="Arial" w:eastAsia="Arial" w:hAnsi="Arial"/>
          <w:sz w:val="13"/>
          <w:szCs w:val="13"/>
          <w:b w:val="1"/>
          <w:bCs w:val="1"/>
          <w:color w:val="auto"/>
        </w:rPr>
      </w:pPr>
      <w:r>
        <w:rPr>
          <w:rFonts w:ascii="Arial" w:cs="Arial" w:eastAsia="Arial" w:hAnsi="Arial"/>
          <w:sz w:val="13"/>
          <w:szCs w:val="13"/>
          <w:b w:val="1"/>
          <w:bCs w:val="1"/>
          <w:color w:val="auto"/>
        </w:rPr>
        <w:t>Procurement procedure</w:t>
      </w:r>
    </w:p>
    <w:p>
      <w:pPr>
        <w:spacing w:after="0" w:line="136" w:lineRule="exact"/>
        <w:rPr>
          <w:sz w:val="20"/>
          <w:szCs w:val="20"/>
          <w:color w:val="auto"/>
        </w:rPr>
      </w:pPr>
    </w:p>
    <w:p>
      <w:pPr>
        <w:jc w:val="both"/>
        <w:ind w:left="1080" w:right="120"/>
        <w:spacing w:after="0" w:line="249" w:lineRule="auto"/>
        <w:rPr>
          <w:sz w:val="20"/>
          <w:szCs w:val="20"/>
          <w:color w:val="auto"/>
        </w:rPr>
      </w:pPr>
      <w:r>
        <w:rPr>
          <w:rFonts w:ascii="Arial" w:cs="Arial" w:eastAsia="Arial" w:hAnsi="Arial"/>
          <w:sz w:val="13"/>
          <w:szCs w:val="13"/>
          <w:color w:val="auto"/>
        </w:rPr>
        <w:t>The Borrower shall secure goods and services for the Investment (a) in so far as they apply to it or to the Investment, in accordance with EU Law in general and in particular with the relevant EU Directives, and (b) in so far as EU Directives do not apply, by procurement procedures which conform to the relevant requirements set out in the Bank’s “Guide to Procurement for projects financed by the EIB (2018)”.</w:t>
      </w:r>
    </w:p>
    <w:p>
      <w:pPr>
        <w:spacing w:after="0" w:line="89" w:lineRule="exact"/>
        <w:rPr>
          <w:sz w:val="20"/>
          <w:szCs w:val="20"/>
          <w:color w:val="auto"/>
        </w:rPr>
      </w:pPr>
    </w:p>
    <w:p>
      <w:pPr>
        <w:ind w:left="1060" w:hanging="510"/>
        <w:spacing w:after="0"/>
        <w:tabs>
          <w:tab w:leader="none" w:pos="1060" w:val="left"/>
        </w:tabs>
        <w:numPr>
          <w:ilvl w:val="0"/>
          <w:numId w:val="460"/>
        </w:numPr>
        <w:rPr>
          <w:rFonts w:ascii="Arial" w:cs="Arial" w:eastAsia="Arial" w:hAnsi="Arial"/>
          <w:sz w:val="13"/>
          <w:szCs w:val="13"/>
          <w:b w:val="1"/>
          <w:bCs w:val="1"/>
          <w:color w:val="auto"/>
        </w:rPr>
      </w:pPr>
      <w:r>
        <w:rPr>
          <w:rFonts w:ascii="Arial" w:cs="Arial" w:eastAsia="Arial" w:hAnsi="Arial"/>
          <w:sz w:val="13"/>
          <w:szCs w:val="13"/>
          <w:b w:val="1"/>
          <w:bCs w:val="1"/>
          <w:color w:val="auto"/>
        </w:rPr>
        <w:t>Compliance with laws</w:t>
      </w:r>
    </w:p>
    <w:p>
      <w:pPr>
        <w:spacing w:after="0" w:line="13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Each Obligor shall comply in all respects with all laws and regulations to which it or the Investment is subject.</w:t>
      </w:r>
    </w:p>
    <w:p>
      <w:pPr>
        <w:spacing w:after="0" w:line="104" w:lineRule="exact"/>
        <w:rPr>
          <w:rFonts w:ascii="Arial" w:cs="Arial" w:eastAsia="Arial" w:hAnsi="Arial"/>
          <w:sz w:val="13"/>
          <w:szCs w:val="13"/>
          <w:b w:val="1"/>
          <w:bCs w:val="1"/>
          <w:color w:val="auto"/>
        </w:rPr>
      </w:pPr>
    </w:p>
    <w:p>
      <w:pPr>
        <w:ind w:left="1060" w:hanging="510"/>
        <w:spacing w:after="0"/>
        <w:tabs>
          <w:tab w:leader="none" w:pos="1060" w:val="left"/>
        </w:tabs>
        <w:numPr>
          <w:ilvl w:val="0"/>
          <w:numId w:val="460"/>
        </w:numPr>
        <w:rPr>
          <w:rFonts w:ascii="Arial" w:cs="Arial" w:eastAsia="Arial" w:hAnsi="Arial"/>
          <w:sz w:val="13"/>
          <w:szCs w:val="13"/>
          <w:b w:val="1"/>
          <w:bCs w:val="1"/>
          <w:color w:val="auto"/>
        </w:rPr>
      </w:pPr>
      <w:r>
        <w:rPr>
          <w:rFonts w:ascii="Arial" w:cs="Arial" w:eastAsia="Arial" w:hAnsi="Arial"/>
          <w:sz w:val="13"/>
          <w:szCs w:val="13"/>
          <w:b w:val="1"/>
          <w:bCs w:val="1"/>
          <w:color w:val="auto"/>
        </w:rPr>
        <w:t>Environment</w:t>
      </w:r>
    </w:p>
    <w:p>
      <w:pPr>
        <w:spacing w:after="0" w:line="13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The Borrower shall:</w:t>
      </w:r>
    </w:p>
    <w:p>
      <w:pPr>
        <w:spacing w:after="0" w:line="80" w:lineRule="exact"/>
        <w:rPr>
          <w:rFonts w:ascii="Arial" w:cs="Arial" w:eastAsia="Arial" w:hAnsi="Arial"/>
          <w:sz w:val="13"/>
          <w:szCs w:val="13"/>
          <w:b w:val="1"/>
          <w:bCs w:val="1"/>
          <w:color w:val="auto"/>
        </w:rPr>
      </w:pPr>
    </w:p>
    <w:p>
      <w:pPr>
        <w:ind w:left="1780" w:hanging="710"/>
        <w:spacing w:after="0"/>
        <w:tabs>
          <w:tab w:leader="none" w:pos="1780" w:val="left"/>
        </w:tabs>
        <w:numPr>
          <w:ilvl w:val="1"/>
          <w:numId w:val="460"/>
        </w:numPr>
        <w:rPr>
          <w:rFonts w:ascii="Arial" w:cs="Arial" w:eastAsia="Arial" w:hAnsi="Arial"/>
          <w:sz w:val="13"/>
          <w:szCs w:val="13"/>
          <w:color w:val="auto"/>
        </w:rPr>
      </w:pPr>
      <w:r>
        <w:rPr>
          <w:rFonts w:ascii="Arial" w:cs="Arial" w:eastAsia="Arial" w:hAnsi="Arial"/>
          <w:sz w:val="13"/>
          <w:szCs w:val="13"/>
          <w:color w:val="auto"/>
        </w:rPr>
        <w:t>implement and operate the Investment in compliance with Environmental Law;</w:t>
      </w:r>
    </w:p>
    <w:p>
      <w:pPr>
        <w:spacing w:after="0" w:line="80" w:lineRule="exact"/>
        <w:rPr>
          <w:rFonts w:ascii="Arial" w:cs="Arial" w:eastAsia="Arial" w:hAnsi="Arial"/>
          <w:sz w:val="13"/>
          <w:szCs w:val="13"/>
          <w:color w:val="auto"/>
        </w:rPr>
      </w:pPr>
    </w:p>
    <w:p>
      <w:pPr>
        <w:ind w:left="1780" w:hanging="710"/>
        <w:spacing w:after="0"/>
        <w:tabs>
          <w:tab w:leader="none" w:pos="1780" w:val="left"/>
        </w:tabs>
        <w:numPr>
          <w:ilvl w:val="1"/>
          <w:numId w:val="460"/>
        </w:numPr>
        <w:rPr>
          <w:rFonts w:ascii="Arial" w:cs="Arial" w:eastAsia="Arial" w:hAnsi="Arial"/>
          <w:sz w:val="13"/>
          <w:szCs w:val="13"/>
          <w:color w:val="auto"/>
        </w:rPr>
      </w:pPr>
      <w:r>
        <w:rPr>
          <w:rFonts w:ascii="Arial" w:cs="Arial" w:eastAsia="Arial" w:hAnsi="Arial"/>
          <w:sz w:val="13"/>
          <w:szCs w:val="13"/>
          <w:color w:val="auto"/>
        </w:rPr>
        <w:t>obtain, maintain and comply with requisite Environmental Approvals for the Investment,</w:t>
      </w:r>
    </w:p>
    <w:p>
      <w:pPr>
        <w:spacing w:after="0" w:line="56" w:lineRule="exact"/>
        <w:rPr>
          <w:sz w:val="20"/>
          <w:szCs w:val="20"/>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 xml:space="preserve">and upon becoming aware of any breach of this Paragraph </w:t>
      </w:r>
      <w:hyperlink w:anchor="page387">
        <w:r>
          <w:rPr>
            <w:rFonts w:ascii="Arial" w:cs="Arial" w:eastAsia="Arial" w:hAnsi="Arial"/>
            <w:sz w:val="13"/>
            <w:szCs w:val="13"/>
            <w:u w:val="single" w:color="auto"/>
            <w:color w:val="0000EE"/>
          </w:rPr>
          <w:t>5</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Environment</w:t>
      </w:r>
      <w:r>
        <w:rPr>
          <w:rFonts w:ascii="Arial" w:cs="Arial" w:eastAsia="Arial" w:hAnsi="Arial"/>
          <w:sz w:val="13"/>
          <w:szCs w:val="13"/>
          <w:color w:val="auto"/>
        </w:rPr>
        <w:t>):</w:t>
      </w:r>
    </w:p>
    <w:p>
      <w:pPr>
        <w:spacing w:after="0" w:line="94" w:lineRule="exact"/>
        <w:rPr>
          <w:sz w:val="20"/>
          <w:szCs w:val="20"/>
          <w:color w:val="auto"/>
        </w:rPr>
      </w:pPr>
    </w:p>
    <w:p>
      <w:pPr>
        <w:ind w:left="2500" w:hanging="710"/>
        <w:spacing w:after="0"/>
        <w:tabs>
          <w:tab w:leader="none" w:pos="2500" w:val="left"/>
        </w:tabs>
        <w:numPr>
          <w:ilvl w:val="0"/>
          <w:numId w:val="461"/>
        </w:numPr>
        <w:rPr>
          <w:rFonts w:ascii="Arial" w:cs="Arial" w:eastAsia="Arial" w:hAnsi="Arial"/>
          <w:sz w:val="13"/>
          <w:szCs w:val="13"/>
          <w:color w:val="auto"/>
        </w:rPr>
      </w:pPr>
      <w:r>
        <w:rPr>
          <w:rFonts w:ascii="Arial" w:cs="Arial" w:eastAsia="Arial" w:hAnsi="Arial"/>
          <w:sz w:val="13"/>
          <w:szCs w:val="13"/>
          <w:color w:val="auto"/>
        </w:rPr>
        <w:t>the Borrower shall promptly notify the Bank;</w:t>
      </w:r>
    </w:p>
    <w:p>
      <w:pPr>
        <w:spacing w:after="0" w:line="80" w:lineRule="exact"/>
        <w:rPr>
          <w:rFonts w:ascii="Arial" w:cs="Arial" w:eastAsia="Arial" w:hAnsi="Arial"/>
          <w:sz w:val="13"/>
          <w:szCs w:val="13"/>
          <w:color w:val="auto"/>
        </w:rPr>
      </w:pPr>
    </w:p>
    <w:p>
      <w:pPr>
        <w:ind w:left="2500" w:right="160" w:hanging="710"/>
        <w:spacing w:after="0" w:line="258" w:lineRule="auto"/>
        <w:tabs>
          <w:tab w:leader="none" w:pos="2500" w:val="left"/>
        </w:tabs>
        <w:numPr>
          <w:ilvl w:val="0"/>
          <w:numId w:val="461"/>
        </w:numPr>
        <w:rPr>
          <w:rFonts w:ascii="Arial" w:cs="Arial" w:eastAsia="Arial" w:hAnsi="Arial"/>
          <w:sz w:val="13"/>
          <w:szCs w:val="13"/>
          <w:color w:val="auto"/>
        </w:rPr>
      </w:pPr>
      <w:r>
        <w:rPr>
          <w:rFonts w:ascii="Arial" w:cs="Arial" w:eastAsia="Arial" w:hAnsi="Arial"/>
          <w:sz w:val="13"/>
          <w:szCs w:val="13"/>
          <w:color w:val="auto"/>
        </w:rPr>
        <w:t>the Borrower and the Bank will consult for up to [***] Business Days from the date of notification with a view to agreeing the manner in which the breach should be rectified; and</w:t>
      </w:r>
    </w:p>
    <w:p>
      <w:pPr>
        <w:spacing w:after="0" w:line="48" w:lineRule="exact"/>
        <w:rPr>
          <w:rFonts w:ascii="Arial" w:cs="Arial" w:eastAsia="Arial" w:hAnsi="Arial"/>
          <w:sz w:val="13"/>
          <w:szCs w:val="13"/>
          <w:color w:val="auto"/>
        </w:rPr>
      </w:pPr>
    </w:p>
    <w:p>
      <w:pPr>
        <w:ind w:left="2500" w:hanging="710"/>
        <w:spacing w:after="0"/>
        <w:tabs>
          <w:tab w:leader="none" w:pos="2500" w:val="left"/>
        </w:tabs>
        <w:numPr>
          <w:ilvl w:val="0"/>
          <w:numId w:val="461"/>
        </w:numPr>
        <w:rPr>
          <w:rFonts w:ascii="Arial" w:cs="Arial" w:eastAsia="Arial" w:hAnsi="Arial"/>
          <w:sz w:val="13"/>
          <w:szCs w:val="13"/>
          <w:color w:val="auto"/>
        </w:rPr>
      </w:pPr>
      <w:r>
        <w:rPr>
          <w:rFonts w:ascii="Arial" w:cs="Arial" w:eastAsia="Arial" w:hAnsi="Arial"/>
          <w:sz w:val="13"/>
          <w:szCs w:val="13"/>
          <w:color w:val="auto"/>
        </w:rPr>
        <w:t>the Borrower shall remedy the breach within [***] Business Days of the end of the consultation period.</w:t>
      </w:r>
    </w:p>
    <w:p>
      <w:pPr>
        <w:spacing w:after="0" w:line="104" w:lineRule="exact"/>
        <w:rPr>
          <w:sz w:val="20"/>
          <w:szCs w:val="20"/>
          <w:color w:val="auto"/>
        </w:rPr>
      </w:pPr>
    </w:p>
    <w:p>
      <w:pPr>
        <w:ind w:left="1060" w:hanging="510"/>
        <w:spacing w:after="0"/>
        <w:tabs>
          <w:tab w:leader="none" w:pos="1060" w:val="left"/>
        </w:tabs>
        <w:numPr>
          <w:ilvl w:val="0"/>
          <w:numId w:val="462"/>
        </w:numPr>
        <w:rPr>
          <w:rFonts w:ascii="Arial" w:cs="Arial" w:eastAsia="Arial" w:hAnsi="Arial"/>
          <w:sz w:val="13"/>
          <w:szCs w:val="13"/>
          <w:b w:val="1"/>
          <w:bCs w:val="1"/>
          <w:color w:val="auto"/>
        </w:rPr>
      </w:pPr>
      <w:r>
        <w:rPr>
          <w:rFonts w:ascii="Arial" w:cs="Arial" w:eastAsia="Arial" w:hAnsi="Arial"/>
          <w:sz w:val="13"/>
          <w:szCs w:val="13"/>
          <w:b w:val="1"/>
          <w:bCs w:val="1"/>
          <w:color w:val="auto"/>
        </w:rPr>
        <w:t>Integrity</w:t>
      </w:r>
    </w:p>
    <w:p>
      <w:pPr>
        <w:spacing w:after="0" w:line="136" w:lineRule="exact"/>
        <w:rPr>
          <w:rFonts w:ascii="Arial" w:cs="Arial" w:eastAsia="Arial" w:hAnsi="Arial"/>
          <w:sz w:val="13"/>
          <w:szCs w:val="13"/>
          <w:b w:val="1"/>
          <w:bCs w:val="1"/>
          <w:color w:val="auto"/>
        </w:rPr>
      </w:pPr>
    </w:p>
    <w:p>
      <w:pPr>
        <w:jc w:val="both"/>
        <w:ind w:left="1080" w:right="120"/>
        <w:spacing w:after="0" w:line="249" w:lineRule="auto"/>
        <w:rPr>
          <w:rFonts w:ascii="Arial" w:cs="Arial" w:eastAsia="Arial" w:hAnsi="Arial"/>
          <w:sz w:val="13"/>
          <w:szCs w:val="13"/>
          <w:b w:val="1"/>
          <w:bCs w:val="1"/>
          <w:color w:val="auto"/>
        </w:rPr>
      </w:pPr>
      <w:r>
        <w:rPr>
          <w:rFonts w:ascii="Arial" w:cs="Arial" w:eastAsia="Arial" w:hAnsi="Arial"/>
          <w:sz w:val="13"/>
          <w:szCs w:val="13"/>
          <w:color w:val="auto"/>
        </w:rPr>
        <w:t>The Borrower shall take, within a reasonable timeframe, appropriate and legally permissible measures in respect of any member of its management bodies who has been convicted by a final and irrevocable court ruling of an Illegal Activity perpetrated in the course of the exercise of his/her professional duties, in order to ensure that such member is excluded from any Borrower's activity in relation to the Loan or the Investment.</w:t>
      </w:r>
    </w:p>
    <w:p>
      <w:pPr>
        <w:spacing w:after="0" w:line="88" w:lineRule="exact"/>
        <w:rPr>
          <w:rFonts w:ascii="Arial" w:cs="Arial" w:eastAsia="Arial" w:hAnsi="Arial"/>
          <w:sz w:val="13"/>
          <w:szCs w:val="13"/>
          <w:b w:val="1"/>
          <w:bCs w:val="1"/>
          <w:color w:val="auto"/>
        </w:rPr>
      </w:pPr>
    </w:p>
    <w:p>
      <w:pPr>
        <w:ind w:left="1060" w:hanging="510"/>
        <w:spacing w:after="0"/>
        <w:tabs>
          <w:tab w:leader="none" w:pos="1060" w:val="left"/>
        </w:tabs>
        <w:numPr>
          <w:ilvl w:val="0"/>
          <w:numId w:val="462"/>
        </w:numPr>
        <w:rPr>
          <w:rFonts w:ascii="Arial" w:cs="Arial" w:eastAsia="Arial" w:hAnsi="Arial"/>
          <w:sz w:val="13"/>
          <w:szCs w:val="13"/>
          <w:b w:val="1"/>
          <w:bCs w:val="1"/>
          <w:color w:val="auto"/>
        </w:rPr>
      </w:pPr>
      <w:r>
        <w:rPr>
          <w:rFonts w:ascii="Arial" w:cs="Arial" w:eastAsia="Arial" w:hAnsi="Arial"/>
          <w:sz w:val="13"/>
          <w:szCs w:val="13"/>
          <w:b w:val="1"/>
          <w:bCs w:val="1"/>
          <w:color w:val="auto"/>
        </w:rPr>
        <w:t>Disposal of assets</w:t>
      </w:r>
    </w:p>
    <w:p>
      <w:pPr>
        <w:spacing w:after="0" w:line="136" w:lineRule="exact"/>
        <w:rPr>
          <w:rFonts w:ascii="Arial" w:cs="Arial" w:eastAsia="Arial" w:hAnsi="Arial"/>
          <w:sz w:val="13"/>
          <w:szCs w:val="13"/>
          <w:b w:val="1"/>
          <w:bCs w:val="1"/>
          <w:color w:val="auto"/>
        </w:rPr>
      </w:pPr>
    </w:p>
    <w:p>
      <w:pPr>
        <w:ind w:left="1780" w:right="120" w:hanging="710"/>
        <w:spacing w:after="0" w:line="249" w:lineRule="auto"/>
        <w:tabs>
          <w:tab w:leader="none" w:pos="1780" w:val="left"/>
        </w:tabs>
        <w:numPr>
          <w:ilvl w:val="1"/>
          <w:numId w:val="462"/>
        </w:numPr>
        <w:rPr>
          <w:rFonts w:ascii="Arial" w:cs="Arial" w:eastAsia="Arial" w:hAnsi="Arial"/>
          <w:sz w:val="13"/>
          <w:szCs w:val="13"/>
          <w:color w:val="auto"/>
        </w:rPr>
      </w:pPr>
      <w:r>
        <w:rPr>
          <w:rFonts w:ascii="Arial" w:cs="Arial" w:eastAsia="Arial" w:hAnsi="Arial"/>
          <w:sz w:val="13"/>
          <w:szCs w:val="13"/>
          <w:color w:val="auto"/>
        </w:rPr>
        <w:t>Except as provided under Paragraph (b) below, the Borrower shall not, and shall procure that no Group Company shall, either in a single transaction or in a series of transactions whether related or not and whether voluntarily or involuntarily dispose of all or any part of any Group Company's business, undertaking or assets (including any shares, real estate or security of any entity or a business or undertaking, or any interest in any of them).</w:t>
      </w: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87" w:name="page388"/>
    <w:bookmarkEnd w:id="387"/>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1780" w:hanging="710"/>
        <w:spacing w:after="0"/>
        <w:tabs>
          <w:tab w:leader="none" w:pos="1780" w:val="left"/>
        </w:tabs>
        <w:numPr>
          <w:ilvl w:val="0"/>
          <w:numId w:val="463"/>
        </w:numPr>
        <w:rPr>
          <w:rFonts w:ascii="Arial" w:cs="Arial" w:eastAsia="Arial" w:hAnsi="Arial"/>
          <w:sz w:val="13"/>
          <w:szCs w:val="13"/>
          <w:color w:val="auto"/>
        </w:rPr>
      </w:pPr>
      <w:r>
        <w:rPr>
          <w:rFonts w:ascii="Arial" w:cs="Arial" w:eastAsia="Arial" w:hAnsi="Arial"/>
          <w:sz w:val="13"/>
          <w:szCs w:val="13"/>
          <w:color w:val="auto"/>
        </w:rPr>
        <w:t xml:space="preserve">Sub-Paragraph </w:t>
      </w:r>
      <w:hyperlink w:anchor="page387">
        <w:r>
          <w:rPr>
            <w:rFonts w:ascii="Arial" w:cs="Arial" w:eastAsia="Arial" w:hAnsi="Arial"/>
            <w:sz w:val="13"/>
            <w:szCs w:val="13"/>
            <w:u w:val="single" w:color="auto"/>
            <w:color w:val="0000EE"/>
          </w:rPr>
          <w:t>(a)</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above does not apply to any such disposal ("</w:t>
      </w:r>
      <w:r>
        <w:rPr>
          <w:rFonts w:ascii="Arial" w:cs="Arial" w:eastAsia="Arial" w:hAnsi="Arial"/>
          <w:sz w:val="13"/>
          <w:szCs w:val="13"/>
          <w:b w:val="1"/>
          <w:bCs w:val="1"/>
          <w:color w:val="auto"/>
        </w:rPr>
        <w:t>Permitted Disposal</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2500" w:hanging="710"/>
        <w:spacing w:after="0"/>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made with the prior written consent of the Bank;</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made on arm's length terms in the ordinary course of business of a Group Company;</w:t>
      </w:r>
    </w:p>
    <w:p>
      <w:pPr>
        <w:spacing w:after="0" w:line="70" w:lineRule="exact"/>
        <w:rPr>
          <w:rFonts w:ascii="Arial" w:cs="Arial" w:eastAsia="Arial" w:hAnsi="Arial"/>
          <w:sz w:val="13"/>
          <w:szCs w:val="13"/>
          <w:color w:val="auto"/>
        </w:rPr>
      </w:pPr>
    </w:p>
    <w:p>
      <w:pPr>
        <w:ind w:left="2500" w:hanging="710"/>
        <w:spacing w:after="0"/>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made on arm's length terms and at fair market value for cash, which is reinvested in assets of comparable or superior type, value and quality;</w:t>
      </w:r>
    </w:p>
    <w:p>
      <w:pPr>
        <w:spacing w:after="0" w:line="70" w:lineRule="exact"/>
        <w:rPr>
          <w:rFonts w:ascii="Arial" w:cs="Arial" w:eastAsia="Arial" w:hAnsi="Arial"/>
          <w:sz w:val="13"/>
          <w:szCs w:val="13"/>
          <w:color w:val="auto"/>
        </w:rPr>
      </w:pPr>
    </w:p>
    <w:p>
      <w:pPr>
        <w:ind w:left="2500" w:right="400" w:hanging="710"/>
        <w:spacing w:after="0" w:line="258" w:lineRule="auto"/>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made on arm's length terms in exchange for other assets (other than shares, businesses and real estate) comparable or superior as to type, value and quality;</w:t>
      </w:r>
    </w:p>
    <w:p>
      <w:pPr>
        <w:spacing w:after="0" w:line="48" w:lineRule="exact"/>
        <w:rPr>
          <w:rFonts w:ascii="Arial" w:cs="Arial" w:eastAsia="Arial" w:hAnsi="Arial"/>
          <w:sz w:val="13"/>
          <w:szCs w:val="13"/>
          <w:color w:val="auto"/>
        </w:rPr>
      </w:pPr>
    </w:p>
    <w:p>
      <w:pPr>
        <w:ind w:left="2500" w:hanging="710"/>
        <w:spacing w:after="0"/>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by (A) one Obligor to another Obligor, or (B) a group Company which is not an Obligor to another Group Company which is not an Obligor;</w:t>
      </w:r>
    </w:p>
    <w:p>
      <w:pPr>
        <w:spacing w:after="0" w:line="70" w:lineRule="exact"/>
        <w:rPr>
          <w:rFonts w:ascii="Arial" w:cs="Arial" w:eastAsia="Arial" w:hAnsi="Arial"/>
          <w:sz w:val="13"/>
          <w:szCs w:val="13"/>
          <w:color w:val="auto"/>
        </w:rPr>
      </w:pPr>
    </w:p>
    <w:p>
      <w:pPr>
        <w:ind w:left="2500" w:hanging="710"/>
        <w:spacing w:after="0"/>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constituted by a licence of Intellectual Property Rights on arm's length terms in the ordinary course of business of a Group Company;</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made in relation to non-material assets which have depreciated to less than [***] of their initial value or which are obsolete;</w:t>
      </w:r>
    </w:p>
    <w:p>
      <w:pPr>
        <w:spacing w:after="0" w:line="80" w:lineRule="exact"/>
        <w:rPr>
          <w:rFonts w:ascii="Arial" w:cs="Arial" w:eastAsia="Arial" w:hAnsi="Arial"/>
          <w:sz w:val="13"/>
          <w:szCs w:val="13"/>
          <w:color w:val="auto"/>
        </w:rPr>
      </w:pPr>
    </w:p>
    <w:p>
      <w:pPr>
        <w:ind w:left="2500" w:right="280" w:hanging="710"/>
        <w:spacing w:after="0" w:line="258" w:lineRule="auto"/>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 xml:space="preserve">excluding any disposal otherwise permitted under </w:t>
      </w:r>
      <w:hyperlink w:anchor="page388">
        <w:r>
          <w:rPr>
            <w:rFonts w:ascii="Arial" w:cs="Arial" w:eastAsia="Arial" w:hAnsi="Arial"/>
            <w:sz w:val="13"/>
            <w:szCs w:val="13"/>
            <w:u w:val="single" w:color="auto"/>
            <w:color w:val="0000EE"/>
          </w:rPr>
          <w:t>(ii)</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to </w:t>
      </w:r>
      <w:hyperlink w:anchor="page388">
        <w:r>
          <w:rPr>
            <w:rFonts w:ascii="Arial" w:cs="Arial" w:eastAsia="Arial" w:hAnsi="Arial"/>
            <w:sz w:val="13"/>
            <w:szCs w:val="13"/>
            <w:u w:val="single" w:color="auto"/>
            <w:color w:val="0000EE"/>
          </w:rPr>
          <w:t>(vii)</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above, disposals where the higher of the market value or consideration receivable for such disposals does not exceed EUR [***] over the lifetime of this Contract; or</w:t>
      </w:r>
    </w:p>
    <w:p>
      <w:pPr>
        <w:spacing w:after="0" w:line="58" w:lineRule="exact"/>
        <w:rPr>
          <w:rFonts w:ascii="Arial" w:cs="Arial" w:eastAsia="Arial" w:hAnsi="Arial"/>
          <w:sz w:val="13"/>
          <w:szCs w:val="13"/>
          <w:color w:val="auto"/>
        </w:rPr>
      </w:pPr>
    </w:p>
    <w:p>
      <w:pPr>
        <w:ind w:left="2500" w:hanging="710"/>
        <w:spacing w:after="0"/>
        <w:tabs>
          <w:tab w:leader="none" w:pos="250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arising as a result of Permitted Security.</w:t>
      </w:r>
    </w:p>
    <w:p>
      <w:pPr>
        <w:spacing w:after="0" w:line="80" w:lineRule="exact"/>
        <w:rPr>
          <w:rFonts w:ascii="Arial" w:cs="Arial" w:eastAsia="Arial" w:hAnsi="Arial"/>
          <w:sz w:val="13"/>
          <w:szCs w:val="13"/>
          <w:color w:val="auto"/>
        </w:rPr>
      </w:pPr>
    </w:p>
    <w:p>
      <w:pPr>
        <w:ind w:left="1780" w:right="120" w:hanging="710"/>
        <w:spacing w:after="0" w:line="245" w:lineRule="auto"/>
        <w:tabs>
          <w:tab w:leader="none" w:pos="1780" w:val="left"/>
        </w:tabs>
        <w:numPr>
          <w:ilvl w:val="0"/>
          <w:numId w:val="463"/>
        </w:numPr>
        <w:rPr>
          <w:rFonts w:ascii="Arial" w:cs="Arial" w:eastAsia="Arial" w:hAnsi="Arial"/>
          <w:sz w:val="13"/>
          <w:szCs w:val="13"/>
          <w:color w:val="auto"/>
        </w:rPr>
      </w:pPr>
      <w:r>
        <w:rPr>
          <w:rFonts w:ascii="Arial" w:cs="Arial" w:eastAsia="Arial" w:hAnsi="Arial"/>
          <w:sz w:val="13"/>
          <w:szCs w:val="13"/>
          <w:color w:val="auto"/>
        </w:rPr>
        <w:t xml:space="preserve">A disposal shall in each case only qualify as Permitted Disposal within the meaning of paragraph (b) above, if the relevant disposal is not of assets forming part of the Investment or shares in subsidiaries holding assets forming part of the Investment, which may not be disposed of unless either (i) such disposal is made in accordance with Paragraph (b)(vi) above, (ii) the Borrower consults the Bank in relation to such disposal, and the Bank approves such disposal (such approval not to be unreasonably withheld), or (iii) the proceeds of such disposal are applied to prepay the Bank in accordance with Article </w:t>
      </w:r>
      <w:r>
        <w:rPr>
          <w:rFonts w:ascii="Arial" w:cs="Arial" w:eastAsia="Arial" w:hAnsi="Arial"/>
          <w:sz w:val="13"/>
          <w:szCs w:val="13"/>
          <w:u w:val="single" w:color="auto"/>
          <w:color w:val="0000EE"/>
        </w:rPr>
        <w:t>5.3.4</w:t>
      </w:r>
      <w:r>
        <w:rPr>
          <w:rFonts w:ascii="Arial" w:cs="Arial" w:eastAsia="Arial" w:hAnsi="Arial"/>
          <w:sz w:val="13"/>
          <w:szCs w:val="13"/>
          <w:color w:val="auto"/>
        </w:rPr>
        <w:t xml:space="preserve"> (</w:t>
      </w:r>
      <w:r>
        <w:rPr>
          <w:rFonts w:ascii="Arial" w:cs="Arial" w:eastAsia="Arial" w:hAnsi="Arial"/>
          <w:sz w:val="13"/>
          <w:szCs w:val="13"/>
          <w:i w:val="1"/>
          <w:iCs w:val="1"/>
          <w:color w:val="auto"/>
        </w:rPr>
        <w:t>Disposals</w:t>
      </w:r>
      <w:r>
        <w:rPr>
          <w:rFonts w:ascii="Arial" w:cs="Arial" w:eastAsia="Arial" w:hAnsi="Arial"/>
          <w:sz w:val="13"/>
          <w:szCs w:val="13"/>
          <w:color w:val="auto"/>
        </w:rPr>
        <w:t>).</w:t>
      </w:r>
    </w:p>
    <w:p>
      <w:pPr>
        <w:spacing w:after="0" w:line="195"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 xml:space="preserve">For the purposes of this Paragraph </w:t>
      </w:r>
      <w:hyperlink w:anchor="page387">
        <w:r>
          <w:rPr>
            <w:rFonts w:ascii="Arial" w:cs="Arial" w:eastAsia="Arial" w:hAnsi="Arial"/>
            <w:sz w:val="13"/>
            <w:szCs w:val="13"/>
            <w:u w:val="single" w:color="auto"/>
            <w:color w:val="0000EE"/>
          </w:rPr>
          <w:t>7</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Disposal of assets</w:t>
      </w:r>
      <w:r>
        <w:rPr>
          <w:rFonts w:ascii="Arial" w:cs="Arial" w:eastAsia="Arial" w:hAnsi="Arial"/>
          <w:sz w:val="13"/>
          <w:szCs w:val="13"/>
          <w:color w:val="auto"/>
        </w:rPr>
        <w:t>), "dispose" and "disposal" includes any act effecting sale, transfer, lease or other disposal (</w:t>
      </w:r>
      <w:r>
        <w:rPr>
          <w:rFonts w:ascii="Arial" w:cs="Arial" w:eastAsia="Arial" w:hAnsi="Arial"/>
          <w:sz w:val="13"/>
          <w:szCs w:val="13"/>
          <w:i w:val="1"/>
          <w:iCs w:val="1"/>
          <w:color w:val="auto"/>
        </w:rPr>
        <w:t>Verfügung</w:t>
      </w:r>
      <w:r>
        <w:rPr>
          <w:rFonts w:ascii="Arial" w:cs="Arial" w:eastAsia="Arial" w:hAnsi="Arial"/>
          <w:sz w:val="13"/>
          <w:szCs w:val="13"/>
          <w:color w:val="auto"/>
        </w:rPr>
        <w:t>).</w:t>
      </w:r>
    </w:p>
    <w:p>
      <w:pPr>
        <w:spacing w:after="0" w:line="118" w:lineRule="exact"/>
        <w:rPr>
          <w:rFonts w:ascii="Arial" w:cs="Arial" w:eastAsia="Arial" w:hAnsi="Arial"/>
          <w:sz w:val="13"/>
          <w:szCs w:val="13"/>
          <w:color w:val="auto"/>
        </w:rPr>
      </w:pPr>
    </w:p>
    <w:p>
      <w:pPr>
        <w:ind w:left="1060" w:hanging="530"/>
        <w:spacing w:after="0"/>
        <w:tabs>
          <w:tab w:leader="none" w:pos="1060" w:val="left"/>
        </w:tabs>
        <w:numPr>
          <w:ilvl w:val="0"/>
          <w:numId w:val="464"/>
        </w:numPr>
        <w:rPr>
          <w:rFonts w:ascii="Arial" w:cs="Arial" w:eastAsia="Arial" w:hAnsi="Arial"/>
          <w:sz w:val="13"/>
          <w:szCs w:val="13"/>
          <w:b w:val="1"/>
          <w:bCs w:val="1"/>
          <w:color w:val="auto"/>
        </w:rPr>
      </w:pPr>
      <w:r>
        <w:rPr>
          <w:rFonts w:ascii="Arial" w:cs="Arial" w:eastAsia="Arial" w:hAnsi="Arial"/>
          <w:sz w:val="13"/>
          <w:szCs w:val="13"/>
          <w:b w:val="1"/>
          <w:bCs w:val="1"/>
          <w:color w:val="auto"/>
        </w:rPr>
        <w:t>Maintenance of assets</w:t>
      </w:r>
    </w:p>
    <w:p>
      <w:pPr>
        <w:spacing w:after="0" w:line="136" w:lineRule="exact"/>
        <w:rPr>
          <w:rFonts w:ascii="Arial" w:cs="Arial" w:eastAsia="Arial" w:hAnsi="Arial"/>
          <w:sz w:val="13"/>
          <w:szCs w:val="13"/>
          <w:b w:val="1"/>
          <w:bCs w:val="1"/>
          <w:color w:val="auto"/>
        </w:rPr>
      </w:pPr>
    </w:p>
    <w:p>
      <w:pPr>
        <w:ind w:left="1080" w:right="120"/>
        <w:spacing w:after="0" w:line="258" w:lineRule="auto"/>
        <w:rPr>
          <w:rFonts w:ascii="Arial" w:cs="Arial" w:eastAsia="Arial" w:hAnsi="Arial"/>
          <w:sz w:val="13"/>
          <w:szCs w:val="13"/>
          <w:b w:val="1"/>
          <w:bCs w:val="1"/>
          <w:color w:val="auto"/>
        </w:rPr>
      </w:pPr>
      <w:r>
        <w:rPr>
          <w:rFonts w:ascii="Arial" w:cs="Arial" w:eastAsia="Arial" w:hAnsi="Arial"/>
          <w:sz w:val="13"/>
          <w:szCs w:val="13"/>
          <w:color w:val="auto"/>
        </w:rPr>
        <w:t>The Borrower shall maintain, repair, overhaul and renew all assets required in relation to the Investment as required to keep such assets in good working order (ordinary wear and tear excepted).</w:t>
      </w:r>
    </w:p>
    <w:p>
      <w:pPr>
        <w:spacing w:after="0" w:line="82" w:lineRule="exact"/>
        <w:rPr>
          <w:rFonts w:ascii="Arial" w:cs="Arial" w:eastAsia="Arial" w:hAnsi="Arial"/>
          <w:sz w:val="13"/>
          <w:szCs w:val="13"/>
          <w:b w:val="1"/>
          <w:bCs w:val="1"/>
          <w:color w:val="auto"/>
        </w:rPr>
      </w:pPr>
    </w:p>
    <w:p>
      <w:pPr>
        <w:ind w:left="1060" w:hanging="510"/>
        <w:spacing w:after="0"/>
        <w:tabs>
          <w:tab w:leader="none" w:pos="1060" w:val="left"/>
        </w:tabs>
        <w:numPr>
          <w:ilvl w:val="1"/>
          <w:numId w:val="464"/>
        </w:numPr>
        <w:rPr>
          <w:rFonts w:ascii="Arial" w:cs="Arial" w:eastAsia="Arial" w:hAnsi="Arial"/>
          <w:sz w:val="13"/>
          <w:szCs w:val="13"/>
          <w:b w:val="1"/>
          <w:bCs w:val="1"/>
          <w:color w:val="auto"/>
        </w:rPr>
      </w:pPr>
      <w:r>
        <w:rPr>
          <w:rFonts w:ascii="Arial" w:cs="Arial" w:eastAsia="Arial" w:hAnsi="Arial"/>
          <w:sz w:val="13"/>
          <w:szCs w:val="13"/>
          <w:b w:val="1"/>
          <w:bCs w:val="1"/>
          <w:color w:val="auto"/>
        </w:rPr>
        <w:t>Insurances</w:t>
      </w:r>
    </w:p>
    <w:p>
      <w:pPr>
        <w:spacing w:after="0" w:line="136" w:lineRule="exact"/>
        <w:rPr>
          <w:rFonts w:ascii="Arial" w:cs="Arial" w:eastAsia="Arial" w:hAnsi="Arial"/>
          <w:sz w:val="13"/>
          <w:szCs w:val="13"/>
          <w:b w:val="1"/>
          <w:bCs w:val="1"/>
          <w:color w:val="auto"/>
        </w:rPr>
      </w:pPr>
    </w:p>
    <w:p>
      <w:pPr>
        <w:ind w:left="1080" w:right="120"/>
        <w:spacing w:after="0" w:line="258" w:lineRule="auto"/>
        <w:rPr>
          <w:rFonts w:ascii="Arial" w:cs="Arial" w:eastAsia="Arial" w:hAnsi="Arial"/>
          <w:sz w:val="13"/>
          <w:szCs w:val="13"/>
          <w:b w:val="1"/>
          <w:bCs w:val="1"/>
          <w:color w:val="auto"/>
        </w:rPr>
      </w:pPr>
      <w:r>
        <w:rPr>
          <w:rFonts w:ascii="Arial" w:cs="Arial" w:eastAsia="Arial" w:hAnsi="Arial"/>
          <w:sz w:val="13"/>
          <w:szCs w:val="13"/>
          <w:color w:val="auto"/>
        </w:rPr>
        <w:t>The Borrower shall, and shall procure that each Group Company shall, maintain insurances on and in relation to its business and assets with reputable underwriters or insurance companies against those risks and to the extent as is usual for companies carrying on the same or substantially similar business.</w:t>
      </w:r>
    </w:p>
    <w:p>
      <w:pPr>
        <w:spacing w:after="0" w:line="82" w:lineRule="exact"/>
        <w:rPr>
          <w:rFonts w:ascii="Arial" w:cs="Arial" w:eastAsia="Arial" w:hAnsi="Arial"/>
          <w:sz w:val="13"/>
          <w:szCs w:val="13"/>
          <w:b w:val="1"/>
          <w:bCs w:val="1"/>
          <w:color w:val="auto"/>
        </w:rPr>
      </w:pPr>
    </w:p>
    <w:p>
      <w:pPr>
        <w:ind w:left="1060" w:hanging="510"/>
        <w:spacing w:after="0"/>
        <w:tabs>
          <w:tab w:leader="none" w:pos="1060" w:val="left"/>
        </w:tabs>
        <w:numPr>
          <w:ilvl w:val="1"/>
          <w:numId w:val="464"/>
        </w:numPr>
        <w:rPr>
          <w:rFonts w:ascii="Arial" w:cs="Arial" w:eastAsia="Arial" w:hAnsi="Arial"/>
          <w:sz w:val="13"/>
          <w:szCs w:val="13"/>
          <w:b w:val="1"/>
          <w:bCs w:val="1"/>
          <w:color w:val="auto"/>
        </w:rPr>
      </w:pPr>
      <w:r>
        <w:rPr>
          <w:rFonts w:ascii="Arial" w:cs="Arial" w:eastAsia="Arial" w:hAnsi="Arial"/>
          <w:sz w:val="13"/>
          <w:szCs w:val="13"/>
          <w:b w:val="1"/>
          <w:bCs w:val="1"/>
          <w:color w:val="auto"/>
        </w:rPr>
        <w:t>Change in business</w:t>
      </w:r>
    </w:p>
    <w:p>
      <w:pPr>
        <w:spacing w:after="0" w:line="136" w:lineRule="exact"/>
        <w:rPr>
          <w:rFonts w:ascii="Arial" w:cs="Arial" w:eastAsia="Arial" w:hAnsi="Arial"/>
          <w:sz w:val="13"/>
          <w:szCs w:val="13"/>
          <w:color w:val="auto"/>
        </w:rPr>
      </w:pPr>
    </w:p>
    <w:p>
      <w:pPr>
        <w:ind w:left="1080" w:right="120"/>
        <w:spacing w:after="0" w:line="258" w:lineRule="auto"/>
        <w:rPr>
          <w:sz w:val="20"/>
          <w:szCs w:val="20"/>
          <w:color w:val="auto"/>
        </w:rPr>
      </w:pPr>
      <w:r>
        <w:rPr>
          <w:rFonts w:ascii="Arial" w:cs="Arial" w:eastAsia="Arial" w:hAnsi="Arial"/>
          <w:sz w:val="13"/>
          <w:szCs w:val="13"/>
          <w:color w:val="auto"/>
        </w:rPr>
        <w:t>The Borrower shall procure that no substantial change is made to the general nature business of the Borrower or the Group as a whole from that carried on at the date of this Contract.</w:t>
      </w:r>
    </w:p>
    <w:p>
      <w:pPr>
        <w:spacing w:after="0" w:line="83" w:lineRule="exact"/>
        <w:rPr>
          <w:rFonts w:ascii="Arial" w:cs="Arial" w:eastAsia="Arial" w:hAnsi="Arial"/>
          <w:sz w:val="13"/>
          <w:szCs w:val="13"/>
          <w:color w:val="auto"/>
        </w:rPr>
      </w:pPr>
    </w:p>
    <w:p>
      <w:pPr>
        <w:ind w:left="1060" w:hanging="530"/>
        <w:spacing w:after="0"/>
        <w:tabs>
          <w:tab w:leader="none" w:pos="1060" w:val="left"/>
        </w:tabs>
        <w:numPr>
          <w:ilvl w:val="0"/>
          <w:numId w:val="465"/>
        </w:numPr>
        <w:rPr>
          <w:rFonts w:ascii="Arial" w:cs="Arial" w:eastAsia="Arial" w:hAnsi="Arial"/>
          <w:sz w:val="13"/>
          <w:szCs w:val="13"/>
          <w:b w:val="1"/>
          <w:bCs w:val="1"/>
          <w:color w:val="auto"/>
        </w:rPr>
      </w:pPr>
      <w:r>
        <w:rPr>
          <w:rFonts w:ascii="Arial" w:cs="Arial" w:eastAsia="Arial" w:hAnsi="Arial"/>
          <w:sz w:val="13"/>
          <w:szCs w:val="13"/>
          <w:b w:val="1"/>
          <w:bCs w:val="1"/>
          <w:color w:val="auto"/>
        </w:rPr>
        <w:t>Merger</w:t>
      </w:r>
    </w:p>
    <w:p>
      <w:pPr>
        <w:spacing w:after="0" w:line="136" w:lineRule="exact"/>
        <w:rPr>
          <w:rFonts w:ascii="Arial" w:cs="Arial" w:eastAsia="Arial" w:hAnsi="Arial"/>
          <w:sz w:val="13"/>
          <w:szCs w:val="13"/>
          <w:b w:val="1"/>
          <w:bCs w:val="1"/>
          <w:color w:val="auto"/>
        </w:rPr>
      </w:pPr>
    </w:p>
    <w:p>
      <w:pPr>
        <w:ind w:left="1080" w:right="120"/>
        <w:spacing w:after="0" w:line="258" w:lineRule="auto"/>
        <w:rPr>
          <w:rFonts w:ascii="Arial" w:cs="Arial" w:eastAsia="Arial" w:hAnsi="Arial"/>
          <w:sz w:val="13"/>
          <w:szCs w:val="13"/>
          <w:b w:val="1"/>
          <w:bCs w:val="1"/>
          <w:color w:val="auto"/>
        </w:rPr>
      </w:pPr>
      <w:r>
        <w:rPr>
          <w:rFonts w:ascii="Arial" w:cs="Arial" w:eastAsia="Arial" w:hAnsi="Arial"/>
          <w:sz w:val="13"/>
          <w:szCs w:val="13"/>
          <w:color w:val="auto"/>
        </w:rPr>
        <w:t>The Borrower shall not, and shall procure that no Group Company shall, enter into any amalgamation, demerger, merger or corporate reconstruction (including the conclusion of any domination and/or profit and loss transfer agreements (</w:t>
      </w:r>
      <w:r>
        <w:rPr>
          <w:rFonts w:ascii="Arial" w:cs="Arial" w:eastAsia="Arial" w:hAnsi="Arial"/>
          <w:sz w:val="13"/>
          <w:szCs w:val="13"/>
          <w:i w:val="1"/>
          <w:iCs w:val="1"/>
          <w:color w:val="auto"/>
        </w:rPr>
        <w:t>Beherrschungs- und/oder</w:t>
      </w:r>
    </w:p>
    <w:p>
      <w:pPr>
        <w:spacing w:after="0" w:line="31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48</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88" w:name="page389"/>
    <w:bookmarkEnd w:id="388"/>
    <w:p>
      <w:pPr>
        <w:jc w:val="right"/>
        <w:spacing w:after="0"/>
        <w:rPr>
          <w:sz w:val="20"/>
          <w:szCs w:val="20"/>
          <w:color w:val="auto"/>
        </w:rPr>
      </w:pPr>
      <w:r>
        <w:rPr>
          <w:rFonts w:ascii="Arial" w:cs="Arial" w:eastAsia="Arial" w:hAnsi="Arial"/>
          <w:sz w:val="13"/>
          <w:szCs w:val="13"/>
          <w:b w:val="1"/>
          <w:bCs w:val="1"/>
          <w:color w:val="auto"/>
        </w:rPr>
        <w:t>Exhibit 4.41</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Gewinnabführungsverträge</w:t>
      </w:r>
      <w:r>
        <w:rPr>
          <w:rFonts w:ascii="Arial" w:cs="Arial" w:eastAsia="Arial" w:hAnsi="Arial"/>
          <w:sz w:val="13"/>
          <w:szCs w:val="13"/>
          <w:color w:val="auto"/>
        </w:rPr>
        <w:t>) or any other enterprise agreements (</w:t>
      </w:r>
      <w:r>
        <w:rPr>
          <w:rFonts w:ascii="Arial" w:cs="Arial" w:eastAsia="Arial" w:hAnsi="Arial"/>
          <w:sz w:val="13"/>
          <w:szCs w:val="13"/>
          <w:i w:val="1"/>
          <w:iCs w:val="1"/>
          <w:color w:val="auto"/>
        </w:rPr>
        <w:t>Unternehmensverträge</w:t>
      </w:r>
      <w:r>
        <w:rPr>
          <w:rFonts w:ascii="Arial" w:cs="Arial" w:eastAsia="Arial" w:hAnsi="Arial"/>
          <w:sz w:val="13"/>
          <w:szCs w:val="13"/>
          <w:color w:val="auto"/>
        </w:rPr>
        <w:t>)  with the meaning of section 291 AktG) unless:</w:t>
      </w:r>
    </w:p>
    <w:p>
      <w:pPr>
        <w:spacing w:after="0" w:line="74" w:lineRule="exact"/>
        <w:rPr>
          <w:sz w:val="20"/>
          <w:szCs w:val="20"/>
          <w:color w:val="auto"/>
        </w:rPr>
      </w:pPr>
    </w:p>
    <w:p>
      <w:pPr>
        <w:ind w:left="1780" w:hanging="710"/>
        <w:spacing w:after="0"/>
        <w:tabs>
          <w:tab w:leader="none" w:pos="1780" w:val="left"/>
        </w:tabs>
        <w:numPr>
          <w:ilvl w:val="0"/>
          <w:numId w:val="466"/>
        </w:numPr>
        <w:rPr>
          <w:rFonts w:ascii="Arial" w:cs="Arial" w:eastAsia="Arial" w:hAnsi="Arial"/>
          <w:sz w:val="13"/>
          <w:szCs w:val="13"/>
          <w:color w:val="auto"/>
        </w:rPr>
      </w:pPr>
      <w:r>
        <w:rPr>
          <w:rFonts w:ascii="Arial" w:cs="Arial" w:eastAsia="Arial" w:hAnsi="Arial"/>
          <w:sz w:val="13"/>
          <w:szCs w:val="13"/>
          <w:color w:val="auto"/>
        </w:rPr>
        <w:t>with the prior written consent of the Bank; or</w:t>
      </w:r>
    </w:p>
    <w:p>
      <w:pPr>
        <w:spacing w:after="0" w:line="90" w:lineRule="exact"/>
        <w:rPr>
          <w:rFonts w:ascii="Arial" w:cs="Arial" w:eastAsia="Arial" w:hAnsi="Arial"/>
          <w:sz w:val="13"/>
          <w:szCs w:val="13"/>
          <w:color w:val="auto"/>
        </w:rPr>
      </w:pPr>
    </w:p>
    <w:p>
      <w:pPr>
        <w:ind w:left="1780" w:hanging="710"/>
        <w:spacing w:after="0"/>
        <w:tabs>
          <w:tab w:leader="none" w:pos="1780" w:val="left"/>
        </w:tabs>
        <w:numPr>
          <w:ilvl w:val="0"/>
          <w:numId w:val="466"/>
        </w:numPr>
        <w:rPr>
          <w:rFonts w:ascii="Arial" w:cs="Arial" w:eastAsia="Arial" w:hAnsi="Arial"/>
          <w:sz w:val="13"/>
          <w:szCs w:val="13"/>
          <w:color w:val="auto"/>
        </w:rPr>
      </w:pPr>
      <w:r>
        <w:rPr>
          <w:rFonts w:ascii="Arial" w:cs="Arial" w:eastAsia="Arial" w:hAnsi="Arial"/>
          <w:sz w:val="13"/>
          <w:szCs w:val="13"/>
          <w:color w:val="auto"/>
        </w:rPr>
        <w:t>such amalgamation, demerger, merger or corporate reconstruction does not result in a Material Adverse Change and is on a solvent basis, and provided that:</w:t>
      </w:r>
    </w:p>
    <w:p>
      <w:pPr>
        <w:spacing w:after="0" w:line="70" w:lineRule="exact"/>
        <w:rPr>
          <w:sz w:val="20"/>
          <w:szCs w:val="20"/>
          <w:color w:val="auto"/>
        </w:rPr>
      </w:pPr>
    </w:p>
    <w:p>
      <w:pPr>
        <w:ind w:left="1780"/>
        <w:spacing w:after="0"/>
        <w:tabs>
          <w:tab w:leader="none" w:pos="248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only Group Companies are involved and if a Guarantor is involved, the surviving entity will also be or become a Guarantor;</w:t>
      </w:r>
    </w:p>
    <w:p>
      <w:pPr>
        <w:spacing w:after="0" w:line="60" w:lineRule="exact"/>
        <w:rPr>
          <w:sz w:val="20"/>
          <w:szCs w:val="20"/>
          <w:color w:val="auto"/>
        </w:rPr>
      </w:pPr>
    </w:p>
    <w:p>
      <w:pPr>
        <w:ind w:left="2500" w:right="200" w:hanging="710"/>
        <w:spacing w:after="0" w:line="249" w:lineRule="auto"/>
        <w:tabs>
          <w:tab w:leader="none" w:pos="2500" w:val="left"/>
        </w:tabs>
        <w:numPr>
          <w:ilvl w:val="3"/>
          <w:numId w:val="467"/>
        </w:numPr>
        <w:rPr>
          <w:rFonts w:ascii="Arial" w:cs="Arial" w:eastAsia="Arial" w:hAnsi="Arial"/>
          <w:sz w:val="13"/>
          <w:szCs w:val="13"/>
          <w:color w:val="auto"/>
        </w:rPr>
      </w:pPr>
      <w:r>
        <w:rPr>
          <w:rFonts w:ascii="Arial" w:cs="Arial" w:eastAsia="Arial" w:hAnsi="Arial"/>
          <w:sz w:val="13"/>
          <w:szCs w:val="13"/>
          <w:color w:val="auto"/>
        </w:rPr>
        <w:t>the resulting entity will not be incorporated or located in a country which is in a jurisdiction that is blacklisted by any Lead Organisation in connection with activities such as money laundering, financing of terrorism, tax fraud and tax evasion or harmful tax practices as such blacklist may be amended from time to time; and</w:t>
      </w:r>
    </w:p>
    <w:p>
      <w:pPr>
        <w:spacing w:after="0" w:line="74" w:lineRule="exact"/>
        <w:rPr>
          <w:rFonts w:ascii="Arial" w:cs="Arial" w:eastAsia="Arial" w:hAnsi="Arial"/>
          <w:sz w:val="13"/>
          <w:szCs w:val="13"/>
          <w:color w:val="auto"/>
        </w:rPr>
      </w:pPr>
    </w:p>
    <w:p>
      <w:pPr>
        <w:jc w:val="both"/>
        <w:ind w:left="2500" w:right="280" w:hanging="710"/>
        <w:spacing w:after="0"/>
        <w:tabs>
          <w:tab w:leader="none" w:pos="2500" w:val="left"/>
        </w:tabs>
        <w:numPr>
          <w:ilvl w:val="3"/>
          <w:numId w:val="467"/>
        </w:numPr>
        <w:rPr>
          <w:rFonts w:ascii="Arial" w:cs="Arial" w:eastAsia="Arial" w:hAnsi="Arial"/>
          <w:sz w:val="13"/>
          <w:szCs w:val="13"/>
          <w:color w:val="auto"/>
        </w:rPr>
      </w:pPr>
      <w:r>
        <w:rPr>
          <w:rFonts w:ascii="Arial" w:cs="Arial" w:eastAsia="Arial" w:hAnsi="Arial"/>
          <w:sz w:val="13"/>
          <w:szCs w:val="13"/>
          <w:color w:val="auto"/>
        </w:rPr>
        <w:t>if the Borrower is involved, (A) the rights and obligations of the Borrower under this Contract will remain with the Borrower, (B) the surviving entity will be the Borrower and the statutory seat of the Borrower would not as a result of such merger be transferred to a different jurisdiction,</w:t>
      </w:r>
    </w:p>
    <w:p>
      <w:pPr>
        <w:ind w:left="2500" w:right="180"/>
        <w:spacing w:after="0" w:line="258" w:lineRule="auto"/>
        <w:tabs>
          <w:tab w:leader="none" w:pos="2733" w:val="left"/>
        </w:tabs>
        <w:numPr>
          <w:ilvl w:val="4"/>
          <w:numId w:val="467"/>
        </w:numPr>
        <w:rPr>
          <w:rFonts w:ascii="Arial" w:cs="Arial" w:eastAsia="Arial" w:hAnsi="Arial"/>
          <w:sz w:val="13"/>
          <w:szCs w:val="13"/>
          <w:color w:val="auto"/>
        </w:rPr>
      </w:pPr>
      <w:r>
        <w:rPr>
          <w:rFonts w:ascii="Arial" w:cs="Arial" w:eastAsia="Arial" w:hAnsi="Arial"/>
          <w:sz w:val="13"/>
          <w:szCs w:val="13"/>
          <w:color w:val="auto"/>
        </w:rPr>
        <w:t>the merger will not have an effect on the validity, legality or enforceability of the Borrower's obligations under this Contract; and (D) all of the business and assets of the Borrower are retained by it; or</w:t>
      </w:r>
    </w:p>
    <w:p>
      <w:pPr>
        <w:spacing w:after="0" w:line="58" w:lineRule="exact"/>
        <w:rPr>
          <w:rFonts w:ascii="Arial" w:cs="Arial" w:eastAsia="Arial" w:hAnsi="Arial"/>
          <w:sz w:val="13"/>
          <w:szCs w:val="13"/>
          <w:color w:val="auto"/>
        </w:rPr>
      </w:pPr>
    </w:p>
    <w:p>
      <w:pPr>
        <w:ind w:left="1780" w:right="120" w:hanging="710"/>
        <w:spacing w:after="0" w:line="249" w:lineRule="auto"/>
        <w:tabs>
          <w:tab w:leader="none" w:pos="1780" w:val="left"/>
        </w:tabs>
        <w:numPr>
          <w:ilvl w:val="1"/>
          <w:numId w:val="468"/>
        </w:numPr>
        <w:rPr>
          <w:rFonts w:ascii="Arial" w:cs="Arial" w:eastAsia="Arial" w:hAnsi="Arial"/>
          <w:sz w:val="13"/>
          <w:szCs w:val="13"/>
          <w:color w:val="auto"/>
        </w:rPr>
      </w:pPr>
      <w:r>
        <w:rPr>
          <w:rFonts w:ascii="Arial" w:cs="Arial" w:eastAsia="Arial" w:hAnsi="Arial"/>
          <w:sz w:val="13"/>
          <w:szCs w:val="13"/>
          <w:color w:val="auto"/>
        </w:rPr>
        <w:t>the enterprise value of the company (including any Indebtedness remaining in such company) involved in an amalgamation, demerger, merger or corporate reconstruction not already permitted under Paragraph (b) above (i) does not exceed an amount of EUR [***] in a single transaction and EUR [***] during the Term of the Credit and (ii) provided Paragraphs (b)(ii) and (iii) above are fulfilled.</w:t>
      </w:r>
    </w:p>
    <w:p>
      <w:pPr>
        <w:spacing w:after="0" w:line="88" w:lineRule="exact"/>
        <w:rPr>
          <w:rFonts w:ascii="Arial" w:cs="Arial" w:eastAsia="Arial" w:hAnsi="Arial"/>
          <w:sz w:val="13"/>
          <w:szCs w:val="13"/>
          <w:color w:val="auto"/>
        </w:rPr>
      </w:pPr>
    </w:p>
    <w:p>
      <w:pPr>
        <w:ind w:left="1060" w:hanging="510"/>
        <w:spacing w:after="0"/>
        <w:tabs>
          <w:tab w:leader="none" w:pos="1060" w:val="left"/>
        </w:tabs>
        <w:numPr>
          <w:ilvl w:val="0"/>
          <w:numId w:val="469"/>
        </w:numPr>
        <w:rPr>
          <w:rFonts w:ascii="Arial" w:cs="Arial" w:eastAsia="Arial" w:hAnsi="Arial"/>
          <w:sz w:val="13"/>
          <w:szCs w:val="13"/>
          <w:b w:val="1"/>
          <w:bCs w:val="1"/>
          <w:color w:val="auto"/>
        </w:rPr>
      </w:pPr>
      <w:r>
        <w:rPr>
          <w:rFonts w:ascii="Arial" w:cs="Arial" w:eastAsia="Arial" w:hAnsi="Arial"/>
          <w:sz w:val="13"/>
          <w:szCs w:val="13"/>
          <w:b w:val="1"/>
          <w:bCs w:val="1"/>
          <w:color w:val="auto"/>
        </w:rPr>
        <w:t>Books and records</w:t>
      </w:r>
    </w:p>
    <w:p>
      <w:pPr>
        <w:spacing w:after="0" w:line="136" w:lineRule="exact"/>
        <w:rPr>
          <w:rFonts w:ascii="Arial" w:cs="Arial" w:eastAsia="Arial" w:hAnsi="Arial"/>
          <w:sz w:val="13"/>
          <w:szCs w:val="13"/>
          <w:b w:val="1"/>
          <w:bCs w:val="1"/>
          <w:color w:val="auto"/>
        </w:rPr>
      </w:pPr>
    </w:p>
    <w:p>
      <w:pPr>
        <w:ind w:left="1080" w:right="120"/>
        <w:spacing w:after="0" w:line="258" w:lineRule="auto"/>
        <w:rPr>
          <w:rFonts w:ascii="Arial" w:cs="Arial" w:eastAsia="Arial" w:hAnsi="Arial"/>
          <w:sz w:val="13"/>
          <w:szCs w:val="13"/>
          <w:b w:val="1"/>
          <w:bCs w:val="1"/>
          <w:color w:val="auto"/>
        </w:rPr>
      </w:pPr>
      <w:r>
        <w:rPr>
          <w:rFonts w:ascii="Arial" w:cs="Arial" w:eastAsia="Arial" w:hAnsi="Arial"/>
          <w:sz w:val="13"/>
          <w:szCs w:val="13"/>
          <w:color w:val="auto"/>
        </w:rPr>
        <w:t>Each Obligor shall ensure that it has kept and will continue to keep proper books and records of account, in which full and correct entries shall be made of all financial transactions and its assets and business, including expenditures in connection with the Investment, in accordance with GAAP as in effect from time to time.</w:t>
      </w:r>
    </w:p>
    <w:p>
      <w:pPr>
        <w:spacing w:after="0" w:line="82" w:lineRule="exact"/>
        <w:rPr>
          <w:rFonts w:ascii="Arial" w:cs="Arial" w:eastAsia="Arial" w:hAnsi="Arial"/>
          <w:sz w:val="13"/>
          <w:szCs w:val="13"/>
          <w:b w:val="1"/>
          <w:bCs w:val="1"/>
          <w:color w:val="auto"/>
        </w:rPr>
      </w:pPr>
    </w:p>
    <w:p>
      <w:pPr>
        <w:ind w:left="1060" w:hanging="510"/>
        <w:spacing w:after="0"/>
        <w:tabs>
          <w:tab w:leader="none" w:pos="1060" w:val="left"/>
        </w:tabs>
        <w:numPr>
          <w:ilvl w:val="0"/>
          <w:numId w:val="469"/>
        </w:numPr>
        <w:rPr>
          <w:rFonts w:ascii="Arial" w:cs="Arial" w:eastAsia="Arial" w:hAnsi="Arial"/>
          <w:sz w:val="13"/>
          <w:szCs w:val="13"/>
          <w:b w:val="1"/>
          <w:bCs w:val="1"/>
          <w:color w:val="auto"/>
        </w:rPr>
      </w:pPr>
      <w:r>
        <w:rPr>
          <w:rFonts w:ascii="Arial" w:cs="Arial" w:eastAsia="Arial" w:hAnsi="Arial"/>
          <w:sz w:val="13"/>
          <w:szCs w:val="13"/>
          <w:b w:val="1"/>
          <w:bCs w:val="1"/>
          <w:color w:val="auto"/>
        </w:rPr>
        <w:t>Ownership</w:t>
      </w:r>
    </w:p>
    <w:p>
      <w:pPr>
        <w:spacing w:after="0" w:line="136" w:lineRule="exact"/>
        <w:rPr>
          <w:rFonts w:ascii="Arial" w:cs="Arial" w:eastAsia="Arial" w:hAnsi="Arial"/>
          <w:sz w:val="13"/>
          <w:szCs w:val="13"/>
          <w:b w:val="1"/>
          <w:bCs w:val="1"/>
          <w:color w:val="auto"/>
        </w:rPr>
      </w:pPr>
    </w:p>
    <w:p>
      <w:pPr>
        <w:ind w:left="1780" w:right="160" w:hanging="710"/>
        <w:spacing w:after="0" w:line="258" w:lineRule="auto"/>
        <w:tabs>
          <w:tab w:leader="none" w:pos="1780" w:val="left"/>
        </w:tabs>
        <w:numPr>
          <w:ilvl w:val="1"/>
          <w:numId w:val="469"/>
        </w:numPr>
        <w:rPr>
          <w:rFonts w:ascii="Arial" w:cs="Arial" w:eastAsia="Arial" w:hAnsi="Arial"/>
          <w:sz w:val="13"/>
          <w:szCs w:val="13"/>
          <w:color w:val="auto"/>
        </w:rPr>
      </w:pPr>
      <w:r>
        <w:rPr>
          <w:rFonts w:ascii="Arial" w:cs="Arial" w:eastAsia="Arial" w:hAnsi="Arial"/>
          <w:sz w:val="13"/>
          <w:szCs w:val="13"/>
          <w:color w:val="auto"/>
        </w:rPr>
        <w:t>The Borrower shall maintain more than 50% (fifty per cent.) of the share capital, directly or indirectly, of each of its Material Subsidiaries, unless a prior written consent of the Bank is received by the Borrower.</w:t>
      </w:r>
    </w:p>
    <w:p>
      <w:pPr>
        <w:spacing w:after="0" w:line="58" w:lineRule="exact"/>
        <w:rPr>
          <w:rFonts w:ascii="Arial" w:cs="Arial" w:eastAsia="Arial" w:hAnsi="Arial"/>
          <w:sz w:val="13"/>
          <w:szCs w:val="13"/>
          <w:color w:val="auto"/>
        </w:rPr>
      </w:pPr>
    </w:p>
    <w:p>
      <w:pPr>
        <w:ind w:left="1780" w:right="140" w:hanging="710"/>
        <w:spacing w:after="0" w:line="258" w:lineRule="auto"/>
        <w:tabs>
          <w:tab w:leader="none" w:pos="1780" w:val="left"/>
        </w:tabs>
        <w:numPr>
          <w:ilvl w:val="1"/>
          <w:numId w:val="469"/>
        </w:numPr>
        <w:rPr>
          <w:rFonts w:ascii="Arial" w:cs="Arial" w:eastAsia="Arial" w:hAnsi="Arial"/>
          <w:sz w:val="13"/>
          <w:szCs w:val="13"/>
          <w:color w:val="auto"/>
        </w:rPr>
      </w:pPr>
      <w:r>
        <w:rPr>
          <w:rFonts w:ascii="Arial" w:cs="Arial" w:eastAsia="Arial" w:hAnsi="Arial"/>
          <w:sz w:val="13"/>
          <w:szCs w:val="13"/>
          <w:color w:val="auto"/>
        </w:rPr>
        <w:t>The Borrower shall in aggregate maintain not less than 100% (one hundred per cent.) of the share capital, directly or indirectly, of each Guarantor and each Material Subsidiary, unless:</w:t>
      </w:r>
    </w:p>
    <w:p>
      <w:pPr>
        <w:spacing w:after="0" w:line="58" w:lineRule="exact"/>
        <w:rPr>
          <w:rFonts w:ascii="Arial" w:cs="Arial" w:eastAsia="Arial" w:hAnsi="Arial"/>
          <w:sz w:val="13"/>
          <w:szCs w:val="13"/>
          <w:color w:val="auto"/>
        </w:rPr>
      </w:pPr>
    </w:p>
    <w:p>
      <w:pPr>
        <w:ind w:left="2140" w:right="360" w:hanging="700"/>
        <w:spacing w:after="0" w:line="258" w:lineRule="auto"/>
        <w:tabs>
          <w:tab w:leader="none" w:pos="2140" w:val="left"/>
        </w:tabs>
        <w:numPr>
          <w:ilvl w:val="2"/>
          <w:numId w:val="469"/>
        </w:numPr>
        <w:rPr>
          <w:rFonts w:ascii="Arial" w:cs="Arial" w:eastAsia="Arial" w:hAnsi="Arial"/>
          <w:sz w:val="13"/>
          <w:szCs w:val="13"/>
          <w:color w:val="auto"/>
        </w:rPr>
      </w:pPr>
      <w:r>
        <w:rPr>
          <w:rFonts w:ascii="Arial" w:cs="Arial" w:eastAsia="Arial" w:hAnsi="Arial"/>
          <w:sz w:val="13"/>
          <w:szCs w:val="13"/>
          <w:color w:val="auto"/>
        </w:rPr>
        <w:t>the percentage of the share capital in the relevant Guarantor or Material Subsidiary at the date of this Contract is lower than 100% (one hundred per cent.) ("</w:t>
      </w:r>
      <w:r>
        <w:rPr>
          <w:rFonts w:ascii="Arial" w:cs="Arial" w:eastAsia="Arial" w:hAnsi="Arial"/>
          <w:sz w:val="13"/>
          <w:szCs w:val="13"/>
          <w:b w:val="1"/>
          <w:bCs w:val="1"/>
          <w:color w:val="auto"/>
        </w:rPr>
        <w:t>Initial Ownership Stake</w:t>
      </w:r>
      <w:r>
        <w:rPr>
          <w:rFonts w:ascii="Arial" w:cs="Arial" w:eastAsia="Arial" w:hAnsi="Arial"/>
          <w:sz w:val="13"/>
          <w:szCs w:val="13"/>
          <w:color w:val="auto"/>
        </w:rPr>
        <w:t>"), in which case the Borrower shall maintain such Initial Ownership Stake; or</w:t>
      </w:r>
    </w:p>
    <w:p>
      <w:pPr>
        <w:spacing w:after="0" w:line="58" w:lineRule="exact"/>
        <w:rPr>
          <w:rFonts w:ascii="Arial" w:cs="Arial" w:eastAsia="Arial" w:hAnsi="Arial"/>
          <w:sz w:val="13"/>
          <w:szCs w:val="13"/>
          <w:color w:val="auto"/>
        </w:rPr>
      </w:pPr>
    </w:p>
    <w:p>
      <w:pPr>
        <w:ind w:left="2140" w:hanging="700"/>
        <w:spacing w:after="0"/>
        <w:tabs>
          <w:tab w:leader="none" w:pos="2140" w:val="left"/>
        </w:tabs>
        <w:numPr>
          <w:ilvl w:val="2"/>
          <w:numId w:val="469"/>
        </w:numPr>
        <w:rPr>
          <w:rFonts w:ascii="Arial" w:cs="Arial" w:eastAsia="Arial" w:hAnsi="Arial"/>
          <w:sz w:val="13"/>
          <w:szCs w:val="13"/>
          <w:color w:val="auto"/>
        </w:rPr>
      </w:pPr>
      <w:r>
        <w:rPr>
          <w:rFonts w:ascii="Arial" w:cs="Arial" w:eastAsia="Arial" w:hAnsi="Arial"/>
          <w:sz w:val="13"/>
          <w:szCs w:val="13"/>
          <w:color w:val="auto"/>
        </w:rPr>
        <w:t>prior written consent of the Bank is received by the Borrower.</w:t>
      </w:r>
    </w:p>
    <w:p>
      <w:pPr>
        <w:sectPr>
          <w:pgSz w:w="11900" w:h="16838" w:orient="portrait"/>
          <w:cols w:equalWidth="0" w:num="1">
            <w:col w:w="11260"/>
          </w:cols>
          <w:pgMar w:left="320" w:top="127" w:right="319" w:bottom="1440" w:gutter="0" w:footer="0" w:header="0"/>
        </w:sectPr>
      </w:pPr>
    </w:p>
    <w:p>
      <w:pPr>
        <w:spacing w:after="0" w:line="6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The Borrower shall immediately notify the Bank in the event of a new entity becoming a Subsidiary of the Borrower through any means, including but not limited to acquisition, creation and spin-off.</w:t>
      </w:r>
    </w:p>
    <w:p>
      <w:pPr>
        <w:spacing w:after="0" w:line="69" w:lineRule="exact"/>
        <w:rPr>
          <w:sz w:val="20"/>
          <w:szCs w:val="20"/>
          <w:color w:val="auto"/>
        </w:rPr>
      </w:pPr>
    </w:p>
    <w:p>
      <w:pPr>
        <w:sectPr>
          <w:pgSz w:w="11900" w:h="16838" w:orient="portrait"/>
          <w:cols w:equalWidth="0" w:num="2">
            <w:col w:w="1220" w:space="560"/>
            <w:col w:w="9480"/>
          </w:cols>
          <w:pgMar w:left="320" w:top="127" w:right="319" w:bottom="1440" w:gutter="0" w:footer="0" w:header="0"/>
          <w:type w:val="continuous"/>
        </w:sectPr>
      </w:pPr>
    </w:p>
    <w:p>
      <w:pPr>
        <w:ind w:left="1780" w:right="500" w:hanging="710"/>
        <w:spacing w:after="0" w:line="258" w:lineRule="auto"/>
        <w:tabs>
          <w:tab w:leader="none" w:pos="1780" w:val="left"/>
        </w:tabs>
        <w:numPr>
          <w:ilvl w:val="0"/>
          <w:numId w:val="470"/>
        </w:numPr>
        <w:rPr>
          <w:rFonts w:ascii="Arial" w:cs="Arial" w:eastAsia="Arial" w:hAnsi="Arial"/>
          <w:sz w:val="13"/>
          <w:szCs w:val="13"/>
          <w:color w:val="auto"/>
        </w:rPr>
      </w:pPr>
      <w:r>
        <w:rPr>
          <w:rFonts w:ascii="Arial" w:cs="Arial" w:eastAsia="Arial" w:hAnsi="Arial"/>
          <w:sz w:val="13"/>
          <w:szCs w:val="13"/>
          <w:color w:val="auto"/>
        </w:rPr>
        <w:t xml:space="preserve">The undertakings in Sub-Paragraphs </w:t>
      </w:r>
      <w:hyperlink w:anchor="page389">
        <w:r>
          <w:rPr>
            <w:rFonts w:ascii="Arial" w:cs="Arial" w:eastAsia="Arial" w:hAnsi="Arial"/>
            <w:sz w:val="13"/>
            <w:szCs w:val="13"/>
            <w:u w:val="single" w:color="auto"/>
            <w:color w:val="0000EE"/>
          </w:rPr>
          <w:t>(a)</w:t>
        </w:r>
      </w:hyperlink>
      <w:r>
        <w:rPr>
          <w:rFonts w:ascii="Arial" w:cs="Arial" w:eastAsia="Arial" w:hAnsi="Arial"/>
          <w:sz w:val="13"/>
          <w:szCs w:val="13"/>
          <w:color w:val="auto"/>
        </w:rPr>
        <w:t xml:space="preserve">, </w:t>
      </w:r>
      <w:hyperlink w:anchor="page389">
        <w:r>
          <w:rPr>
            <w:rFonts w:ascii="Arial" w:cs="Arial" w:eastAsia="Arial" w:hAnsi="Arial"/>
            <w:sz w:val="13"/>
            <w:szCs w:val="13"/>
            <w:u w:val="single" w:color="auto"/>
            <w:color w:val="0000EE"/>
          </w:rPr>
          <w:t>(b)</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and (c) above shall be calculated in accordance with GAAP as applied by the Borrower on the date of this Contract and as GAAP is amended from time to time and tested annually.</w:t>
      </w:r>
    </w:p>
    <w:p>
      <w:pPr>
        <w:spacing w:after="0" w:line="30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49</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389" w:name="page390"/>
    <w:bookmarkEnd w:id="389"/>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1060" w:hanging="510"/>
        <w:spacing w:after="0"/>
        <w:tabs>
          <w:tab w:leader="none" w:pos="1060" w:val="left"/>
        </w:tabs>
        <w:numPr>
          <w:ilvl w:val="0"/>
          <w:numId w:val="471"/>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22" w:lineRule="exact"/>
        <w:rPr>
          <w:sz w:val="20"/>
          <w:szCs w:val="20"/>
          <w:color w:val="auto"/>
        </w:rPr>
      </w:pPr>
    </w:p>
    <w:p>
      <w:pPr>
        <w:jc w:val="both"/>
        <w:ind w:left="1080" w:right="120"/>
        <w:spacing w:after="0" w:line="255" w:lineRule="auto"/>
        <w:rPr>
          <w:sz w:val="20"/>
          <w:szCs w:val="20"/>
          <w:color w:val="auto"/>
        </w:rPr>
      </w:pPr>
      <w:r>
        <w:rPr>
          <w:rFonts w:ascii="Arial" w:cs="Arial" w:eastAsia="Arial" w:hAnsi="Arial"/>
          <w:sz w:val="13"/>
          <w:szCs w:val="13"/>
          <w:color w:val="auto"/>
        </w:rPr>
        <w:t>The Borrower shall not, and shall procure that no Group Company shall, invest in (including by way of payment into the capital reserve (</w:t>
      </w:r>
      <w:r>
        <w:rPr>
          <w:rFonts w:ascii="Arial" w:cs="Arial" w:eastAsia="Arial" w:hAnsi="Arial"/>
          <w:sz w:val="13"/>
          <w:szCs w:val="13"/>
          <w:i w:val="1"/>
          <w:iCs w:val="1"/>
          <w:color w:val="auto"/>
        </w:rPr>
        <w:t>Kapitalrücklage</w:t>
      </w:r>
      <w:r>
        <w:rPr>
          <w:rFonts w:ascii="Arial" w:cs="Arial" w:eastAsia="Arial" w:hAnsi="Arial"/>
          <w:sz w:val="13"/>
          <w:szCs w:val="13"/>
          <w:color w:val="auto"/>
        </w:rPr>
        <w:t>)) or acquire any entity or a business going concern or an undertaking (whether whole or substantially the whole of the assets or business), or any division or operating unit thereof, or any shares or securities of any entity or a business or undertaking (or in each case, any interest in any of them) (or agree to any of the foregoing), save for an acquisition or investment:</w:t>
      </w:r>
    </w:p>
    <w:p>
      <w:pPr>
        <w:spacing w:after="0" w:line="217" w:lineRule="exact"/>
        <w:rPr>
          <w:sz w:val="20"/>
          <w:szCs w:val="20"/>
          <w:color w:val="auto"/>
        </w:rPr>
      </w:pPr>
    </w:p>
    <w:p>
      <w:pPr>
        <w:ind w:left="1780" w:hanging="710"/>
        <w:spacing w:after="0"/>
        <w:tabs>
          <w:tab w:leader="none" w:pos="1780" w:val="left"/>
        </w:tabs>
        <w:numPr>
          <w:ilvl w:val="0"/>
          <w:numId w:val="472"/>
        </w:numPr>
        <w:rPr>
          <w:rFonts w:ascii="Arial" w:cs="Arial" w:eastAsia="Arial" w:hAnsi="Arial"/>
          <w:sz w:val="13"/>
          <w:szCs w:val="13"/>
          <w:color w:val="auto"/>
        </w:rPr>
      </w:pPr>
      <w:r>
        <w:rPr>
          <w:rFonts w:ascii="Arial" w:cs="Arial" w:eastAsia="Arial" w:hAnsi="Arial"/>
          <w:sz w:val="13"/>
          <w:szCs w:val="13"/>
          <w:color w:val="auto"/>
        </w:rPr>
        <w:t>with the prior written consent of the Bank;</w:t>
      </w:r>
    </w:p>
    <w:p>
      <w:pPr>
        <w:spacing w:after="0" w:line="70" w:lineRule="exact"/>
        <w:rPr>
          <w:rFonts w:ascii="Arial" w:cs="Arial" w:eastAsia="Arial" w:hAnsi="Arial"/>
          <w:sz w:val="13"/>
          <w:szCs w:val="13"/>
          <w:color w:val="auto"/>
        </w:rPr>
      </w:pPr>
    </w:p>
    <w:p>
      <w:pPr>
        <w:ind w:left="1780" w:hanging="710"/>
        <w:spacing w:after="0"/>
        <w:tabs>
          <w:tab w:leader="none" w:pos="1780" w:val="left"/>
        </w:tabs>
        <w:numPr>
          <w:ilvl w:val="0"/>
          <w:numId w:val="472"/>
        </w:numPr>
        <w:rPr>
          <w:rFonts w:ascii="Arial" w:cs="Arial" w:eastAsia="Arial" w:hAnsi="Arial"/>
          <w:sz w:val="13"/>
          <w:szCs w:val="13"/>
          <w:color w:val="auto"/>
        </w:rPr>
      </w:pPr>
      <w:r>
        <w:rPr>
          <w:rFonts w:ascii="Arial" w:cs="Arial" w:eastAsia="Arial" w:hAnsi="Arial"/>
          <w:sz w:val="13"/>
          <w:szCs w:val="13"/>
          <w:color w:val="auto"/>
        </w:rPr>
        <w:t>by one Obligor of an asset sold, leased, transferred or otherwise disposed of by another Obligor;</w:t>
      </w:r>
    </w:p>
    <w:p>
      <w:pPr>
        <w:spacing w:after="0" w:line="80" w:lineRule="exact"/>
        <w:rPr>
          <w:rFonts w:ascii="Arial" w:cs="Arial" w:eastAsia="Arial" w:hAnsi="Arial"/>
          <w:sz w:val="13"/>
          <w:szCs w:val="13"/>
          <w:color w:val="auto"/>
        </w:rPr>
      </w:pPr>
    </w:p>
    <w:p>
      <w:pPr>
        <w:ind w:left="1780" w:right="680" w:hanging="710"/>
        <w:spacing w:after="0" w:line="258" w:lineRule="auto"/>
        <w:tabs>
          <w:tab w:leader="none" w:pos="1780" w:val="left"/>
        </w:tabs>
        <w:numPr>
          <w:ilvl w:val="0"/>
          <w:numId w:val="472"/>
        </w:numPr>
        <w:rPr>
          <w:rFonts w:ascii="Arial" w:cs="Arial" w:eastAsia="Arial" w:hAnsi="Arial"/>
          <w:sz w:val="13"/>
          <w:szCs w:val="13"/>
          <w:color w:val="auto"/>
        </w:rPr>
      </w:pPr>
      <w:r>
        <w:rPr>
          <w:rFonts w:ascii="Arial" w:cs="Arial" w:eastAsia="Arial" w:hAnsi="Arial"/>
          <w:sz w:val="13"/>
          <w:szCs w:val="13"/>
          <w:color w:val="auto"/>
        </w:rPr>
        <w:t>by a Group Company of all the shares or other ownership interests in any limited liability company or corporation, limited liability partnership or any equivalent company, provided that:</w:t>
      </w:r>
    </w:p>
    <w:p>
      <w:pPr>
        <w:spacing w:after="0" w:line="48" w:lineRule="exact"/>
        <w:rPr>
          <w:rFonts w:ascii="Arial" w:cs="Arial" w:eastAsia="Arial" w:hAnsi="Arial"/>
          <w:sz w:val="13"/>
          <w:szCs w:val="13"/>
          <w:color w:val="auto"/>
        </w:rPr>
      </w:pPr>
    </w:p>
    <w:p>
      <w:pPr>
        <w:ind w:left="2500" w:hanging="710"/>
        <w:spacing w:after="0"/>
        <w:tabs>
          <w:tab w:leader="none" w:pos="2500" w:val="left"/>
        </w:tabs>
        <w:numPr>
          <w:ilvl w:val="2"/>
          <w:numId w:val="472"/>
        </w:numPr>
        <w:rPr>
          <w:rFonts w:ascii="Arial" w:cs="Arial" w:eastAsia="Arial" w:hAnsi="Arial"/>
          <w:sz w:val="13"/>
          <w:szCs w:val="13"/>
          <w:color w:val="auto"/>
        </w:rPr>
      </w:pPr>
      <w:r>
        <w:rPr>
          <w:rFonts w:ascii="Arial" w:cs="Arial" w:eastAsia="Arial" w:hAnsi="Arial"/>
          <w:sz w:val="13"/>
          <w:szCs w:val="13"/>
          <w:color w:val="auto"/>
        </w:rPr>
        <w:t>such entity has not yet commenced commercial operations;</w:t>
      </w:r>
    </w:p>
    <w:p>
      <w:pPr>
        <w:spacing w:after="0" w:line="80" w:lineRule="exact"/>
        <w:rPr>
          <w:rFonts w:ascii="Arial" w:cs="Arial" w:eastAsia="Arial" w:hAnsi="Arial"/>
          <w:sz w:val="13"/>
          <w:szCs w:val="13"/>
          <w:color w:val="auto"/>
        </w:rPr>
      </w:pPr>
    </w:p>
    <w:p>
      <w:pPr>
        <w:ind w:left="2500" w:right="600" w:hanging="710"/>
        <w:spacing w:after="0" w:line="258" w:lineRule="auto"/>
        <w:tabs>
          <w:tab w:leader="none" w:pos="2500" w:val="left"/>
        </w:tabs>
        <w:numPr>
          <w:ilvl w:val="2"/>
          <w:numId w:val="472"/>
        </w:numPr>
        <w:rPr>
          <w:rFonts w:ascii="Arial" w:cs="Arial" w:eastAsia="Arial" w:hAnsi="Arial"/>
          <w:sz w:val="13"/>
          <w:szCs w:val="13"/>
          <w:color w:val="auto"/>
        </w:rPr>
      </w:pPr>
      <w:r>
        <w:rPr>
          <w:rFonts w:ascii="Arial" w:cs="Arial" w:eastAsia="Arial" w:hAnsi="Arial"/>
          <w:sz w:val="13"/>
          <w:szCs w:val="13"/>
          <w:color w:val="auto"/>
        </w:rPr>
        <w:t>such entity is incorporated in a country that is a member of either or both of the European Union or the Organisation of Economic Co-Operation and Development; and</w:t>
      </w:r>
    </w:p>
    <w:p>
      <w:pPr>
        <w:spacing w:after="0" w:line="58" w:lineRule="exact"/>
        <w:rPr>
          <w:rFonts w:ascii="Arial" w:cs="Arial" w:eastAsia="Arial" w:hAnsi="Arial"/>
          <w:sz w:val="13"/>
          <w:szCs w:val="13"/>
          <w:color w:val="auto"/>
        </w:rPr>
      </w:pPr>
    </w:p>
    <w:p>
      <w:pPr>
        <w:ind w:left="2500" w:hanging="710"/>
        <w:spacing w:after="0"/>
        <w:tabs>
          <w:tab w:leader="none" w:pos="2500" w:val="left"/>
        </w:tabs>
        <w:numPr>
          <w:ilvl w:val="2"/>
          <w:numId w:val="472"/>
        </w:numPr>
        <w:rPr>
          <w:rFonts w:ascii="Arial" w:cs="Arial" w:eastAsia="Arial" w:hAnsi="Arial"/>
          <w:sz w:val="13"/>
          <w:szCs w:val="13"/>
          <w:color w:val="auto"/>
        </w:rPr>
      </w:pPr>
      <w:r>
        <w:rPr>
          <w:rFonts w:ascii="Arial" w:cs="Arial" w:eastAsia="Arial" w:hAnsi="Arial"/>
          <w:sz w:val="13"/>
          <w:szCs w:val="13"/>
          <w:color w:val="auto"/>
        </w:rPr>
        <w:t>no Event of Default is continuing on the date the relevant acquisition agreement is entered into or would occur as a result of the acquisition; or</w:t>
      </w:r>
    </w:p>
    <w:p>
      <w:pPr>
        <w:spacing w:after="0" w:line="70" w:lineRule="exact"/>
        <w:rPr>
          <w:rFonts w:ascii="Arial" w:cs="Arial" w:eastAsia="Arial" w:hAnsi="Arial"/>
          <w:sz w:val="13"/>
          <w:szCs w:val="13"/>
          <w:color w:val="auto"/>
        </w:rPr>
      </w:pPr>
    </w:p>
    <w:p>
      <w:pPr>
        <w:ind w:left="1780" w:right="380" w:hanging="710"/>
        <w:spacing w:after="0" w:line="252" w:lineRule="auto"/>
        <w:tabs>
          <w:tab w:leader="none" w:pos="1780" w:val="left"/>
        </w:tabs>
        <w:numPr>
          <w:ilvl w:val="0"/>
          <w:numId w:val="472"/>
        </w:numPr>
        <w:rPr>
          <w:rFonts w:ascii="Arial" w:cs="Arial" w:eastAsia="Arial" w:hAnsi="Arial"/>
          <w:sz w:val="13"/>
          <w:szCs w:val="13"/>
          <w:color w:val="auto"/>
        </w:rPr>
      </w:pPr>
      <w:r>
        <w:rPr>
          <w:rFonts w:ascii="Arial" w:cs="Arial" w:eastAsia="Arial" w:hAnsi="Arial"/>
          <w:sz w:val="13"/>
          <w:szCs w:val="13"/>
          <w:color w:val="auto"/>
        </w:rPr>
        <w:t>of shares or other ownership interests in any limited liability company or corporation, limited liability partnership or any equivalent company, the consideration for which does not exceed an aggregate amount of (x) EUR [***] during any financial year, and (y) EUR [***] during the term of the Credit, provided that:</w:t>
      </w:r>
    </w:p>
    <w:p>
      <w:pPr>
        <w:spacing w:after="0" w:line="205" w:lineRule="exact"/>
        <w:rPr>
          <w:rFonts w:ascii="Arial" w:cs="Arial" w:eastAsia="Arial" w:hAnsi="Arial"/>
          <w:sz w:val="13"/>
          <w:szCs w:val="13"/>
          <w:color w:val="auto"/>
        </w:rPr>
      </w:pPr>
    </w:p>
    <w:p>
      <w:pPr>
        <w:ind w:left="2500" w:hanging="710"/>
        <w:spacing w:after="0"/>
        <w:tabs>
          <w:tab w:leader="none" w:pos="2500" w:val="left"/>
        </w:tabs>
        <w:numPr>
          <w:ilvl w:val="2"/>
          <w:numId w:val="472"/>
        </w:numPr>
        <w:rPr>
          <w:rFonts w:ascii="Arial" w:cs="Arial" w:eastAsia="Arial" w:hAnsi="Arial"/>
          <w:sz w:val="13"/>
          <w:szCs w:val="13"/>
          <w:color w:val="auto"/>
        </w:rPr>
      </w:pPr>
      <w:r>
        <w:rPr>
          <w:rFonts w:ascii="Arial" w:cs="Arial" w:eastAsia="Arial" w:hAnsi="Arial"/>
          <w:sz w:val="13"/>
          <w:szCs w:val="13"/>
          <w:color w:val="auto"/>
        </w:rPr>
        <w:t>no Event of Default is continuing on the date the relevant acquisition agreement is entered into or would occur as a result of the acquisition;</w:t>
      </w:r>
    </w:p>
    <w:p>
      <w:pPr>
        <w:spacing w:after="0" w:line="70" w:lineRule="exact"/>
        <w:rPr>
          <w:rFonts w:ascii="Arial" w:cs="Arial" w:eastAsia="Arial" w:hAnsi="Arial"/>
          <w:sz w:val="13"/>
          <w:szCs w:val="13"/>
          <w:color w:val="auto"/>
        </w:rPr>
      </w:pPr>
    </w:p>
    <w:p>
      <w:pPr>
        <w:ind w:left="2500" w:hanging="710"/>
        <w:spacing w:after="0"/>
        <w:tabs>
          <w:tab w:leader="none" w:pos="2500" w:val="left"/>
        </w:tabs>
        <w:numPr>
          <w:ilvl w:val="2"/>
          <w:numId w:val="472"/>
        </w:numPr>
        <w:rPr>
          <w:rFonts w:ascii="Arial" w:cs="Arial" w:eastAsia="Arial" w:hAnsi="Arial"/>
          <w:sz w:val="13"/>
          <w:szCs w:val="13"/>
          <w:color w:val="auto"/>
        </w:rPr>
      </w:pPr>
      <w:r>
        <w:rPr>
          <w:rFonts w:ascii="Arial" w:cs="Arial" w:eastAsia="Arial" w:hAnsi="Arial"/>
          <w:sz w:val="13"/>
          <w:szCs w:val="13"/>
          <w:color w:val="auto"/>
        </w:rPr>
        <w:t>the acquired entity is engaged in a business similar or complementary to the business carried on by the Group as at the date of this Contract;</w:t>
      </w:r>
    </w:p>
    <w:p>
      <w:pPr>
        <w:spacing w:after="0" w:line="80" w:lineRule="exact"/>
        <w:rPr>
          <w:rFonts w:ascii="Arial" w:cs="Arial" w:eastAsia="Arial" w:hAnsi="Arial"/>
          <w:sz w:val="13"/>
          <w:szCs w:val="13"/>
          <w:color w:val="auto"/>
        </w:rPr>
      </w:pPr>
    </w:p>
    <w:p>
      <w:pPr>
        <w:ind w:left="2500" w:right="200" w:hanging="710"/>
        <w:spacing w:after="0" w:line="252" w:lineRule="auto"/>
        <w:tabs>
          <w:tab w:leader="none" w:pos="2500" w:val="left"/>
        </w:tabs>
        <w:numPr>
          <w:ilvl w:val="2"/>
          <w:numId w:val="472"/>
        </w:numPr>
        <w:rPr>
          <w:rFonts w:ascii="Arial" w:cs="Arial" w:eastAsia="Arial" w:hAnsi="Arial"/>
          <w:sz w:val="13"/>
          <w:szCs w:val="13"/>
          <w:color w:val="auto"/>
        </w:rPr>
      </w:pPr>
      <w:r>
        <w:rPr>
          <w:rFonts w:ascii="Arial" w:cs="Arial" w:eastAsia="Arial" w:hAnsi="Arial"/>
          <w:sz w:val="13"/>
          <w:szCs w:val="13"/>
          <w:color w:val="auto"/>
        </w:rPr>
        <w:t>the acquired entity is not incorporated or located in a jurisdiction that is blacklisted by any Lead Organisation in connection with activities such as money laundering, financing of terrorism, tax fraud and tax evasion or harmful tax practices as such blacklist may be amended from time to time;</w:t>
      </w:r>
    </w:p>
    <w:p>
      <w:pPr>
        <w:spacing w:after="0" w:line="215" w:lineRule="exact"/>
        <w:rPr>
          <w:rFonts w:ascii="Arial" w:cs="Arial" w:eastAsia="Arial" w:hAnsi="Arial"/>
          <w:sz w:val="13"/>
          <w:szCs w:val="13"/>
          <w:color w:val="auto"/>
        </w:rPr>
      </w:pPr>
    </w:p>
    <w:p>
      <w:pPr>
        <w:ind w:left="2500" w:right="580" w:hanging="710"/>
        <w:spacing w:after="0" w:line="246" w:lineRule="auto"/>
        <w:tabs>
          <w:tab w:leader="none" w:pos="2500" w:val="left"/>
        </w:tabs>
        <w:numPr>
          <w:ilvl w:val="2"/>
          <w:numId w:val="472"/>
        </w:numPr>
        <w:rPr>
          <w:rFonts w:ascii="Arial" w:cs="Arial" w:eastAsia="Arial" w:hAnsi="Arial"/>
          <w:sz w:val="13"/>
          <w:szCs w:val="13"/>
          <w:color w:val="auto"/>
        </w:rPr>
      </w:pPr>
      <w:r>
        <w:rPr>
          <w:rFonts w:ascii="Arial" w:cs="Arial" w:eastAsia="Arial" w:hAnsi="Arial"/>
          <w:sz w:val="13"/>
          <w:szCs w:val="13"/>
          <w:color w:val="auto"/>
        </w:rPr>
        <w:t>in respect of any acquisition where the consideration exceeds EUR [***], legal and financial due diligence reports (including customary reliance letters in favour of the Bank) and a business plan (in the form of the most recent budget adjusted for the expected effects of the acquisition) in respect of the [***] next following financial years and any other due diligence reports received in connection with the acquisition (if any) are provided to the Bank; and</w:t>
      </w:r>
    </w:p>
    <w:p>
      <w:pPr>
        <w:spacing w:after="0" w:line="66" w:lineRule="exact"/>
        <w:rPr>
          <w:rFonts w:ascii="Arial" w:cs="Arial" w:eastAsia="Arial" w:hAnsi="Arial"/>
          <w:sz w:val="13"/>
          <w:szCs w:val="13"/>
          <w:color w:val="auto"/>
        </w:rPr>
      </w:pPr>
    </w:p>
    <w:p>
      <w:pPr>
        <w:ind w:left="2500" w:right="380" w:hanging="710"/>
        <w:spacing w:after="0" w:line="258" w:lineRule="auto"/>
        <w:tabs>
          <w:tab w:leader="none" w:pos="2500" w:val="left"/>
        </w:tabs>
        <w:numPr>
          <w:ilvl w:val="2"/>
          <w:numId w:val="472"/>
        </w:numPr>
        <w:rPr>
          <w:rFonts w:ascii="Arial" w:cs="Arial" w:eastAsia="Arial" w:hAnsi="Arial"/>
          <w:sz w:val="13"/>
          <w:szCs w:val="13"/>
          <w:color w:val="auto"/>
        </w:rPr>
      </w:pPr>
      <w:r>
        <w:rPr>
          <w:rFonts w:ascii="Arial" w:cs="Arial" w:eastAsia="Arial" w:hAnsi="Arial"/>
          <w:sz w:val="13"/>
          <w:szCs w:val="13"/>
          <w:color w:val="auto"/>
        </w:rPr>
        <w:t>the Borrower provides a Compliance Certificate for the [***] month financial periods immediately following the acquisition, updated on a pro forma basis as if the acquisition has occurred.</w:t>
      </w:r>
    </w:p>
    <w:p>
      <w:pPr>
        <w:spacing w:after="0" w:line="48" w:lineRule="exact"/>
        <w:rPr>
          <w:rFonts w:ascii="Arial" w:cs="Arial" w:eastAsia="Arial" w:hAnsi="Arial"/>
          <w:sz w:val="13"/>
          <w:szCs w:val="13"/>
          <w:color w:val="auto"/>
        </w:rPr>
      </w:pPr>
    </w:p>
    <w:p>
      <w:pPr>
        <w:ind w:left="1780" w:hanging="710"/>
        <w:spacing w:after="0"/>
        <w:tabs>
          <w:tab w:leader="none" w:pos="1780" w:val="left"/>
        </w:tabs>
        <w:numPr>
          <w:ilvl w:val="0"/>
          <w:numId w:val="472"/>
        </w:numPr>
        <w:rPr>
          <w:rFonts w:ascii="Arial" w:cs="Arial" w:eastAsia="Arial" w:hAnsi="Arial"/>
          <w:sz w:val="13"/>
          <w:szCs w:val="13"/>
          <w:color w:val="auto"/>
        </w:rPr>
      </w:pPr>
      <w:r>
        <w:rPr>
          <w:rFonts w:ascii="Arial" w:cs="Arial" w:eastAsia="Arial" w:hAnsi="Arial"/>
          <w:sz w:val="13"/>
          <w:szCs w:val="13"/>
          <w:color w:val="auto"/>
        </w:rPr>
        <w:t>In relation to Paragraph (d) above the Parties agree, that if:</w:t>
      </w:r>
    </w:p>
    <w:p>
      <w:pPr>
        <w:spacing w:after="0" w:line="80" w:lineRule="exact"/>
        <w:rPr>
          <w:rFonts w:ascii="Arial" w:cs="Arial" w:eastAsia="Arial" w:hAnsi="Arial"/>
          <w:sz w:val="13"/>
          <w:szCs w:val="13"/>
          <w:color w:val="auto"/>
        </w:rPr>
      </w:pPr>
    </w:p>
    <w:p>
      <w:pPr>
        <w:ind w:left="2140" w:right="360" w:hanging="700"/>
        <w:spacing w:after="0" w:line="249" w:lineRule="auto"/>
        <w:tabs>
          <w:tab w:leader="none" w:pos="2140" w:val="left"/>
        </w:tabs>
        <w:numPr>
          <w:ilvl w:val="1"/>
          <w:numId w:val="472"/>
        </w:numPr>
        <w:rPr>
          <w:rFonts w:ascii="Arial" w:cs="Arial" w:eastAsia="Arial" w:hAnsi="Arial"/>
          <w:sz w:val="13"/>
          <w:szCs w:val="13"/>
          <w:color w:val="auto"/>
        </w:rPr>
      </w:pPr>
      <w:r>
        <w:rPr>
          <w:rFonts w:ascii="Arial" w:cs="Arial" w:eastAsia="Arial" w:hAnsi="Arial"/>
          <w:sz w:val="13"/>
          <w:szCs w:val="13"/>
          <w:color w:val="auto"/>
        </w:rPr>
        <w:t>the EBITDA of the Borrower is positive for the Relevant Period ending on the most recent Semi-Annual Date prior to that acquisition or investment; and</w:t>
      </w:r>
    </w:p>
    <w:p>
      <w:pPr>
        <w:spacing w:after="0" w:line="208" w:lineRule="exact"/>
        <w:rPr>
          <w:rFonts w:ascii="Arial" w:cs="Arial" w:eastAsia="Arial" w:hAnsi="Arial"/>
          <w:sz w:val="13"/>
          <w:szCs w:val="13"/>
          <w:color w:val="auto"/>
        </w:rPr>
      </w:pPr>
    </w:p>
    <w:p>
      <w:pPr>
        <w:ind w:left="2740" w:hanging="1295"/>
        <w:spacing w:after="0"/>
        <w:tabs>
          <w:tab w:leader="none" w:pos="2740" w:val="left"/>
        </w:tabs>
        <w:numPr>
          <w:ilvl w:val="1"/>
          <w:numId w:val="472"/>
        </w:numPr>
        <w:rPr>
          <w:rFonts w:ascii="Arial" w:cs="Arial" w:eastAsia="Arial" w:hAnsi="Arial"/>
          <w:sz w:val="13"/>
          <w:szCs w:val="13"/>
          <w:color w:val="auto"/>
        </w:rPr>
      </w:pPr>
      <w:r>
        <w:rPr>
          <w:rFonts w:ascii="Arial" w:cs="Arial" w:eastAsia="Arial" w:hAnsi="Arial"/>
          <w:sz w:val="13"/>
          <w:szCs w:val="13"/>
          <w:color w:val="auto"/>
        </w:rPr>
        <w:t>the revenues of the Borrower exceed EUR [***], (together the "</w:t>
      </w:r>
      <w:r>
        <w:rPr>
          <w:rFonts w:ascii="Arial" w:cs="Arial" w:eastAsia="Arial" w:hAnsi="Arial"/>
          <w:sz w:val="13"/>
          <w:szCs w:val="13"/>
          <w:b w:val="1"/>
          <w:bCs w:val="1"/>
          <w:color w:val="auto"/>
        </w:rPr>
        <w:t>Replacement Conditions</w:t>
      </w:r>
      <w:r>
        <w:rPr>
          <w:rFonts w:ascii="Arial" w:cs="Arial" w:eastAsia="Arial" w:hAnsi="Arial"/>
          <w:sz w:val="13"/>
          <w:szCs w:val="13"/>
          <w:color w:val="auto"/>
        </w:rPr>
        <w:t>"), the threshold</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included:</w:t>
      </w:r>
    </w:p>
    <w:p>
      <w:pPr>
        <w:ind w:left="2140" w:hanging="700"/>
        <w:spacing w:after="0"/>
        <w:tabs>
          <w:tab w:leader="none" w:pos="2140" w:val="left"/>
        </w:tabs>
        <w:numPr>
          <w:ilvl w:val="0"/>
          <w:numId w:val="473"/>
        </w:numPr>
        <w:rPr>
          <w:rFonts w:ascii="Arial" w:cs="Arial" w:eastAsia="Arial" w:hAnsi="Arial"/>
          <w:sz w:val="13"/>
          <w:szCs w:val="13"/>
          <w:color w:val="auto"/>
        </w:rPr>
      </w:pPr>
      <w:r>
        <w:rPr>
          <w:rFonts w:ascii="Arial" w:cs="Arial" w:eastAsia="Arial" w:hAnsi="Arial"/>
          <w:sz w:val="13"/>
          <w:szCs w:val="13"/>
          <w:color w:val="auto"/>
        </w:rPr>
        <w:t>in Paragraph (d)(x) above will be replaced by a threshold of "[***]% of the Total Assets during any financial year"; and</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0" w:name="page391"/>
    <w:bookmarkEnd w:id="390"/>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2140" w:hanging="700"/>
        <w:spacing w:after="0"/>
        <w:tabs>
          <w:tab w:leader="none" w:pos="2140" w:val="left"/>
        </w:tabs>
        <w:numPr>
          <w:ilvl w:val="0"/>
          <w:numId w:val="474"/>
        </w:numPr>
        <w:rPr>
          <w:rFonts w:ascii="Arial" w:cs="Arial" w:eastAsia="Arial" w:hAnsi="Arial"/>
          <w:sz w:val="13"/>
          <w:szCs w:val="13"/>
          <w:color w:val="auto"/>
        </w:rPr>
      </w:pPr>
      <w:r>
        <w:rPr>
          <w:rFonts w:ascii="Arial" w:cs="Arial" w:eastAsia="Arial" w:hAnsi="Arial"/>
          <w:sz w:val="13"/>
          <w:szCs w:val="13"/>
          <w:color w:val="auto"/>
        </w:rPr>
        <w:t>in Paragraph (d)(y) above will be replaced by a threshold of "[***]% of the Total Assets during the term of the Credit ",</w:t>
      </w:r>
    </w:p>
    <w:p>
      <w:pPr>
        <w:spacing w:after="0" w:line="54" w:lineRule="exact"/>
        <w:rPr>
          <w:sz w:val="20"/>
          <w:szCs w:val="20"/>
          <w:color w:val="auto"/>
        </w:rPr>
      </w:pPr>
    </w:p>
    <w:p>
      <w:pPr>
        <w:jc w:val="both"/>
        <w:ind w:left="1440" w:right="120"/>
        <w:spacing w:after="0" w:line="255" w:lineRule="auto"/>
        <w:rPr>
          <w:sz w:val="20"/>
          <w:szCs w:val="20"/>
          <w:color w:val="auto"/>
        </w:rPr>
      </w:pPr>
      <w:r>
        <w:rPr>
          <w:rFonts w:ascii="Arial" w:cs="Arial" w:eastAsia="Arial" w:hAnsi="Arial"/>
          <w:sz w:val="13"/>
          <w:szCs w:val="13"/>
          <w:color w:val="auto"/>
        </w:rPr>
        <w:t>(together the "</w:t>
      </w:r>
      <w:r>
        <w:rPr>
          <w:rFonts w:ascii="Arial" w:cs="Arial" w:eastAsia="Arial" w:hAnsi="Arial"/>
          <w:sz w:val="13"/>
          <w:szCs w:val="13"/>
          <w:b w:val="1"/>
          <w:bCs w:val="1"/>
          <w:color w:val="auto"/>
        </w:rPr>
        <w:t>Replaced Thresholds</w:t>
      </w:r>
      <w:r>
        <w:rPr>
          <w:rFonts w:ascii="Arial" w:cs="Arial" w:eastAsia="Arial" w:hAnsi="Arial"/>
          <w:sz w:val="13"/>
          <w:szCs w:val="13"/>
          <w:color w:val="auto"/>
        </w:rPr>
        <w:t>"), whereby (x) the amounts of already done acquisitions or investments permitted under Paragraphs (a) to (d) above shall count towards the Replaced Thresholds and (y) to the extent and for so long as the Borrower complies with the Replacement Conditions. In case the Borrower does not further comply with any of the Replacement Conditions, the thresholds included in Paragraph (d)(x) and (d)(y) above shall apply again and the Borrower shall use its reasonable best efforts to comply with such thresholds within a reasonable timeframe.</w:t>
      </w:r>
    </w:p>
    <w:p>
      <w:pPr>
        <w:spacing w:after="0" w:line="61" w:lineRule="exact"/>
        <w:rPr>
          <w:sz w:val="20"/>
          <w:szCs w:val="20"/>
          <w:color w:val="auto"/>
        </w:rPr>
      </w:pPr>
    </w:p>
    <w:p>
      <w:pPr>
        <w:jc w:val="both"/>
        <w:ind w:left="1440" w:right="120"/>
        <w:spacing w:after="0" w:line="258" w:lineRule="auto"/>
        <w:rPr>
          <w:sz w:val="20"/>
          <w:szCs w:val="20"/>
          <w:color w:val="auto"/>
        </w:rPr>
      </w:pPr>
      <w:r>
        <w:rPr>
          <w:rFonts w:ascii="Arial" w:cs="Arial" w:eastAsia="Arial" w:hAnsi="Arial"/>
          <w:sz w:val="13"/>
          <w:szCs w:val="13"/>
          <w:color w:val="auto"/>
        </w:rPr>
        <w:t>The Borrower shall provide evidence satisfactory to the Bank of the fulfilment of the Replacement Conditions and compliance with the Replacement Conditions upon demand of the Bank.</w:t>
      </w:r>
    </w:p>
    <w:p>
      <w:pPr>
        <w:spacing w:after="0" w:line="83" w:lineRule="exact"/>
        <w:rPr>
          <w:sz w:val="20"/>
          <w:szCs w:val="20"/>
          <w:color w:val="auto"/>
        </w:rPr>
      </w:pPr>
    </w:p>
    <w:p>
      <w:pPr>
        <w:ind w:left="1060" w:hanging="510"/>
        <w:spacing w:after="0"/>
        <w:tabs>
          <w:tab w:leader="none" w:pos="1060" w:val="left"/>
        </w:tabs>
        <w:numPr>
          <w:ilvl w:val="0"/>
          <w:numId w:val="475"/>
        </w:numPr>
        <w:rPr>
          <w:rFonts w:ascii="Arial" w:cs="Arial" w:eastAsia="Arial" w:hAnsi="Arial"/>
          <w:sz w:val="13"/>
          <w:szCs w:val="13"/>
          <w:b w:val="1"/>
          <w:bCs w:val="1"/>
          <w:color w:val="auto"/>
        </w:rPr>
      </w:pPr>
      <w:r>
        <w:rPr>
          <w:rFonts w:ascii="Arial" w:cs="Arial" w:eastAsia="Arial" w:hAnsi="Arial"/>
          <w:sz w:val="13"/>
          <w:szCs w:val="13"/>
          <w:b w:val="1"/>
          <w:bCs w:val="1"/>
          <w:color w:val="auto"/>
        </w:rPr>
        <w:t>Indebtedness</w:t>
      </w:r>
    </w:p>
    <w:p>
      <w:pPr>
        <w:spacing w:after="0" w:line="156" w:lineRule="exact"/>
        <w:rPr>
          <w:rFonts w:ascii="Arial" w:cs="Arial" w:eastAsia="Arial" w:hAnsi="Arial"/>
          <w:sz w:val="13"/>
          <w:szCs w:val="13"/>
          <w:b w:val="1"/>
          <w:bCs w:val="1"/>
          <w:color w:val="auto"/>
        </w:rPr>
      </w:pPr>
    </w:p>
    <w:p>
      <w:pPr>
        <w:ind w:left="1080" w:right="120"/>
        <w:spacing w:after="0" w:line="242" w:lineRule="auto"/>
        <w:rPr>
          <w:rFonts w:ascii="Arial" w:cs="Arial" w:eastAsia="Arial" w:hAnsi="Arial"/>
          <w:sz w:val="13"/>
          <w:szCs w:val="13"/>
          <w:b w:val="1"/>
          <w:bCs w:val="1"/>
          <w:color w:val="auto"/>
        </w:rPr>
      </w:pPr>
      <w:r>
        <w:rPr>
          <w:rFonts w:ascii="Arial" w:cs="Arial" w:eastAsia="Arial" w:hAnsi="Arial"/>
          <w:sz w:val="13"/>
          <w:szCs w:val="13"/>
          <w:color w:val="auto"/>
        </w:rPr>
        <w:t>The Borrower shall not, and shall procure that no other Group Company shall, incur any Indebtedness, save for any Existing Indebtedness and Indebtedness ("</w:t>
      </w:r>
      <w:r>
        <w:rPr>
          <w:rFonts w:ascii="Arial" w:cs="Arial" w:eastAsia="Arial" w:hAnsi="Arial"/>
          <w:sz w:val="13"/>
          <w:szCs w:val="13"/>
          <w:b w:val="1"/>
          <w:bCs w:val="1"/>
          <w:color w:val="auto"/>
        </w:rPr>
        <w:t>Permitted Indebtedness</w:t>
      </w:r>
      <w:r>
        <w:rPr>
          <w:rFonts w:ascii="Arial" w:cs="Arial" w:eastAsia="Arial" w:hAnsi="Arial"/>
          <w:sz w:val="13"/>
          <w:szCs w:val="13"/>
          <w:color w:val="auto"/>
        </w:rPr>
        <w:t>"):</w:t>
      </w:r>
    </w:p>
    <w:p>
      <w:pPr>
        <w:spacing w:after="0" w:line="48" w:lineRule="exact"/>
        <w:rPr>
          <w:rFonts w:ascii="Arial" w:cs="Arial" w:eastAsia="Arial" w:hAnsi="Arial"/>
          <w:sz w:val="13"/>
          <w:szCs w:val="13"/>
          <w:b w:val="1"/>
          <w:bCs w:val="1"/>
          <w:color w:val="auto"/>
        </w:rPr>
      </w:pPr>
    </w:p>
    <w:p>
      <w:pPr>
        <w:ind w:left="1780" w:hanging="710"/>
        <w:spacing w:after="0"/>
        <w:tabs>
          <w:tab w:leader="none" w:pos="1780" w:val="left"/>
        </w:tabs>
        <w:numPr>
          <w:ilvl w:val="1"/>
          <w:numId w:val="475"/>
        </w:numPr>
        <w:rPr>
          <w:rFonts w:ascii="Arial" w:cs="Arial" w:eastAsia="Arial" w:hAnsi="Arial"/>
          <w:sz w:val="13"/>
          <w:szCs w:val="13"/>
          <w:color w:val="auto"/>
        </w:rPr>
      </w:pPr>
      <w:r>
        <w:rPr>
          <w:rFonts w:ascii="Arial" w:cs="Arial" w:eastAsia="Arial" w:hAnsi="Arial"/>
          <w:sz w:val="13"/>
          <w:szCs w:val="13"/>
          <w:color w:val="auto"/>
        </w:rPr>
        <w:t>incurred with the prior written consent of the Bank;</w:t>
      </w:r>
    </w:p>
    <w:p>
      <w:pPr>
        <w:spacing w:after="0" w:line="90" w:lineRule="exact"/>
        <w:rPr>
          <w:rFonts w:ascii="Arial" w:cs="Arial" w:eastAsia="Arial" w:hAnsi="Arial"/>
          <w:sz w:val="13"/>
          <w:szCs w:val="13"/>
          <w:color w:val="auto"/>
        </w:rPr>
      </w:pPr>
    </w:p>
    <w:p>
      <w:pPr>
        <w:ind w:left="1780" w:hanging="710"/>
        <w:spacing w:after="0"/>
        <w:tabs>
          <w:tab w:leader="none" w:pos="1780" w:val="left"/>
        </w:tabs>
        <w:numPr>
          <w:ilvl w:val="1"/>
          <w:numId w:val="475"/>
        </w:numPr>
        <w:rPr>
          <w:rFonts w:ascii="Arial" w:cs="Arial" w:eastAsia="Arial" w:hAnsi="Arial"/>
          <w:sz w:val="13"/>
          <w:szCs w:val="13"/>
          <w:color w:val="auto"/>
        </w:rPr>
      </w:pPr>
      <w:r>
        <w:rPr>
          <w:rFonts w:ascii="Arial" w:cs="Arial" w:eastAsia="Arial" w:hAnsi="Arial"/>
          <w:sz w:val="13"/>
          <w:szCs w:val="13"/>
          <w:color w:val="auto"/>
        </w:rPr>
        <w:t>incurred under this Contract;</w:t>
      </w:r>
    </w:p>
    <w:p>
      <w:pPr>
        <w:spacing w:after="0" w:line="80" w:lineRule="exact"/>
        <w:rPr>
          <w:rFonts w:ascii="Arial" w:cs="Arial" w:eastAsia="Arial" w:hAnsi="Arial"/>
          <w:sz w:val="13"/>
          <w:szCs w:val="13"/>
          <w:color w:val="auto"/>
        </w:rPr>
      </w:pPr>
    </w:p>
    <w:p>
      <w:pPr>
        <w:ind w:left="1780" w:hanging="710"/>
        <w:spacing w:after="0"/>
        <w:tabs>
          <w:tab w:leader="none" w:pos="1780" w:val="left"/>
        </w:tabs>
        <w:numPr>
          <w:ilvl w:val="1"/>
          <w:numId w:val="475"/>
        </w:numPr>
        <w:rPr>
          <w:rFonts w:ascii="Arial" w:cs="Arial" w:eastAsia="Arial" w:hAnsi="Arial"/>
          <w:sz w:val="13"/>
          <w:szCs w:val="13"/>
          <w:color w:val="auto"/>
        </w:rPr>
      </w:pPr>
      <w:r>
        <w:rPr>
          <w:rFonts w:ascii="Arial" w:cs="Arial" w:eastAsia="Arial" w:hAnsi="Arial"/>
          <w:sz w:val="13"/>
          <w:szCs w:val="13"/>
          <w:color w:val="auto"/>
        </w:rPr>
        <w:t>under Permitted Hedging;</w:t>
      </w:r>
    </w:p>
    <w:p>
      <w:pPr>
        <w:spacing w:after="0" w:line="80" w:lineRule="exact"/>
        <w:rPr>
          <w:rFonts w:ascii="Arial" w:cs="Arial" w:eastAsia="Arial" w:hAnsi="Arial"/>
          <w:sz w:val="13"/>
          <w:szCs w:val="13"/>
          <w:color w:val="auto"/>
        </w:rPr>
      </w:pPr>
    </w:p>
    <w:p>
      <w:pPr>
        <w:ind w:left="1780" w:hanging="710"/>
        <w:spacing w:after="0"/>
        <w:tabs>
          <w:tab w:leader="none" w:pos="1780" w:val="left"/>
        </w:tabs>
        <w:numPr>
          <w:ilvl w:val="1"/>
          <w:numId w:val="475"/>
        </w:numPr>
        <w:rPr>
          <w:rFonts w:ascii="Arial" w:cs="Arial" w:eastAsia="Arial" w:hAnsi="Arial"/>
          <w:sz w:val="13"/>
          <w:szCs w:val="13"/>
          <w:color w:val="auto"/>
        </w:rPr>
      </w:pPr>
      <w:r>
        <w:rPr>
          <w:rFonts w:ascii="Arial" w:cs="Arial" w:eastAsia="Arial" w:hAnsi="Arial"/>
          <w:sz w:val="13"/>
          <w:szCs w:val="13"/>
          <w:color w:val="auto"/>
        </w:rPr>
        <w:t>in respect of a Permitted Guarantee;</w:t>
      </w:r>
    </w:p>
    <w:p>
      <w:pPr>
        <w:spacing w:after="0" w:line="80" w:lineRule="exact"/>
        <w:rPr>
          <w:rFonts w:ascii="Arial" w:cs="Arial" w:eastAsia="Arial" w:hAnsi="Arial"/>
          <w:sz w:val="13"/>
          <w:szCs w:val="13"/>
          <w:color w:val="auto"/>
        </w:rPr>
      </w:pPr>
    </w:p>
    <w:p>
      <w:pPr>
        <w:ind w:left="1780" w:hanging="710"/>
        <w:spacing w:after="0"/>
        <w:tabs>
          <w:tab w:leader="none" w:pos="1780" w:val="left"/>
        </w:tabs>
        <w:numPr>
          <w:ilvl w:val="1"/>
          <w:numId w:val="475"/>
        </w:numPr>
        <w:rPr>
          <w:rFonts w:ascii="Arial" w:cs="Arial" w:eastAsia="Arial" w:hAnsi="Arial"/>
          <w:sz w:val="13"/>
          <w:szCs w:val="13"/>
          <w:color w:val="auto"/>
        </w:rPr>
      </w:pPr>
      <w:r>
        <w:rPr>
          <w:rFonts w:ascii="Arial" w:cs="Arial" w:eastAsia="Arial" w:hAnsi="Arial"/>
          <w:sz w:val="13"/>
          <w:szCs w:val="13"/>
          <w:color w:val="auto"/>
        </w:rPr>
        <w:t>owing by an Obligor to another Obligor;</w:t>
      </w:r>
    </w:p>
    <w:p>
      <w:pPr>
        <w:spacing w:after="0" w:line="60" w:lineRule="exact"/>
        <w:rPr>
          <w:rFonts w:ascii="Arial" w:cs="Arial" w:eastAsia="Arial" w:hAnsi="Arial"/>
          <w:sz w:val="13"/>
          <w:szCs w:val="13"/>
          <w:color w:val="auto"/>
        </w:rPr>
      </w:pPr>
    </w:p>
    <w:p>
      <w:pPr>
        <w:ind w:left="1780" w:right="860" w:hanging="710"/>
        <w:spacing w:after="0" w:line="258" w:lineRule="auto"/>
        <w:tabs>
          <w:tab w:leader="none" w:pos="1780" w:val="left"/>
        </w:tabs>
        <w:numPr>
          <w:ilvl w:val="1"/>
          <w:numId w:val="475"/>
        </w:numPr>
        <w:rPr>
          <w:rFonts w:ascii="Arial" w:cs="Arial" w:eastAsia="Arial" w:hAnsi="Arial"/>
          <w:sz w:val="13"/>
          <w:szCs w:val="13"/>
          <w:color w:val="auto"/>
        </w:rPr>
      </w:pPr>
      <w:r>
        <w:rPr>
          <w:rFonts w:ascii="Arial" w:cs="Arial" w:eastAsia="Arial" w:hAnsi="Arial"/>
          <w:sz w:val="13"/>
          <w:szCs w:val="13"/>
          <w:color w:val="auto"/>
        </w:rPr>
        <w:t>unsecured Indebtedness to trade creditors and, in respect of the German trade creditors, Indebtedness secured by customary retention of title arrangements (</w:t>
      </w:r>
      <w:r>
        <w:rPr>
          <w:rFonts w:ascii="Arial" w:cs="Arial" w:eastAsia="Arial" w:hAnsi="Arial"/>
          <w:sz w:val="13"/>
          <w:szCs w:val="13"/>
          <w:i w:val="1"/>
          <w:iCs w:val="1"/>
          <w:color w:val="auto"/>
        </w:rPr>
        <w:t>Eigentumsvorbehalte</w:t>
      </w:r>
      <w:r>
        <w:rPr>
          <w:rFonts w:ascii="Arial" w:cs="Arial" w:eastAsia="Arial" w:hAnsi="Arial"/>
          <w:sz w:val="13"/>
          <w:szCs w:val="13"/>
          <w:color w:val="auto"/>
        </w:rPr>
        <w:t>) incurred in the ordinary course of day-to-day business; or</w:t>
      </w:r>
    </w:p>
    <w:p>
      <w:pPr>
        <w:spacing w:after="0" w:line="68" w:lineRule="exact"/>
        <w:rPr>
          <w:rFonts w:ascii="Arial" w:cs="Arial" w:eastAsia="Arial" w:hAnsi="Arial"/>
          <w:sz w:val="13"/>
          <w:szCs w:val="13"/>
          <w:color w:val="auto"/>
        </w:rPr>
      </w:pPr>
    </w:p>
    <w:p>
      <w:pPr>
        <w:ind w:left="1780" w:right="760" w:hanging="710"/>
        <w:spacing w:after="0" w:line="258" w:lineRule="auto"/>
        <w:tabs>
          <w:tab w:leader="none" w:pos="1780" w:val="left"/>
        </w:tabs>
        <w:numPr>
          <w:ilvl w:val="1"/>
          <w:numId w:val="475"/>
        </w:numPr>
        <w:rPr>
          <w:rFonts w:ascii="Arial" w:cs="Arial" w:eastAsia="Arial" w:hAnsi="Arial"/>
          <w:sz w:val="13"/>
          <w:szCs w:val="13"/>
          <w:color w:val="auto"/>
        </w:rPr>
      </w:pPr>
      <w:r>
        <w:rPr>
          <w:rFonts w:ascii="Arial" w:cs="Arial" w:eastAsia="Arial" w:hAnsi="Arial"/>
          <w:sz w:val="13"/>
          <w:szCs w:val="13"/>
          <w:color w:val="auto"/>
        </w:rPr>
        <w:t>not permitted by the preceding Sub-Paragraphs and the outstanding amount of indebtedness (including drawn down EIB debt and other existing outstanding interest-bearing liabilities) which does not exceed 2x the last 12 months EBITDA.</w:t>
      </w:r>
    </w:p>
    <w:p>
      <w:pPr>
        <w:spacing w:after="0" w:line="82" w:lineRule="exact"/>
        <w:rPr>
          <w:rFonts w:ascii="Arial" w:cs="Arial" w:eastAsia="Arial" w:hAnsi="Arial"/>
          <w:sz w:val="13"/>
          <w:szCs w:val="13"/>
          <w:color w:val="auto"/>
        </w:rPr>
      </w:pPr>
    </w:p>
    <w:p>
      <w:pPr>
        <w:ind w:left="1060" w:hanging="510"/>
        <w:spacing w:after="0"/>
        <w:tabs>
          <w:tab w:leader="none" w:pos="1060" w:val="left"/>
        </w:tabs>
        <w:numPr>
          <w:ilvl w:val="0"/>
          <w:numId w:val="475"/>
        </w:numPr>
        <w:rPr>
          <w:rFonts w:ascii="Arial" w:cs="Arial" w:eastAsia="Arial" w:hAnsi="Arial"/>
          <w:sz w:val="13"/>
          <w:szCs w:val="13"/>
          <w:b w:val="1"/>
          <w:bCs w:val="1"/>
          <w:color w:val="auto"/>
        </w:rPr>
      </w:pPr>
      <w:r>
        <w:rPr>
          <w:rFonts w:ascii="Arial" w:cs="Arial" w:eastAsia="Arial" w:hAnsi="Arial"/>
          <w:sz w:val="13"/>
          <w:szCs w:val="13"/>
          <w:b w:val="1"/>
          <w:bCs w:val="1"/>
          <w:color w:val="auto"/>
        </w:rPr>
        <w:t>Guarantees</w:t>
      </w:r>
    </w:p>
    <w:p>
      <w:pPr>
        <w:spacing w:after="0" w:line="136" w:lineRule="exact"/>
        <w:rPr>
          <w:rFonts w:ascii="Arial" w:cs="Arial" w:eastAsia="Arial" w:hAnsi="Arial"/>
          <w:sz w:val="13"/>
          <w:szCs w:val="13"/>
          <w:b w:val="1"/>
          <w:bCs w:val="1"/>
          <w:color w:val="auto"/>
        </w:rPr>
      </w:pPr>
    </w:p>
    <w:p>
      <w:pPr>
        <w:ind w:left="1780" w:right="760" w:hanging="710"/>
        <w:spacing w:after="0" w:line="258" w:lineRule="auto"/>
        <w:tabs>
          <w:tab w:leader="none" w:pos="1780" w:val="left"/>
        </w:tabs>
        <w:numPr>
          <w:ilvl w:val="1"/>
          <w:numId w:val="475"/>
        </w:numPr>
        <w:rPr>
          <w:rFonts w:ascii="Arial" w:cs="Arial" w:eastAsia="Arial" w:hAnsi="Arial"/>
          <w:sz w:val="13"/>
          <w:szCs w:val="13"/>
          <w:color w:val="auto"/>
        </w:rPr>
      </w:pPr>
      <w:r>
        <w:rPr>
          <w:rFonts w:ascii="Arial" w:cs="Arial" w:eastAsia="Arial" w:hAnsi="Arial"/>
          <w:sz w:val="13"/>
          <w:szCs w:val="13"/>
          <w:color w:val="auto"/>
        </w:rPr>
        <w:t>The Borrower shall not, and shall procure that no other Group Company shall, issue or allow to remain outstanding any guarantees or sureties (</w:t>
      </w:r>
      <w:r>
        <w:rPr>
          <w:rFonts w:ascii="Arial" w:cs="Arial" w:eastAsia="Arial" w:hAnsi="Arial"/>
          <w:sz w:val="13"/>
          <w:szCs w:val="13"/>
          <w:i w:val="1"/>
          <w:iCs w:val="1"/>
          <w:color w:val="auto"/>
        </w:rPr>
        <w:t>Bürgschaften</w:t>
      </w:r>
      <w:r>
        <w:rPr>
          <w:rFonts w:ascii="Arial" w:cs="Arial" w:eastAsia="Arial" w:hAnsi="Arial"/>
          <w:sz w:val="13"/>
          <w:szCs w:val="13"/>
          <w:color w:val="auto"/>
        </w:rPr>
        <w:t>) in respect of any liability or obligation of any person save for:</w:t>
      </w:r>
    </w:p>
    <w:p>
      <w:pPr>
        <w:spacing w:after="0" w:line="24" w:lineRule="exact"/>
        <w:rPr>
          <w:rFonts w:ascii="Arial" w:cs="Arial" w:eastAsia="Arial" w:hAnsi="Arial"/>
          <w:sz w:val="13"/>
          <w:szCs w:val="13"/>
          <w:color w:val="auto"/>
        </w:rPr>
      </w:pPr>
    </w:p>
    <w:p>
      <w:pPr>
        <w:ind w:left="2500" w:hanging="710"/>
        <w:spacing w:after="0"/>
        <w:tabs>
          <w:tab w:leader="none" w:pos="2500" w:val="left"/>
        </w:tabs>
        <w:numPr>
          <w:ilvl w:val="2"/>
          <w:numId w:val="475"/>
        </w:numPr>
        <w:rPr>
          <w:rFonts w:ascii="Arial" w:cs="Arial" w:eastAsia="Arial" w:hAnsi="Arial"/>
          <w:sz w:val="13"/>
          <w:szCs w:val="13"/>
          <w:color w:val="auto"/>
        </w:rPr>
      </w:pPr>
      <w:r>
        <w:rPr>
          <w:rFonts w:ascii="Arial" w:cs="Arial" w:eastAsia="Arial" w:hAnsi="Arial"/>
          <w:sz w:val="13"/>
          <w:szCs w:val="13"/>
          <w:color w:val="auto"/>
        </w:rPr>
        <w:t>any guarantee or surety (</w:t>
      </w:r>
      <w:r>
        <w:rPr>
          <w:rFonts w:ascii="Arial" w:cs="Arial" w:eastAsia="Arial" w:hAnsi="Arial"/>
          <w:sz w:val="13"/>
          <w:szCs w:val="13"/>
          <w:i w:val="1"/>
          <w:iCs w:val="1"/>
          <w:color w:val="auto"/>
        </w:rPr>
        <w:t>Bürgschaft</w:t>
      </w:r>
      <w:r>
        <w:rPr>
          <w:rFonts w:ascii="Arial" w:cs="Arial" w:eastAsia="Arial" w:hAnsi="Arial"/>
          <w:sz w:val="13"/>
          <w:szCs w:val="13"/>
          <w:color w:val="auto"/>
        </w:rPr>
        <w:t>) under any Security Document or with the prior written consent of the Bank; or</w:t>
      </w:r>
    </w:p>
    <w:p>
      <w:pPr>
        <w:spacing w:after="0" w:line="70" w:lineRule="exact"/>
        <w:rPr>
          <w:rFonts w:ascii="Arial" w:cs="Arial" w:eastAsia="Arial" w:hAnsi="Arial"/>
          <w:sz w:val="13"/>
          <w:szCs w:val="13"/>
          <w:color w:val="auto"/>
        </w:rPr>
      </w:pPr>
    </w:p>
    <w:p>
      <w:pPr>
        <w:ind w:left="2500" w:hanging="710"/>
        <w:spacing w:after="0"/>
        <w:tabs>
          <w:tab w:leader="none" w:pos="2500" w:val="left"/>
        </w:tabs>
        <w:numPr>
          <w:ilvl w:val="2"/>
          <w:numId w:val="475"/>
        </w:numPr>
        <w:rPr>
          <w:rFonts w:ascii="Arial" w:cs="Arial" w:eastAsia="Arial" w:hAnsi="Arial"/>
          <w:sz w:val="13"/>
          <w:szCs w:val="13"/>
          <w:color w:val="auto"/>
        </w:rPr>
      </w:pPr>
      <w:r>
        <w:rPr>
          <w:rFonts w:ascii="Arial" w:cs="Arial" w:eastAsia="Arial" w:hAnsi="Arial"/>
          <w:sz w:val="13"/>
          <w:szCs w:val="13"/>
          <w:color w:val="auto"/>
        </w:rPr>
        <w:t>guarantees or sureties (</w:t>
      </w:r>
      <w:r>
        <w:rPr>
          <w:rFonts w:ascii="Arial" w:cs="Arial" w:eastAsia="Arial" w:hAnsi="Arial"/>
          <w:sz w:val="13"/>
          <w:szCs w:val="13"/>
          <w:i w:val="1"/>
          <w:iCs w:val="1"/>
          <w:color w:val="auto"/>
        </w:rPr>
        <w:t>Bürgschaften</w:t>
      </w:r>
      <w:r>
        <w:rPr>
          <w:rFonts w:ascii="Arial" w:cs="Arial" w:eastAsia="Arial" w:hAnsi="Arial"/>
          <w:sz w:val="13"/>
          <w:szCs w:val="13"/>
          <w:color w:val="auto"/>
        </w:rPr>
        <w:t>) issued by any Group Company under or in connection with:</w:t>
      </w:r>
    </w:p>
    <w:p>
      <w:pPr>
        <w:spacing w:after="0" w:line="84" w:lineRule="exact"/>
        <w:rPr>
          <w:rFonts w:ascii="Arial" w:cs="Arial" w:eastAsia="Arial" w:hAnsi="Arial"/>
          <w:sz w:val="13"/>
          <w:szCs w:val="13"/>
          <w:color w:val="auto"/>
        </w:rPr>
      </w:pPr>
    </w:p>
    <w:p>
      <w:pPr>
        <w:ind w:left="3040" w:hanging="530"/>
        <w:spacing w:after="0"/>
        <w:tabs>
          <w:tab w:leader="none" w:pos="3040" w:val="left"/>
        </w:tabs>
        <w:numPr>
          <w:ilvl w:val="3"/>
          <w:numId w:val="475"/>
        </w:numPr>
        <w:rPr>
          <w:rFonts w:ascii="Arial" w:cs="Arial" w:eastAsia="Arial" w:hAnsi="Arial"/>
          <w:sz w:val="13"/>
          <w:szCs w:val="13"/>
          <w:color w:val="auto"/>
        </w:rPr>
      </w:pPr>
      <w:r>
        <w:rPr>
          <w:rFonts w:ascii="Arial" w:cs="Arial" w:eastAsia="Arial" w:hAnsi="Arial"/>
          <w:sz w:val="13"/>
          <w:szCs w:val="13"/>
          <w:color w:val="auto"/>
        </w:rPr>
        <w:t>under any negotiable instruments in the ordinary course of trade;</w:t>
      </w:r>
    </w:p>
    <w:p>
      <w:pPr>
        <w:spacing w:after="0" w:line="70" w:lineRule="exact"/>
        <w:rPr>
          <w:rFonts w:ascii="Arial" w:cs="Arial" w:eastAsia="Arial" w:hAnsi="Arial"/>
          <w:sz w:val="13"/>
          <w:szCs w:val="13"/>
          <w:color w:val="auto"/>
        </w:rPr>
      </w:pPr>
    </w:p>
    <w:p>
      <w:pPr>
        <w:ind w:left="3040" w:hanging="530"/>
        <w:spacing w:after="0"/>
        <w:tabs>
          <w:tab w:leader="none" w:pos="3040" w:val="left"/>
        </w:tabs>
        <w:numPr>
          <w:ilvl w:val="3"/>
          <w:numId w:val="475"/>
        </w:numPr>
        <w:rPr>
          <w:rFonts w:ascii="Arial" w:cs="Arial" w:eastAsia="Arial" w:hAnsi="Arial"/>
          <w:sz w:val="13"/>
          <w:szCs w:val="13"/>
          <w:color w:val="auto"/>
        </w:rPr>
      </w:pPr>
      <w:r>
        <w:rPr>
          <w:rFonts w:ascii="Arial" w:cs="Arial" w:eastAsia="Arial" w:hAnsi="Arial"/>
          <w:sz w:val="13"/>
          <w:szCs w:val="13"/>
          <w:color w:val="auto"/>
        </w:rPr>
        <w:t>in connection with any performance bond in the ordinary course of trade;</w:t>
      </w:r>
    </w:p>
    <w:p>
      <w:pPr>
        <w:spacing w:after="0" w:line="90" w:lineRule="exact"/>
        <w:rPr>
          <w:rFonts w:ascii="Arial" w:cs="Arial" w:eastAsia="Arial" w:hAnsi="Arial"/>
          <w:sz w:val="13"/>
          <w:szCs w:val="13"/>
          <w:color w:val="auto"/>
        </w:rPr>
      </w:pPr>
    </w:p>
    <w:p>
      <w:pPr>
        <w:ind w:left="3040" w:hanging="530"/>
        <w:spacing w:after="0"/>
        <w:tabs>
          <w:tab w:leader="none" w:pos="3040" w:val="left"/>
        </w:tabs>
        <w:numPr>
          <w:ilvl w:val="3"/>
          <w:numId w:val="475"/>
        </w:numPr>
        <w:rPr>
          <w:rFonts w:ascii="Arial" w:cs="Arial" w:eastAsia="Arial" w:hAnsi="Arial"/>
          <w:sz w:val="13"/>
          <w:szCs w:val="13"/>
          <w:color w:val="auto"/>
        </w:rPr>
      </w:pPr>
      <w:r>
        <w:rPr>
          <w:rFonts w:ascii="Arial" w:cs="Arial" w:eastAsia="Arial" w:hAnsi="Arial"/>
          <w:sz w:val="13"/>
          <w:szCs w:val="13"/>
          <w:color w:val="auto"/>
        </w:rPr>
        <w:t>in connection with any Permitted Indebtedness;</w:t>
      </w:r>
    </w:p>
    <w:p>
      <w:pPr>
        <w:spacing w:after="0" w:line="80" w:lineRule="exact"/>
        <w:rPr>
          <w:rFonts w:ascii="Arial" w:cs="Arial" w:eastAsia="Arial" w:hAnsi="Arial"/>
          <w:sz w:val="13"/>
          <w:szCs w:val="13"/>
          <w:color w:val="auto"/>
        </w:rPr>
      </w:pPr>
    </w:p>
    <w:p>
      <w:pPr>
        <w:ind w:left="3040" w:hanging="530"/>
        <w:spacing w:after="0"/>
        <w:tabs>
          <w:tab w:leader="none" w:pos="3040" w:val="left"/>
        </w:tabs>
        <w:numPr>
          <w:ilvl w:val="3"/>
          <w:numId w:val="475"/>
        </w:numPr>
        <w:rPr>
          <w:rFonts w:ascii="Arial" w:cs="Arial" w:eastAsia="Arial" w:hAnsi="Arial"/>
          <w:sz w:val="13"/>
          <w:szCs w:val="13"/>
          <w:color w:val="auto"/>
        </w:rPr>
      </w:pPr>
      <w:r>
        <w:rPr>
          <w:rFonts w:ascii="Arial" w:cs="Arial" w:eastAsia="Arial" w:hAnsi="Arial"/>
          <w:sz w:val="13"/>
          <w:szCs w:val="13"/>
          <w:color w:val="auto"/>
        </w:rPr>
        <w:t>issued by one Obligor to another Obligor;</w:t>
      </w:r>
    </w:p>
    <w:p>
      <w:pPr>
        <w:spacing w:after="0" w:line="80" w:lineRule="exact"/>
        <w:rPr>
          <w:rFonts w:ascii="Arial" w:cs="Arial" w:eastAsia="Arial" w:hAnsi="Arial"/>
          <w:sz w:val="13"/>
          <w:szCs w:val="13"/>
          <w:color w:val="auto"/>
        </w:rPr>
      </w:pPr>
    </w:p>
    <w:p>
      <w:pPr>
        <w:ind w:left="3040" w:right="860" w:hanging="530"/>
        <w:spacing w:after="0" w:line="258" w:lineRule="auto"/>
        <w:tabs>
          <w:tab w:leader="none" w:pos="3040" w:val="left"/>
        </w:tabs>
        <w:numPr>
          <w:ilvl w:val="3"/>
          <w:numId w:val="475"/>
        </w:numPr>
        <w:rPr>
          <w:rFonts w:ascii="Arial" w:cs="Arial" w:eastAsia="Arial" w:hAnsi="Arial"/>
          <w:sz w:val="13"/>
          <w:szCs w:val="13"/>
          <w:color w:val="auto"/>
        </w:rPr>
      </w:pPr>
      <w:r>
        <w:rPr>
          <w:rFonts w:ascii="Arial" w:cs="Arial" w:eastAsia="Arial" w:hAnsi="Arial"/>
          <w:sz w:val="13"/>
          <w:szCs w:val="13"/>
          <w:color w:val="auto"/>
        </w:rPr>
        <w:t>any bank guarantee issued the benefit of a contractor in connection with construction work to secure such contractor’s claims (</w:t>
      </w:r>
      <w:r>
        <w:rPr>
          <w:rFonts w:ascii="Arial" w:cs="Arial" w:eastAsia="Arial" w:hAnsi="Arial"/>
          <w:sz w:val="13"/>
          <w:szCs w:val="13"/>
          <w:i w:val="1"/>
          <w:iCs w:val="1"/>
          <w:color w:val="auto"/>
        </w:rPr>
        <w:t>Bauhandwerkersicherung</w:t>
      </w:r>
      <w:r>
        <w:rPr>
          <w:rFonts w:ascii="Arial" w:cs="Arial" w:eastAsia="Arial" w:hAnsi="Arial"/>
          <w:sz w:val="13"/>
          <w:szCs w:val="13"/>
          <w:color w:val="auto"/>
        </w:rPr>
        <w:t>);</w:t>
      </w:r>
    </w:p>
    <w:p>
      <w:pPr>
        <w:spacing w:after="0" w:line="44" w:lineRule="exact"/>
        <w:rPr>
          <w:rFonts w:ascii="Arial" w:cs="Arial" w:eastAsia="Arial" w:hAnsi="Arial"/>
          <w:sz w:val="13"/>
          <w:szCs w:val="13"/>
          <w:color w:val="auto"/>
        </w:rPr>
      </w:pPr>
    </w:p>
    <w:p>
      <w:pPr>
        <w:ind w:left="3040" w:right="580" w:hanging="530"/>
        <w:spacing w:after="0" w:line="281" w:lineRule="auto"/>
        <w:tabs>
          <w:tab w:leader="none" w:pos="3040" w:val="left"/>
        </w:tabs>
        <w:numPr>
          <w:ilvl w:val="3"/>
          <w:numId w:val="475"/>
        </w:numPr>
        <w:rPr>
          <w:rFonts w:ascii="Arial" w:cs="Arial" w:eastAsia="Arial" w:hAnsi="Arial"/>
          <w:sz w:val="13"/>
          <w:szCs w:val="13"/>
          <w:color w:val="auto"/>
        </w:rPr>
      </w:pPr>
      <w:r>
        <w:rPr>
          <w:rFonts w:ascii="Arial" w:cs="Arial" w:eastAsia="Arial" w:hAnsi="Arial"/>
          <w:sz w:val="13"/>
          <w:szCs w:val="13"/>
          <w:color w:val="auto"/>
        </w:rPr>
        <w:t>any guarantee created or subsisting in order to comply with Section 8a of the German Altersteilzeitgesetz (</w:t>
      </w:r>
      <w:r>
        <w:rPr>
          <w:rFonts w:ascii="Arial" w:cs="Arial" w:eastAsia="Arial" w:hAnsi="Arial"/>
          <w:sz w:val="13"/>
          <w:szCs w:val="13"/>
          <w:i w:val="1"/>
          <w:iCs w:val="1"/>
          <w:color w:val="auto"/>
        </w:rPr>
        <w:t>AltTZG</w:t>
      </w:r>
      <w:r>
        <w:rPr>
          <w:rFonts w:ascii="Arial" w:cs="Arial" w:eastAsia="Arial" w:hAnsi="Arial"/>
          <w:sz w:val="13"/>
          <w:szCs w:val="13"/>
          <w:color w:val="auto"/>
        </w:rPr>
        <w:t>) or pursuant to Section 7e of the German Social Law Act No. 4 (</w:t>
      </w:r>
      <w:r>
        <w:rPr>
          <w:rFonts w:ascii="Arial" w:cs="Arial" w:eastAsia="Arial" w:hAnsi="Arial"/>
          <w:sz w:val="13"/>
          <w:szCs w:val="13"/>
          <w:i w:val="1"/>
          <w:iCs w:val="1"/>
          <w:color w:val="auto"/>
        </w:rPr>
        <w:t>Sozialgesetzbuch IV</w:t>
      </w:r>
      <w:r>
        <w:rPr>
          <w:rFonts w:ascii="Arial" w:cs="Arial" w:eastAsia="Arial" w:hAnsi="Arial"/>
          <w:sz w:val="13"/>
          <w:szCs w:val="13"/>
          <w:color w:val="auto"/>
        </w:rPr>
        <w:t>); or</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91" w:name="page392"/>
    <w:bookmarkEnd w:id="391"/>
    <w:p>
      <w:pPr>
        <w:jc w:val="right"/>
        <w:spacing w:after="0"/>
        <w:rPr>
          <w:sz w:val="20"/>
          <w:szCs w:val="20"/>
          <w:color w:val="auto"/>
        </w:rPr>
      </w:pPr>
      <w:r>
        <w:rPr>
          <w:rFonts w:ascii="Arial" w:cs="Arial" w:eastAsia="Arial" w:hAnsi="Arial"/>
          <w:sz w:val="13"/>
          <w:szCs w:val="13"/>
          <w:b w:val="1"/>
          <w:bCs w:val="1"/>
          <w:color w:val="auto"/>
        </w:rPr>
        <w:t>Exhibit 4.41</w:t>
      </w:r>
    </w:p>
    <w:p>
      <w:pPr>
        <w:spacing w:after="0" w:line="39" w:lineRule="exact"/>
        <w:rPr>
          <w:sz w:val="20"/>
          <w:szCs w:val="20"/>
          <w:color w:val="auto"/>
        </w:rPr>
      </w:pPr>
    </w:p>
    <w:p>
      <w:pPr>
        <w:ind w:left="3040" w:right="260" w:hanging="530"/>
        <w:spacing w:after="0" w:line="250" w:lineRule="auto"/>
        <w:tabs>
          <w:tab w:leader="none" w:pos="3040" w:val="left"/>
        </w:tabs>
        <w:numPr>
          <w:ilvl w:val="0"/>
          <w:numId w:val="476"/>
        </w:numPr>
        <w:rPr>
          <w:rFonts w:ascii="Arial" w:cs="Arial" w:eastAsia="Arial" w:hAnsi="Arial"/>
          <w:sz w:val="13"/>
          <w:szCs w:val="13"/>
          <w:color w:val="auto"/>
        </w:rPr>
      </w:pPr>
      <w:r>
        <w:rPr>
          <w:rFonts w:ascii="Arial" w:cs="Arial" w:eastAsia="Arial" w:hAnsi="Arial"/>
          <w:sz w:val="13"/>
          <w:szCs w:val="13"/>
          <w:color w:val="auto"/>
        </w:rPr>
        <w:t>any guarantees or sureties (</w:t>
      </w:r>
      <w:r>
        <w:rPr>
          <w:rFonts w:ascii="Arial" w:cs="Arial" w:eastAsia="Arial" w:hAnsi="Arial"/>
          <w:sz w:val="13"/>
          <w:szCs w:val="13"/>
          <w:i w:val="1"/>
          <w:iCs w:val="1"/>
          <w:color w:val="auto"/>
        </w:rPr>
        <w:t>Bürgschaften</w:t>
      </w:r>
      <w:r>
        <w:rPr>
          <w:rFonts w:ascii="Arial" w:cs="Arial" w:eastAsia="Arial" w:hAnsi="Arial"/>
          <w:sz w:val="13"/>
          <w:szCs w:val="13"/>
          <w:color w:val="auto"/>
        </w:rPr>
        <w:t>) not permitted by the preceding Sub-Paragraphs and the outstanding amount of which does not exceed EUR [***] (or its equivalent) in aggregate for the Group at any time. If and for so long as the Borrower fulfils the Replacement Conditions prior to issuing the guarantee or surety (</w:t>
      </w:r>
      <w:r>
        <w:rPr>
          <w:rFonts w:ascii="Arial" w:cs="Arial" w:eastAsia="Arial" w:hAnsi="Arial"/>
          <w:sz w:val="13"/>
          <w:szCs w:val="13"/>
          <w:i w:val="1"/>
          <w:iCs w:val="1"/>
          <w:color w:val="auto"/>
        </w:rPr>
        <w:t>Bürgschaft</w:t>
      </w:r>
      <w:r>
        <w:rPr>
          <w:rFonts w:ascii="Arial" w:cs="Arial" w:eastAsia="Arial" w:hAnsi="Arial"/>
          <w:sz w:val="13"/>
          <w:szCs w:val="13"/>
          <w:color w:val="auto"/>
        </w:rPr>
        <w:t>), the threshold amount of EUR [***] increases to EUR [***]. In case the Borrower does not further comply with any of the Replacement Conditions, the threshold of EUR [***] shall apply again and the Borrower shall use its reasonable best efforts to comply with such threshold within a reasonable timeframe.</w:t>
      </w:r>
    </w:p>
    <w:p>
      <w:pPr>
        <w:spacing w:after="0" w:line="42"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440" w:type="dxa"/>
            <w:vAlign w:val="bottom"/>
          </w:tcPr>
          <w:p>
            <w:pPr>
              <w:spacing w:after="0"/>
              <w:rPr>
                <w:sz w:val="20"/>
                <w:szCs w:val="20"/>
                <w:color w:val="auto"/>
              </w:rPr>
            </w:pPr>
            <w:r>
              <w:rPr>
                <w:rFonts w:ascii="Arial" w:cs="Arial" w:eastAsia="Arial" w:hAnsi="Arial"/>
                <w:sz w:val="13"/>
                <w:szCs w:val="13"/>
                <w:color w:val="auto"/>
              </w:rPr>
              <w:t>(b)</w:t>
            </w:r>
          </w:p>
        </w:tc>
        <w:tc>
          <w:tcPr>
            <w:tcW w:w="9920" w:type="dxa"/>
            <w:vAlign w:val="bottom"/>
            <w:gridSpan w:val="4"/>
          </w:tcPr>
          <w:p>
            <w:pPr>
              <w:ind w:left="260"/>
              <w:spacing w:after="0"/>
              <w:rPr>
                <w:sz w:val="20"/>
                <w:szCs w:val="20"/>
                <w:color w:val="auto"/>
              </w:rPr>
            </w:pPr>
            <w:r>
              <w:rPr>
                <w:rFonts w:ascii="Arial" w:cs="Arial" w:eastAsia="Arial" w:hAnsi="Arial"/>
                <w:sz w:val="13"/>
                <w:szCs w:val="13"/>
                <w:color w:val="auto"/>
              </w:rPr>
              <w:t>The Borrower shall procure that, as soon as any Group Company becomes a Material Subsidiary (as identified in any accounts delivered to the Bank from time</w:t>
            </w:r>
          </w:p>
        </w:tc>
      </w:tr>
      <w:tr>
        <w:trPr>
          <w:trHeight w:val="145"/>
        </w:trPr>
        <w:tc>
          <w:tcPr>
            <w:tcW w:w="440" w:type="dxa"/>
            <w:vAlign w:val="bottom"/>
          </w:tcPr>
          <w:p>
            <w:pPr>
              <w:spacing w:after="0"/>
              <w:rPr>
                <w:sz w:val="12"/>
                <w:szCs w:val="12"/>
                <w:color w:val="auto"/>
              </w:rPr>
            </w:pPr>
          </w:p>
        </w:tc>
        <w:tc>
          <w:tcPr>
            <w:tcW w:w="9920" w:type="dxa"/>
            <w:vAlign w:val="bottom"/>
            <w:gridSpan w:val="4"/>
          </w:tcPr>
          <w:p>
            <w:pPr>
              <w:ind w:left="260"/>
              <w:spacing w:after="0" w:line="145" w:lineRule="exact"/>
              <w:rPr>
                <w:rFonts w:ascii="Arial" w:cs="Arial" w:eastAsia="Arial" w:hAnsi="Arial"/>
                <w:sz w:val="13"/>
                <w:szCs w:val="13"/>
                <w:color w:val="auto"/>
              </w:rPr>
            </w:pPr>
            <w:r>
              <w:rPr>
                <w:rFonts w:ascii="Arial" w:cs="Arial" w:eastAsia="Arial" w:hAnsi="Arial"/>
                <w:sz w:val="13"/>
                <w:szCs w:val="13"/>
                <w:color w:val="auto"/>
              </w:rPr>
              <w:t xml:space="preserve">to time pursuant to Paragraph </w:t>
            </w:r>
            <w:hyperlink w:anchor="page397">
              <w:r>
                <w:rPr>
                  <w:rFonts w:ascii="Arial" w:cs="Arial" w:eastAsia="Arial" w:hAnsi="Arial"/>
                  <w:sz w:val="13"/>
                  <w:szCs w:val="13"/>
                  <w:color w:val="0000EE"/>
                </w:rPr>
                <w:t>2</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Information concerning the Borrower</w:t>
            </w:r>
            <w:r>
              <w:rPr>
                <w:rFonts w:ascii="Arial" w:cs="Arial" w:eastAsia="Arial" w:hAnsi="Arial"/>
                <w:sz w:val="13"/>
                <w:szCs w:val="13"/>
                <w:color w:val="auto"/>
              </w:rPr>
              <w:t xml:space="preserve">) of </w:t>
            </w:r>
            <w:hyperlink w:anchor="page396">
              <w:r>
                <w:rPr>
                  <w:rFonts w:ascii="Arial" w:cs="Arial" w:eastAsia="Arial" w:hAnsi="Arial"/>
                  <w:sz w:val="13"/>
                  <w:szCs w:val="13"/>
                  <w:color w:val="0000EE"/>
                </w:rPr>
                <w:t>Schedule I</w:t>
              </w:r>
              <w:r>
                <w:rPr>
                  <w:rFonts w:ascii="Arial" w:cs="Arial" w:eastAsia="Arial" w:hAnsi="Arial"/>
                  <w:sz w:val="13"/>
                  <w:szCs w:val="13"/>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Information and Visits</w:t>
            </w:r>
            <w:r>
              <w:rPr>
                <w:rFonts w:ascii="Arial" w:cs="Arial" w:eastAsia="Arial" w:hAnsi="Arial"/>
                <w:sz w:val="13"/>
                <w:szCs w:val="13"/>
                <w:color w:val="auto"/>
              </w:rPr>
              <w:t>), that Group Company shall promptly notify the</w:t>
            </w:r>
          </w:p>
        </w:tc>
      </w:tr>
      <w:tr>
        <w:trPr>
          <w:trHeight w:val="20"/>
        </w:trPr>
        <w:tc>
          <w:tcPr>
            <w:tcW w:w="440" w:type="dxa"/>
            <w:vAlign w:val="bottom"/>
          </w:tcPr>
          <w:p>
            <w:pPr>
              <w:spacing w:after="0" w:line="20" w:lineRule="exact"/>
              <w:rPr>
                <w:sz w:val="1"/>
                <w:szCs w:val="1"/>
                <w:color w:val="auto"/>
              </w:rPr>
            </w:pPr>
          </w:p>
        </w:tc>
        <w:tc>
          <w:tcPr>
            <w:tcW w:w="2240" w:type="dxa"/>
            <w:vAlign w:val="bottom"/>
            <w:tcBorders>
              <w:right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35"/>
        </w:trPr>
        <w:tc>
          <w:tcPr>
            <w:tcW w:w="440" w:type="dxa"/>
            <w:vAlign w:val="bottom"/>
          </w:tcPr>
          <w:p>
            <w:pPr>
              <w:spacing w:after="0"/>
              <w:rPr>
                <w:sz w:val="11"/>
                <w:szCs w:val="11"/>
                <w:color w:val="auto"/>
              </w:rPr>
            </w:pPr>
          </w:p>
        </w:tc>
        <w:tc>
          <w:tcPr>
            <w:tcW w:w="9920" w:type="dxa"/>
            <w:vAlign w:val="bottom"/>
            <w:gridSpan w:val="4"/>
          </w:tcPr>
          <w:p>
            <w:pPr>
              <w:ind w:left="260"/>
              <w:spacing w:after="0" w:line="136" w:lineRule="exact"/>
              <w:rPr>
                <w:sz w:val="20"/>
                <w:szCs w:val="20"/>
                <w:color w:val="auto"/>
              </w:rPr>
            </w:pPr>
            <w:r>
              <w:rPr>
                <w:rFonts w:ascii="Arial" w:cs="Arial" w:eastAsia="Arial" w:hAnsi="Arial"/>
                <w:sz w:val="13"/>
                <w:szCs w:val="13"/>
                <w:color w:val="auto"/>
              </w:rPr>
              <w:t>Bank and on the Bank’s request enter into a Guarantee Agreement and provide the Bank with the documentary conditions precedent (each in form and</w:t>
            </w:r>
          </w:p>
        </w:tc>
      </w:tr>
      <w:tr>
        <w:trPr>
          <w:trHeight w:val="164"/>
        </w:trPr>
        <w:tc>
          <w:tcPr>
            <w:tcW w:w="440" w:type="dxa"/>
            <w:vAlign w:val="bottom"/>
          </w:tcPr>
          <w:p>
            <w:pPr>
              <w:spacing w:after="0"/>
              <w:rPr>
                <w:sz w:val="14"/>
                <w:szCs w:val="14"/>
                <w:color w:val="auto"/>
              </w:rPr>
            </w:pPr>
          </w:p>
        </w:tc>
        <w:tc>
          <w:tcPr>
            <w:tcW w:w="9920" w:type="dxa"/>
            <w:vAlign w:val="bottom"/>
            <w:gridSpan w:val="4"/>
          </w:tcPr>
          <w:p>
            <w:pPr>
              <w:ind w:left="260"/>
              <w:spacing w:after="0"/>
              <w:rPr>
                <w:sz w:val="20"/>
                <w:szCs w:val="20"/>
                <w:color w:val="auto"/>
              </w:rPr>
            </w:pPr>
            <w:r>
              <w:rPr>
                <w:rFonts w:ascii="Arial" w:cs="Arial" w:eastAsia="Arial" w:hAnsi="Arial"/>
                <w:sz w:val="13"/>
                <w:szCs w:val="13"/>
                <w:color w:val="auto"/>
              </w:rPr>
              <w:t>substance satisfactory to the Bank) listed in Part C of Schedule F (</w:t>
            </w:r>
            <w:r>
              <w:rPr>
                <w:rFonts w:ascii="Arial" w:cs="Arial" w:eastAsia="Arial" w:hAnsi="Arial"/>
                <w:sz w:val="13"/>
                <w:szCs w:val="13"/>
                <w:i w:val="1"/>
                <w:iCs w:val="1"/>
                <w:color w:val="auto"/>
              </w:rPr>
              <w:t>Guarantor Conditions Precedent</w:t>
            </w:r>
            <w:r>
              <w:rPr>
                <w:rFonts w:ascii="Arial" w:cs="Arial" w:eastAsia="Arial" w:hAnsi="Arial"/>
                <w:sz w:val="13"/>
                <w:szCs w:val="13"/>
                <w:color w:val="auto"/>
              </w:rPr>
              <w:t>) within [***] Business Days following the date on which</w:t>
            </w:r>
          </w:p>
        </w:tc>
      </w:tr>
      <w:tr>
        <w:trPr>
          <w:trHeight w:val="161"/>
        </w:trPr>
        <w:tc>
          <w:tcPr>
            <w:tcW w:w="440" w:type="dxa"/>
            <w:vAlign w:val="bottom"/>
          </w:tcPr>
          <w:p>
            <w:pPr>
              <w:spacing w:after="0"/>
              <w:rPr>
                <w:sz w:val="13"/>
                <w:szCs w:val="13"/>
                <w:color w:val="auto"/>
              </w:rPr>
            </w:pPr>
          </w:p>
        </w:tc>
        <w:tc>
          <w:tcPr>
            <w:tcW w:w="9920" w:type="dxa"/>
            <w:vAlign w:val="bottom"/>
            <w:gridSpan w:val="4"/>
          </w:tcPr>
          <w:p>
            <w:pPr>
              <w:ind w:left="260"/>
              <w:spacing w:after="0"/>
              <w:rPr>
                <w:sz w:val="20"/>
                <w:szCs w:val="20"/>
                <w:color w:val="auto"/>
              </w:rPr>
            </w:pPr>
            <w:r>
              <w:rPr>
                <w:rFonts w:ascii="Arial" w:cs="Arial" w:eastAsia="Arial" w:hAnsi="Arial"/>
                <w:sz w:val="13"/>
                <w:szCs w:val="13"/>
                <w:color w:val="auto"/>
              </w:rPr>
              <w:t>such Group Company qualifies as a Material Subsidiary.</w:t>
            </w:r>
          </w:p>
        </w:tc>
      </w:tr>
    </w:tbl>
    <w:p>
      <w:pPr>
        <w:spacing w:after="0" w:line="93" w:lineRule="exact"/>
        <w:rPr>
          <w:sz w:val="20"/>
          <w:szCs w:val="20"/>
          <w:color w:val="auto"/>
        </w:rPr>
      </w:pPr>
    </w:p>
    <w:p>
      <w:pPr>
        <w:ind w:left="1060" w:hanging="510"/>
        <w:spacing w:after="0"/>
        <w:tabs>
          <w:tab w:leader="none" w:pos="1060" w:val="left"/>
        </w:tabs>
        <w:numPr>
          <w:ilvl w:val="0"/>
          <w:numId w:val="477"/>
        </w:numPr>
        <w:rPr>
          <w:rFonts w:ascii="Arial" w:cs="Arial" w:eastAsia="Arial" w:hAnsi="Arial"/>
          <w:sz w:val="13"/>
          <w:szCs w:val="13"/>
          <w:b w:val="1"/>
          <w:bCs w:val="1"/>
          <w:color w:val="auto"/>
        </w:rPr>
      </w:pPr>
      <w:r>
        <w:rPr>
          <w:rFonts w:ascii="Arial" w:cs="Arial" w:eastAsia="Arial" w:hAnsi="Arial"/>
          <w:sz w:val="13"/>
          <w:szCs w:val="13"/>
          <w:b w:val="1"/>
          <w:bCs w:val="1"/>
          <w:color w:val="auto"/>
        </w:rPr>
        <w:t>Hedging</w:t>
      </w:r>
    </w:p>
    <w:p>
      <w:pPr>
        <w:spacing w:after="0" w:line="120" w:lineRule="exact"/>
        <w:rPr>
          <w:rFonts w:ascii="Arial" w:cs="Arial" w:eastAsia="Arial" w:hAnsi="Arial"/>
          <w:sz w:val="13"/>
          <w:szCs w:val="13"/>
          <w:b w:val="1"/>
          <w:bCs w:val="1"/>
          <w:color w:val="auto"/>
        </w:rPr>
      </w:pPr>
    </w:p>
    <w:p>
      <w:pPr>
        <w:ind w:left="1080" w:right="120"/>
        <w:spacing w:after="0" w:line="284" w:lineRule="auto"/>
        <w:rPr>
          <w:rFonts w:ascii="Arial" w:cs="Arial" w:eastAsia="Arial" w:hAnsi="Arial"/>
          <w:sz w:val="13"/>
          <w:szCs w:val="13"/>
          <w:b w:val="1"/>
          <w:bCs w:val="1"/>
          <w:color w:val="auto"/>
        </w:rPr>
      </w:pPr>
      <w:r>
        <w:rPr>
          <w:rFonts w:ascii="Arial" w:cs="Arial" w:eastAsia="Arial" w:hAnsi="Arial"/>
          <w:sz w:val="13"/>
          <w:szCs w:val="13"/>
          <w:color w:val="auto"/>
        </w:rPr>
        <w:t>The Borrower shall not, and shall procure that no other Group Company shall, enter into any derivative transaction other than Permitted Hedging, where "</w:t>
      </w:r>
      <w:r>
        <w:rPr>
          <w:rFonts w:ascii="Arial" w:cs="Arial" w:eastAsia="Arial" w:hAnsi="Arial"/>
          <w:sz w:val="13"/>
          <w:szCs w:val="13"/>
          <w:b w:val="1"/>
          <w:bCs w:val="1"/>
          <w:color w:val="auto"/>
        </w:rPr>
        <w:t>Permitted</w:t>
      </w:r>
      <w:r>
        <w:rPr>
          <w:rFonts w:ascii="Arial" w:cs="Arial" w:eastAsia="Arial" w:hAnsi="Arial"/>
          <w:sz w:val="13"/>
          <w:szCs w:val="13"/>
          <w:color w:val="auto"/>
        </w:rPr>
        <w:t xml:space="preserve"> </w:t>
      </w:r>
      <w:r>
        <w:rPr>
          <w:rFonts w:ascii="Arial" w:cs="Arial" w:eastAsia="Arial" w:hAnsi="Arial"/>
          <w:sz w:val="13"/>
          <w:szCs w:val="13"/>
          <w:b w:val="1"/>
          <w:bCs w:val="1"/>
          <w:color w:val="auto"/>
        </w:rPr>
        <w:t>Hedging</w:t>
      </w:r>
      <w:r>
        <w:rPr>
          <w:rFonts w:ascii="Arial" w:cs="Arial" w:eastAsia="Arial" w:hAnsi="Arial"/>
          <w:sz w:val="13"/>
          <w:szCs w:val="13"/>
          <w:color w:val="auto"/>
        </w:rPr>
        <w:t>" means:</w:t>
      </w:r>
    </w:p>
    <w:p>
      <w:pPr>
        <w:spacing w:after="0" w:line="42" w:lineRule="exact"/>
        <w:rPr>
          <w:rFonts w:ascii="Arial" w:cs="Arial" w:eastAsia="Arial" w:hAnsi="Arial"/>
          <w:sz w:val="13"/>
          <w:szCs w:val="13"/>
          <w:b w:val="1"/>
          <w:bCs w:val="1"/>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any derivative transaction entered into by a Group Company with the prior written consent of the Bank;</w:t>
      </w:r>
    </w:p>
    <w:p>
      <w:pPr>
        <w:spacing w:after="0" w:line="80" w:lineRule="exact"/>
        <w:rPr>
          <w:rFonts w:ascii="Arial" w:cs="Arial" w:eastAsia="Arial" w:hAnsi="Arial"/>
          <w:sz w:val="13"/>
          <w:szCs w:val="13"/>
          <w:color w:val="auto"/>
        </w:rPr>
      </w:pPr>
    </w:p>
    <w:p>
      <w:pPr>
        <w:ind w:left="1780" w:right="320" w:hanging="710"/>
        <w:spacing w:after="0" w:line="258" w:lineRule="auto"/>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any derivative transaction by a Group Company to hedge actual or projected exposure arising in the ordinary course of trading and not for speculative purposes; and</w:t>
      </w:r>
    </w:p>
    <w:p>
      <w:pPr>
        <w:spacing w:after="0" w:line="58" w:lineRule="exact"/>
        <w:rPr>
          <w:rFonts w:ascii="Arial" w:cs="Arial" w:eastAsia="Arial" w:hAnsi="Arial"/>
          <w:sz w:val="13"/>
          <w:szCs w:val="13"/>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any derivative instrument of a Group Company which is accounted for on a hedge accounting basis but is not entered into for speculative purposes.</w:t>
      </w:r>
    </w:p>
    <w:p>
      <w:pPr>
        <w:spacing w:after="0" w:line="104" w:lineRule="exact"/>
        <w:rPr>
          <w:rFonts w:ascii="Arial" w:cs="Arial" w:eastAsia="Arial" w:hAnsi="Arial"/>
          <w:sz w:val="13"/>
          <w:szCs w:val="13"/>
          <w:color w:val="auto"/>
        </w:rPr>
      </w:pPr>
    </w:p>
    <w:p>
      <w:pPr>
        <w:ind w:left="1060" w:hanging="510"/>
        <w:spacing w:after="0"/>
        <w:tabs>
          <w:tab w:leader="none" w:pos="1060" w:val="left"/>
        </w:tabs>
        <w:numPr>
          <w:ilvl w:val="0"/>
          <w:numId w:val="477"/>
        </w:numPr>
        <w:rPr>
          <w:rFonts w:ascii="Arial" w:cs="Arial" w:eastAsia="Arial" w:hAnsi="Arial"/>
          <w:sz w:val="13"/>
          <w:szCs w:val="13"/>
          <w:b w:val="1"/>
          <w:bCs w:val="1"/>
          <w:color w:val="auto"/>
        </w:rPr>
      </w:pPr>
      <w:r>
        <w:rPr>
          <w:rFonts w:ascii="Arial" w:cs="Arial" w:eastAsia="Arial" w:hAnsi="Arial"/>
          <w:sz w:val="13"/>
          <w:szCs w:val="13"/>
          <w:b w:val="1"/>
          <w:bCs w:val="1"/>
          <w:color w:val="auto"/>
        </w:rPr>
        <w:t>Restrictions on distributions</w:t>
      </w:r>
    </w:p>
    <w:p>
      <w:pPr>
        <w:spacing w:after="0" w:line="13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The Borrower shall not, and shall procure that no other Group Company shall, declare or distribute dividends, or return or purchase shares, save for:</w:t>
      </w:r>
    </w:p>
    <w:p>
      <w:pPr>
        <w:spacing w:after="0" w:line="80" w:lineRule="exact"/>
        <w:rPr>
          <w:rFonts w:ascii="Arial" w:cs="Arial" w:eastAsia="Arial" w:hAnsi="Arial"/>
          <w:sz w:val="13"/>
          <w:szCs w:val="13"/>
          <w:b w:val="1"/>
          <w:bCs w:val="1"/>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with the prior written consent of the Bank;</w:t>
      </w:r>
    </w:p>
    <w:p>
      <w:pPr>
        <w:spacing w:after="0" w:line="70" w:lineRule="exact"/>
        <w:rPr>
          <w:rFonts w:ascii="Arial" w:cs="Arial" w:eastAsia="Arial" w:hAnsi="Arial"/>
          <w:sz w:val="13"/>
          <w:szCs w:val="13"/>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payments to a Group Company as a result of a solvent liquidation or reorganisation of a Group Company which is not an Obligor; and</w:t>
      </w:r>
    </w:p>
    <w:p>
      <w:pPr>
        <w:spacing w:after="0" w:line="70" w:lineRule="exact"/>
        <w:rPr>
          <w:rFonts w:ascii="Arial" w:cs="Arial" w:eastAsia="Arial" w:hAnsi="Arial"/>
          <w:sz w:val="13"/>
          <w:szCs w:val="13"/>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any dividend payments made by any Subsidiary.</w:t>
      </w:r>
    </w:p>
    <w:p>
      <w:pPr>
        <w:spacing w:after="0" w:line="104" w:lineRule="exact"/>
        <w:rPr>
          <w:rFonts w:ascii="Arial" w:cs="Arial" w:eastAsia="Arial" w:hAnsi="Arial"/>
          <w:sz w:val="13"/>
          <w:szCs w:val="13"/>
          <w:color w:val="auto"/>
        </w:rPr>
      </w:pPr>
    </w:p>
    <w:p>
      <w:pPr>
        <w:ind w:left="1000" w:hanging="450"/>
        <w:spacing w:after="0"/>
        <w:tabs>
          <w:tab w:leader="none" w:pos="1000" w:val="left"/>
        </w:tabs>
        <w:numPr>
          <w:ilvl w:val="0"/>
          <w:numId w:val="477"/>
        </w:numPr>
        <w:rPr>
          <w:rFonts w:ascii="Arial" w:cs="Arial" w:eastAsia="Arial" w:hAnsi="Arial"/>
          <w:sz w:val="13"/>
          <w:szCs w:val="13"/>
          <w:b w:val="1"/>
          <w:bCs w:val="1"/>
          <w:color w:val="auto"/>
        </w:rPr>
      </w:pPr>
      <w:r>
        <w:rPr>
          <w:rFonts w:ascii="Arial" w:cs="Arial" w:eastAsia="Arial" w:hAnsi="Arial"/>
          <w:sz w:val="13"/>
          <w:szCs w:val="13"/>
          <w:b w:val="1"/>
          <w:bCs w:val="1"/>
          <w:color w:val="auto"/>
        </w:rPr>
        <w:t>Restrictions on loans</w:t>
      </w:r>
    </w:p>
    <w:p>
      <w:pPr>
        <w:spacing w:after="0" w:line="136" w:lineRule="exact"/>
        <w:rPr>
          <w:rFonts w:ascii="Arial" w:cs="Arial" w:eastAsia="Arial" w:hAnsi="Arial"/>
          <w:sz w:val="13"/>
          <w:szCs w:val="13"/>
          <w:b w:val="1"/>
          <w:bCs w:val="1"/>
          <w:color w:val="auto"/>
        </w:rPr>
      </w:pPr>
    </w:p>
    <w:p>
      <w:pPr>
        <w:ind w:left="1020"/>
        <w:spacing w:after="0"/>
        <w:rPr>
          <w:rFonts w:ascii="Arial" w:cs="Arial" w:eastAsia="Arial" w:hAnsi="Arial"/>
          <w:sz w:val="13"/>
          <w:szCs w:val="13"/>
          <w:b w:val="1"/>
          <w:bCs w:val="1"/>
          <w:color w:val="auto"/>
        </w:rPr>
      </w:pPr>
      <w:r>
        <w:rPr>
          <w:rFonts w:ascii="Arial" w:cs="Arial" w:eastAsia="Arial" w:hAnsi="Arial"/>
          <w:sz w:val="13"/>
          <w:szCs w:val="13"/>
          <w:color w:val="auto"/>
        </w:rPr>
        <w:t>The Borrower shall not, and shall ensure that no other member of the Group will, be a creditor in respect of any Indebtedness, save for:</w:t>
      </w:r>
    </w:p>
    <w:p>
      <w:pPr>
        <w:spacing w:after="0" w:line="120" w:lineRule="exact"/>
        <w:rPr>
          <w:rFonts w:ascii="Arial" w:cs="Arial" w:eastAsia="Arial" w:hAnsi="Arial"/>
          <w:sz w:val="13"/>
          <w:szCs w:val="13"/>
          <w:b w:val="1"/>
          <w:bCs w:val="1"/>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with the prior written consent of the Bank;</w:t>
      </w:r>
    </w:p>
    <w:p>
      <w:pPr>
        <w:spacing w:after="0" w:line="70" w:lineRule="exact"/>
        <w:rPr>
          <w:rFonts w:ascii="Arial" w:cs="Arial" w:eastAsia="Arial" w:hAnsi="Arial"/>
          <w:sz w:val="13"/>
          <w:szCs w:val="13"/>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any trade credit extended by any member of the Group to its customers on normal commercial terms and in the ordinary course of its trading activities;</w:t>
      </w:r>
    </w:p>
    <w:p>
      <w:pPr>
        <w:spacing w:after="0" w:line="80" w:lineRule="exact"/>
        <w:rPr>
          <w:rFonts w:ascii="Arial" w:cs="Arial" w:eastAsia="Arial" w:hAnsi="Arial"/>
          <w:sz w:val="13"/>
          <w:szCs w:val="13"/>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any loan made by one member of the Group (other than an Obligor) to another member of the Group;</w:t>
      </w:r>
    </w:p>
    <w:p>
      <w:pPr>
        <w:spacing w:after="0" w:line="80" w:lineRule="exact"/>
        <w:rPr>
          <w:rFonts w:ascii="Arial" w:cs="Arial" w:eastAsia="Arial" w:hAnsi="Arial"/>
          <w:sz w:val="13"/>
          <w:szCs w:val="13"/>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a loan made by one Obligor to another Obligor;</w:t>
      </w:r>
    </w:p>
    <w:p>
      <w:pPr>
        <w:spacing w:after="0" w:line="70" w:lineRule="exact"/>
        <w:rPr>
          <w:rFonts w:ascii="Arial" w:cs="Arial" w:eastAsia="Arial" w:hAnsi="Arial"/>
          <w:sz w:val="13"/>
          <w:szCs w:val="13"/>
          <w:color w:val="auto"/>
        </w:rPr>
      </w:pPr>
    </w:p>
    <w:p>
      <w:pPr>
        <w:ind w:left="1780" w:hanging="710"/>
        <w:spacing w:after="0"/>
        <w:tabs>
          <w:tab w:leader="none" w:pos="178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a loan made by one Obligor to a member of the Group (other than an Obligor) not exceeding an amount of EUR [***] during the Term of the Credit; or</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4">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2" w:name="page393"/>
    <w:bookmarkEnd w:id="392"/>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1780" w:hanging="710"/>
        <w:spacing w:after="0"/>
        <w:tabs>
          <w:tab w:leader="none" w:pos="1780" w:val="left"/>
        </w:tabs>
        <w:numPr>
          <w:ilvl w:val="1"/>
          <w:numId w:val="478"/>
        </w:numPr>
        <w:rPr>
          <w:rFonts w:ascii="Arial" w:cs="Arial" w:eastAsia="Arial" w:hAnsi="Arial"/>
          <w:sz w:val="13"/>
          <w:szCs w:val="13"/>
          <w:color w:val="auto"/>
        </w:rPr>
      </w:pPr>
      <w:r>
        <w:rPr>
          <w:rFonts w:ascii="Arial" w:cs="Arial" w:eastAsia="Arial" w:hAnsi="Arial"/>
          <w:sz w:val="13"/>
          <w:szCs w:val="13"/>
          <w:color w:val="auto"/>
        </w:rPr>
        <w:t>any other Indebtedness or loan advanced to or made available by any member of the Group with the prior written consent of the Bank.</w:t>
      </w:r>
    </w:p>
    <w:p>
      <w:pPr>
        <w:spacing w:after="0" w:line="104" w:lineRule="exact"/>
        <w:rPr>
          <w:rFonts w:ascii="Arial" w:cs="Arial" w:eastAsia="Arial" w:hAnsi="Arial"/>
          <w:sz w:val="13"/>
          <w:szCs w:val="13"/>
          <w:color w:val="auto"/>
        </w:rPr>
      </w:pPr>
    </w:p>
    <w:p>
      <w:pPr>
        <w:ind w:left="1060" w:hanging="510"/>
        <w:spacing w:after="0"/>
        <w:tabs>
          <w:tab w:leader="none" w:pos="1060" w:val="left"/>
        </w:tabs>
        <w:numPr>
          <w:ilvl w:val="0"/>
          <w:numId w:val="479"/>
        </w:numPr>
        <w:rPr>
          <w:rFonts w:ascii="Arial" w:cs="Arial" w:eastAsia="Arial" w:hAnsi="Arial"/>
          <w:sz w:val="13"/>
          <w:szCs w:val="13"/>
          <w:b w:val="1"/>
          <w:bCs w:val="1"/>
          <w:color w:val="auto"/>
        </w:rPr>
      </w:pPr>
      <w:r>
        <w:rPr>
          <w:rFonts w:ascii="Arial" w:cs="Arial" w:eastAsia="Arial" w:hAnsi="Arial"/>
          <w:sz w:val="13"/>
          <w:szCs w:val="13"/>
          <w:b w:val="1"/>
          <w:bCs w:val="1"/>
          <w:color w:val="auto"/>
        </w:rPr>
        <w:t>Restrictions on intercompany loans</w:t>
      </w:r>
    </w:p>
    <w:p>
      <w:pPr>
        <w:spacing w:after="0" w:line="15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The Borrower shall not, and shall procure that no other Group Company shall, make any payment in respect of any intercompany loan, save for:</w:t>
      </w:r>
    </w:p>
    <w:p>
      <w:pPr>
        <w:spacing w:after="0" w:line="70" w:lineRule="exact"/>
        <w:rPr>
          <w:rFonts w:ascii="Arial" w:cs="Arial" w:eastAsia="Arial" w:hAnsi="Arial"/>
          <w:sz w:val="13"/>
          <w:szCs w:val="13"/>
          <w:b w:val="1"/>
          <w:bCs w:val="1"/>
          <w:color w:val="auto"/>
        </w:rPr>
      </w:pPr>
    </w:p>
    <w:p>
      <w:pPr>
        <w:ind w:left="1780" w:hanging="710"/>
        <w:spacing w:after="0"/>
        <w:tabs>
          <w:tab w:leader="none" w:pos="1780" w:val="left"/>
        </w:tabs>
        <w:numPr>
          <w:ilvl w:val="1"/>
          <w:numId w:val="479"/>
        </w:numPr>
        <w:rPr>
          <w:rFonts w:ascii="Arial" w:cs="Arial" w:eastAsia="Arial" w:hAnsi="Arial"/>
          <w:sz w:val="13"/>
          <w:szCs w:val="13"/>
          <w:color w:val="auto"/>
        </w:rPr>
      </w:pPr>
      <w:r>
        <w:rPr>
          <w:rFonts w:ascii="Arial" w:cs="Arial" w:eastAsia="Arial" w:hAnsi="Arial"/>
          <w:sz w:val="13"/>
          <w:szCs w:val="13"/>
          <w:color w:val="auto"/>
        </w:rPr>
        <w:t>with the prior written consent of the Bank;</w:t>
      </w:r>
    </w:p>
    <w:p>
      <w:pPr>
        <w:spacing w:after="0" w:line="80" w:lineRule="exact"/>
        <w:rPr>
          <w:rFonts w:ascii="Arial" w:cs="Arial" w:eastAsia="Arial" w:hAnsi="Arial"/>
          <w:sz w:val="13"/>
          <w:szCs w:val="13"/>
          <w:color w:val="auto"/>
        </w:rPr>
      </w:pPr>
    </w:p>
    <w:p>
      <w:pPr>
        <w:ind w:left="1780" w:hanging="710"/>
        <w:spacing w:after="0"/>
        <w:tabs>
          <w:tab w:leader="none" w:pos="1780" w:val="left"/>
        </w:tabs>
        <w:numPr>
          <w:ilvl w:val="1"/>
          <w:numId w:val="479"/>
        </w:numPr>
        <w:rPr>
          <w:rFonts w:ascii="Arial" w:cs="Arial" w:eastAsia="Arial" w:hAnsi="Arial"/>
          <w:sz w:val="13"/>
          <w:szCs w:val="13"/>
          <w:color w:val="auto"/>
        </w:rPr>
      </w:pPr>
      <w:r>
        <w:rPr>
          <w:rFonts w:ascii="Arial" w:cs="Arial" w:eastAsia="Arial" w:hAnsi="Arial"/>
          <w:sz w:val="13"/>
          <w:szCs w:val="13"/>
          <w:color w:val="auto"/>
        </w:rPr>
        <w:t>where the lender of the intercompany loan is the Borrower or an Obligor; or</w:t>
      </w:r>
    </w:p>
    <w:p>
      <w:pPr>
        <w:spacing w:after="0" w:line="80" w:lineRule="exact"/>
        <w:rPr>
          <w:rFonts w:ascii="Arial" w:cs="Arial" w:eastAsia="Arial" w:hAnsi="Arial"/>
          <w:sz w:val="13"/>
          <w:szCs w:val="13"/>
          <w:color w:val="auto"/>
        </w:rPr>
      </w:pPr>
    </w:p>
    <w:p>
      <w:pPr>
        <w:ind w:left="1780" w:hanging="710"/>
        <w:spacing w:after="0"/>
        <w:tabs>
          <w:tab w:leader="none" w:pos="1780" w:val="left"/>
        </w:tabs>
        <w:numPr>
          <w:ilvl w:val="1"/>
          <w:numId w:val="479"/>
        </w:numPr>
        <w:rPr>
          <w:rFonts w:ascii="Arial" w:cs="Arial" w:eastAsia="Arial" w:hAnsi="Arial"/>
          <w:sz w:val="13"/>
          <w:szCs w:val="13"/>
          <w:color w:val="auto"/>
        </w:rPr>
      </w:pPr>
      <w:r>
        <w:rPr>
          <w:rFonts w:ascii="Arial" w:cs="Arial" w:eastAsia="Arial" w:hAnsi="Arial"/>
          <w:sz w:val="13"/>
          <w:szCs w:val="13"/>
          <w:color w:val="auto"/>
        </w:rPr>
        <w:t>the payments to a Group Company as a result of a solvent liquidation or reorganisation of a Group Company which is not an Obligor.</w:t>
      </w:r>
    </w:p>
    <w:p>
      <w:pPr>
        <w:spacing w:after="0" w:line="354" w:lineRule="exact"/>
        <w:rPr>
          <w:rFonts w:ascii="Arial" w:cs="Arial" w:eastAsia="Arial" w:hAnsi="Arial"/>
          <w:sz w:val="13"/>
          <w:szCs w:val="13"/>
          <w:color w:val="auto"/>
        </w:rPr>
      </w:pPr>
    </w:p>
    <w:p>
      <w:pPr>
        <w:ind w:left="1060" w:hanging="510"/>
        <w:spacing w:after="0"/>
        <w:tabs>
          <w:tab w:leader="none" w:pos="1060" w:val="left"/>
        </w:tabs>
        <w:numPr>
          <w:ilvl w:val="0"/>
          <w:numId w:val="479"/>
        </w:numPr>
        <w:rPr>
          <w:rFonts w:ascii="Arial" w:cs="Arial" w:eastAsia="Arial" w:hAnsi="Arial"/>
          <w:sz w:val="13"/>
          <w:szCs w:val="13"/>
          <w:b w:val="1"/>
          <w:bCs w:val="1"/>
          <w:color w:val="auto"/>
        </w:rPr>
      </w:pPr>
      <w:r>
        <w:rPr>
          <w:rFonts w:ascii="Arial" w:cs="Arial" w:eastAsia="Arial" w:hAnsi="Arial"/>
          <w:sz w:val="13"/>
          <w:szCs w:val="13"/>
          <w:b w:val="1"/>
          <w:bCs w:val="1"/>
          <w:color w:val="auto"/>
        </w:rPr>
        <w:t>Intellectual Property Rights</w:t>
      </w:r>
    </w:p>
    <w:p>
      <w:pPr>
        <w:spacing w:after="0" w:line="136" w:lineRule="exact"/>
        <w:rPr>
          <w:rFonts w:ascii="Arial" w:cs="Arial" w:eastAsia="Arial" w:hAnsi="Arial"/>
          <w:sz w:val="13"/>
          <w:szCs w:val="13"/>
          <w:b w:val="1"/>
          <w:bCs w:val="1"/>
          <w:color w:val="auto"/>
        </w:rPr>
      </w:pPr>
    </w:p>
    <w:p>
      <w:pPr>
        <w:jc w:val="both"/>
        <w:ind w:left="1080" w:right="120"/>
        <w:spacing w:after="0" w:line="245" w:lineRule="auto"/>
        <w:rPr>
          <w:rFonts w:ascii="Arial" w:cs="Arial" w:eastAsia="Arial" w:hAnsi="Arial"/>
          <w:sz w:val="13"/>
          <w:szCs w:val="13"/>
          <w:b w:val="1"/>
          <w:bCs w:val="1"/>
          <w:color w:val="auto"/>
        </w:rPr>
      </w:pPr>
      <w:r>
        <w:rPr>
          <w:rFonts w:ascii="Arial" w:cs="Arial" w:eastAsia="Arial" w:hAnsi="Arial"/>
          <w:sz w:val="13"/>
          <w:szCs w:val="13"/>
          <w:color w:val="auto"/>
        </w:rPr>
        <w:t>The Borrower shall, and shall procure that each other Group Company shall, (i) obtain, safeguard and maintain its rights with respect to the Intellectual Property Rights required for the implementation of the Investment in accordance with this Contract, including complying with all material contractual provisions and that the implementation of the Investment in accordance with this Contract will not result in the infringement of the rights of any person with regard to the Intellectual Property Rights and (ii) ensure that any Intellectual Property Rights required for the implementation of the Investment will be owned by or licensed to the Borrower, and where such Intellectual Property Rights which are owned by a Group Company are capable of registration, are registered to such party.</w:t>
      </w:r>
    </w:p>
    <w:p>
      <w:pPr>
        <w:spacing w:after="0" w:line="90" w:lineRule="exact"/>
        <w:rPr>
          <w:rFonts w:ascii="Arial" w:cs="Arial" w:eastAsia="Arial" w:hAnsi="Arial"/>
          <w:sz w:val="13"/>
          <w:szCs w:val="13"/>
          <w:b w:val="1"/>
          <w:bCs w:val="1"/>
          <w:color w:val="auto"/>
        </w:rPr>
      </w:pPr>
    </w:p>
    <w:p>
      <w:pPr>
        <w:ind w:left="1060" w:hanging="510"/>
        <w:spacing w:after="0"/>
        <w:tabs>
          <w:tab w:leader="none" w:pos="1060" w:val="left"/>
        </w:tabs>
        <w:numPr>
          <w:ilvl w:val="0"/>
          <w:numId w:val="479"/>
        </w:numPr>
        <w:rPr>
          <w:rFonts w:ascii="Arial" w:cs="Arial" w:eastAsia="Arial" w:hAnsi="Arial"/>
          <w:sz w:val="13"/>
          <w:szCs w:val="13"/>
          <w:b w:val="1"/>
          <w:bCs w:val="1"/>
          <w:color w:val="auto"/>
        </w:rPr>
      </w:pPr>
      <w:r>
        <w:rPr>
          <w:rFonts w:ascii="Arial" w:cs="Arial" w:eastAsia="Arial" w:hAnsi="Arial"/>
          <w:sz w:val="13"/>
          <w:szCs w:val="13"/>
          <w:b w:val="1"/>
          <w:bCs w:val="1"/>
          <w:color w:val="auto"/>
        </w:rPr>
        <w:t>Maintenance of Status</w:t>
      </w:r>
    </w:p>
    <w:p>
      <w:pPr>
        <w:spacing w:after="0" w:line="136" w:lineRule="exact"/>
        <w:rPr>
          <w:rFonts w:ascii="Arial" w:cs="Arial" w:eastAsia="Arial" w:hAnsi="Arial"/>
          <w:sz w:val="13"/>
          <w:szCs w:val="13"/>
          <w:b w:val="1"/>
          <w:bCs w:val="1"/>
          <w:color w:val="auto"/>
        </w:rPr>
      </w:pPr>
    </w:p>
    <w:p>
      <w:pPr>
        <w:jc w:val="both"/>
        <w:ind w:left="1080" w:right="120"/>
        <w:spacing w:after="0" w:line="247" w:lineRule="auto"/>
        <w:rPr>
          <w:rFonts w:ascii="Arial" w:cs="Arial" w:eastAsia="Arial" w:hAnsi="Arial"/>
          <w:sz w:val="13"/>
          <w:szCs w:val="13"/>
          <w:b w:val="1"/>
          <w:bCs w:val="1"/>
          <w:color w:val="auto"/>
        </w:rPr>
      </w:pPr>
      <w:r>
        <w:rPr>
          <w:rFonts w:ascii="Arial" w:cs="Arial" w:eastAsia="Arial" w:hAnsi="Arial"/>
          <w:sz w:val="13"/>
          <w:szCs w:val="13"/>
          <w:color w:val="auto"/>
        </w:rPr>
        <w:t>The Borrower shall, and shall procure that each other Group Company shall, remain duly incorporated and validly existing as a corporate entity with limited liability under the jurisdiction in which it is incorporated and that it will have no centre of main interests, permanent establishment or place of business outside the jurisdiction in which it is incorporated, and that it will continue to have the power to carry on its business as it is now being conducted and continue to own its property and other assets.</w:t>
      </w:r>
    </w:p>
    <w:p>
      <w:pPr>
        <w:spacing w:after="0" w:line="242" w:lineRule="exact"/>
        <w:rPr>
          <w:rFonts w:ascii="Arial" w:cs="Arial" w:eastAsia="Arial" w:hAnsi="Arial"/>
          <w:sz w:val="13"/>
          <w:szCs w:val="13"/>
          <w:b w:val="1"/>
          <w:bCs w:val="1"/>
          <w:color w:val="auto"/>
        </w:rPr>
      </w:pPr>
    </w:p>
    <w:p>
      <w:pPr>
        <w:ind w:left="1060" w:hanging="510"/>
        <w:spacing w:after="0"/>
        <w:tabs>
          <w:tab w:leader="none" w:pos="1060" w:val="left"/>
        </w:tabs>
        <w:numPr>
          <w:ilvl w:val="0"/>
          <w:numId w:val="479"/>
        </w:numPr>
        <w:rPr>
          <w:rFonts w:ascii="Arial" w:cs="Arial" w:eastAsia="Arial" w:hAnsi="Arial"/>
          <w:sz w:val="13"/>
          <w:szCs w:val="13"/>
          <w:b w:val="1"/>
          <w:bCs w:val="1"/>
          <w:color w:val="auto"/>
        </w:rPr>
      </w:pPr>
      <w:r>
        <w:rPr>
          <w:rFonts w:ascii="Arial" w:cs="Arial" w:eastAsia="Arial" w:hAnsi="Arial"/>
          <w:sz w:val="13"/>
          <w:szCs w:val="13"/>
          <w:b w:val="1"/>
          <w:bCs w:val="1"/>
          <w:color w:val="auto"/>
        </w:rPr>
        <w:t>Negative pledge</w:t>
      </w:r>
    </w:p>
    <w:p>
      <w:pPr>
        <w:spacing w:after="0" w:line="136" w:lineRule="exact"/>
        <w:rPr>
          <w:rFonts w:ascii="Arial" w:cs="Arial" w:eastAsia="Arial" w:hAnsi="Arial"/>
          <w:sz w:val="13"/>
          <w:szCs w:val="13"/>
          <w:b w:val="1"/>
          <w:bCs w:val="1"/>
          <w:color w:val="auto"/>
        </w:rPr>
      </w:pPr>
    </w:p>
    <w:p>
      <w:pPr>
        <w:ind w:left="1780" w:hanging="710"/>
        <w:spacing w:after="0"/>
        <w:tabs>
          <w:tab w:leader="none" w:pos="1780" w:val="left"/>
        </w:tabs>
        <w:numPr>
          <w:ilvl w:val="1"/>
          <w:numId w:val="479"/>
        </w:numPr>
        <w:rPr>
          <w:rFonts w:ascii="Arial" w:cs="Arial" w:eastAsia="Arial" w:hAnsi="Arial"/>
          <w:sz w:val="13"/>
          <w:szCs w:val="13"/>
          <w:color w:val="auto"/>
        </w:rPr>
      </w:pPr>
      <w:r>
        <w:rPr>
          <w:rFonts w:ascii="Arial" w:cs="Arial" w:eastAsia="Arial" w:hAnsi="Arial"/>
          <w:sz w:val="13"/>
          <w:szCs w:val="13"/>
          <w:color w:val="auto"/>
        </w:rPr>
        <w:t>The Borrower shall not (and shall procure that no other Group Company shall) create or permit to subsist any Security over any of its assets.</w:t>
      </w:r>
    </w:p>
    <w:p>
      <w:pPr>
        <w:spacing w:after="0" w:line="56" w:lineRule="exact"/>
        <w:rPr>
          <w:rFonts w:ascii="Arial" w:cs="Arial" w:eastAsia="Arial" w:hAnsi="Arial"/>
          <w:sz w:val="13"/>
          <w:szCs w:val="13"/>
          <w:color w:val="auto"/>
        </w:rPr>
      </w:pPr>
    </w:p>
    <w:p>
      <w:pPr>
        <w:ind w:left="1780" w:right="160" w:hanging="710"/>
        <w:spacing w:after="0" w:line="250" w:lineRule="auto"/>
        <w:tabs>
          <w:tab w:leader="none" w:pos="1780" w:val="left"/>
        </w:tabs>
        <w:numPr>
          <w:ilvl w:val="1"/>
          <w:numId w:val="479"/>
        </w:numPr>
        <w:rPr>
          <w:rFonts w:ascii="Arial" w:cs="Arial" w:eastAsia="Arial" w:hAnsi="Arial"/>
          <w:sz w:val="13"/>
          <w:szCs w:val="13"/>
          <w:color w:val="auto"/>
        </w:rPr>
      </w:pPr>
      <w:r>
        <w:rPr>
          <w:rFonts w:ascii="Arial" w:cs="Arial" w:eastAsia="Arial" w:hAnsi="Arial"/>
          <w:sz w:val="13"/>
          <w:szCs w:val="13"/>
          <w:color w:val="auto"/>
        </w:rPr>
        <w:t xml:space="preserve">For the purposes of this Paragraph </w:t>
      </w:r>
      <w:hyperlink w:anchor="page393">
        <w:r>
          <w:rPr>
            <w:rFonts w:ascii="Arial" w:cs="Arial" w:eastAsia="Arial" w:hAnsi="Arial"/>
            <w:sz w:val="13"/>
            <w:szCs w:val="13"/>
            <w:u w:val="single" w:color="auto"/>
            <w:color w:val="0000EE"/>
          </w:rPr>
          <w:t>23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Negative pledge</w:t>
      </w:r>
      <w:r>
        <w:rPr>
          <w:rFonts w:ascii="Arial" w:cs="Arial" w:eastAsia="Arial" w:hAnsi="Arial"/>
          <w:sz w:val="13"/>
          <w:szCs w:val="13"/>
          <w:color w:val="auto"/>
        </w:rPr>
        <w:t>), the term Security shall also include any arrangement or transaction on assets or receivables or money (such as the sale, transfer or other disposal of assets on terms whereby they are or may be leased to or re-acquired by any Group Company, the sale, transfer or other disposal of any receivables on recourse terms or any arrangement under which money or the benefit of a bank account or other account may be applied or set off or any preferential arrangement having a similar effect) in circumstances where the arrangement or transaction is entered into primarily as a method of raising credit or of financing the acquisition of an asset.</w:t>
      </w:r>
    </w:p>
    <w:p>
      <w:pPr>
        <w:spacing w:after="0" w:line="49" w:lineRule="exact"/>
        <w:rPr>
          <w:rFonts w:ascii="Arial" w:cs="Arial" w:eastAsia="Arial" w:hAnsi="Arial"/>
          <w:sz w:val="13"/>
          <w:szCs w:val="13"/>
          <w:color w:val="auto"/>
        </w:rPr>
      </w:pPr>
    </w:p>
    <w:p>
      <w:pPr>
        <w:ind w:left="1780" w:hanging="710"/>
        <w:spacing w:after="0"/>
        <w:tabs>
          <w:tab w:leader="none" w:pos="1780" w:val="left"/>
        </w:tabs>
        <w:numPr>
          <w:ilvl w:val="1"/>
          <w:numId w:val="479"/>
        </w:numPr>
        <w:rPr>
          <w:rFonts w:ascii="Arial" w:cs="Arial" w:eastAsia="Arial" w:hAnsi="Arial"/>
          <w:sz w:val="13"/>
          <w:szCs w:val="13"/>
          <w:color w:val="auto"/>
        </w:rPr>
      </w:pPr>
      <w:r>
        <w:rPr>
          <w:rFonts w:ascii="Arial" w:cs="Arial" w:eastAsia="Arial" w:hAnsi="Arial"/>
          <w:sz w:val="13"/>
          <w:szCs w:val="13"/>
          <w:color w:val="auto"/>
        </w:rPr>
        <w:t xml:space="preserve">Sub-Paragraph </w:t>
      </w:r>
      <w:hyperlink w:anchor="page393">
        <w:r>
          <w:rPr>
            <w:rFonts w:ascii="Arial" w:cs="Arial" w:eastAsia="Arial" w:hAnsi="Arial"/>
            <w:sz w:val="13"/>
            <w:szCs w:val="13"/>
            <w:u w:val="single" w:color="auto"/>
            <w:color w:val="0000EE"/>
          </w:rPr>
          <w:t>(a)</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above does not apply to any Existing Security and any Security, listed below ("</w:t>
      </w:r>
      <w:r>
        <w:rPr>
          <w:rFonts w:ascii="Arial" w:cs="Arial" w:eastAsia="Arial" w:hAnsi="Arial"/>
          <w:sz w:val="13"/>
          <w:szCs w:val="13"/>
          <w:b w:val="1"/>
          <w:bCs w:val="1"/>
          <w:color w:val="auto"/>
        </w:rPr>
        <w:t>Permitted Security</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2500" w:hanging="710"/>
        <w:spacing w:after="0"/>
        <w:tabs>
          <w:tab w:leader="none" w:pos="2500" w:val="left"/>
        </w:tabs>
        <w:numPr>
          <w:ilvl w:val="2"/>
          <w:numId w:val="479"/>
        </w:numPr>
        <w:rPr>
          <w:rFonts w:ascii="Arial" w:cs="Arial" w:eastAsia="Arial" w:hAnsi="Arial"/>
          <w:sz w:val="13"/>
          <w:szCs w:val="13"/>
          <w:color w:val="auto"/>
        </w:rPr>
      </w:pPr>
      <w:r>
        <w:rPr>
          <w:rFonts w:ascii="Arial" w:cs="Arial" w:eastAsia="Arial" w:hAnsi="Arial"/>
          <w:sz w:val="13"/>
          <w:szCs w:val="13"/>
          <w:color w:val="auto"/>
        </w:rPr>
        <w:t>any Security created under the Security Documents in favour of the Bank;</w:t>
      </w:r>
    </w:p>
    <w:p>
      <w:pPr>
        <w:spacing w:after="0" w:line="80" w:lineRule="exact"/>
        <w:rPr>
          <w:rFonts w:ascii="Arial" w:cs="Arial" w:eastAsia="Arial" w:hAnsi="Arial"/>
          <w:sz w:val="13"/>
          <w:szCs w:val="13"/>
          <w:color w:val="auto"/>
        </w:rPr>
      </w:pPr>
    </w:p>
    <w:p>
      <w:pPr>
        <w:jc w:val="both"/>
        <w:ind w:left="2500" w:right="200" w:hanging="710"/>
        <w:spacing w:after="0" w:line="249" w:lineRule="auto"/>
        <w:tabs>
          <w:tab w:leader="none" w:pos="2500" w:val="left"/>
        </w:tabs>
        <w:numPr>
          <w:ilvl w:val="2"/>
          <w:numId w:val="479"/>
        </w:numPr>
        <w:rPr>
          <w:rFonts w:ascii="Arial" w:cs="Arial" w:eastAsia="Arial" w:hAnsi="Arial"/>
          <w:sz w:val="13"/>
          <w:szCs w:val="13"/>
          <w:color w:val="auto"/>
        </w:rPr>
      </w:pPr>
      <w:r>
        <w:rPr>
          <w:rFonts w:ascii="Arial" w:cs="Arial" w:eastAsia="Arial" w:hAnsi="Arial"/>
          <w:sz w:val="13"/>
          <w:szCs w:val="13"/>
          <w:color w:val="auto"/>
        </w:rPr>
        <w:t>any netting or set-off arrangement entered into by any Group Company in the ordinary course of its banking arrangements for the purpose of netting debit and credit balances and any Security arising under general business conditions (</w:t>
      </w:r>
      <w:r>
        <w:rPr>
          <w:rFonts w:ascii="Arial" w:cs="Arial" w:eastAsia="Arial" w:hAnsi="Arial"/>
          <w:sz w:val="13"/>
          <w:szCs w:val="13"/>
          <w:i w:val="1"/>
          <w:iCs w:val="1"/>
          <w:color w:val="auto"/>
        </w:rPr>
        <w:t>Allgemeine Geschäftsbedingungen</w:t>
      </w:r>
      <w:r>
        <w:rPr>
          <w:rFonts w:ascii="Arial" w:cs="Arial" w:eastAsia="Arial" w:hAnsi="Arial"/>
          <w:sz w:val="13"/>
          <w:szCs w:val="13"/>
          <w:color w:val="auto"/>
        </w:rPr>
        <w:t>) of banks or financial institutions;</w:t>
      </w:r>
    </w:p>
    <w:p>
      <w:pPr>
        <w:spacing w:after="0" w:line="307"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53</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5">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93" w:name="page394"/>
    <w:bookmarkEnd w:id="393"/>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2500" w:right="560" w:hanging="710"/>
        <w:spacing w:after="0" w:line="258" w:lineRule="auto"/>
        <w:tabs>
          <w:tab w:leader="none" w:pos="2500" w:val="left"/>
        </w:tabs>
        <w:numPr>
          <w:ilvl w:val="0"/>
          <w:numId w:val="480"/>
        </w:numPr>
        <w:rPr>
          <w:rFonts w:ascii="Arial" w:cs="Arial" w:eastAsia="Arial" w:hAnsi="Arial"/>
          <w:sz w:val="13"/>
          <w:szCs w:val="13"/>
          <w:color w:val="auto"/>
        </w:rPr>
      </w:pPr>
      <w:r>
        <w:rPr>
          <w:rFonts w:ascii="Arial" w:cs="Arial" w:eastAsia="Arial" w:hAnsi="Arial"/>
          <w:sz w:val="13"/>
          <w:szCs w:val="13"/>
          <w:color w:val="auto"/>
        </w:rPr>
        <w:t>any payment or close out netting or set-off arrangement pursuant to any Permitted Hedging, but excluding any Security under a credit support arrangement in relation to a hedging transaction;</w:t>
      </w:r>
    </w:p>
    <w:p>
      <w:pPr>
        <w:spacing w:after="0" w:line="58" w:lineRule="exact"/>
        <w:rPr>
          <w:rFonts w:ascii="Arial" w:cs="Arial" w:eastAsia="Arial" w:hAnsi="Arial"/>
          <w:sz w:val="13"/>
          <w:szCs w:val="13"/>
          <w:color w:val="auto"/>
        </w:rPr>
      </w:pPr>
    </w:p>
    <w:p>
      <w:pPr>
        <w:ind w:left="2500" w:hanging="710"/>
        <w:spacing w:after="0"/>
        <w:tabs>
          <w:tab w:leader="none" w:pos="2500" w:val="left"/>
        </w:tabs>
        <w:numPr>
          <w:ilvl w:val="0"/>
          <w:numId w:val="480"/>
        </w:numPr>
        <w:rPr>
          <w:rFonts w:ascii="Arial" w:cs="Arial" w:eastAsia="Arial" w:hAnsi="Arial"/>
          <w:sz w:val="13"/>
          <w:szCs w:val="13"/>
          <w:color w:val="auto"/>
        </w:rPr>
      </w:pPr>
      <w:r>
        <w:rPr>
          <w:rFonts w:ascii="Arial" w:cs="Arial" w:eastAsia="Arial" w:hAnsi="Arial"/>
          <w:sz w:val="13"/>
          <w:szCs w:val="13"/>
          <w:color w:val="auto"/>
        </w:rPr>
        <w:t>any Security arising by operation of law and in the ordinary course of trading;</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0"/>
          <w:numId w:val="480"/>
        </w:numPr>
        <w:rPr>
          <w:rFonts w:ascii="Arial" w:cs="Arial" w:eastAsia="Arial" w:hAnsi="Arial"/>
          <w:sz w:val="13"/>
          <w:szCs w:val="13"/>
          <w:color w:val="auto"/>
        </w:rPr>
      </w:pPr>
      <w:r>
        <w:rPr>
          <w:rFonts w:ascii="Arial" w:cs="Arial" w:eastAsia="Arial" w:hAnsi="Arial"/>
          <w:sz w:val="13"/>
          <w:szCs w:val="13"/>
          <w:color w:val="auto"/>
        </w:rPr>
        <w:t>any Security over or affecting any asset acquired by Group Company after the date of this Contract if:</w:t>
      </w:r>
    </w:p>
    <w:p>
      <w:pPr>
        <w:spacing w:after="0" w:line="70" w:lineRule="exact"/>
        <w:rPr>
          <w:rFonts w:ascii="Arial" w:cs="Arial" w:eastAsia="Arial" w:hAnsi="Arial"/>
          <w:sz w:val="13"/>
          <w:szCs w:val="13"/>
          <w:color w:val="auto"/>
        </w:rPr>
      </w:pPr>
    </w:p>
    <w:p>
      <w:pPr>
        <w:ind w:left="3040" w:hanging="530"/>
        <w:spacing w:after="0"/>
        <w:tabs>
          <w:tab w:leader="none" w:pos="3040" w:val="left"/>
        </w:tabs>
        <w:numPr>
          <w:ilvl w:val="2"/>
          <w:numId w:val="480"/>
        </w:numPr>
        <w:rPr>
          <w:rFonts w:ascii="Arial" w:cs="Arial" w:eastAsia="Arial" w:hAnsi="Arial"/>
          <w:sz w:val="13"/>
          <w:szCs w:val="13"/>
          <w:color w:val="auto"/>
        </w:rPr>
      </w:pPr>
      <w:r>
        <w:rPr>
          <w:rFonts w:ascii="Arial" w:cs="Arial" w:eastAsia="Arial" w:hAnsi="Arial"/>
          <w:sz w:val="13"/>
          <w:szCs w:val="13"/>
          <w:color w:val="auto"/>
        </w:rPr>
        <w:t>the Security was not created in contemplation of the acquisition of that asset by a Group Company;</w:t>
      </w:r>
    </w:p>
    <w:p>
      <w:pPr>
        <w:spacing w:after="0" w:line="80" w:lineRule="exact"/>
        <w:rPr>
          <w:rFonts w:ascii="Arial" w:cs="Arial" w:eastAsia="Arial" w:hAnsi="Arial"/>
          <w:sz w:val="13"/>
          <w:szCs w:val="13"/>
          <w:color w:val="auto"/>
        </w:rPr>
      </w:pPr>
    </w:p>
    <w:p>
      <w:pPr>
        <w:ind w:left="3040" w:hanging="530"/>
        <w:spacing w:after="0"/>
        <w:tabs>
          <w:tab w:leader="none" w:pos="3040" w:val="left"/>
        </w:tabs>
        <w:numPr>
          <w:ilvl w:val="2"/>
          <w:numId w:val="480"/>
        </w:numPr>
        <w:rPr>
          <w:rFonts w:ascii="Arial" w:cs="Arial" w:eastAsia="Arial" w:hAnsi="Arial"/>
          <w:sz w:val="13"/>
          <w:szCs w:val="13"/>
          <w:color w:val="auto"/>
        </w:rPr>
      </w:pPr>
      <w:r>
        <w:rPr>
          <w:rFonts w:ascii="Arial" w:cs="Arial" w:eastAsia="Arial" w:hAnsi="Arial"/>
          <w:sz w:val="13"/>
          <w:szCs w:val="13"/>
          <w:color w:val="auto"/>
        </w:rPr>
        <w:t>the principal amount secured has not been increased in contemplation of or since the acquisition of that asset by a Group Company; and</w:t>
      </w:r>
    </w:p>
    <w:p>
      <w:pPr>
        <w:spacing w:after="0" w:line="70" w:lineRule="exact"/>
        <w:rPr>
          <w:rFonts w:ascii="Arial" w:cs="Arial" w:eastAsia="Arial" w:hAnsi="Arial"/>
          <w:sz w:val="13"/>
          <w:szCs w:val="13"/>
          <w:color w:val="auto"/>
        </w:rPr>
      </w:pPr>
    </w:p>
    <w:p>
      <w:pPr>
        <w:ind w:left="3040" w:hanging="530"/>
        <w:spacing w:after="0"/>
        <w:tabs>
          <w:tab w:leader="none" w:pos="3040" w:val="left"/>
        </w:tabs>
        <w:numPr>
          <w:ilvl w:val="2"/>
          <w:numId w:val="480"/>
        </w:numPr>
        <w:rPr>
          <w:rFonts w:ascii="Arial" w:cs="Arial" w:eastAsia="Arial" w:hAnsi="Arial"/>
          <w:sz w:val="13"/>
          <w:szCs w:val="13"/>
          <w:color w:val="auto"/>
        </w:rPr>
      </w:pPr>
      <w:r>
        <w:rPr>
          <w:rFonts w:ascii="Arial" w:cs="Arial" w:eastAsia="Arial" w:hAnsi="Arial"/>
          <w:sz w:val="13"/>
          <w:szCs w:val="13"/>
          <w:color w:val="auto"/>
        </w:rPr>
        <w:t>the Security is removed or discharged within [***] months of the date of acquisition of such asset;</w:t>
      </w:r>
    </w:p>
    <w:p>
      <w:pPr>
        <w:spacing w:after="0" w:line="70" w:lineRule="exact"/>
        <w:rPr>
          <w:rFonts w:ascii="Arial" w:cs="Arial" w:eastAsia="Arial" w:hAnsi="Arial"/>
          <w:sz w:val="13"/>
          <w:szCs w:val="13"/>
          <w:color w:val="auto"/>
        </w:rPr>
      </w:pPr>
    </w:p>
    <w:p>
      <w:pPr>
        <w:ind w:left="2500" w:right="220" w:hanging="710"/>
        <w:spacing w:after="0" w:line="258" w:lineRule="auto"/>
        <w:tabs>
          <w:tab w:leader="none" w:pos="2500" w:val="left"/>
        </w:tabs>
        <w:numPr>
          <w:ilvl w:val="0"/>
          <w:numId w:val="480"/>
        </w:numPr>
        <w:rPr>
          <w:rFonts w:ascii="Arial" w:cs="Arial" w:eastAsia="Arial" w:hAnsi="Arial"/>
          <w:sz w:val="13"/>
          <w:szCs w:val="13"/>
          <w:color w:val="auto"/>
        </w:rPr>
      </w:pPr>
      <w:r>
        <w:rPr>
          <w:rFonts w:ascii="Arial" w:cs="Arial" w:eastAsia="Arial" w:hAnsi="Arial"/>
          <w:sz w:val="13"/>
          <w:szCs w:val="13"/>
          <w:color w:val="auto"/>
        </w:rPr>
        <w:t>any Security over or affecting any asset of any company which becomes a Group Company after the date of this Contract, where the Security is created prior to the date on which that company becomes a Group Company, if:</w:t>
      </w:r>
    </w:p>
    <w:p>
      <w:pPr>
        <w:spacing w:after="0" w:line="58" w:lineRule="exact"/>
        <w:rPr>
          <w:rFonts w:ascii="Arial" w:cs="Arial" w:eastAsia="Arial" w:hAnsi="Arial"/>
          <w:sz w:val="13"/>
          <w:szCs w:val="13"/>
          <w:color w:val="auto"/>
        </w:rPr>
      </w:pPr>
    </w:p>
    <w:p>
      <w:pPr>
        <w:ind w:left="2860" w:hanging="700"/>
        <w:spacing w:after="0"/>
        <w:tabs>
          <w:tab w:leader="none" w:pos="2860" w:val="left"/>
        </w:tabs>
        <w:numPr>
          <w:ilvl w:val="1"/>
          <w:numId w:val="480"/>
        </w:numPr>
        <w:rPr>
          <w:rFonts w:ascii="Arial" w:cs="Arial" w:eastAsia="Arial" w:hAnsi="Arial"/>
          <w:sz w:val="13"/>
          <w:szCs w:val="13"/>
          <w:color w:val="auto"/>
        </w:rPr>
      </w:pPr>
      <w:r>
        <w:rPr>
          <w:rFonts w:ascii="Arial" w:cs="Arial" w:eastAsia="Arial" w:hAnsi="Arial"/>
          <w:sz w:val="13"/>
          <w:szCs w:val="13"/>
          <w:color w:val="auto"/>
        </w:rPr>
        <w:t>the Security was not created in contemplation of the acquisition of that company;</w:t>
      </w:r>
    </w:p>
    <w:p>
      <w:pPr>
        <w:spacing w:after="0" w:line="70" w:lineRule="exact"/>
        <w:rPr>
          <w:rFonts w:ascii="Arial" w:cs="Arial" w:eastAsia="Arial" w:hAnsi="Arial"/>
          <w:sz w:val="13"/>
          <w:szCs w:val="13"/>
          <w:color w:val="auto"/>
        </w:rPr>
      </w:pPr>
    </w:p>
    <w:p>
      <w:pPr>
        <w:ind w:left="3040" w:hanging="530"/>
        <w:spacing w:after="0"/>
        <w:tabs>
          <w:tab w:leader="none" w:pos="3040" w:val="left"/>
        </w:tabs>
        <w:numPr>
          <w:ilvl w:val="2"/>
          <w:numId w:val="481"/>
        </w:numPr>
        <w:rPr>
          <w:rFonts w:ascii="Arial" w:cs="Arial" w:eastAsia="Arial" w:hAnsi="Arial"/>
          <w:sz w:val="13"/>
          <w:szCs w:val="13"/>
          <w:color w:val="auto"/>
        </w:rPr>
      </w:pPr>
      <w:r>
        <w:rPr>
          <w:rFonts w:ascii="Arial" w:cs="Arial" w:eastAsia="Arial" w:hAnsi="Arial"/>
          <w:sz w:val="13"/>
          <w:szCs w:val="13"/>
          <w:color w:val="auto"/>
        </w:rPr>
        <w:t>the principal amount secured has not increased in contemplation of or since the acquisition of that company; and</w:t>
      </w:r>
    </w:p>
    <w:p>
      <w:pPr>
        <w:spacing w:after="0" w:line="80" w:lineRule="exact"/>
        <w:rPr>
          <w:rFonts w:ascii="Arial" w:cs="Arial" w:eastAsia="Arial" w:hAnsi="Arial"/>
          <w:sz w:val="13"/>
          <w:szCs w:val="13"/>
          <w:color w:val="auto"/>
        </w:rPr>
      </w:pPr>
    </w:p>
    <w:p>
      <w:pPr>
        <w:ind w:left="3040" w:hanging="530"/>
        <w:spacing w:after="0"/>
        <w:tabs>
          <w:tab w:leader="none" w:pos="3040" w:val="left"/>
        </w:tabs>
        <w:numPr>
          <w:ilvl w:val="2"/>
          <w:numId w:val="481"/>
        </w:numPr>
        <w:rPr>
          <w:rFonts w:ascii="Arial" w:cs="Arial" w:eastAsia="Arial" w:hAnsi="Arial"/>
          <w:sz w:val="13"/>
          <w:szCs w:val="13"/>
          <w:color w:val="auto"/>
        </w:rPr>
      </w:pPr>
      <w:r>
        <w:rPr>
          <w:rFonts w:ascii="Arial" w:cs="Arial" w:eastAsia="Arial" w:hAnsi="Arial"/>
          <w:sz w:val="13"/>
          <w:szCs w:val="13"/>
          <w:color w:val="auto"/>
        </w:rPr>
        <w:t>the Security is removed or discharged within [***] months of that company becoming a Group Company;</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0"/>
          <w:numId w:val="482"/>
        </w:numPr>
        <w:rPr>
          <w:rFonts w:ascii="Arial" w:cs="Arial" w:eastAsia="Arial" w:hAnsi="Arial"/>
          <w:sz w:val="13"/>
          <w:szCs w:val="13"/>
          <w:color w:val="auto"/>
        </w:rPr>
      </w:pPr>
      <w:r>
        <w:rPr>
          <w:rFonts w:ascii="Arial" w:cs="Arial" w:eastAsia="Arial" w:hAnsi="Arial"/>
          <w:sz w:val="13"/>
          <w:szCs w:val="13"/>
          <w:color w:val="auto"/>
        </w:rPr>
        <w:t>any Security entered into pursuant to this Contract;</w:t>
      </w:r>
    </w:p>
    <w:p>
      <w:pPr>
        <w:spacing w:after="0" w:line="66" w:lineRule="exact"/>
        <w:rPr>
          <w:rFonts w:ascii="Arial" w:cs="Arial" w:eastAsia="Arial" w:hAnsi="Arial"/>
          <w:sz w:val="13"/>
          <w:szCs w:val="13"/>
          <w:color w:val="auto"/>
        </w:rPr>
      </w:pPr>
    </w:p>
    <w:p>
      <w:pPr>
        <w:ind w:left="2500" w:right="220" w:hanging="710"/>
        <w:spacing w:after="0" w:line="260" w:lineRule="auto"/>
        <w:tabs>
          <w:tab w:leader="none" w:pos="2500" w:val="left"/>
        </w:tabs>
        <w:numPr>
          <w:ilvl w:val="0"/>
          <w:numId w:val="482"/>
        </w:numPr>
        <w:rPr>
          <w:rFonts w:ascii="Arial" w:cs="Arial" w:eastAsia="Arial" w:hAnsi="Arial"/>
          <w:sz w:val="13"/>
          <w:szCs w:val="13"/>
          <w:color w:val="auto"/>
        </w:rPr>
      </w:pPr>
      <w:r>
        <w:rPr>
          <w:rFonts w:ascii="Arial" w:cs="Arial" w:eastAsia="Arial" w:hAnsi="Arial"/>
          <w:sz w:val="13"/>
          <w:szCs w:val="13"/>
          <w:color w:val="auto"/>
        </w:rPr>
        <w:t>any Security arising under any retention of title (including extended retention of title (</w:t>
      </w:r>
      <w:r>
        <w:rPr>
          <w:rFonts w:ascii="Arial" w:cs="Arial" w:eastAsia="Arial" w:hAnsi="Arial"/>
          <w:sz w:val="13"/>
          <w:szCs w:val="13"/>
          <w:i w:val="1"/>
          <w:iCs w:val="1"/>
          <w:color w:val="auto"/>
        </w:rPr>
        <w:t>verlängerter Eigentumsvorbehalt</w:t>
      </w:r>
      <w:r>
        <w:rPr>
          <w:rFonts w:ascii="Arial" w:cs="Arial" w:eastAsia="Arial" w:hAnsi="Arial"/>
          <w:sz w:val="13"/>
          <w:szCs w:val="13"/>
          <w:color w:val="auto"/>
        </w:rPr>
        <w:t>)), hire purchase or conditional sale arrangement or arrangements having similar effect in respect of goods supplied to a Group Company in the ordinary course of trading and on the supplier's standard or usual terms and not arising as a result of any default or omission by any Group Company;</w:t>
      </w:r>
    </w:p>
    <w:p>
      <w:pPr>
        <w:spacing w:after="0" w:line="48" w:lineRule="exact"/>
        <w:rPr>
          <w:rFonts w:ascii="Arial" w:cs="Arial" w:eastAsia="Arial" w:hAnsi="Arial"/>
          <w:sz w:val="13"/>
          <w:szCs w:val="13"/>
          <w:color w:val="auto"/>
        </w:rPr>
      </w:pPr>
    </w:p>
    <w:p>
      <w:pPr>
        <w:ind w:left="2500" w:hanging="710"/>
        <w:spacing w:after="0"/>
        <w:tabs>
          <w:tab w:leader="none" w:pos="2500" w:val="left"/>
        </w:tabs>
        <w:numPr>
          <w:ilvl w:val="0"/>
          <w:numId w:val="482"/>
        </w:numPr>
        <w:rPr>
          <w:rFonts w:ascii="Arial" w:cs="Arial" w:eastAsia="Arial" w:hAnsi="Arial"/>
          <w:sz w:val="13"/>
          <w:szCs w:val="13"/>
          <w:color w:val="auto"/>
        </w:rPr>
      </w:pPr>
      <w:r>
        <w:rPr>
          <w:rFonts w:ascii="Arial" w:cs="Arial" w:eastAsia="Arial" w:hAnsi="Arial"/>
          <w:sz w:val="13"/>
          <w:szCs w:val="13"/>
          <w:color w:val="auto"/>
        </w:rPr>
        <w:t>in respect of the Property to the extent restrictions on further charges are prohibited by Section 1136 BGB;</w:t>
      </w:r>
    </w:p>
    <w:p>
      <w:pPr>
        <w:spacing w:after="0" w:line="56" w:lineRule="exact"/>
        <w:rPr>
          <w:rFonts w:ascii="Arial" w:cs="Arial" w:eastAsia="Arial" w:hAnsi="Arial"/>
          <w:sz w:val="13"/>
          <w:szCs w:val="13"/>
          <w:color w:val="auto"/>
        </w:rPr>
      </w:pPr>
    </w:p>
    <w:p>
      <w:pPr>
        <w:ind w:left="2500" w:right="440" w:hanging="710"/>
        <w:spacing w:after="0" w:line="281" w:lineRule="auto"/>
        <w:tabs>
          <w:tab w:leader="none" w:pos="2500" w:val="left"/>
        </w:tabs>
        <w:numPr>
          <w:ilvl w:val="0"/>
          <w:numId w:val="482"/>
        </w:numPr>
        <w:rPr>
          <w:rFonts w:ascii="Arial" w:cs="Arial" w:eastAsia="Arial" w:hAnsi="Arial"/>
          <w:sz w:val="13"/>
          <w:szCs w:val="13"/>
          <w:color w:val="auto"/>
        </w:rPr>
      </w:pPr>
      <w:r>
        <w:rPr>
          <w:rFonts w:ascii="Arial" w:cs="Arial" w:eastAsia="Arial" w:hAnsi="Arial"/>
          <w:sz w:val="13"/>
          <w:szCs w:val="13"/>
          <w:color w:val="auto"/>
        </w:rPr>
        <w:t>in respect of the Property interests, rights, easements or other matter whatsoever evidenced in section II of the land register (</w:t>
      </w:r>
      <w:r>
        <w:rPr>
          <w:rFonts w:ascii="Arial" w:cs="Arial" w:eastAsia="Arial" w:hAnsi="Arial"/>
          <w:sz w:val="13"/>
          <w:szCs w:val="13"/>
          <w:i w:val="1"/>
          <w:iCs w:val="1"/>
          <w:color w:val="auto"/>
        </w:rPr>
        <w:t>Grundbuch</w:t>
      </w:r>
      <w:r>
        <w:rPr>
          <w:rFonts w:ascii="Arial" w:cs="Arial" w:eastAsia="Arial" w:hAnsi="Arial"/>
          <w:sz w:val="13"/>
          <w:szCs w:val="13"/>
          <w:color w:val="auto"/>
        </w:rPr>
        <w:t>) as reflected in the copy of the land register excerpt (</w:t>
      </w:r>
      <w:r>
        <w:rPr>
          <w:rFonts w:ascii="Arial" w:cs="Arial" w:eastAsia="Arial" w:hAnsi="Arial"/>
          <w:sz w:val="13"/>
          <w:szCs w:val="13"/>
          <w:i w:val="1"/>
          <w:iCs w:val="1"/>
          <w:color w:val="auto"/>
        </w:rPr>
        <w:t>Grundbuchauszug</w:t>
      </w:r>
      <w:r>
        <w:rPr>
          <w:rFonts w:ascii="Arial" w:cs="Arial" w:eastAsia="Arial" w:hAnsi="Arial"/>
          <w:sz w:val="13"/>
          <w:szCs w:val="13"/>
          <w:color w:val="auto"/>
        </w:rPr>
        <w:t>) provided to the Bank;</w:t>
      </w:r>
    </w:p>
    <w:p>
      <w:pPr>
        <w:spacing w:after="0" w:line="19" w:lineRule="exact"/>
        <w:rPr>
          <w:rFonts w:ascii="Arial" w:cs="Arial" w:eastAsia="Arial" w:hAnsi="Arial"/>
          <w:sz w:val="13"/>
          <w:szCs w:val="13"/>
          <w:color w:val="auto"/>
        </w:rPr>
      </w:pPr>
    </w:p>
    <w:p>
      <w:pPr>
        <w:ind w:left="2500" w:right="320" w:hanging="710"/>
        <w:spacing w:after="0" w:line="281" w:lineRule="auto"/>
        <w:tabs>
          <w:tab w:leader="none" w:pos="2500" w:val="left"/>
        </w:tabs>
        <w:numPr>
          <w:ilvl w:val="0"/>
          <w:numId w:val="482"/>
        </w:numPr>
        <w:rPr>
          <w:rFonts w:ascii="Arial" w:cs="Arial" w:eastAsia="Arial" w:hAnsi="Arial"/>
          <w:sz w:val="13"/>
          <w:szCs w:val="13"/>
          <w:color w:val="auto"/>
        </w:rPr>
      </w:pPr>
      <w:r>
        <w:rPr>
          <w:rFonts w:ascii="Arial" w:cs="Arial" w:eastAsia="Arial" w:hAnsi="Arial"/>
          <w:sz w:val="13"/>
          <w:szCs w:val="13"/>
          <w:color w:val="auto"/>
        </w:rPr>
        <w:t>any Security created or subsisting in order to comply with Section 8a of the German Altersteilzeitgesetz (</w:t>
      </w:r>
      <w:r>
        <w:rPr>
          <w:rFonts w:ascii="Arial" w:cs="Arial" w:eastAsia="Arial" w:hAnsi="Arial"/>
          <w:sz w:val="13"/>
          <w:szCs w:val="13"/>
          <w:i w:val="1"/>
          <w:iCs w:val="1"/>
          <w:color w:val="auto"/>
        </w:rPr>
        <w:t>AltTZG</w:t>
      </w:r>
      <w:r>
        <w:rPr>
          <w:rFonts w:ascii="Arial" w:cs="Arial" w:eastAsia="Arial" w:hAnsi="Arial"/>
          <w:sz w:val="13"/>
          <w:szCs w:val="13"/>
          <w:color w:val="auto"/>
        </w:rPr>
        <w:t>) or pursuant to Section 7e of the German Social Law Act No. 4 (</w:t>
      </w:r>
      <w:r>
        <w:rPr>
          <w:rFonts w:ascii="Arial" w:cs="Arial" w:eastAsia="Arial" w:hAnsi="Arial"/>
          <w:sz w:val="13"/>
          <w:szCs w:val="13"/>
          <w:i w:val="1"/>
          <w:iCs w:val="1"/>
          <w:color w:val="auto"/>
        </w:rPr>
        <w:t>Sozialgesetzbuch IV</w:t>
      </w:r>
      <w:r>
        <w:rPr>
          <w:rFonts w:ascii="Arial" w:cs="Arial" w:eastAsia="Arial" w:hAnsi="Arial"/>
          <w:sz w:val="13"/>
          <w:szCs w:val="13"/>
          <w:color w:val="auto"/>
        </w:rPr>
        <w:t>);</w:t>
      </w:r>
    </w:p>
    <w:p>
      <w:pPr>
        <w:spacing w:after="0" w:line="29" w:lineRule="exact"/>
        <w:rPr>
          <w:rFonts w:ascii="Arial" w:cs="Arial" w:eastAsia="Arial" w:hAnsi="Arial"/>
          <w:sz w:val="13"/>
          <w:szCs w:val="13"/>
          <w:color w:val="auto"/>
        </w:rPr>
      </w:pPr>
    </w:p>
    <w:p>
      <w:pPr>
        <w:ind w:left="2500" w:right="400" w:hanging="710"/>
        <w:spacing w:after="0" w:line="281" w:lineRule="auto"/>
        <w:tabs>
          <w:tab w:leader="none" w:pos="2500" w:val="left"/>
        </w:tabs>
        <w:numPr>
          <w:ilvl w:val="0"/>
          <w:numId w:val="482"/>
        </w:numPr>
        <w:rPr>
          <w:rFonts w:ascii="Arial" w:cs="Arial" w:eastAsia="Arial" w:hAnsi="Arial"/>
          <w:sz w:val="13"/>
          <w:szCs w:val="13"/>
          <w:color w:val="auto"/>
        </w:rPr>
      </w:pPr>
      <w:r>
        <w:rPr>
          <w:rFonts w:ascii="Arial" w:cs="Arial" w:eastAsia="Arial" w:hAnsi="Arial"/>
          <w:sz w:val="13"/>
          <w:szCs w:val="13"/>
          <w:color w:val="auto"/>
        </w:rPr>
        <w:t>any contractor’s lien arising by operation of law (</w:t>
      </w:r>
      <w:r>
        <w:rPr>
          <w:rFonts w:ascii="Arial" w:cs="Arial" w:eastAsia="Arial" w:hAnsi="Arial"/>
          <w:sz w:val="13"/>
          <w:szCs w:val="13"/>
          <w:i w:val="1"/>
          <w:iCs w:val="1"/>
          <w:color w:val="auto"/>
        </w:rPr>
        <w:t>Werkunternehmerpfandrecht</w:t>
      </w:r>
      <w:r>
        <w:rPr>
          <w:rFonts w:ascii="Arial" w:cs="Arial" w:eastAsia="Arial" w:hAnsi="Arial"/>
          <w:sz w:val="13"/>
          <w:szCs w:val="13"/>
          <w:color w:val="auto"/>
        </w:rPr>
        <w:t>) in connection with repairs and maintenance work and any landlord's pledge (</w:t>
      </w:r>
      <w:r>
        <w:rPr>
          <w:rFonts w:ascii="Arial" w:cs="Arial" w:eastAsia="Arial" w:hAnsi="Arial"/>
          <w:sz w:val="13"/>
          <w:szCs w:val="13"/>
          <w:i w:val="1"/>
          <w:iCs w:val="1"/>
          <w:color w:val="auto"/>
        </w:rPr>
        <w:t>Vermieterpfandrecht</w:t>
      </w:r>
      <w:r>
        <w:rPr>
          <w:rFonts w:ascii="Arial" w:cs="Arial" w:eastAsia="Arial" w:hAnsi="Arial"/>
          <w:sz w:val="13"/>
          <w:szCs w:val="13"/>
          <w:color w:val="auto"/>
        </w:rPr>
        <w:t>) arising by operation of law under a lease in favour of the relevant third party landlord; or</w:t>
      </w:r>
    </w:p>
    <w:p>
      <w:pPr>
        <w:spacing w:after="0" w:line="43" w:lineRule="exact"/>
        <w:rPr>
          <w:rFonts w:ascii="Arial" w:cs="Arial" w:eastAsia="Arial" w:hAnsi="Arial"/>
          <w:sz w:val="13"/>
          <w:szCs w:val="13"/>
          <w:color w:val="auto"/>
        </w:rPr>
      </w:pPr>
    </w:p>
    <w:p>
      <w:pPr>
        <w:ind w:left="2500" w:right="380" w:hanging="710"/>
        <w:spacing w:after="0"/>
        <w:tabs>
          <w:tab w:leader="none" w:pos="2500" w:val="left"/>
        </w:tabs>
        <w:numPr>
          <w:ilvl w:val="0"/>
          <w:numId w:val="482"/>
        </w:numPr>
        <w:rPr>
          <w:rFonts w:ascii="Arial" w:cs="Arial" w:eastAsia="Arial" w:hAnsi="Arial"/>
          <w:sz w:val="13"/>
          <w:szCs w:val="13"/>
          <w:color w:val="auto"/>
        </w:rPr>
      </w:pPr>
      <w:r>
        <w:rPr>
          <w:rFonts w:ascii="Arial" w:cs="Arial" w:eastAsia="Arial" w:hAnsi="Arial"/>
          <w:sz w:val="13"/>
          <w:szCs w:val="13"/>
          <w:color w:val="auto"/>
        </w:rPr>
        <w:t>any Security securing indebtedness the principal amount of which (when aggregated with the principal amount of any other indebtedness which has the benefit of Security given by a Group Company other than any permitted under sub-paragraphs (i) to (xii) above) does not exceed EUR [***] during the term of this Credit. In relation to this Paragraph (xiii) the Parties agree, that if and for so long as the Borrower fulfils the Replacement Conditions prior to providing the security, the threshold in this Paragraph</w:t>
      </w:r>
    </w:p>
    <w:p>
      <w:pPr>
        <w:spacing w:after="0" w:line="1" w:lineRule="exact"/>
        <w:rPr>
          <w:rFonts w:ascii="Arial" w:cs="Arial" w:eastAsia="Arial" w:hAnsi="Arial"/>
          <w:sz w:val="13"/>
          <w:szCs w:val="13"/>
          <w:color w:val="auto"/>
        </w:rPr>
      </w:pPr>
    </w:p>
    <w:p>
      <w:pPr>
        <w:ind w:left="2800" w:hanging="288"/>
        <w:spacing w:after="0"/>
        <w:tabs>
          <w:tab w:leader="none" w:pos="2800" w:val="left"/>
        </w:tabs>
        <w:numPr>
          <w:ilvl w:val="3"/>
          <w:numId w:val="482"/>
        </w:numPr>
        <w:rPr>
          <w:rFonts w:ascii="Arial" w:cs="Arial" w:eastAsia="Arial" w:hAnsi="Arial"/>
          <w:sz w:val="13"/>
          <w:szCs w:val="13"/>
          <w:color w:val="auto"/>
        </w:rPr>
      </w:pPr>
      <w:r>
        <w:rPr>
          <w:rFonts w:ascii="Arial" w:cs="Arial" w:eastAsia="Arial" w:hAnsi="Arial"/>
          <w:sz w:val="13"/>
          <w:szCs w:val="13"/>
          <w:color w:val="auto"/>
        </w:rPr>
        <w:t>will be replaced by a threshold constituting the lesser of (A) [***]% of the Total Assets during any financial year, and (B) EUR [***].</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94" w:name="page395"/>
    <w:bookmarkEnd w:id="394"/>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1060" w:hanging="510"/>
        <w:spacing w:after="0"/>
        <w:tabs>
          <w:tab w:leader="none" w:pos="1060" w:val="left"/>
        </w:tabs>
        <w:numPr>
          <w:ilvl w:val="0"/>
          <w:numId w:val="483"/>
        </w:numPr>
        <w:rPr>
          <w:rFonts w:ascii="Arial" w:cs="Arial" w:eastAsia="Arial" w:hAnsi="Arial"/>
          <w:sz w:val="13"/>
          <w:szCs w:val="13"/>
          <w:b w:val="1"/>
          <w:bCs w:val="1"/>
          <w:color w:val="auto"/>
        </w:rPr>
      </w:pPr>
      <w:r>
        <w:rPr>
          <w:rFonts w:ascii="Arial" w:cs="Arial" w:eastAsia="Arial" w:hAnsi="Arial"/>
          <w:sz w:val="13"/>
          <w:szCs w:val="13"/>
          <w:b w:val="1"/>
          <w:bCs w:val="1"/>
          <w:color w:val="auto"/>
        </w:rPr>
        <w:t>Other Undertakings</w:t>
      </w:r>
    </w:p>
    <w:p>
      <w:pPr>
        <w:spacing w:after="0" w:line="136" w:lineRule="exact"/>
        <w:rPr>
          <w:rFonts w:ascii="Arial" w:cs="Arial" w:eastAsia="Arial" w:hAnsi="Arial"/>
          <w:sz w:val="13"/>
          <w:szCs w:val="13"/>
          <w:b w:val="1"/>
          <w:bCs w:val="1"/>
          <w:color w:val="auto"/>
        </w:rPr>
      </w:pPr>
    </w:p>
    <w:p>
      <w:pPr>
        <w:ind w:left="1080" w:right="120"/>
        <w:spacing w:after="0" w:line="258" w:lineRule="auto"/>
        <w:rPr>
          <w:rFonts w:ascii="Arial" w:cs="Arial" w:eastAsia="Arial" w:hAnsi="Arial"/>
          <w:sz w:val="13"/>
          <w:szCs w:val="13"/>
          <w:b w:val="1"/>
          <w:bCs w:val="1"/>
          <w:color w:val="auto"/>
        </w:rPr>
      </w:pPr>
      <w:r>
        <w:rPr>
          <w:rFonts w:ascii="Arial" w:cs="Arial" w:eastAsia="Arial" w:hAnsi="Arial"/>
          <w:sz w:val="13"/>
          <w:szCs w:val="13"/>
          <w:color w:val="auto"/>
        </w:rPr>
        <w:t>The Borrower shall take note of the Bank’s group statement on tax fraud, tax evasion, tax avoidance, aggressive tax planning, money laundering and financing of terrorism (as published on the Bank’s website and as may be amended from time to time).</w:t>
      </w:r>
    </w:p>
    <w:p>
      <w:pPr>
        <w:spacing w:after="0" w:line="82" w:lineRule="exact"/>
        <w:rPr>
          <w:rFonts w:ascii="Arial" w:cs="Arial" w:eastAsia="Arial" w:hAnsi="Arial"/>
          <w:sz w:val="13"/>
          <w:szCs w:val="13"/>
          <w:b w:val="1"/>
          <w:bCs w:val="1"/>
          <w:color w:val="auto"/>
        </w:rPr>
      </w:pPr>
    </w:p>
    <w:p>
      <w:pPr>
        <w:ind w:left="1060" w:hanging="510"/>
        <w:spacing w:after="0"/>
        <w:tabs>
          <w:tab w:leader="none" w:pos="1060" w:val="left"/>
        </w:tabs>
        <w:numPr>
          <w:ilvl w:val="0"/>
          <w:numId w:val="483"/>
        </w:numPr>
        <w:rPr>
          <w:rFonts w:ascii="Arial" w:cs="Arial" w:eastAsia="Arial" w:hAnsi="Arial"/>
          <w:sz w:val="13"/>
          <w:szCs w:val="13"/>
          <w:b w:val="1"/>
          <w:bCs w:val="1"/>
          <w:color w:val="auto"/>
        </w:rPr>
      </w:pPr>
      <w:r>
        <w:rPr>
          <w:rFonts w:ascii="Arial" w:cs="Arial" w:eastAsia="Arial" w:hAnsi="Arial"/>
          <w:sz w:val="13"/>
          <w:szCs w:val="13"/>
          <w:b w:val="1"/>
          <w:bCs w:val="1"/>
          <w:color w:val="auto"/>
        </w:rPr>
        <w:t>Clauses by inclusion</w:t>
      </w:r>
    </w:p>
    <w:p>
      <w:pPr>
        <w:spacing w:after="0" w:line="136" w:lineRule="exact"/>
        <w:rPr>
          <w:rFonts w:ascii="Arial" w:cs="Arial" w:eastAsia="Arial" w:hAnsi="Arial"/>
          <w:sz w:val="13"/>
          <w:szCs w:val="13"/>
          <w:b w:val="1"/>
          <w:bCs w:val="1"/>
          <w:color w:val="auto"/>
        </w:rPr>
      </w:pPr>
    </w:p>
    <w:p>
      <w:pPr>
        <w:jc w:val="both"/>
        <w:ind w:left="1080" w:right="120"/>
        <w:spacing w:after="0" w:line="246" w:lineRule="auto"/>
        <w:rPr>
          <w:rFonts w:ascii="Arial" w:cs="Arial" w:eastAsia="Arial" w:hAnsi="Arial"/>
          <w:sz w:val="13"/>
          <w:szCs w:val="13"/>
          <w:b w:val="1"/>
          <w:bCs w:val="1"/>
          <w:color w:val="auto"/>
        </w:rPr>
      </w:pPr>
      <w:r>
        <w:rPr>
          <w:rFonts w:ascii="Arial" w:cs="Arial" w:eastAsia="Arial" w:hAnsi="Arial"/>
          <w:sz w:val="13"/>
          <w:szCs w:val="13"/>
          <w:color w:val="auto"/>
        </w:rPr>
        <w:t>If the Borrower or any Group Company concludes with any other secured and unsubordinated creditor a financing agreement that includes a loss-of-rating clause or a covenant or other provision regarding its financial ratios, if applicable, that is not provided for in this Contract or is more favourable to the relevant creditor than any equivalent provision of this Contract is to the Bank, the Borrower shall promptly inform the Bank and shall provide a copy of the more favourable provision to the Bank. The Bank may request that the Borrower promptly executes an agreement to amend this Contract so as to provide for an equivalent provision in favour of the Bank.</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5" w:name="page396"/>
    <w:bookmarkEnd w:id="395"/>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10560"/>
        <w:spacing w:after="0"/>
        <w:rPr>
          <w:sz w:val="20"/>
          <w:szCs w:val="20"/>
          <w:color w:val="auto"/>
        </w:rPr>
      </w:pPr>
      <w:r>
        <w:rPr>
          <w:rFonts w:ascii="Arial" w:cs="Arial" w:eastAsia="Arial" w:hAnsi="Arial"/>
          <w:sz w:val="13"/>
          <w:szCs w:val="13"/>
          <w:b w:val="1"/>
          <w:bCs w:val="1"/>
          <w:color w:val="auto"/>
        </w:rPr>
        <w:t>Schedule I</w:t>
      </w:r>
    </w:p>
    <w:p>
      <w:pPr>
        <w:spacing w:after="0" w:line="80" w:lineRule="exact"/>
        <w:rPr>
          <w:sz w:val="20"/>
          <w:szCs w:val="20"/>
          <w:color w:val="auto"/>
        </w:rPr>
      </w:pPr>
    </w:p>
    <w:p>
      <w:pPr>
        <w:ind w:left="2300"/>
        <w:spacing w:after="0"/>
        <w:rPr>
          <w:sz w:val="20"/>
          <w:szCs w:val="20"/>
          <w:color w:val="auto"/>
        </w:rPr>
      </w:pPr>
      <w:r>
        <w:rPr>
          <w:rFonts w:ascii="Arial" w:cs="Arial" w:eastAsia="Arial" w:hAnsi="Arial"/>
          <w:sz w:val="13"/>
          <w:szCs w:val="13"/>
          <w:b w:val="1"/>
          <w:bCs w:val="1"/>
          <w:u w:val="single" w:color="auto"/>
          <w:color w:val="auto"/>
        </w:rPr>
        <w:t>Information and Visits</w:t>
      </w:r>
    </w:p>
    <w:p>
      <w:pPr>
        <w:spacing w:after="0" w:line="160" w:lineRule="exact"/>
        <w:rPr>
          <w:sz w:val="20"/>
          <w:szCs w:val="20"/>
          <w:color w:val="auto"/>
        </w:rPr>
      </w:pPr>
    </w:p>
    <w:p>
      <w:pPr>
        <w:ind w:left="1080" w:right="7760" w:hanging="530"/>
        <w:spacing w:after="0" w:line="414" w:lineRule="auto"/>
        <w:tabs>
          <w:tab w:leader="none" w:pos="1072" w:val="left"/>
        </w:tabs>
        <w:numPr>
          <w:ilvl w:val="0"/>
          <w:numId w:val="4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Information concerning the Investment </w:t>
      </w:r>
      <w:r>
        <w:rPr>
          <w:rFonts w:ascii="Arial" w:cs="Arial" w:eastAsia="Arial" w:hAnsi="Arial"/>
          <w:sz w:val="13"/>
          <w:szCs w:val="13"/>
          <w:color w:val="auto"/>
        </w:rPr>
        <w:t>Subject to Paragraph 5 below:</w:t>
      </w:r>
    </w:p>
    <w:p>
      <w:pPr>
        <w:ind w:left="1780" w:hanging="710"/>
        <w:spacing w:after="0"/>
        <w:tabs>
          <w:tab w:leader="none" w:pos="1780" w:val="left"/>
        </w:tabs>
        <w:numPr>
          <w:ilvl w:val="1"/>
          <w:numId w:val="484"/>
        </w:numPr>
        <w:rPr>
          <w:rFonts w:ascii="Arial" w:cs="Arial" w:eastAsia="Arial" w:hAnsi="Arial"/>
          <w:sz w:val="13"/>
          <w:szCs w:val="13"/>
          <w:color w:val="auto"/>
        </w:rPr>
      </w:pPr>
      <w:r>
        <w:rPr>
          <w:rFonts w:ascii="Arial" w:cs="Arial" w:eastAsia="Arial" w:hAnsi="Arial"/>
          <w:sz w:val="13"/>
          <w:szCs w:val="13"/>
          <w:color w:val="auto"/>
        </w:rPr>
        <w:t>The Borrower shall deliver to the Bank:</w:t>
      </w:r>
    </w:p>
    <w:p>
      <w:pPr>
        <w:spacing w:after="0" w:line="66" w:lineRule="exact"/>
        <w:rPr>
          <w:rFonts w:ascii="Arial" w:cs="Arial" w:eastAsia="Arial" w:hAnsi="Arial"/>
          <w:sz w:val="13"/>
          <w:szCs w:val="13"/>
          <w:color w:val="auto"/>
        </w:rPr>
      </w:pPr>
    </w:p>
    <w:p>
      <w:pPr>
        <w:ind w:left="2500" w:right="400" w:hanging="710"/>
        <w:spacing w:after="0" w:line="281" w:lineRule="auto"/>
        <w:tabs>
          <w:tab w:leader="none" w:pos="2500" w:val="left"/>
        </w:tabs>
        <w:numPr>
          <w:ilvl w:val="2"/>
          <w:numId w:val="484"/>
        </w:numPr>
        <w:rPr>
          <w:rFonts w:ascii="Arial" w:cs="Arial" w:eastAsia="Arial" w:hAnsi="Arial"/>
          <w:sz w:val="13"/>
          <w:szCs w:val="13"/>
          <w:color w:val="auto"/>
        </w:rPr>
      </w:pPr>
      <w:r>
        <w:rPr>
          <w:rFonts w:ascii="Arial" w:cs="Arial" w:eastAsia="Arial" w:hAnsi="Arial"/>
          <w:sz w:val="13"/>
          <w:szCs w:val="13"/>
          <w:color w:val="auto"/>
        </w:rPr>
        <w:t xml:space="preserve">the information in content and in form, and at the times, specified in Part </w:t>
      </w:r>
      <w:hyperlink w:anchor="page373">
        <w:r>
          <w:rPr>
            <w:rFonts w:ascii="Arial" w:cs="Arial" w:eastAsia="Arial" w:hAnsi="Arial"/>
            <w:sz w:val="13"/>
            <w:szCs w:val="13"/>
            <w:u w:val="single" w:color="auto"/>
            <w:color w:val="0000EE"/>
          </w:rPr>
          <w:t>A.2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Information Duties</w:t>
      </w:r>
      <w:r>
        <w:rPr>
          <w:rFonts w:ascii="Arial" w:cs="Arial" w:eastAsia="Arial" w:hAnsi="Arial"/>
          <w:sz w:val="13"/>
          <w:szCs w:val="13"/>
          <w:color w:val="auto"/>
        </w:rPr>
        <w:t xml:space="preserve">) of </w:t>
      </w:r>
      <w:hyperlink w:anchor="page372">
        <w:r>
          <w:rPr>
            <w:rFonts w:ascii="Arial" w:cs="Arial" w:eastAsia="Arial" w:hAnsi="Arial"/>
            <w:sz w:val="13"/>
            <w:szCs w:val="13"/>
            <w:u w:val="single" w:color="auto"/>
            <w:color w:val="0000EE"/>
          </w:rPr>
          <w:t>Schedule A</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Investment Specification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Reporting</w:t>
      </w:r>
      <w:r>
        <w:rPr>
          <w:rFonts w:ascii="Arial" w:cs="Arial" w:eastAsia="Arial" w:hAnsi="Arial"/>
          <w:sz w:val="13"/>
          <w:szCs w:val="13"/>
          <w:color w:val="auto"/>
        </w:rPr>
        <w:t>) or otherwise as agreed from time to time by the parties to this Contract;</w:t>
      </w:r>
    </w:p>
    <w:p>
      <w:pPr>
        <w:spacing w:after="0" w:line="33" w:lineRule="exact"/>
        <w:rPr>
          <w:rFonts w:ascii="Arial" w:cs="Arial" w:eastAsia="Arial" w:hAnsi="Arial"/>
          <w:sz w:val="13"/>
          <w:szCs w:val="13"/>
          <w:color w:val="auto"/>
        </w:rPr>
      </w:pPr>
    </w:p>
    <w:p>
      <w:pPr>
        <w:ind w:left="2500" w:right="460" w:hanging="710"/>
        <w:spacing w:after="0" w:line="258" w:lineRule="auto"/>
        <w:tabs>
          <w:tab w:leader="none" w:pos="2500" w:val="left"/>
        </w:tabs>
        <w:numPr>
          <w:ilvl w:val="2"/>
          <w:numId w:val="484"/>
        </w:numPr>
        <w:rPr>
          <w:rFonts w:ascii="Arial" w:cs="Arial" w:eastAsia="Arial" w:hAnsi="Arial"/>
          <w:sz w:val="13"/>
          <w:szCs w:val="13"/>
          <w:color w:val="auto"/>
        </w:rPr>
      </w:pPr>
      <w:r>
        <w:rPr>
          <w:rFonts w:ascii="Arial" w:cs="Arial" w:eastAsia="Arial" w:hAnsi="Arial"/>
          <w:sz w:val="13"/>
          <w:szCs w:val="13"/>
          <w:color w:val="auto"/>
        </w:rPr>
        <w:t>any such information or further document concerning the Investment as the Bank may require to comply with its obligations under the EFSI Regulation; and</w:t>
      </w:r>
    </w:p>
    <w:p>
      <w:pPr>
        <w:spacing w:after="0" w:line="58" w:lineRule="exact"/>
        <w:rPr>
          <w:rFonts w:ascii="Arial" w:cs="Arial" w:eastAsia="Arial" w:hAnsi="Arial"/>
          <w:sz w:val="13"/>
          <w:szCs w:val="13"/>
          <w:color w:val="auto"/>
        </w:rPr>
      </w:pPr>
    </w:p>
    <w:p>
      <w:pPr>
        <w:ind w:left="2500" w:right="220" w:hanging="710"/>
        <w:spacing w:after="0" w:line="258" w:lineRule="auto"/>
        <w:tabs>
          <w:tab w:leader="none" w:pos="2500" w:val="left"/>
        </w:tabs>
        <w:numPr>
          <w:ilvl w:val="2"/>
          <w:numId w:val="484"/>
        </w:numPr>
        <w:rPr>
          <w:rFonts w:ascii="Arial" w:cs="Arial" w:eastAsia="Arial" w:hAnsi="Arial"/>
          <w:sz w:val="13"/>
          <w:szCs w:val="13"/>
          <w:color w:val="auto"/>
        </w:rPr>
      </w:pPr>
      <w:r>
        <w:rPr>
          <w:rFonts w:ascii="Arial" w:cs="Arial" w:eastAsia="Arial" w:hAnsi="Arial"/>
          <w:sz w:val="13"/>
          <w:szCs w:val="13"/>
          <w:color w:val="auto"/>
        </w:rPr>
        <w:t>any such information or further document concerning the financing, procurement, implementation, operation and environmental matters of or for the Investment as the Bank may reasonably require within a reasonable time;</w:t>
      </w:r>
    </w:p>
    <w:p>
      <w:pPr>
        <w:spacing w:after="0" w:line="33" w:lineRule="exact"/>
        <w:rPr>
          <w:rFonts w:ascii="Arial" w:cs="Arial" w:eastAsia="Arial" w:hAnsi="Arial"/>
          <w:sz w:val="13"/>
          <w:szCs w:val="13"/>
          <w:color w:val="auto"/>
        </w:rPr>
      </w:pPr>
    </w:p>
    <w:p>
      <w:pPr>
        <w:jc w:val="both"/>
        <w:ind w:left="1800" w:right="120"/>
        <w:spacing w:after="0" w:line="262" w:lineRule="auto"/>
        <w:rPr>
          <w:sz w:val="20"/>
          <w:szCs w:val="20"/>
          <w:color w:val="auto"/>
        </w:rPr>
      </w:pPr>
      <w:r>
        <w:rPr>
          <w:rFonts w:ascii="Arial" w:cs="Arial" w:eastAsia="Arial" w:hAnsi="Arial"/>
          <w:sz w:val="13"/>
          <w:szCs w:val="13"/>
          <w:b w:val="1"/>
          <w:bCs w:val="1"/>
          <w:color w:val="auto"/>
        </w:rPr>
        <w:t xml:space="preserve">provided always that </w:t>
      </w:r>
      <w:r>
        <w:rPr>
          <w:rFonts w:ascii="Arial" w:cs="Arial" w:eastAsia="Arial" w:hAnsi="Arial"/>
          <w:sz w:val="13"/>
          <w:szCs w:val="13"/>
          <w:color w:val="auto"/>
        </w:rPr>
        <w:t>if such information or document is not delivered to the Bank on time, and the Borrower does not rectify the omission within a</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reasonable time set by the Bank in writing, the Bank may remedy the deficiency, to the extent feasible, by employing its own staff or a consultant or any other third party, at the Borrower's expense and the Borrower shall provide such persons with all assistance necessary for the purpose.</w:t>
      </w:r>
    </w:p>
    <w:p>
      <w:pPr>
        <w:spacing w:after="0" w:line="56" w:lineRule="exact"/>
        <w:rPr>
          <w:rFonts w:ascii="Arial" w:cs="Arial" w:eastAsia="Arial" w:hAnsi="Arial"/>
          <w:sz w:val="13"/>
          <w:szCs w:val="13"/>
          <w:color w:val="auto"/>
        </w:rPr>
      </w:pPr>
    </w:p>
    <w:p>
      <w:pPr>
        <w:ind w:left="1780" w:right="320" w:hanging="710"/>
        <w:spacing w:after="0" w:line="249" w:lineRule="auto"/>
        <w:tabs>
          <w:tab w:leader="none" w:pos="1780" w:val="left"/>
        </w:tabs>
        <w:numPr>
          <w:ilvl w:val="0"/>
          <w:numId w:val="485"/>
        </w:numPr>
        <w:rPr>
          <w:rFonts w:ascii="Arial" w:cs="Arial" w:eastAsia="Arial" w:hAnsi="Arial"/>
          <w:sz w:val="13"/>
          <w:szCs w:val="13"/>
          <w:color w:val="auto"/>
        </w:rPr>
      </w:pPr>
      <w:r>
        <w:rPr>
          <w:rFonts w:ascii="Arial" w:cs="Arial" w:eastAsia="Arial" w:hAnsi="Arial"/>
          <w:sz w:val="13"/>
          <w:szCs w:val="13"/>
          <w:color w:val="auto"/>
        </w:rPr>
        <w:t>The Borrower shall submit for the approval of the Bank without delay any material changes to the Investment, also taking into account the disclosures made to the Bank in connection with the Investment prior to the signing of this Contract, in respect of, inter alia, the total cost, plans, timetable or to the expenditure programme or financing plan for the Investment.</w:t>
      </w:r>
    </w:p>
    <w:p>
      <w:pPr>
        <w:spacing w:after="0" w:line="64" w:lineRule="exact"/>
        <w:rPr>
          <w:rFonts w:ascii="Arial" w:cs="Arial" w:eastAsia="Arial" w:hAnsi="Arial"/>
          <w:sz w:val="13"/>
          <w:szCs w:val="13"/>
          <w:color w:val="auto"/>
        </w:rPr>
      </w:pPr>
    </w:p>
    <w:p>
      <w:pPr>
        <w:ind w:left="1780" w:hanging="710"/>
        <w:spacing w:after="0"/>
        <w:tabs>
          <w:tab w:leader="none" w:pos="1780" w:val="left"/>
        </w:tabs>
        <w:numPr>
          <w:ilvl w:val="0"/>
          <w:numId w:val="485"/>
        </w:numPr>
        <w:rPr>
          <w:rFonts w:ascii="Arial" w:cs="Arial" w:eastAsia="Arial" w:hAnsi="Arial"/>
          <w:sz w:val="13"/>
          <w:szCs w:val="13"/>
          <w:color w:val="auto"/>
        </w:rPr>
      </w:pPr>
      <w:r>
        <w:rPr>
          <w:rFonts w:ascii="Arial" w:cs="Arial" w:eastAsia="Arial" w:hAnsi="Arial"/>
          <w:sz w:val="13"/>
          <w:szCs w:val="13"/>
          <w:color w:val="auto"/>
        </w:rPr>
        <w:t>The Borrower shall promptly inform the Bank of:</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0"/>
          <w:numId w:val="486"/>
        </w:numPr>
        <w:rPr>
          <w:rFonts w:ascii="Arial" w:cs="Arial" w:eastAsia="Arial" w:hAnsi="Arial"/>
          <w:sz w:val="13"/>
          <w:szCs w:val="13"/>
          <w:color w:val="auto"/>
        </w:rPr>
      </w:pPr>
      <w:r>
        <w:rPr>
          <w:rFonts w:ascii="Arial" w:cs="Arial" w:eastAsia="Arial" w:hAnsi="Arial"/>
          <w:sz w:val="13"/>
          <w:szCs w:val="13"/>
          <w:color w:val="auto"/>
        </w:rPr>
        <w:t>any action initiated or any objection raised by any third party or any genuine complaint received by the Borrower or any Environmental Claim that</w:t>
      </w:r>
    </w:p>
    <w:p>
      <w:pPr>
        <w:ind w:left="2500"/>
        <w:spacing w:after="0"/>
        <w:rPr>
          <w:sz w:val="20"/>
          <w:szCs w:val="20"/>
          <w:color w:val="auto"/>
        </w:rPr>
      </w:pPr>
      <w:r>
        <w:rPr>
          <w:rFonts w:ascii="Arial" w:cs="Arial" w:eastAsia="Arial" w:hAnsi="Arial"/>
          <w:sz w:val="13"/>
          <w:szCs w:val="13"/>
          <w:color w:val="auto"/>
        </w:rPr>
        <w:t>is to its knowledge commenced, pending or threatened against it with regard to environmental or other matters affecting the Investment; and</w:t>
      </w:r>
    </w:p>
    <w:p>
      <w:pPr>
        <w:spacing w:after="0" w:line="70" w:lineRule="exact"/>
        <w:rPr>
          <w:rFonts w:ascii="Arial" w:cs="Arial" w:eastAsia="Arial" w:hAnsi="Arial"/>
          <w:sz w:val="13"/>
          <w:szCs w:val="13"/>
          <w:color w:val="auto"/>
        </w:rPr>
      </w:pPr>
    </w:p>
    <w:p>
      <w:pPr>
        <w:ind w:left="2500" w:hanging="710"/>
        <w:spacing w:after="0"/>
        <w:tabs>
          <w:tab w:leader="none" w:pos="2500" w:val="left"/>
        </w:tabs>
        <w:numPr>
          <w:ilvl w:val="1"/>
          <w:numId w:val="487"/>
        </w:numPr>
        <w:rPr>
          <w:rFonts w:ascii="Arial" w:cs="Arial" w:eastAsia="Arial" w:hAnsi="Arial"/>
          <w:sz w:val="13"/>
          <w:szCs w:val="13"/>
          <w:color w:val="auto"/>
        </w:rPr>
      </w:pPr>
      <w:r>
        <w:rPr>
          <w:rFonts w:ascii="Arial" w:cs="Arial" w:eastAsia="Arial" w:hAnsi="Arial"/>
          <w:sz w:val="13"/>
          <w:szCs w:val="13"/>
          <w:color w:val="auto"/>
        </w:rPr>
        <w:t>any fact or event known to the Borrower, which may substantially prejudice or affect the Borrower's ability to execute the Investment;</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1"/>
          <w:numId w:val="487"/>
        </w:numPr>
        <w:rPr>
          <w:rFonts w:ascii="Arial" w:cs="Arial" w:eastAsia="Arial" w:hAnsi="Arial"/>
          <w:sz w:val="13"/>
          <w:szCs w:val="13"/>
          <w:color w:val="auto"/>
        </w:rPr>
      </w:pPr>
      <w:r>
        <w:rPr>
          <w:rFonts w:ascii="Arial" w:cs="Arial" w:eastAsia="Arial" w:hAnsi="Arial"/>
          <w:sz w:val="13"/>
          <w:szCs w:val="13"/>
          <w:color w:val="auto"/>
        </w:rPr>
        <w:t>a genuine allegation, complaint or information with regard to Illegal Activities related to the Loan and/or the Investment;</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1"/>
          <w:numId w:val="487"/>
        </w:numPr>
        <w:rPr>
          <w:rFonts w:ascii="Arial" w:cs="Arial" w:eastAsia="Arial" w:hAnsi="Arial"/>
          <w:sz w:val="13"/>
          <w:szCs w:val="13"/>
          <w:color w:val="auto"/>
        </w:rPr>
      </w:pPr>
      <w:r>
        <w:rPr>
          <w:rFonts w:ascii="Arial" w:cs="Arial" w:eastAsia="Arial" w:hAnsi="Arial"/>
          <w:sz w:val="13"/>
          <w:szCs w:val="13"/>
          <w:color w:val="auto"/>
        </w:rPr>
        <w:t>any non-compliance by it with any applicable Environmental Law; and</w:t>
      </w:r>
    </w:p>
    <w:p>
      <w:pPr>
        <w:spacing w:after="0" w:line="70" w:lineRule="exact"/>
        <w:rPr>
          <w:rFonts w:ascii="Arial" w:cs="Arial" w:eastAsia="Arial" w:hAnsi="Arial"/>
          <w:sz w:val="13"/>
          <w:szCs w:val="13"/>
          <w:color w:val="auto"/>
        </w:rPr>
      </w:pPr>
    </w:p>
    <w:p>
      <w:pPr>
        <w:ind w:left="3280" w:hanging="1482"/>
        <w:spacing w:after="0"/>
        <w:tabs>
          <w:tab w:leader="none" w:pos="3280" w:val="left"/>
        </w:tabs>
        <w:numPr>
          <w:ilvl w:val="1"/>
          <w:numId w:val="487"/>
        </w:numPr>
        <w:rPr>
          <w:rFonts w:ascii="Arial" w:cs="Arial" w:eastAsia="Arial" w:hAnsi="Arial"/>
          <w:sz w:val="13"/>
          <w:szCs w:val="13"/>
          <w:color w:val="auto"/>
        </w:rPr>
      </w:pPr>
      <w:r>
        <w:rPr>
          <w:rFonts w:ascii="Arial" w:cs="Arial" w:eastAsia="Arial" w:hAnsi="Arial"/>
          <w:sz w:val="13"/>
          <w:szCs w:val="13"/>
          <w:color w:val="auto"/>
        </w:rPr>
        <w:t>any suspension, revocation or modification of any Environmental Approval, and set out the action to be taken with respect to such</w:t>
      </w:r>
    </w:p>
    <w:p>
      <w:pPr>
        <w:ind w:left="1800"/>
        <w:spacing w:after="0"/>
        <w:rPr>
          <w:rFonts w:ascii="Arial" w:cs="Arial" w:eastAsia="Arial" w:hAnsi="Arial"/>
          <w:sz w:val="13"/>
          <w:szCs w:val="13"/>
          <w:color w:val="auto"/>
        </w:rPr>
      </w:pPr>
      <w:r>
        <w:rPr>
          <w:rFonts w:ascii="Arial" w:cs="Arial" w:eastAsia="Arial" w:hAnsi="Arial"/>
          <w:sz w:val="13"/>
          <w:szCs w:val="13"/>
          <w:color w:val="auto"/>
        </w:rPr>
        <w:t>matters;</w:t>
      </w:r>
    </w:p>
    <w:p>
      <w:pPr>
        <w:ind w:left="1780" w:right="220" w:hanging="710"/>
        <w:spacing w:after="0" w:line="258" w:lineRule="auto"/>
        <w:tabs>
          <w:tab w:leader="none" w:pos="1780" w:val="left"/>
        </w:tabs>
        <w:numPr>
          <w:ilvl w:val="0"/>
          <w:numId w:val="488"/>
        </w:numPr>
        <w:rPr>
          <w:rFonts w:ascii="Arial" w:cs="Arial" w:eastAsia="Arial" w:hAnsi="Arial"/>
          <w:sz w:val="13"/>
          <w:szCs w:val="13"/>
          <w:color w:val="auto"/>
        </w:rPr>
      </w:pPr>
      <w:r>
        <w:rPr>
          <w:rFonts w:ascii="Arial" w:cs="Arial" w:eastAsia="Arial" w:hAnsi="Arial"/>
          <w:sz w:val="13"/>
          <w:szCs w:val="13"/>
          <w:color w:val="auto"/>
        </w:rPr>
        <w:t>If the total cost of the Investment exceeds the estimated figure set out in Recital (A), the Borrower shall notify the Bank without delay and shall inform the Bank of its plans to fund the increased costs.</w:t>
      </w:r>
    </w:p>
    <w:p>
      <w:pPr>
        <w:spacing w:after="0" w:line="58" w:lineRule="exact"/>
        <w:rPr>
          <w:rFonts w:ascii="Arial" w:cs="Arial" w:eastAsia="Arial" w:hAnsi="Arial"/>
          <w:sz w:val="13"/>
          <w:szCs w:val="13"/>
          <w:color w:val="auto"/>
        </w:rPr>
      </w:pPr>
    </w:p>
    <w:p>
      <w:pPr>
        <w:ind w:left="1780" w:right="160" w:hanging="710"/>
        <w:spacing w:after="0" w:line="252" w:lineRule="auto"/>
        <w:tabs>
          <w:tab w:leader="none" w:pos="1780" w:val="left"/>
        </w:tabs>
        <w:numPr>
          <w:ilvl w:val="0"/>
          <w:numId w:val="488"/>
        </w:numPr>
        <w:rPr>
          <w:rFonts w:ascii="Arial" w:cs="Arial" w:eastAsia="Arial" w:hAnsi="Arial"/>
          <w:sz w:val="13"/>
          <w:szCs w:val="13"/>
          <w:color w:val="auto"/>
        </w:rPr>
      </w:pPr>
      <w:r>
        <w:rPr>
          <w:rFonts w:ascii="Arial" w:cs="Arial" w:eastAsia="Arial" w:hAnsi="Arial"/>
          <w:sz w:val="13"/>
          <w:szCs w:val="13"/>
          <w:color w:val="auto"/>
        </w:rPr>
        <w:t>The Borrower shall, and shall procure that each other Group Company shall, promptly inform the Bank if at any time it becomes aware of the illicit origin (including products of money laundering or linked to the financing of terrorism) of any funds invested in the Investment by the Borrower or another Group Company.</w:t>
      </w:r>
    </w:p>
    <w:p>
      <w:pPr>
        <w:spacing w:after="0" w:line="215" w:lineRule="exact"/>
        <w:rPr>
          <w:rFonts w:ascii="Arial" w:cs="Arial" w:eastAsia="Arial" w:hAnsi="Arial"/>
          <w:sz w:val="13"/>
          <w:szCs w:val="13"/>
          <w:color w:val="auto"/>
        </w:rPr>
      </w:pPr>
    </w:p>
    <w:p>
      <w:pPr>
        <w:ind w:left="1780" w:hanging="710"/>
        <w:spacing w:after="0"/>
        <w:tabs>
          <w:tab w:leader="none" w:pos="1780" w:val="left"/>
        </w:tabs>
        <w:numPr>
          <w:ilvl w:val="0"/>
          <w:numId w:val="488"/>
        </w:numPr>
        <w:rPr>
          <w:rFonts w:ascii="Arial" w:cs="Arial" w:eastAsia="Arial" w:hAnsi="Arial"/>
          <w:sz w:val="13"/>
          <w:szCs w:val="13"/>
          <w:color w:val="auto"/>
        </w:rPr>
      </w:pPr>
      <w:r>
        <w:rPr>
          <w:rFonts w:ascii="Arial" w:cs="Arial" w:eastAsia="Arial" w:hAnsi="Arial"/>
          <w:sz w:val="13"/>
          <w:szCs w:val="13"/>
          <w:color w:val="auto"/>
        </w:rPr>
        <w:t>The Borrower shall provide to the Bank, if so requested:</w:t>
      </w:r>
    </w:p>
    <w:p>
      <w:pPr>
        <w:spacing w:after="0" w:line="32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56</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8">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6" w:name="page397"/>
    <w:bookmarkEnd w:id="396"/>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2500" w:right="180" w:hanging="710"/>
        <w:spacing w:after="0" w:line="258" w:lineRule="auto"/>
        <w:tabs>
          <w:tab w:leader="none" w:pos="2500" w:val="left"/>
        </w:tabs>
        <w:numPr>
          <w:ilvl w:val="0"/>
          <w:numId w:val="489"/>
        </w:numPr>
        <w:rPr>
          <w:rFonts w:ascii="Arial" w:cs="Arial" w:eastAsia="Arial" w:hAnsi="Arial"/>
          <w:sz w:val="13"/>
          <w:szCs w:val="13"/>
          <w:color w:val="auto"/>
        </w:rPr>
      </w:pPr>
      <w:r>
        <w:rPr>
          <w:rFonts w:ascii="Arial" w:cs="Arial" w:eastAsia="Arial" w:hAnsi="Arial"/>
          <w:sz w:val="13"/>
          <w:szCs w:val="13"/>
          <w:color w:val="auto"/>
        </w:rPr>
        <w:t>a certificate of its insurers showing that all assets required in order to carry out the Investment are insured with reputable underwriters or insurance companies against those risks and to the extent as is usual for companies carrying on the same or substantially similar business; and</w:t>
      </w:r>
    </w:p>
    <w:p>
      <w:pPr>
        <w:spacing w:after="0" w:line="59" w:lineRule="exact"/>
        <w:rPr>
          <w:sz w:val="20"/>
          <w:szCs w:val="20"/>
          <w:color w:val="auto"/>
        </w:rPr>
      </w:pPr>
    </w:p>
    <w:p>
      <w:pPr>
        <w:ind w:left="1780"/>
        <w:spacing w:after="0"/>
        <w:tabs>
          <w:tab w:leader="none" w:pos="248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annually, a list of policies in force covering any aspect of the Investment, together with confirmation of payment of the current premiums.</w:t>
      </w:r>
    </w:p>
    <w:p>
      <w:pPr>
        <w:spacing w:after="0" w:line="104" w:lineRule="exact"/>
        <w:rPr>
          <w:sz w:val="20"/>
          <w:szCs w:val="20"/>
          <w:color w:val="auto"/>
        </w:rPr>
      </w:pPr>
    </w:p>
    <w:p>
      <w:pPr>
        <w:ind w:left="1080" w:right="7880" w:hanging="550"/>
        <w:spacing w:after="0" w:line="446" w:lineRule="auto"/>
        <w:tabs>
          <w:tab w:leader="none" w:pos="1063" w:val="left"/>
        </w:tabs>
        <w:numPr>
          <w:ilvl w:val="0"/>
          <w:numId w:val="49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Information concerning the Borrower </w:t>
      </w:r>
      <w:r>
        <w:rPr>
          <w:rFonts w:ascii="Arial" w:cs="Arial" w:eastAsia="Arial" w:hAnsi="Arial"/>
          <w:sz w:val="13"/>
          <w:szCs w:val="13"/>
          <w:color w:val="auto"/>
        </w:rPr>
        <w:t>Subject to Paragraph 5 below:</w:t>
      </w:r>
    </w:p>
    <w:p>
      <w:pPr>
        <w:ind w:left="1780" w:hanging="710"/>
        <w:spacing w:after="0"/>
        <w:tabs>
          <w:tab w:leader="none" w:pos="1780" w:val="left"/>
        </w:tabs>
        <w:numPr>
          <w:ilvl w:val="1"/>
          <w:numId w:val="490"/>
        </w:numPr>
        <w:rPr>
          <w:rFonts w:ascii="Arial" w:cs="Arial" w:eastAsia="Arial" w:hAnsi="Arial"/>
          <w:sz w:val="13"/>
          <w:szCs w:val="13"/>
          <w:color w:val="auto"/>
        </w:rPr>
      </w:pPr>
      <w:r>
        <w:rPr>
          <w:rFonts w:ascii="Arial" w:cs="Arial" w:eastAsia="Arial" w:hAnsi="Arial"/>
          <w:sz w:val="13"/>
          <w:szCs w:val="13"/>
          <w:color w:val="auto"/>
        </w:rPr>
        <w:t>The Borrower shall deliver to the Bank:</w:t>
      </w:r>
    </w:p>
    <w:p>
      <w:pPr>
        <w:spacing w:after="0" w:line="80" w:lineRule="exact"/>
        <w:rPr>
          <w:rFonts w:ascii="Arial" w:cs="Arial" w:eastAsia="Arial" w:hAnsi="Arial"/>
          <w:sz w:val="13"/>
          <w:szCs w:val="13"/>
          <w:color w:val="auto"/>
        </w:rPr>
      </w:pPr>
    </w:p>
    <w:p>
      <w:pPr>
        <w:ind w:left="2500" w:right="180" w:hanging="710"/>
        <w:spacing w:after="0" w:line="246" w:lineRule="auto"/>
        <w:tabs>
          <w:tab w:leader="none" w:pos="2500" w:val="left"/>
        </w:tabs>
        <w:numPr>
          <w:ilvl w:val="2"/>
          <w:numId w:val="490"/>
        </w:numPr>
        <w:rPr>
          <w:rFonts w:ascii="Arial" w:cs="Arial" w:eastAsia="Arial" w:hAnsi="Arial"/>
          <w:sz w:val="13"/>
          <w:szCs w:val="13"/>
          <w:color w:val="auto"/>
        </w:rPr>
      </w:pPr>
      <w:r>
        <w:rPr>
          <w:rFonts w:ascii="Arial" w:cs="Arial" w:eastAsia="Arial" w:hAnsi="Arial"/>
          <w:sz w:val="13"/>
          <w:szCs w:val="13"/>
          <w:color w:val="auto"/>
        </w:rPr>
        <w:t>as soon as they become available but in any event within [***] months after the end of each of its financial years its audited consolidated and unconsolidated annual report, balance sheet, cash flow statement, profit and loss account and auditors report for that financial year (the "</w:t>
      </w:r>
      <w:r>
        <w:rPr>
          <w:rFonts w:ascii="Arial" w:cs="Arial" w:eastAsia="Arial" w:hAnsi="Arial"/>
          <w:sz w:val="13"/>
          <w:szCs w:val="13"/>
          <w:b w:val="1"/>
          <w:bCs w:val="1"/>
          <w:color w:val="auto"/>
        </w:rPr>
        <w:t>Approved Financial Statements</w:t>
      </w:r>
      <w:r>
        <w:rPr>
          <w:rFonts w:ascii="Arial" w:cs="Arial" w:eastAsia="Arial" w:hAnsi="Arial"/>
          <w:sz w:val="13"/>
          <w:szCs w:val="13"/>
          <w:color w:val="auto"/>
        </w:rPr>
        <w:t>") together with a Compliance Certificate signed by 2 (two) directors (</w:t>
      </w:r>
      <w:r>
        <w:rPr>
          <w:rFonts w:ascii="Arial" w:cs="Arial" w:eastAsia="Arial" w:hAnsi="Arial"/>
          <w:sz w:val="13"/>
          <w:szCs w:val="13"/>
          <w:i w:val="1"/>
          <w:iCs w:val="1"/>
          <w:color w:val="auto"/>
        </w:rPr>
        <w:t>Vorstände</w:t>
      </w:r>
      <w:r>
        <w:rPr>
          <w:rFonts w:ascii="Arial" w:cs="Arial" w:eastAsia="Arial" w:hAnsi="Arial"/>
          <w:sz w:val="13"/>
          <w:szCs w:val="13"/>
          <w:color w:val="auto"/>
        </w:rPr>
        <w:t>) and the unconsolidated financial statements (audited, if available) of each Obligor for such financial year;</w:t>
      </w:r>
    </w:p>
    <w:p>
      <w:pPr>
        <w:spacing w:after="0" w:line="66" w:lineRule="exact"/>
        <w:rPr>
          <w:rFonts w:ascii="Arial" w:cs="Arial" w:eastAsia="Arial" w:hAnsi="Arial"/>
          <w:sz w:val="13"/>
          <w:szCs w:val="13"/>
          <w:color w:val="auto"/>
        </w:rPr>
      </w:pPr>
    </w:p>
    <w:p>
      <w:pPr>
        <w:jc w:val="both"/>
        <w:ind w:left="2500" w:right="360" w:hanging="710"/>
        <w:spacing w:after="0" w:line="249" w:lineRule="auto"/>
        <w:tabs>
          <w:tab w:leader="none" w:pos="2500" w:val="left"/>
        </w:tabs>
        <w:numPr>
          <w:ilvl w:val="2"/>
          <w:numId w:val="490"/>
        </w:numPr>
        <w:rPr>
          <w:rFonts w:ascii="Arial" w:cs="Arial" w:eastAsia="Arial" w:hAnsi="Arial"/>
          <w:sz w:val="13"/>
          <w:szCs w:val="13"/>
          <w:color w:val="auto"/>
        </w:rPr>
      </w:pPr>
      <w:r>
        <w:rPr>
          <w:rFonts w:ascii="Arial" w:cs="Arial" w:eastAsia="Arial" w:hAnsi="Arial"/>
          <w:sz w:val="13"/>
          <w:szCs w:val="13"/>
          <w:color w:val="auto"/>
        </w:rPr>
        <w:t>as soon as they become available but in any event within [***] months after the end of each of the relevant accounting periods its interim consolidated and unconsolidated semi-annual report, balance sheet, profit and loss account and cash flow statement for the first half-year of each of its financial years together with a Compliance Certificate signed by [***] directors (</w:t>
      </w:r>
      <w:r>
        <w:rPr>
          <w:rFonts w:ascii="Arial" w:cs="Arial" w:eastAsia="Arial" w:hAnsi="Arial"/>
          <w:sz w:val="13"/>
          <w:szCs w:val="13"/>
          <w:i w:val="1"/>
          <w:iCs w:val="1"/>
          <w:color w:val="auto"/>
        </w:rPr>
        <w:t>Vorstände</w:t>
      </w:r>
      <w:r>
        <w:rPr>
          <w:rFonts w:ascii="Arial" w:cs="Arial" w:eastAsia="Arial" w:hAnsi="Arial"/>
          <w:sz w:val="13"/>
          <w:szCs w:val="13"/>
          <w:color w:val="auto"/>
        </w:rPr>
        <w:t>);</w:t>
      </w:r>
    </w:p>
    <w:p>
      <w:pPr>
        <w:spacing w:after="0" w:line="64" w:lineRule="exact"/>
        <w:rPr>
          <w:rFonts w:ascii="Arial" w:cs="Arial" w:eastAsia="Arial" w:hAnsi="Arial"/>
          <w:sz w:val="13"/>
          <w:szCs w:val="13"/>
          <w:color w:val="auto"/>
        </w:rPr>
      </w:pPr>
    </w:p>
    <w:p>
      <w:pPr>
        <w:ind w:left="2500" w:right="140" w:hanging="710"/>
        <w:spacing w:after="0" w:line="249" w:lineRule="auto"/>
        <w:tabs>
          <w:tab w:leader="none" w:pos="2500" w:val="left"/>
        </w:tabs>
        <w:numPr>
          <w:ilvl w:val="2"/>
          <w:numId w:val="490"/>
        </w:numPr>
        <w:rPr>
          <w:rFonts w:ascii="Arial" w:cs="Arial" w:eastAsia="Arial" w:hAnsi="Arial"/>
          <w:sz w:val="13"/>
          <w:szCs w:val="13"/>
          <w:color w:val="auto"/>
        </w:rPr>
      </w:pPr>
      <w:r>
        <w:rPr>
          <w:rFonts w:ascii="Arial" w:cs="Arial" w:eastAsia="Arial" w:hAnsi="Arial"/>
          <w:sz w:val="13"/>
          <w:szCs w:val="13"/>
          <w:color w:val="auto"/>
        </w:rPr>
        <w:t xml:space="preserve">from time to time, such further information, evidence or document concerning its general financial situation or such certificates of compliance with the undertakings of </w:t>
      </w:r>
      <w:hyperlink w:anchor="page363">
        <w:r>
          <w:rPr>
            <w:rFonts w:ascii="Arial" w:cs="Arial" w:eastAsia="Arial" w:hAnsi="Arial"/>
            <w:sz w:val="13"/>
            <w:szCs w:val="13"/>
            <w:u w:val="single" w:color="auto"/>
            <w:color w:val="0000EE"/>
          </w:rPr>
          <w:t>Article 7</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Borrower undertakings and representations</w:t>
      </w:r>
      <w:r>
        <w:rPr>
          <w:rFonts w:ascii="Arial" w:cs="Arial" w:eastAsia="Arial" w:hAnsi="Arial"/>
          <w:sz w:val="13"/>
          <w:szCs w:val="13"/>
          <w:color w:val="auto"/>
        </w:rPr>
        <w:t>) as the Bank may reasonably deem necessary or may reasonably require to be provided within a reasonable time;</w:t>
      </w:r>
    </w:p>
    <w:p>
      <w:pPr>
        <w:spacing w:after="0" w:line="64" w:lineRule="exact"/>
        <w:rPr>
          <w:rFonts w:ascii="Arial" w:cs="Arial" w:eastAsia="Arial" w:hAnsi="Arial"/>
          <w:sz w:val="13"/>
          <w:szCs w:val="13"/>
          <w:color w:val="auto"/>
        </w:rPr>
      </w:pPr>
    </w:p>
    <w:p>
      <w:pPr>
        <w:ind w:left="2500" w:right="300" w:hanging="710"/>
        <w:spacing w:after="0" w:line="249" w:lineRule="auto"/>
        <w:tabs>
          <w:tab w:leader="none" w:pos="2500" w:val="left"/>
        </w:tabs>
        <w:numPr>
          <w:ilvl w:val="2"/>
          <w:numId w:val="490"/>
        </w:numPr>
        <w:rPr>
          <w:rFonts w:ascii="Arial" w:cs="Arial" w:eastAsia="Arial" w:hAnsi="Arial"/>
          <w:sz w:val="13"/>
          <w:szCs w:val="13"/>
          <w:color w:val="auto"/>
        </w:rPr>
      </w:pPr>
      <w:r>
        <w:rPr>
          <w:rFonts w:ascii="Arial" w:cs="Arial" w:eastAsia="Arial" w:hAnsi="Arial"/>
          <w:sz w:val="13"/>
          <w:szCs w:val="13"/>
          <w:color w:val="auto"/>
        </w:rPr>
        <w:t>any such information or further document concerning customer or any other type of due diligence matters of, or for, the Borrower or the Group, including without limitation to comply with “Know your customer” (KYC) or similar identification procedures as the Bank may deem necessary or may reasonably require to be provided within a reasonable time; and</w:t>
      </w:r>
    </w:p>
    <w:p>
      <w:pPr>
        <w:spacing w:after="0" w:line="64" w:lineRule="exact"/>
        <w:rPr>
          <w:rFonts w:ascii="Arial" w:cs="Arial" w:eastAsia="Arial" w:hAnsi="Arial"/>
          <w:sz w:val="13"/>
          <w:szCs w:val="13"/>
          <w:color w:val="auto"/>
        </w:rPr>
      </w:pPr>
    </w:p>
    <w:p>
      <w:pPr>
        <w:ind w:left="2500" w:right="280" w:hanging="710"/>
        <w:spacing w:after="0" w:line="258" w:lineRule="auto"/>
        <w:tabs>
          <w:tab w:leader="none" w:pos="2500" w:val="left"/>
        </w:tabs>
        <w:numPr>
          <w:ilvl w:val="2"/>
          <w:numId w:val="490"/>
        </w:numPr>
        <w:rPr>
          <w:rFonts w:ascii="Arial" w:cs="Arial" w:eastAsia="Arial" w:hAnsi="Arial"/>
          <w:sz w:val="13"/>
          <w:szCs w:val="13"/>
          <w:color w:val="auto"/>
        </w:rPr>
      </w:pPr>
      <w:r>
        <w:rPr>
          <w:rFonts w:ascii="Arial" w:cs="Arial" w:eastAsia="Arial" w:hAnsi="Arial"/>
          <w:sz w:val="13"/>
          <w:szCs w:val="13"/>
          <w:color w:val="auto"/>
        </w:rPr>
        <w:t>from time to time, such further information, evidence or document concerning the factual information or documents provided to the Bank for the purposes of entering into this Contract, as the Bank may deem necessary or may require to be provided within a reasonable time.</w:t>
      </w:r>
    </w:p>
    <w:p>
      <w:pPr>
        <w:spacing w:after="0" w:line="298" w:lineRule="exact"/>
        <w:rPr>
          <w:rFonts w:ascii="Arial" w:cs="Arial" w:eastAsia="Arial" w:hAnsi="Arial"/>
          <w:sz w:val="13"/>
          <w:szCs w:val="13"/>
          <w:color w:val="auto"/>
        </w:rPr>
      </w:pPr>
    </w:p>
    <w:p>
      <w:pPr>
        <w:ind w:left="1780" w:hanging="710"/>
        <w:spacing w:after="0"/>
        <w:tabs>
          <w:tab w:leader="none" w:pos="1780" w:val="left"/>
        </w:tabs>
        <w:numPr>
          <w:ilvl w:val="1"/>
          <w:numId w:val="490"/>
        </w:numPr>
        <w:rPr>
          <w:rFonts w:ascii="Arial" w:cs="Arial" w:eastAsia="Arial" w:hAnsi="Arial"/>
          <w:sz w:val="13"/>
          <w:szCs w:val="13"/>
          <w:color w:val="auto"/>
        </w:rPr>
      </w:pPr>
      <w:r>
        <w:rPr>
          <w:rFonts w:ascii="Arial" w:cs="Arial" w:eastAsia="Arial" w:hAnsi="Arial"/>
          <w:sz w:val="13"/>
          <w:szCs w:val="13"/>
          <w:color w:val="auto"/>
        </w:rPr>
        <w:t>The Borrower shall deliver to the Bank as soon as possible but in any event within</w:t>
      </w:r>
    </w:p>
    <w:p>
      <w:pPr>
        <w:ind w:left="2060" w:hanging="264"/>
        <w:spacing w:after="0"/>
        <w:tabs>
          <w:tab w:leader="none" w:pos="2060" w:val="left"/>
        </w:tabs>
        <w:numPr>
          <w:ilvl w:val="3"/>
          <w:numId w:val="490"/>
        </w:numPr>
        <w:rPr>
          <w:rFonts w:ascii="Arial" w:cs="Arial" w:eastAsia="Arial" w:hAnsi="Arial"/>
          <w:sz w:val="13"/>
          <w:szCs w:val="13"/>
          <w:color w:val="auto"/>
        </w:rPr>
      </w:pPr>
      <w:r>
        <w:rPr>
          <w:rFonts w:ascii="Arial" w:cs="Arial" w:eastAsia="Arial" w:hAnsi="Arial"/>
          <w:sz w:val="13"/>
          <w:szCs w:val="13"/>
          <w:color w:val="auto"/>
        </w:rPr>
        <w:t>days after the start of each half-year a budget for that half-year ("</w:t>
      </w:r>
      <w:r>
        <w:rPr>
          <w:rFonts w:ascii="Arial" w:cs="Arial" w:eastAsia="Arial" w:hAnsi="Arial"/>
          <w:sz w:val="13"/>
          <w:szCs w:val="13"/>
          <w:b w:val="1"/>
          <w:bCs w:val="1"/>
          <w:color w:val="auto"/>
        </w:rPr>
        <w:t>Budget</w:t>
      </w:r>
      <w:r>
        <w:rPr>
          <w:rFonts w:ascii="Arial" w:cs="Arial" w:eastAsia="Arial" w:hAnsi="Arial"/>
          <w:sz w:val="13"/>
          <w:szCs w:val="13"/>
          <w:color w:val="auto"/>
        </w:rPr>
        <w:t>"). The Borrower shall ensure that each Budget:</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2"/>
          <w:numId w:val="490"/>
        </w:numPr>
        <w:rPr>
          <w:rFonts w:ascii="Arial" w:cs="Arial" w:eastAsia="Arial" w:hAnsi="Arial"/>
          <w:sz w:val="13"/>
          <w:szCs w:val="13"/>
          <w:color w:val="auto"/>
        </w:rPr>
      </w:pPr>
      <w:r>
        <w:rPr>
          <w:rFonts w:ascii="Arial" w:cs="Arial" w:eastAsia="Arial" w:hAnsi="Arial"/>
          <w:sz w:val="13"/>
          <w:szCs w:val="13"/>
          <w:color w:val="auto"/>
        </w:rPr>
        <w:t>includes [***];</w:t>
      </w:r>
    </w:p>
    <w:p>
      <w:pPr>
        <w:spacing w:after="0" w:line="80" w:lineRule="exact"/>
        <w:rPr>
          <w:rFonts w:ascii="Arial" w:cs="Arial" w:eastAsia="Arial" w:hAnsi="Arial"/>
          <w:sz w:val="13"/>
          <w:szCs w:val="13"/>
          <w:color w:val="auto"/>
        </w:rPr>
      </w:pPr>
    </w:p>
    <w:p>
      <w:pPr>
        <w:ind w:left="2500" w:right="560" w:hanging="710"/>
        <w:spacing w:after="0" w:line="258" w:lineRule="auto"/>
        <w:tabs>
          <w:tab w:leader="none" w:pos="2500" w:val="left"/>
        </w:tabs>
        <w:numPr>
          <w:ilvl w:val="2"/>
          <w:numId w:val="490"/>
        </w:numPr>
        <w:rPr>
          <w:rFonts w:ascii="Arial" w:cs="Arial" w:eastAsia="Arial" w:hAnsi="Arial"/>
          <w:sz w:val="13"/>
          <w:szCs w:val="13"/>
          <w:color w:val="auto"/>
        </w:rPr>
      </w:pPr>
      <w:r>
        <w:rPr>
          <w:rFonts w:ascii="Arial" w:cs="Arial" w:eastAsia="Arial" w:hAnsi="Arial"/>
          <w:sz w:val="13"/>
          <w:szCs w:val="13"/>
          <w:color w:val="auto"/>
        </w:rPr>
        <w:t>is prepared in all material respects in accordance with GAAP and the accounting practices and financial reference periods applied to the consolidated financial statements of the Group; and</w:t>
      </w:r>
    </w:p>
    <w:p>
      <w:pPr>
        <w:spacing w:after="0" w:line="58" w:lineRule="exact"/>
        <w:rPr>
          <w:rFonts w:ascii="Arial" w:cs="Arial" w:eastAsia="Arial" w:hAnsi="Arial"/>
          <w:sz w:val="13"/>
          <w:szCs w:val="13"/>
          <w:color w:val="auto"/>
        </w:rPr>
      </w:pPr>
    </w:p>
    <w:p>
      <w:pPr>
        <w:ind w:left="2500" w:hanging="710"/>
        <w:spacing w:after="0"/>
        <w:tabs>
          <w:tab w:leader="none" w:pos="2500" w:val="left"/>
        </w:tabs>
        <w:numPr>
          <w:ilvl w:val="2"/>
          <w:numId w:val="490"/>
        </w:numPr>
        <w:rPr>
          <w:rFonts w:ascii="Arial" w:cs="Arial" w:eastAsia="Arial" w:hAnsi="Arial"/>
          <w:sz w:val="13"/>
          <w:szCs w:val="13"/>
          <w:color w:val="auto"/>
        </w:rPr>
      </w:pPr>
      <w:r>
        <w:rPr>
          <w:rFonts w:ascii="Arial" w:cs="Arial" w:eastAsia="Arial" w:hAnsi="Arial"/>
          <w:sz w:val="13"/>
          <w:szCs w:val="13"/>
          <w:color w:val="auto"/>
        </w:rPr>
        <w:t>has been approved by Authorised Signatories of the Borrower.</w:t>
      </w:r>
    </w:p>
    <w:p>
      <w:pPr>
        <w:spacing w:after="0" w:line="320" w:lineRule="exact"/>
        <w:rPr>
          <w:rFonts w:ascii="Arial" w:cs="Arial" w:eastAsia="Arial" w:hAnsi="Arial"/>
          <w:sz w:val="13"/>
          <w:szCs w:val="13"/>
          <w:color w:val="auto"/>
        </w:rPr>
      </w:pPr>
    </w:p>
    <w:p>
      <w:pPr>
        <w:ind w:left="1780" w:hanging="710"/>
        <w:spacing w:after="0"/>
        <w:tabs>
          <w:tab w:leader="none" w:pos="1780" w:val="left"/>
        </w:tabs>
        <w:numPr>
          <w:ilvl w:val="1"/>
          <w:numId w:val="490"/>
        </w:numPr>
        <w:rPr>
          <w:rFonts w:ascii="Arial" w:cs="Arial" w:eastAsia="Arial" w:hAnsi="Arial"/>
          <w:sz w:val="13"/>
          <w:szCs w:val="13"/>
          <w:color w:val="auto"/>
        </w:rPr>
      </w:pPr>
      <w:r>
        <w:rPr>
          <w:rFonts w:ascii="Arial" w:cs="Arial" w:eastAsia="Arial" w:hAnsi="Arial"/>
          <w:sz w:val="13"/>
          <w:szCs w:val="13"/>
          <w:color w:val="auto"/>
        </w:rPr>
        <w:t>the Borrower shall inform the Bank immediately of:</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9">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7" w:name="page398"/>
    <w:bookmarkEnd w:id="397"/>
    <w:p>
      <w:pPr>
        <w:jc w:val="right"/>
        <w:spacing w:after="0"/>
        <w:rPr>
          <w:sz w:val="20"/>
          <w:szCs w:val="20"/>
          <w:color w:val="auto"/>
        </w:rPr>
      </w:pPr>
      <w:r>
        <w:rPr>
          <w:rFonts w:ascii="Arial" w:cs="Arial" w:eastAsia="Arial" w:hAnsi="Arial"/>
          <w:sz w:val="13"/>
          <w:szCs w:val="13"/>
          <w:b w:val="1"/>
          <w:bCs w:val="1"/>
          <w:color w:val="auto"/>
        </w:rPr>
        <w:t>Exhibit 4.41</w:t>
      </w:r>
    </w:p>
    <w:p>
      <w:pPr>
        <w:spacing w:after="0" w:line="53" w:lineRule="exact"/>
        <w:rPr>
          <w:sz w:val="20"/>
          <w:szCs w:val="20"/>
          <w:color w:val="auto"/>
        </w:rPr>
      </w:pPr>
    </w:p>
    <w:p>
      <w:pPr>
        <w:ind w:left="2500" w:hanging="710"/>
        <w:spacing w:after="0"/>
        <w:tabs>
          <w:tab w:leader="none" w:pos="2500" w:val="left"/>
        </w:tabs>
        <w:numPr>
          <w:ilvl w:val="2"/>
          <w:numId w:val="491"/>
        </w:numPr>
        <w:rPr>
          <w:rFonts w:ascii="Arial" w:cs="Arial" w:eastAsia="Arial" w:hAnsi="Arial"/>
          <w:sz w:val="13"/>
          <w:szCs w:val="13"/>
          <w:color w:val="auto"/>
        </w:rPr>
      </w:pPr>
      <w:r>
        <w:rPr>
          <w:rFonts w:ascii="Arial" w:cs="Arial" w:eastAsia="Arial" w:hAnsi="Arial"/>
          <w:sz w:val="13"/>
          <w:szCs w:val="13"/>
          <w:color w:val="auto"/>
        </w:rPr>
        <w:t>any Default or Event of Default having occurred or being threatened or anticipated;</w:t>
      </w:r>
    </w:p>
    <w:p>
      <w:pPr>
        <w:spacing w:after="0" w:line="80" w:lineRule="exact"/>
        <w:rPr>
          <w:rFonts w:ascii="Arial" w:cs="Arial" w:eastAsia="Arial" w:hAnsi="Arial"/>
          <w:sz w:val="13"/>
          <w:szCs w:val="13"/>
          <w:color w:val="auto"/>
        </w:rPr>
      </w:pPr>
    </w:p>
    <w:p>
      <w:pPr>
        <w:ind w:left="2500" w:right="1000" w:hanging="710"/>
        <w:spacing w:after="0" w:line="258" w:lineRule="auto"/>
        <w:tabs>
          <w:tab w:leader="none" w:pos="2500" w:val="left"/>
        </w:tabs>
        <w:numPr>
          <w:ilvl w:val="2"/>
          <w:numId w:val="491"/>
        </w:numPr>
        <w:rPr>
          <w:rFonts w:ascii="Arial" w:cs="Arial" w:eastAsia="Arial" w:hAnsi="Arial"/>
          <w:sz w:val="13"/>
          <w:szCs w:val="13"/>
          <w:color w:val="auto"/>
        </w:rPr>
      </w:pPr>
      <w:r>
        <w:rPr>
          <w:rFonts w:ascii="Arial" w:cs="Arial" w:eastAsia="Arial" w:hAnsi="Arial"/>
          <w:sz w:val="13"/>
          <w:szCs w:val="13"/>
          <w:color w:val="auto"/>
        </w:rPr>
        <w:t>to the extent permitted by law, any material litigation, arbitration, administrative proceedings or investigation carried out by a court, administration or similar public authority, which, to the best of its knowledge and belief is current, threatened or pending:</w:t>
      </w:r>
    </w:p>
    <w:p>
      <w:pPr>
        <w:spacing w:after="0" w:line="48" w:lineRule="exact"/>
        <w:rPr>
          <w:rFonts w:ascii="Arial" w:cs="Arial" w:eastAsia="Arial" w:hAnsi="Arial"/>
          <w:sz w:val="13"/>
          <w:szCs w:val="13"/>
          <w:color w:val="auto"/>
        </w:rPr>
      </w:pPr>
    </w:p>
    <w:p>
      <w:pPr>
        <w:ind w:left="3040" w:right="380" w:hanging="540"/>
        <w:spacing w:after="0" w:line="258" w:lineRule="auto"/>
        <w:tabs>
          <w:tab w:leader="none" w:pos="3040" w:val="left"/>
        </w:tabs>
        <w:numPr>
          <w:ilvl w:val="3"/>
          <w:numId w:val="491"/>
        </w:numPr>
        <w:rPr>
          <w:rFonts w:ascii="Arial" w:cs="Arial" w:eastAsia="Arial" w:hAnsi="Arial"/>
          <w:sz w:val="13"/>
          <w:szCs w:val="13"/>
          <w:color w:val="auto"/>
        </w:rPr>
      </w:pPr>
      <w:r>
        <w:rPr>
          <w:rFonts w:ascii="Arial" w:cs="Arial" w:eastAsia="Arial" w:hAnsi="Arial"/>
          <w:sz w:val="13"/>
          <w:szCs w:val="13"/>
          <w:color w:val="auto"/>
        </w:rPr>
        <w:t>against any Obligor or its controlling entities or members of the Borrower's management bodies in connection with Illegal Activities related to the Loan or the Investment; or</w:t>
      </w:r>
    </w:p>
    <w:p>
      <w:pPr>
        <w:spacing w:after="0" w:line="58" w:lineRule="exact"/>
        <w:rPr>
          <w:rFonts w:ascii="Arial" w:cs="Arial" w:eastAsia="Arial" w:hAnsi="Arial"/>
          <w:sz w:val="13"/>
          <w:szCs w:val="13"/>
          <w:color w:val="auto"/>
        </w:rPr>
      </w:pPr>
    </w:p>
    <w:p>
      <w:pPr>
        <w:ind w:left="3040" w:hanging="540"/>
        <w:spacing w:after="0"/>
        <w:tabs>
          <w:tab w:leader="none" w:pos="3040" w:val="left"/>
        </w:tabs>
        <w:numPr>
          <w:ilvl w:val="3"/>
          <w:numId w:val="491"/>
        </w:numPr>
        <w:rPr>
          <w:rFonts w:ascii="Arial" w:cs="Arial" w:eastAsia="Arial" w:hAnsi="Arial"/>
          <w:sz w:val="13"/>
          <w:szCs w:val="13"/>
          <w:color w:val="auto"/>
        </w:rPr>
      </w:pPr>
      <w:r>
        <w:rPr>
          <w:rFonts w:ascii="Arial" w:cs="Arial" w:eastAsia="Arial" w:hAnsi="Arial"/>
          <w:sz w:val="13"/>
          <w:szCs w:val="13"/>
          <w:color w:val="auto"/>
        </w:rPr>
        <w:t>which would if adversely determined result in a Material Adverse Change;</w:t>
      </w:r>
    </w:p>
    <w:p>
      <w:pPr>
        <w:spacing w:after="0" w:line="56" w:lineRule="exact"/>
        <w:rPr>
          <w:rFonts w:ascii="Arial" w:cs="Arial" w:eastAsia="Arial" w:hAnsi="Arial"/>
          <w:sz w:val="13"/>
          <w:szCs w:val="13"/>
          <w:color w:val="auto"/>
        </w:rPr>
      </w:pPr>
    </w:p>
    <w:p>
      <w:pPr>
        <w:ind w:left="2500" w:right="520" w:hanging="710"/>
        <w:spacing w:after="0" w:line="281" w:lineRule="auto"/>
        <w:tabs>
          <w:tab w:leader="none" w:pos="2500" w:val="left"/>
        </w:tabs>
        <w:numPr>
          <w:ilvl w:val="2"/>
          <w:numId w:val="491"/>
        </w:numPr>
        <w:rPr>
          <w:rFonts w:ascii="Arial" w:cs="Arial" w:eastAsia="Arial" w:hAnsi="Arial"/>
          <w:sz w:val="13"/>
          <w:szCs w:val="13"/>
          <w:color w:val="0000EE"/>
        </w:rPr>
      </w:pPr>
      <w:r>
        <w:rPr>
          <w:rFonts w:ascii="Arial" w:cs="Arial" w:eastAsia="Arial" w:hAnsi="Arial"/>
          <w:sz w:val="13"/>
          <w:szCs w:val="13"/>
          <w:color w:val="auto"/>
        </w:rPr>
        <w:t xml:space="preserve">to the extent permitted by any law applicable to the Borrower, any measure taken by the Borrower pursuant to Paragraph </w:t>
      </w:r>
      <w:hyperlink w:anchor="page387">
        <w:r>
          <w:rPr>
            <w:rFonts w:ascii="Arial" w:cs="Arial" w:eastAsia="Arial" w:hAnsi="Arial"/>
            <w:sz w:val="13"/>
            <w:szCs w:val="13"/>
            <w:u w:val="single" w:color="auto"/>
            <w:color w:val="0000EE"/>
          </w:rPr>
          <w:t>6</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w:t>
      </w:r>
      <w:r>
        <w:rPr>
          <w:rFonts w:ascii="Arial" w:cs="Arial" w:eastAsia="Arial" w:hAnsi="Arial"/>
          <w:sz w:val="13"/>
          <w:szCs w:val="13"/>
          <w:i w:val="1"/>
          <w:iCs w:val="1"/>
          <w:color w:val="auto"/>
        </w:rPr>
        <w:t>Integrity</w:t>
      </w:r>
      <w:r>
        <w:rPr>
          <w:rFonts w:ascii="Arial" w:cs="Arial" w:eastAsia="Arial" w:hAnsi="Arial"/>
          <w:sz w:val="13"/>
          <w:szCs w:val="13"/>
          <w:color w:val="auto"/>
        </w:rPr>
        <w:t xml:space="preserve">) of </w:t>
      </w:r>
      <w:hyperlink w:anchor="page387">
        <w:r>
          <w:rPr>
            <w:rFonts w:ascii="Arial" w:cs="Arial" w:eastAsia="Arial" w:hAnsi="Arial"/>
            <w:sz w:val="13"/>
            <w:szCs w:val="13"/>
            <w:u w:val="single" w:color="auto"/>
            <w:color w:val="0000EE"/>
          </w:rPr>
          <w:t>Schedule H</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i w:val="1"/>
          <w:iCs w:val="1"/>
          <w:color w:val="000000"/>
        </w:rPr>
        <w:t>General Undertakings</w:t>
      </w:r>
      <w:r>
        <w:rPr>
          <w:rFonts w:ascii="Arial" w:cs="Arial" w:eastAsia="Arial" w:hAnsi="Arial"/>
          <w:sz w:val="13"/>
          <w:szCs w:val="13"/>
          <w:color w:val="000000"/>
        </w:rPr>
        <w:t>);</w:t>
      </w:r>
    </w:p>
    <w:p>
      <w:pPr>
        <w:spacing w:after="0" w:line="43" w:lineRule="exact"/>
        <w:rPr>
          <w:rFonts w:ascii="Arial" w:cs="Arial" w:eastAsia="Arial" w:hAnsi="Arial"/>
          <w:sz w:val="13"/>
          <w:szCs w:val="13"/>
          <w:color w:val="0000EE"/>
        </w:rPr>
      </w:pPr>
    </w:p>
    <w:p>
      <w:pPr>
        <w:ind w:left="2500" w:hanging="710"/>
        <w:spacing w:after="0"/>
        <w:tabs>
          <w:tab w:leader="none" w:pos="2500" w:val="left"/>
        </w:tabs>
        <w:numPr>
          <w:ilvl w:val="2"/>
          <w:numId w:val="491"/>
        </w:numPr>
        <w:rPr>
          <w:rFonts w:ascii="Arial" w:cs="Arial" w:eastAsia="Arial" w:hAnsi="Arial"/>
          <w:sz w:val="13"/>
          <w:szCs w:val="13"/>
          <w:color w:val="auto"/>
        </w:rPr>
      </w:pPr>
      <w:r>
        <w:rPr>
          <w:rFonts w:ascii="Arial" w:cs="Arial" w:eastAsia="Arial" w:hAnsi="Arial"/>
          <w:sz w:val="13"/>
          <w:szCs w:val="13"/>
          <w:color w:val="auto"/>
        </w:rPr>
        <w:t>any change in the beneficial ownership of the Borrower and any material update of or change to the Budget; and</w:t>
      </w:r>
    </w:p>
    <w:p>
      <w:pPr>
        <w:spacing w:after="0" w:line="80" w:lineRule="exact"/>
        <w:rPr>
          <w:rFonts w:ascii="Arial" w:cs="Arial" w:eastAsia="Arial" w:hAnsi="Arial"/>
          <w:sz w:val="13"/>
          <w:szCs w:val="13"/>
          <w:color w:val="auto"/>
        </w:rPr>
      </w:pPr>
    </w:p>
    <w:p>
      <w:pPr>
        <w:ind w:left="2500" w:hanging="710"/>
        <w:spacing w:after="0"/>
        <w:tabs>
          <w:tab w:leader="none" w:pos="2500" w:val="left"/>
        </w:tabs>
        <w:numPr>
          <w:ilvl w:val="2"/>
          <w:numId w:val="491"/>
        </w:numPr>
        <w:rPr>
          <w:rFonts w:ascii="Arial" w:cs="Arial" w:eastAsia="Arial" w:hAnsi="Arial"/>
          <w:sz w:val="13"/>
          <w:szCs w:val="13"/>
          <w:color w:val="auto"/>
        </w:rPr>
      </w:pPr>
      <w:r>
        <w:rPr>
          <w:rFonts w:ascii="Arial" w:cs="Arial" w:eastAsia="Arial" w:hAnsi="Arial"/>
          <w:sz w:val="13"/>
          <w:szCs w:val="13"/>
          <w:color w:val="auto"/>
        </w:rPr>
        <w:t>any Voluntary Non EIB Prepayment that has occurred or is likely to occur.</w:t>
      </w:r>
    </w:p>
    <w:p>
      <w:pPr>
        <w:spacing w:after="0" w:line="104" w:lineRule="exact"/>
        <w:rPr>
          <w:rFonts w:ascii="Arial" w:cs="Arial" w:eastAsia="Arial" w:hAnsi="Arial"/>
          <w:sz w:val="13"/>
          <w:szCs w:val="13"/>
          <w:color w:val="auto"/>
        </w:rPr>
      </w:pPr>
    </w:p>
    <w:p>
      <w:pPr>
        <w:ind w:left="1060" w:hanging="510"/>
        <w:spacing w:after="0"/>
        <w:tabs>
          <w:tab w:leader="none" w:pos="1060" w:val="left"/>
        </w:tabs>
        <w:numPr>
          <w:ilvl w:val="0"/>
          <w:numId w:val="492"/>
        </w:numPr>
        <w:rPr>
          <w:rFonts w:ascii="Arial" w:cs="Arial" w:eastAsia="Arial" w:hAnsi="Arial"/>
          <w:sz w:val="13"/>
          <w:szCs w:val="13"/>
          <w:b w:val="1"/>
          <w:bCs w:val="1"/>
          <w:color w:val="auto"/>
        </w:rPr>
      </w:pPr>
      <w:r>
        <w:rPr>
          <w:rFonts w:ascii="Arial" w:cs="Arial" w:eastAsia="Arial" w:hAnsi="Arial"/>
          <w:sz w:val="13"/>
          <w:szCs w:val="13"/>
          <w:b w:val="1"/>
          <w:bCs w:val="1"/>
          <w:color w:val="auto"/>
        </w:rPr>
        <w:t>Visits by the Bank</w:t>
      </w:r>
    </w:p>
    <w:p>
      <w:pPr>
        <w:spacing w:after="0" w:line="136" w:lineRule="exact"/>
        <w:rPr>
          <w:rFonts w:ascii="Arial" w:cs="Arial" w:eastAsia="Arial" w:hAnsi="Arial"/>
          <w:sz w:val="13"/>
          <w:szCs w:val="13"/>
          <w:b w:val="1"/>
          <w:bCs w:val="1"/>
          <w:color w:val="auto"/>
        </w:rPr>
      </w:pPr>
    </w:p>
    <w:p>
      <w:pPr>
        <w:ind w:left="1780" w:right="260" w:hanging="710"/>
        <w:spacing w:after="0" w:line="252" w:lineRule="auto"/>
        <w:tabs>
          <w:tab w:leader="none" w:pos="1780" w:val="left"/>
        </w:tabs>
        <w:numPr>
          <w:ilvl w:val="1"/>
          <w:numId w:val="492"/>
        </w:numPr>
        <w:rPr>
          <w:rFonts w:ascii="Arial" w:cs="Arial" w:eastAsia="Arial" w:hAnsi="Arial"/>
          <w:sz w:val="13"/>
          <w:szCs w:val="13"/>
          <w:color w:val="auto"/>
        </w:rPr>
      </w:pPr>
      <w:r>
        <w:rPr>
          <w:rFonts w:ascii="Arial" w:cs="Arial" w:eastAsia="Arial" w:hAnsi="Arial"/>
          <w:sz w:val="13"/>
          <w:szCs w:val="13"/>
          <w:color w:val="auto"/>
        </w:rPr>
        <w:t>Each Obligor shall allow the Bank and, when either required by the relevant mandatory provisions of EU law or pursuant to the EFSI Regulation, the competent EU institutions, including the European Court of Auditors, the Commission, the European Anti-Fraud Office, as well as persons designated by the foregoing;</w:t>
      </w:r>
    </w:p>
    <w:p>
      <w:pPr>
        <w:spacing w:after="0" w:line="215" w:lineRule="exact"/>
        <w:rPr>
          <w:rFonts w:ascii="Arial" w:cs="Arial" w:eastAsia="Arial" w:hAnsi="Arial"/>
          <w:sz w:val="13"/>
          <w:szCs w:val="13"/>
          <w:color w:val="auto"/>
        </w:rPr>
      </w:pPr>
    </w:p>
    <w:p>
      <w:pPr>
        <w:ind w:left="2500" w:right="740" w:hanging="710"/>
        <w:spacing w:after="0" w:line="258" w:lineRule="auto"/>
        <w:tabs>
          <w:tab w:leader="none" w:pos="2500" w:val="left"/>
        </w:tabs>
        <w:numPr>
          <w:ilvl w:val="2"/>
          <w:numId w:val="492"/>
        </w:numPr>
        <w:rPr>
          <w:rFonts w:ascii="Arial" w:cs="Arial" w:eastAsia="Arial" w:hAnsi="Arial"/>
          <w:sz w:val="13"/>
          <w:szCs w:val="13"/>
          <w:color w:val="auto"/>
        </w:rPr>
      </w:pPr>
      <w:r>
        <w:rPr>
          <w:rFonts w:ascii="Arial" w:cs="Arial" w:eastAsia="Arial" w:hAnsi="Arial"/>
          <w:sz w:val="13"/>
          <w:szCs w:val="13"/>
          <w:color w:val="auto"/>
        </w:rPr>
        <w:t>to visit during normal business hours with prior notice, except in cases of emergency, the sites, installations and works comprising the Investment;</w:t>
      </w:r>
    </w:p>
    <w:p>
      <w:pPr>
        <w:spacing w:after="0" w:line="58" w:lineRule="exact"/>
        <w:rPr>
          <w:rFonts w:ascii="Arial" w:cs="Arial" w:eastAsia="Arial" w:hAnsi="Arial"/>
          <w:sz w:val="13"/>
          <w:szCs w:val="13"/>
          <w:color w:val="auto"/>
        </w:rPr>
      </w:pPr>
    </w:p>
    <w:p>
      <w:pPr>
        <w:ind w:left="2500" w:hanging="710"/>
        <w:spacing w:after="0"/>
        <w:tabs>
          <w:tab w:leader="none" w:pos="2500" w:val="left"/>
        </w:tabs>
        <w:numPr>
          <w:ilvl w:val="2"/>
          <w:numId w:val="492"/>
        </w:numPr>
        <w:rPr>
          <w:rFonts w:ascii="Arial" w:cs="Arial" w:eastAsia="Arial" w:hAnsi="Arial"/>
          <w:sz w:val="13"/>
          <w:szCs w:val="13"/>
          <w:color w:val="auto"/>
        </w:rPr>
      </w:pPr>
      <w:r>
        <w:rPr>
          <w:rFonts w:ascii="Arial" w:cs="Arial" w:eastAsia="Arial" w:hAnsi="Arial"/>
          <w:sz w:val="13"/>
          <w:szCs w:val="13"/>
          <w:color w:val="auto"/>
        </w:rPr>
        <w:t>to interview representatives of each Obligor, and not obstruct contacts with any other person involved in or affected by the Investment; and</w:t>
      </w:r>
    </w:p>
    <w:p>
      <w:pPr>
        <w:spacing w:after="0" w:line="80" w:lineRule="exact"/>
        <w:rPr>
          <w:rFonts w:ascii="Arial" w:cs="Arial" w:eastAsia="Arial" w:hAnsi="Arial"/>
          <w:sz w:val="13"/>
          <w:szCs w:val="13"/>
          <w:color w:val="auto"/>
        </w:rPr>
      </w:pPr>
    </w:p>
    <w:p>
      <w:pPr>
        <w:ind w:left="2500" w:right="420" w:hanging="710"/>
        <w:spacing w:after="0" w:line="258" w:lineRule="auto"/>
        <w:tabs>
          <w:tab w:leader="none" w:pos="2500" w:val="left"/>
        </w:tabs>
        <w:numPr>
          <w:ilvl w:val="2"/>
          <w:numId w:val="492"/>
        </w:numPr>
        <w:rPr>
          <w:rFonts w:ascii="Arial" w:cs="Arial" w:eastAsia="Arial" w:hAnsi="Arial"/>
          <w:sz w:val="13"/>
          <w:szCs w:val="13"/>
          <w:color w:val="auto"/>
        </w:rPr>
      </w:pPr>
      <w:r>
        <w:rPr>
          <w:rFonts w:ascii="Arial" w:cs="Arial" w:eastAsia="Arial" w:hAnsi="Arial"/>
          <w:sz w:val="13"/>
          <w:szCs w:val="13"/>
          <w:color w:val="auto"/>
        </w:rPr>
        <w:t>to conduct such on the spot audits and checks as they may wish and review the Obligors’ books and records in relation to the execution of the Investment and to be able to take copies of related documents to the extent not prohibited by the law.</w:t>
      </w:r>
    </w:p>
    <w:p>
      <w:pPr>
        <w:spacing w:after="0" w:line="48" w:lineRule="exact"/>
        <w:rPr>
          <w:rFonts w:ascii="Arial" w:cs="Arial" w:eastAsia="Arial" w:hAnsi="Arial"/>
          <w:sz w:val="13"/>
          <w:szCs w:val="13"/>
          <w:color w:val="auto"/>
        </w:rPr>
      </w:pPr>
    </w:p>
    <w:p>
      <w:pPr>
        <w:ind w:left="1780" w:right="500" w:hanging="710"/>
        <w:spacing w:after="0" w:line="242" w:lineRule="auto"/>
        <w:tabs>
          <w:tab w:leader="none" w:pos="1780" w:val="left"/>
        </w:tabs>
        <w:numPr>
          <w:ilvl w:val="1"/>
          <w:numId w:val="492"/>
        </w:numPr>
        <w:rPr>
          <w:rFonts w:ascii="Arial" w:cs="Arial" w:eastAsia="Arial" w:hAnsi="Arial"/>
          <w:sz w:val="13"/>
          <w:szCs w:val="13"/>
          <w:color w:val="auto"/>
        </w:rPr>
      </w:pPr>
      <w:r>
        <w:rPr>
          <w:rFonts w:ascii="Arial" w:cs="Arial" w:eastAsia="Arial" w:hAnsi="Arial"/>
          <w:sz w:val="13"/>
          <w:szCs w:val="13"/>
          <w:color w:val="auto"/>
        </w:rPr>
        <w:t xml:space="preserve">Each Obligor shall provide the Bank, or ensure that the Bank is provided, with all necessary assistance for the purposes described in this Paragraph </w:t>
      </w:r>
      <w:hyperlink w:anchor="page398">
        <w:r>
          <w:rPr>
            <w:rFonts w:ascii="Arial" w:cs="Arial" w:eastAsia="Arial" w:hAnsi="Arial"/>
            <w:sz w:val="13"/>
            <w:szCs w:val="13"/>
            <w:u w:val="single" w:color="auto"/>
            <w:color w:val="0000EE"/>
          </w:rPr>
          <w:t>3</w:t>
        </w:r>
      </w:hyperlink>
      <w:r>
        <w:rPr>
          <w:rFonts w:ascii="Arial" w:cs="Arial" w:eastAsia="Arial" w:hAnsi="Arial"/>
          <w:sz w:val="13"/>
          <w:szCs w:val="13"/>
          <w:color w:val="auto"/>
        </w:rPr>
        <w:t xml:space="preserve"> (</w:t>
      </w:r>
      <w:r>
        <w:rPr>
          <w:rFonts w:ascii="Arial" w:cs="Arial" w:eastAsia="Arial" w:hAnsi="Arial"/>
          <w:sz w:val="13"/>
          <w:szCs w:val="13"/>
          <w:i w:val="1"/>
          <w:iCs w:val="1"/>
          <w:color w:val="auto"/>
        </w:rPr>
        <w:t>Visits by the Bank</w:t>
      </w:r>
      <w:r>
        <w:rPr>
          <w:rFonts w:ascii="Arial" w:cs="Arial" w:eastAsia="Arial" w:hAnsi="Arial"/>
          <w:sz w:val="13"/>
          <w:szCs w:val="13"/>
          <w:color w:val="auto"/>
        </w:rPr>
        <w:t>).</w:t>
      </w:r>
    </w:p>
    <w:p>
      <w:pPr>
        <w:spacing w:after="0" w:line="58" w:lineRule="exact"/>
        <w:rPr>
          <w:rFonts w:ascii="Arial" w:cs="Arial" w:eastAsia="Arial" w:hAnsi="Arial"/>
          <w:sz w:val="13"/>
          <w:szCs w:val="13"/>
          <w:color w:val="auto"/>
        </w:rPr>
      </w:pPr>
    </w:p>
    <w:p>
      <w:pPr>
        <w:ind w:left="1780" w:hanging="710"/>
        <w:spacing w:after="0"/>
        <w:tabs>
          <w:tab w:leader="none" w:pos="1780" w:val="left"/>
        </w:tabs>
        <w:numPr>
          <w:ilvl w:val="1"/>
          <w:numId w:val="492"/>
        </w:numPr>
        <w:rPr>
          <w:rFonts w:ascii="Arial" w:cs="Arial" w:eastAsia="Arial" w:hAnsi="Arial"/>
          <w:sz w:val="13"/>
          <w:szCs w:val="13"/>
          <w:color w:val="auto"/>
        </w:rPr>
      </w:pPr>
      <w:r>
        <w:rPr>
          <w:rFonts w:ascii="Arial" w:cs="Arial" w:eastAsia="Arial" w:hAnsi="Arial"/>
          <w:sz w:val="13"/>
          <w:szCs w:val="13"/>
          <w:color w:val="auto"/>
        </w:rPr>
        <w:t>In the case of a genuine allegation, complaint or information with regard to Illegal Activities related to the Loan and/or the Investment, the Borrower shall</w:t>
      </w:r>
    </w:p>
    <w:p>
      <w:pPr>
        <w:ind w:left="1780" w:right="120"/>
        <w:spacing w:after="0" w:line="246" w:lineRule="auto"/>
        <w:rPr>
          <w:sz w:val="20"/>
          <w:szCs w:val="20"/>
          <w:color w:val="auto"/>
        </w:rPr>
      </w:pPr>
      <w:r>
        <w:rPr>
          <w:rFonts w:ascii="Arial" w:cs="Arial" w:eastAsia="Arial" w:hAnsi="Arial"/>
          <w:sz w:val="13"/>
          <w:szCs w:val="13"/>
          <w:color w:val="auto"/>
        </w:rPr>
        <w:t>consult with the Bank in good faith regarding appropriate actions. In particular, if it is proven that a third party committed Illegal Activities in connection with the Loan and/or the Investment with the result that the Loan or the EFSI financing were misapplied, the Bank may, without prejudice to the other provisions of this Contract, inform the Borrower if, in its view, the Borrower should take appropriate recovery measures against such third party. In any such case, the Borrower shall in good faith consider the Bank's views and keep the Bank informed.</w:t>
      </w:r>
    </w:p>
    <w:p>
      <w:pPr>
        <w:spacing w:after="0" w:line="309"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rFonts w:ascii="Arial" w:cs="Arial" w:eastAsia="Arial" w:hAnsi="Arial"/>
          <w:sz w:val="13"/>
          <w:szCs w:val="13"/>
          <w:color w:val="auto"/>
        </w:rPr>
      </w:pPr>
    </w:p>
    <w:p>
      <w:pPr>
        <w:ind w:left="40"/>
        <w:spacing w:after="0"/>
        <w:rPr>
          <w:sz w:val="20"/>
          <w:szCs w:val="20"/>
          <w:color w:val="auto"/>
        </w:rPr>
      </w:pPr>
      <w:r>
        <w:rPr>
          <w:rFonts w:ascii="Arial" w:cs="Arial" w:eastAsia="Arial" w:hAnsi="Arial"/>
          <w:sz w:val="12"/>
          <w:szCs w:val="12"/>
          <w:color w:val="auto"/>
        </w:rPr>
        <w:t>58</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0">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8" w:name="page399"/>
    <w:bookmarkEnd w:id="398"/>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1060" w:hanging="510"/>
        <w:spacing w:after="0"/>
        <w:tabs>
          <w:tab w:leader="none" w:pos="1060" w:val="left"/>
        </w:tabs>
        <w:numPr>
          <w:ilvl w:val="0"/>
          <w:numId w:val="493"/>
        </w:numPr>
        <w:rPr>
          <w:rFonts w:ascii="Arial" w:cs="Arial" w:eastAsia="Arial" w:hAnsi="Arial"/>
          <w:sz w:val="13"/>
          <w:szCs w:val="13"/>
          <w:b w:val="1"/>
          <w:bCs w:val="1"/>
          <w:color w:val="auto"/>
        </w:rPr>
      </w:pPr>
      <w:r>
        <w:rPr>
          <w:rFonts w:ascii="Arial" w:cs="Arial" w:eastAsia="Arial" w:hAnsi="Arial"/>
          <w:sz w:val="13"/>
          <w:szCs w:val="13"/>
          <w:b w:val="1"/>
          <w:bCs w:val="1"/>
          <w:color w:val="auto"/>
        </w:rPr>
        <w:t>Disclosure and publication</w:t>
      </w:r>
    </w:p>
    <w:p>
      <w:pPr>
        <w:spacing w:after="0" w:line="136" w:lineRule="exact"/>
        <w:rPr>
          <w:sz w:val="20"/>
          <w:szCs w:val="20"/>
          <w:color w:val="auto"/>
        </w:rPr>
      </w:pPr>
    </w:p>
    <w:p>
      <w:pPr>
        <w:ind w:left="1420" w:hanging="700"/>
        <w:spacing w:after="0"/>
        <w:tabs>
          <w:tab w:leader="none" w:pos="1420" w:val="left"/>
        </w:tabs>
        <w:numPr>
          <w:ilvl w:val="0"/>
          <w:numId w:val="494"/>
        </w:numPr>
        <w:rPr>
          <w:rFonts w:ascii="Arial" w:cs="Arial" w:eastAsia="Arial" w:hAnsi="Arial"/>
          <w:sz w:val="13"/>
          <w:szCs w:val="13"/>
          <w:color w:val="auto"/>
        </w:rPr>
      </w:pPr>
      <w:r>
        <w:rPr>
          <w:rFonts w:ascii="Arial" w:cs="Arial" w:eastAsia="Arial" w:hAnsi="Arial"/>
          <w:sz w:val="13"/>
          <w:szCs w:val="13"/>
          <w:color w:val="auto"/>
        </w:rPr>
        <w:t>The Bank acknowledges and agrees that the Borrower may be obliged to disclose the terms of this Contract and make any other public written disclosure</w:t>
      </w:r>
    </w:p>
    <w:p>
      <w:pPr>
        <w:ind w:left="1420" w:right="160"/>
        <w:spacing w:after="0" w:line="243" w:lineRule="auto"/>
        <w:rPr>
          <w:sz w:val="20"/>
          <w:szCs w:val="20"/>
          <w:color w:val="auto"/>
        </w:rPr>
      </w:pPr>
      <w:r>
        <w:rPr>
          <w:rFonts w:ascii="Arial" w:cs="Arial" w:eastAsia="Arial" w:hAnsi="Arial"/>
          <w:sz w:val="13"/>
          <w:szCs w:val="13"/>
          <w:color w:val="auto"/>
        </w:rPr>
        <w:t>regarding the existence of, or performance under, this Contract, to the extent required, in the reasonable opinion of BioNTech’s legal counsel, to comply with (i) law, statute or regulation applicable to the Borrower, including the rules and regulations promulgated by the United States Securities and Exchange Commission or (ii) any equivalent governmental authority, securities exchange or securities regulator in any country shares of the Borrower are listed. Before disclosing this Contract or any of the terms hereof pursuant to this Paragraph 4(a), the Borrower will inform the Bank with at least [***] Business Days prior notice of the intended disclosure and will consult with the Bank in making any such disclosure acceptable to the Bank. Further, if the Borrower discloses this Contract or any of the terms hereof in accordance with this Paragraph 4(a), the Borrower will, at its own expense, seek such confidential treatment of confidential portions of this Contract and limit its disclosure of such terms to that the extent required to comply with law, statute or regulation applicable to the Borrower.</w:t>
      </w:r>
    </w:p>
    <w:p>
      <w:pPr>
        <w:spacing w:after="0" w:line="220" w:lineRule="exact"/>
        <w:rPr>
          <w:sz w:val="20"/>
          <w:szCs w:val="20"/>
          <w:color w:val="auto"/>
        </w:rPr>
      </w:pPr>
    </w:p>
    <w:p>
      <w:pPr>
        <w:ind w:left="1780" w:hanging="710"/>
        <w:spacing w:after="0"/>
        <w:tabs>
          <w:tab w:leader="none" w:pos="1780" w:val="left"/>
        </w:tabs>
        <w:numPr>
          <w:ilvl w:val="0"/>
          <w:numId w:val="495"/>
        </w:numPr>
        <w:rPr>
          <w:rFonts w:ascii="Arial" w:cs="Arial" w:eastAsia="Arial" w:hAnsi="Arial"/>
          <w:sz w:val="13"/>
          <w:szCs w:val="13"/>
          <w:color w:val="auto"/>
        </w:rPr>
      </w:pPr>
      <w:r>
        <w:rPr>
          <w:rFonts w:ascii="Arial" w:cs="Arial" w:eastAsia="Arial" w:hAnsi="Arial"/>
          <w:sz w:val="13"/>
          <w:szCs w:val="13"/>
          <w:color w:val="auto"/>
        </w:rPr>
        <w:t>The Borrower acknowledges and agrees that:</w:t>
      </w:r>
    </w:p>
    <w:p>
      <w:pPr>
        <w:spacing w:after="0" w:line="80" w:lineRule="exact"/>
        <w:rPr>
          <w:rFonts w:ascii="Arial" w:cs="Arial" w:eastAsia="Arial" w:hAnsi="Arial"/>
          <w:sz w:val="13"/>
          <w:szCs w:val="13"/>
          <w:color w:val="auto"/>
        </w:rPr>
      </w:pPr>
    </w:p>
    <w:p>
      <w:pPr>
        <w:ind w:left="2500" w:right="360" w:hanging="710"/>
        <w:spacing w:after="0" w:line="258" w:lineRule="auto"/>
        <w:tabs>
          <w:tab w:leader="none" w:pos="2500" w:val="left"/>
        </w:tabs>
        <w:numPr>
          <w:ilvl w:val="1"/>
          <w:numId w:val="495"/>
        </w:numPr>
        <w:rPr>
          <w:rFonts w:ascii="Arial" w:cs="Arial" w:eastAsia="Arial" w:hAnsi="Arial"/>
          <w:sz w:val="13"/>
          <w:szCs w:val="13"/>
          <w:color w:val="auto"/>
        </w:rPr>
      </w:pPr>
      <w:r>
        <w:rPr>
          <w:rFonts w:ascii="Arial" w:cs="Arial" w:eastAsia="Arial" w:hAnsi="Arial"/>
          <w:sz w:val="13"/>
          <w:szCs w:val="13"/>
          <w:color w:val="auto"/>
        </w:rPr>
        <w:t>the Bank may be obliged to communicate information relating to any Obligor and the Investment to any competent institution or body of the European Union in accordance with the relevant mandatory provisions of European Union law or pursuant to the EFSI Regulation; and</w:t>
      </w:r>
    </w:p>
    <w:p>
      <w:pPr>
        <w:spacing w:after="0" w:line="58" w:lineRule="exact"/>
        <w:rPr>
          <w:rFonts w:ascii="Arial" w:cs="Arial" w:eastAsia="Arial" w:hAnsi="Arial"/>
          <w:sz w:val="13"/>
          <w:szCs w:val="13"/>
          <w:color w:val="auto"/>
        </w:rPr>
      </w:pPr>
    </w:p>
    <w:p>
      <w:pPr>
        <w:ind w:left="2500" w:right="140" w:hanging="710"/>
        <w:spacing w:after="0" w:line="249" w:lineRule="auto"/>
        <w:tabs>
          <w:tab w:leader="none" w:pos="2500" w:val="left"/>
        </w:tabs>
        <w:numPr>
          <w:ilvl w:val="1"/>
          <w:numId w:val="495"/>
        </w:numPr>
        <w:rPr>
          <w:rFonts w:ascii="Arial" w:cs="Arial" w:eastAsia="Arial" w:hAnsi="Arial"/>
          <w:sz w:val="13"/>
          <w:szCs w:val="13"/>
          <w:color w:val="auto"/>
        </w:rPr>
      </w:pPr>
      <w:r>
        <w:rPr>
          <w:rFonts w:ascii="Arial" w:cs="Arial" w:eastAsia="Arial" w:hAnsi="Arial"/>
          <w:sz w:val="13"/>
          <w:szCs w:val="13"/>
          <w:color w:val="auto"/>
        </w:rPr>
        <w:t>the Bank may publish in its website or produce press releases containing information related to the financing provided pursuant to this Contract with support of the EFSI, including the name, address and country of establishment of the Borrower the purpose of the financing, and the type and amount of financial support received under this Contract.</w:t>
      </w:r>
    </w:p>
    <w:p>
      <w:pPr>
        <w:spacing w:after="0" w:line="65" w:lineRule="exact"/>
        <w:rPr>
          <w:sz w:val="20"/>
          <w:szCs w:val="20"/>
          <w:color w:val="auto"/>
        </w:rPr>
      </w:pPr>
    </w:p>
    <w:p>
      <w:pPr>
        <w:jc w:val="both"/>
        <w:ind w:left="1800" w:right="120"/>
        <w:spacing w:after="0" w:line="249" w:lineRule="auto"/>
        <w:rPr>
          <w:sz w:val="20"/>
          <w:szCs w:val="20"/>
          <w:color w:val="auto"/>
        </w:rPr>
      </w:pPr>
      <w:r>
        <w:rPr>
          <w:rFonts w:ascii="Arial" w:cs="Arial" w:eastAsia="Arial" w:hAnsi="Arial"/>
          <w:sz w:val="13"/>
          <w:szCs w:val="13"/>
          <w:color w:val="auto"/>
        </w:rPr>
        <w:t>To the extent legally and practically possible, the Bank shall communicate and/or publish such information only upon prior coordination with the Borrower. To the extent the Bank has coordinated such communication/publication with the Borrower, the Borrower will ensure that to the same extent and at the same time such information is made available to the United States Securities and Exchange Commission.</w:t>
      </w:r>
    </w:p>
    <w:p>
      <w:pPr>
        <w:spacing w:after="0" w:line="65" w:lineRule="exact"/>
        <w:rPr>
          <w:sz w:val="20"/>
          <w:szCs w:val="20"/>
          <w:color w:val="auto"/>
        </w:rPr>
      </w:pPr>
    </w:p>
    <w:p>
      <w:pPr>
        <w:ind w:left="1780" w:right="340" w:hanging="710"/>
        <w:spacing w:after="0" w:line="258" w:lineRule="auto"/>
        <w:tabs>
          <w:tab w:leader="none" w:pos="1780" w:val="left"/>
        </w:tabs>
        <w:numPr>
          <w:ilvl w:val="2"/>
          <w:numId w:val="496"/>
        </w:numPr>
        <w:rPr>
          <w:rFonts w:ascii="Arial" w:cs="Arial" w:eastAsia="Arial" w:hAnsi="Arial"/>
          <w:sz w:val="13"/>
          <w:szCs w:val="13"/>
          <w:color w:val="auto"/>
        </w:rPr>
      </w:pPr>
      <w:r>
        <w:rPr>
          <w:rFonts w:ascii="Arial" w:cs="Arial" w:eastAsia="Arial" w:hAnsi="Arial"/>
          <w:sz w:val="13"/>
          <w:szCs w:val="13"/>
          <w:color w:val="auto"/>
        </w:rPr>
        <w:t>The Borrower agrees to cooperate with the Bank to ensure that any press releases or publications made by the Borrower regarding the financing and the Investment include an appropriate acknowledgement of the financial support provided by the Bank with the backing of the European Union through EFSI.</w:t>
      </w:r>
    </w:p>
    <w:p>
      <w:pPr>
        <w:spacing w:after="0" w:line="58" w:lineRule="exact"/>
        <w:rPr>
          <w:rFonts w:ascii="Arial" w:cs="Arial" w:eastAsia="Arial" w:hAnsi="Arial"/>
          <w:sz w:val="13"/>
          <w:szCs w:val="13"/>
          <w:color w:val="auto"/>
        </w:rPr>
      </w:pPr>
    </w:p>
    <w:p>
      <w:pPr>
        <w:ind w:left="1420" w:right="900" w:hanging="700"/>
        <w:spacing w:after="0" w:line="258" w:lineRule="auto"/>
        <w:tabs>
          <w:tab w:leader="none" w:pos="1420" w:val="left"/>
        </w:tabs>
        <w:numPr>
          <w:ilvl w:val="1"/>
          <w:numId w:val="497"/>
        </w:numPr>
        <w:rPr>
          <w:rFonts w:ascii="Arial" w:cs="Arial" w:eastAsia="Arial" w:hAnsi="Arial"/>
          <w:sz w:val="13"/>
          <w:szCs w:val="13"/>
          <w:color w:val="auto"/>
        </w:rPr>
      </w:pPr>
      <w:r>
        <w:rPr>
          <w:rFonts w:ascii="Arial" w:cs="Arial" w:eastAsia="Arial" w:hAnsi="Arial"/>
          <w:sz w:val="13"/>
          <w:szCs w:val="13"/>
          <w:color w:val="auto"/>
        </w:rPr>
        <w:t>The Obligors are entitled and, if requested by the Bank, each Obligor undertakes to refer to this financing and other Bank financings in its public communications, if appropriate, during the availability period, and in connection with any drawdowns, and communications on major corporate events.</w:t>
      </w:r>
    </w:p>
    <w:p>
      <w:pPr>
        <w:spacing w:after="0" w:line="82" w:lineRule="exact"/>
        <w:rPr>
          <w:rFonts w:ascii="Arial" w:cs="Arial" w:eastAsia="Arial" w:hAnsi="Arial"/>
          <w:sz w:val="13"/>
          <w:szCs w:val="13"/>
          <w:color w:val="auto"/>
        </w:rPr>
      </w:pPr>
    </w:p>
    <w:p>
      <w:pPr>
        <w:ind w:left="1060" w:hanging="510"/>
        <w:spacing w:after="0"/>
        <w:tabs>
          <w:tab w:leader="none" w:pos="1060" w:val="left"/>
        </w:tabs>
        <w:numPr>
          <w:ilvl w:val="0"/>
          <w:numId w:val="498"/>
        </w:numPr>
        <w:rPr>
          <w:rFonts w:ascii="Arial" w:cs="Arial" w:eastAsia="Arial" w:hAnsi="Arial"/>
          <w:sz w:val="13"/>
          <w:szCs w:val="13"/>
          <w:b w:val="1"/>
          <w:bCs w:val="1"/>
          <w:color w:val="auto"/>
        </w:rPr>
      </w:pPr>
      <w:r>
        <w:rPr>
          <w:rFonts w:ascii="Arial" w:cs="Arial" w:eastAsia="Arial" w:hAnsi="Arial"/>
          <w:sz w:val="13"/>
          <w:szCs w:val="13"/>
          <w:b w:val="1"/>
          <w:bCs w:val="1"/>
          <w:color w:val="auto"/>
        </w:rPr>
        <w:t>Confidential information</w:t>
      </w:r>
    </w:p>
    <w:p>
      <w:pPr>
        <w:spacing w:after="0" w:line="136" w:lineRule="exact"/>
        <w:rPr>
          <w:rFonts w:ascii="Arial" w:cs="Arial" w:eastAsia="Arial" w:hAnsi="Arial"/>
          <w:sz w:val="13"/>
          <w:szCs w:val="13"/>
          <w:b w:val="1"/>
          <w:bCs w:val="1"/>
          <w:color w:val="auto"/>
        </w:rPr>
      </w:pPr>
    </w:p>
    <w:p>
      <w:pPr>
        <w:jc w:val="both"/>
        <w:ind w:left="1080" w:right="120"/>
        <w:spacing w:after="0" w:line="243" w:lineRule="auto"/>
        <w:rPr>
          <w:rFonts w:ascii="Arial" w:cs="Arial" w:eastAsia="Arial" w:hAnsi="Arial"/>
          <w:sz w:val="13"/>
          <w:szCs w:val="13"/>
          <w:b w:val="1"/>
          <w:bCs w:val="1"/>
          <w:color w:val="auto"/>
        </w:rPr>
      </w:pPr>
      <w:r>
        <w:rPr>
          <w:rFonts w:ascii="Arial" w:cs="Arial" w:eastAsia="Arial" w:hAnsi="Arial"/>
          <w:sz w:val="13"/>
          <w:szCs w:val="13"/>
          <w:color w:val="auto"/>
        </w:rPr>
        <w:t>Where the Borrower provides information to the Bank in connection with this Contract, it shall clearly indicate whether such information is already public or being maintained by the Borrower as confidential information. If regulated or prohibited by applicable legislation including the rules and regulations promulgated by the United States Securities and Exchange Commission and securities law relating to insider dealing and market abuse, the Borrower will not share (and is not obliged to do so) any inside information with the Bank before it is published to the market. For the avoidance of doubt, the Parties agree that the Borrower shall only be required to provide information to the Bank to the extent legally permissible and in particular in compliance with applicable laws on inside information. The Bank is not responsible or liable for any determination as to whether any information provided or to be provided to it is non-public information the use of which may be regulated or prohibited by applicable law or regulation relating to insider dealing or otherwise.</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1">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99" w:name="page400"/>
    <w:bookmarkEnd w:id="399"/>
    <w:p>
      <w:pPr>
        <w:jc w:val="right"/>
        <w:spacing w:after="0"/>
        <w:rPr>
          <w:sz w:val="20"/>
          <w:szCs w:val="20"/>
          <w:color w:val="auto"/>
        </w:rPr>
      </w:pPr>
      <w:r>
        <w:rPr>
          <w:rFonts w:ascii="Arial" w:cs="Arial" w:eastAsia="Arial" w:hAnsi="Arial"/>
          <w:sz w:val="13"/>
          <w:szCs w:val="13"/>
          <w:b w:val="1"/>
          <w:bCs w:val="1"/>
          <w:color w:val="auto"/>
        </w:rPr>
        <w:t>Exhibit 4.41</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2">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00" w:name="page401"/>
    <w:bookmarkEnd w:id="400"/>
    <w:p>
      <w:pPr>
        <w:jc w:val="right"/>
        <w:spacing w:after="0"/>
        <w:rPr>
          <w:sz w:val="20"/>
          <w:szCs w:val="20"/>
          <w:color w:val="auto"/>
        </w:rPr>
      </w:pPr>
      <w:r>
        <w:rPr>
          <w:rFonts w:ascii="Arial" w:cs="Arial" w:eastAsia="Arial" w:hAnsi="Arial"/>
          <w:sz w:val="13"/>
          <w:szCs w:val="13"/>
          <w:b w:val="1"/>
          <w:bCs w:val="1"/>
          <w:color w:val="auto"/>
        </w:rPr>
        <w:t>Exhibit 4.41</w:t>
      </w:r>
    </w:p>
    <w:p>
      <w:pPr>
        <w:spacing w:after="0" w:line="37" w:lineRule="exact"/>
        <w:rPr>
          <w:sz w:val="20"/>
          <w:szCs w:val="20"/>
          <w:color w:val="auto"/>
        </w:rPr>
      </w:pPr>
    </w:p>
    <w:p>
      <w:pPr>
        <w:ind w:left="10520"/>
        <w:spacing w:after="0"/>
        <w:rPr>
          <w:sz w:val="20"/>
          <w:szCs w:val="20"/>
          <w:color w:val="auto"/>
        </w:rPr>
      </w:pPr>
      <w:r>
        <w:rPr>
          <w:rFonts w:ascii="Arial" w:cs="Arial" w:eastAsia="Arial" w:hAnsi="Arial"/>
          <w:sz w:val="13"/>
          <w:szCs w:val="13"/>
          <w:b w:val="1"/>
          <w:bCs w:val="1"/>
          <w:color w:val="auto"/>
        </w:rPr>
        <w:t>Schedule J</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3"/>
          <w:szCs w:val="13"/>
          <w:b w:val="1"/>
          <w:bCs w:val="1"/>
          <w:u w:val="single" w:color="auto"/>
          <w:color w:val="auto"/>
        </w:rPr>
        <w:t>Existing Indebtedness</w:t>
      </w:r>
    </w:p>
    <w:p>
      <w:pPr>
        <w:spacing w:after="0" w:line="176" w:lineRule="exact"/>
        <w:rPr>
          <w:sz w:val="20"/>
          <w:szCs w:val="20"/>
          <w:color w:val="auto"/>
        </w:rPr>
      </w:pPr>
    </w:p>
    <w:p>
      <w:pPr>
        <w:ind w:left="720" w:right="540" w:firstLine="9"/>
        <w:spacing w:after="0" w:line="258" w:lineRule="auto"/>
        <w:tabs>
          <w:tab w:leader="none" w:pos="1416" w:val="left"/>
        </w:tabs>
        <w:numPr>
          <w:ilvl w:val="0"/>
          <w:numId w:val="499"/>
        </w:numPr>
        <w:rPr>
          <w:rFonts w:ascii="Arial" w:cs="Arial" w:eastAsia="Arial" w:hAnsi="Arial"/>
          <w:sz w:val="13"/>
          <w:szCs w:val="13"/>
          <w:color w:val="auto"/>
        </w:rPr>
      </w:pPr>
      <w:r>
        <w:rPr>
          <w:rFonts w:ascii="Arial" w:cs="Arial" w:eastAsia="Arial" w:hAnsi="Arial"/>
          <w:sz w:val="13"/>
          <w:szCs w:val="13"/>
          <w:color w:val="auto"/>
        </w:rPr>
        <w:t>Indebtedness in connection with a secured EUR 10,000,000 loan agreement dated 21 November 2017 and entered into by BioNTech Innovative Manufacturing Services GmbH as borrower and Deutsche Bank AG as lender.</w:t>
      </w:r>
    </w:p>
    <w:p>
      <w:pPr>
        <w:spacing w:after="0" w:line="58" w:lineRule="exact"/>
        <w:rPr>
          <w:rFonts w:ascii="Arial" w:cs="Arial" w:eastAsia="Arial" w:hAnsi="Arial"/>
          <w:sz w:val="13"/>
          <w:szCs w:val="13"/>
          <w:color w:val="auto"/>
        </w:rPr>
      </w:pPr>
    </w:p>
    <w:p>
      <w:pPr>
        <w:ind w:left="720" w:right="300" w:firstLine="9"/>
        <w:spacing w:after="0" w:line="258" w:lineRule="auto"/>
        <w:tabs>
          <w:tab w:leader="none" w:pos="1416" w:val="left"/>
        </w:tabs>
        <w:numPr>
          <w:ilvl w:val="0"/>
          <w:numId w:val="499"/>
        </w:numPr>
        <w:rPr>
          <w:rFonts w:ascii="Arial" w:cs="Arial" w:eastAsia="Arial" w:hAnsi="Arial"/>
          <w:sz w:val="13"/>
          <w:szCs w:val="13"/>
          <w:color w:val="auto"/>
        </w:rPr>
      </w:pPr>
      <w:r>
        <w:rPr>
          <w:rFonts w:ascii="Arial" w:cs="Arial" w:eastAsia="Arial" w:hAnsi="Arial"/>
          <w:sz w:val="13"/>
          <w:szCs w:val="13"/>
          <w:color w:val="auto"/>
        </w:rPr>
        <w:t>Indebtedness in connection with a secured EUR 9,450,000 loan agreement dated 18 July 2018 and entered into by JPT Peptide Technologies GmbH as borrower and Deutsche Bank AG as lender.</w:t>
      </w: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7180580" cy="127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3">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01" w:name="page402"/>
    <w:bookmarkEnd w:id="401"/>
    <w:p>
      <w:pPr>
        <w:ind w:left="10580"/>
        <w:spacing w:after="0"/>
        <w:rPr>
          <w:sz w:val="20"/>
          <w:szCs w:val="20"/>
          <w:color w:val="auto"/>
        </w:rPr>
      </w:pPr>
      <w:r>
        <w:rPr>
          <w:rFonts w:ascii="Arial" w:cs="Arial" w:eastAsia="Arial" w:hAnsi="Arial"/>
          <w:sz w:val="12"/>
          <w:szCs w:val="12"/>
          <w:b w:val="1"/>
          <w:bCs w:val="1"/>
          <w:color w:val="auto"/>
        </w:rPr>
        <w:t>Exhibit 4.41</w:t>
      </w:r>
    </w:p>
    <w:p>
      <w:pPr>
        <w:spacing w:after="0" w:line="4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Schedule K</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Existing Security</w:t>
      </w:r>
    </w:p>
    <w:p>
      <w:pPr>
        <w:spacing w:after="0" w:line="176" w:lineRule="exact"/>
        <w:rPr>
          <w:sz w:val="20"/>
          <w:szCs w:val="20"/>
          <w:color w:val="auto"/>
        </w:rPr>
      </w:pPr>
    </w:p>
    <w:p>
      <w:pPr>
        <w:ind w:left="1160" w:hanging="440"/>
        <w:spacing w:after="0"/>
        <w:tabs>
          <w:tab w:leader="none" w:pos="1160" w:val="left"/>
        </w:tabs>
        <w:numPr>
          <w:ilvl w:val="0"/>
          <w:numId w:val="500"/>
        </w:numPr>
        <w:rPr>
          <w:rFonts w:ascii="Arial" w:cs="Arial" w:eastAsia="Arial" w:hAnsi="Arial"/>
          <w:sz w:val="13"/>
          <w:szCs w:val="13"/>
          <w:color w:val="auto"/>
        </w:rPr>
      </w:pPr>
      <w:r>
        <w:rPr>
          <w:rFonts w:ascii="Arial" w:cs="Arial" w:eastAsia="Arial" w:hAnsi="Arial"/>
          <w:sz w:val="13"/>
          <w:szCs w:val="13"/>
          <w:color w:val="auto"/>
        </w:rPr>
        <w:t>EUR 10,000,000.00 loan agreement dated 21 November 2017 with BioNTech Innovative Manufacturing Services GmbH as borrower and Deutsche Bank AG as lender.</w:t>
      </w:r>
    </w:p>
    <w:p>
      <w:pPr>
        <w:spacing w:after="0" w:line="136" w:lineRule="exact"/>
        <w:rPr>
          <w:rFonts w:ascii="Arial" w:cs="Arial" w:eastAsia="Arial" w:hAnsi="Arial"/>
          <w:sz w:val="13"/>
          <w:szCs w:val="13"/>
          <w:color w:val="auto"/>
        </w:rPr>
      </w:pPr>
    </w:p>
    <w:p>
      <w:pPr>
        <w:ind w:left="1180" w:right="460" w:firstLine="4"/>
        <w:spacing w:after="0" w:line="281" w:lineRule="auto"/>
        <w:tabs>
          <w:tab w:leader="none" w:pos="2074" w:val="left"/>
        </w:tabs>
        <w:numPr>
          <w:ilvl w:val="1"/>
          <w:numId w:val="500"/>
        </w:numPr>
        <w:rPr>
          <w:rFonts w:ascii="Arial" w:cs="Arial" w:eastAsia="Arial" w:hAnsi="Arial"/>
          <w:sz w:val="13"/>
          <w:szCs w:val="13"/>
          <w:color w:val="auto"/>
        </w:rPr>
      </w:pPr>
      <w:r>
        <w:rPr>
          <w:rFonts w:ascii="Arial" w:cs="Arial" w:eastAsia="Arial" w:hAnsi="Arial"/>
          <w:sz w:val="13"/>
          <w:szCs w:val="13"/>
          <w:color w:val="auto"/>
        </w:rPr>
        <w:t>First-priority land charges (</w:t>
      </w:r>
      <w:r>
        <w:rPr>
          <w:rFonts w:ascii="Arial" w:cs="Arial" w:eastAsia="Arial" w:hAnsi="Arial"/>
          <w:sz w:val="13"/>
          <w:szCs w:val="13"/>
          <w:i w:val="1"/>
          <w:iCs w:val="1"/>
          <w:color w:val="auto"/>
        </w:rPr>
        <w:t>Grundschulden</w:t>
      </w:r>
      <w:r>
        <w:rPr>
          <w:rFonts w:ascii="Arial" w:cs="Arial" w:eastAsia="Arial" w:hAnsi="Arial"/>
          <w:sz w:val="13"/>
          <w:szCs w:val="13"/>
          <w:color w:val="auto"/>
        </w:rPr>
        <w:t>) of EUR 10,000,000 on commercial property (</w:t>
      </w:r>
      <w:r>
        <w:rPr>
          <w:rFonts w:ascii="Arial" w:cs="Arial" w:eastAsia="Arial" w:hAnsi="Arial"/>
          <w:sz w:val="13"/>
          <w:szCs w:val="13"/>
          <w:i w:val="1"/>
          <w:iCs w:val="1"/>
          <w:color w:val="auto"/>
        </w:rPr>
        <w:t>Betriebsimmobilie</w:t>
      </w:r>
      <w:r>
        <w:rPr>
          <w:rFonts w:ascii="Arial" w:cs="Arial" w:eastAsia="Arial" w:hAnsi="Arial"/>
          <w:sz w:val="13"/>
          <w:szCs w:val="13"/>
          <w:color w:val="auto"/>
        </w:rPr>
        <w:t>) in 55743 Idar-Oberstein, Germany, Idar-Oberstein [***], granted by BioNTech Innovative Manufacturing Services GmbH;</w:t>
      </w:r>
    </w:p>
    <w:p>
      <w:pPr>
        <w:spacing w:after="0" w:line="123" w:lineRule="exact"/>
        <w:rPr>
          <w:rFonts w:ascii="Arial" w:cs="Arial" w:eastAsia="Arial" w:hAnsi="Arial"/>
          <w:sz w:val="13"/>
          <w:szCs w:val="13"/>
          <w:color w:val="auto"/>
        </w:rPr>
      </w:pPr>
    </w:p>
    <w:p>
      <w:pPr>
        <w:ind w:left="2060" w:hanging="876"/>
        <w:spacing w:after="0"/>
        <w:tabs>
          <w:tab w:leader="none" w:pos="2060" w:val="left"/>
        </w:tabs>
        <w:numPr>
          <w:ilvl w:val="1"/>
          <w:numId w:val="500"/>
        </w:numPr>
        <w:rPr>
          <w:rFonts w:ascii="Arial" w:cs="Arial" w:eastAsia="Arial" w:hAnsi="Arial"/>
          <w:sz w:val="13"/>
          <w:szCs w:val="13"/>
          <w:color w:val="auto"/>
        </w:rPr>
      </w:pPr>
      <w:r>
        <w:rPr>
          <w:rFonts w:ascii="Arial" w:cs="Arial" w:eastAsia="Arial" w:hAnsi="Arial"/>
          <w:sz w:val="13"/>
          <w:szCs w:val="13"/>
          <w:color w:val="auto"/>
        </w:rPr>
        <w:t>[***];</w:t>
      </w:r>
    </w:p>
    <w:p>
      <w:pPr>
        <w:spacing w:after="0" w:line="160" w:lineRule="exact"/>
        <w:rPr>
          <w:rFonts w:ascii="Arial" w:cs="Arial" w:eastAsia="Arial" w:hAnsi="Arial"/>
          <w:sz w:val="13"/>
          <w:szCs w:val="13"/>
          <w:color w:val="auto"/>
        </w:rPr>
      </w:pPr>
    </w:p>
    <w:p>
      <w:pPr>
        <w:ind w:left="2060" w:hanging="876"/>
        <w:spacing w:after="0"/>
        <w:tabs>
          <w:tab w:leader="none" w:pos="2060" w:val="left"/>
        </w:tabs>
        <w:numPr>
          <w:ilvl w:val="1"/>
          <w:numId w:val="500"/>
        </w:numPr>
        <w:rPr>
          <w:rFonts w:ascii="Arial" w:cs="Arial" w:eastAsia="Arial" w:hAnsi="Arial"/>
          <w:sz w:val="13"/>
          <w:szCs w:val="13"/>
          <w:color w:val="auto"/>
        </w:rPr>
      </w:pPr>
      <w:r>
        <w:rPr>
          <w:rFonts w:ascii="Arial" w:cs="Arial" w:eastAsia="Arial" w:hAnsi="Arial"/>
          <w:sz w:val="13"/>
          <w:szCs w:val="13"/>
          <w:color w:val="auto"/>
        </w:rPr>
        <w:t>[***].</w:t>
      </w:r>
    </w:p>
    <w:p>
      <w:pPr>
        <w:spacing w:after="0" w:line="320"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80" w:type="dxa"/>
            <w:vAlign w:val="bottom"/>
          </w:tcPr>
          <w:p>
            <w:pPr>
              <w:jc w:val="right"/>
              <w:ind w:right="93"/>
              <w:spacing w:after="0"/>
              <w:rPr>
                <w:sz w:val="20"/>
                <w:szCs w:val="20"/>
                <w:color w:val="auto"/>
              </w:rPr>
            </w:pPr>
            <w:r>
              <w:rPr>
                <w:rFonts w:ascii="Arial" w:cs="Arial" w:eastAsia="Arial" w:hAnsi="Arial"/>
                <w:sz w:val="13"/>
                <w:szCs w:val="13"/>
                <w:color w:val="auto"/>
                <w:w w:val="86"/>
              </w:rPr>
              <w:t>2)</w:t>
            </w:r>
          </w:p>
        </w:tc>
        <w:tc>
          <w:tcPr>
            <w:tcW w:w="10000" w:type="dxa"/>
            <w:vAlign w:val="bottom"/>
            <w:gridSpan w:val="2"/>
          </w:tcPr>
          <w:p>
            <w:pPr>
              <w:ind w:left="160"/>
              <w:spacing w:after="0"/>
              <w:rPr>
                <w:sz w:val="20"/>
                <w:szCs w:val="20"/>
                <w:color w:val="auto"/>
              </w:rPr>
            </w:pPr>
            <w:r>
              <w:rPr>
                <w:rFonts w:ascii="Arial" w:cs="Arial" w:eastAsia="Arial" w:hAnsi="Arial"/>
                <w:sz w:val="13"/>
                <w:szCs w:val="13"/>
                <w:color w:val="auto"/>
              </w:rPr>
              <w:t>EUR 9,450,000 loan agreement dated 18 July 2018 with JPT Peptide Technologies GmbH as borrower and Deutsche Bank AG as lender.</w:t>
            </w:r>
          </w:p>
        </w:tc>
      </w:tr>
      <w:tr>
        <w:trPr>
          <w:trHeight w:val="289"/>
        </w:trPr>
        <w:tc>
          <w:tcPr>
            <w:tcW w:w="2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w:t>
            </w:r>
          </w:p>
        </w:tc>
        <w:tc>
          <w:tcPr>
            <w:tcW w:w="9360" w:type="dxa"/>
            <w:vAlign w:val="bottom"/>
          </w:tcPr>
          <w:p>
            <w:pPr>
              <w:jc w:val="right"/>
              <w:spacing w:after="0"/>
              <w:rPr>
                <w:sz w:val="20"/>
                <w:szCs w:val="20"/>
                <w:color w:val="auto"/>
              </w:rPr>
            </w:pPr>
            <w:r>
              <w:rPr>
                <w:rFonts w:ascii="Arial" w:cs="Arial" w:eastAsia="Arial" w:hAnsi="Arial"/>
                <w:sz w:val="13"/>
                <w:szCs w:val="13"/>
                <w:color w:val="auto"/>
              </w:rPr>
              <w:t>First-priority land charges (</w:t>
            </w:r>
            <w:r>
              <w:rPr>
                <w:rFonts w:ascii="Arial" w:cs="Arial" w:eastAsia="Arial" w:hAnsi="Arial"/>
                <w:sz w:val="13"/>
                <w:szCs w:val="13"/>
                <w:i w:val="1"/>
                <w:iCs w:val="1"/>
                <w:color w:val="auto"/>
              </w:rPr>
              <w:t>Grundschulden</w:t>
            </w:r>
            <w:r>
              <w:rPr>
                <w:rFonts w:ascii="Arial" w:cs="Arial" w:eastAsia="Arial" w:hAnsi="Arial"/>
                <w:sz w:val="13"/>
                <w:szCs w:val="13"/>
                <w:color w:val="auto"/>
              </w:rPr>
              <w:t xml:space="preserve">) of EUR 9,450,000 on commercial property  </w:t>
            </w:r>
            <w:r>
              <w:rPr>
                <w:rFonts w:ascii="Arial" w:cs="Arial" w:eastAsia="Arial" w:hAnsi="Arial"/>
                <w:sz w:val="13"/>
                <w:szCs w:val="13"/>
                <w:i w:val="1"/>
                <w:iCs w:val="1"/>
                <w:color w:val="auto"/>
              </w:rPr>
              <w:t>(Betriebsimmobilie)</w:t>
            </w:r>
            <w:r>
              <w:rPr>
                <w:rFonts w:ascii="Arial" w:cs="Arial" w:eastAsia="Arial" w:hAnsi="Arial"/>
                <w:sz w:val="13"/>
                <w:szCs w:val="13"/>
                <w:color w:val="auto"/>
              </w:rPr>
              <w:t xml:space="preserve"> Berlin-Adlershof; Germany, [***],  granted by</w:t>
            </w:r>
          </w:p>
        </w:tc>
      </w:tr>
      <w:tr>
        <w:trPr>
          <w:trHeight w:val="161"/>
        </w:trPr>
        <w:tc>
          <w:tcPr>
            <w:tcW w:w="280" w:type="dxa"/>
            <w:vAlign w:val="bottom"/>
          </w:tcPr>
          <w:p>
            <w:pPr>
              <w:spacing w:after="0"/>
              <w:rPr>
                <w:sz w:val="13"/>
                <w:szCs w:val="13"/>
                <w:color w:val="auto"/>
              </w:rPr>
            </w:pPr>
          </w:p>
        </w:tc>
        <w:tc>
          <w:tcPr>
            <w:tcW w:w="10000" w:type="dxa"/>
            <w:vAlign w:val="bottom"/>
            <w:gridSpan w:val="2"/>
          </w:tcPr>
          <w:p>
            <w:pPr>
              <w:ind w:left="180"/>
              <w:spacing w:after="0"/>
              <w:rPr>
                <w:sz w:val="20"/>
                <w:szCs w:val="20"/>
                <w:color w:val="auto"/>
              </w:rPr>
            </w:pPr>
            <w:r>
              <w:rPr>
                <w:rFonts w:ascii="Arial" w:cs="Arial" w:eastAsia="Arial" w:hAnsi="Arial"/>
                <w:sz w:val="13"/>
                <w:szCs w:val="13"/>
                <w:color w:val="auto"/>
              </w:rPr>
              <w:t>JPT Peptide Technologies GmbH;</w:t>
            </w:r>
          </w:p>
        </w:tc>
      </w:tr>
      <w:tr>
        <w:trPr>
          <w:trHeight w:val="310"/>
        </w:trPr>
        <w:tc>
          <w:tcPr>
            <w:tcW w:w="2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w:t>
            </w:r>
          </w:p>
        </w:tc>
        <w:tc>
          <w:tcPr>
            <w:tcW w:w="9360" w:type="dxa"/>
            <w:vAlign w:val="bottom"/>
          </w:tcPr>
          <w:p>
            <w:pPr>
              <w:jc w:val="right"/>
              <w:ind w:right="8593"/>
              <w:spacing w:after="0"/>
              <w:rPr>
                <w:sz w:val="20"/>
                <w:szCs w:val="20"/>
                <w:color w:val="auto"/>
              </w:rPr>
            </w:pPr>
            <w:r>
              <w:rPr>
                <w:rFonts w:ascii="Arial" w:cs="Arial" w:eastAsia="Arial" w:hAnsi="Arial"/>
                <w:sz w:val="13"/>
                <w:szCs w:val="13"/>
                <w:color w:val="auto"/>
              </w:rPr>
              <w:t>[***];</w:t>
            </w:r>
          </w:p>
        </w:tc>
      </w:tr>
      <w:tr>
        <w:trPr>
          <w:trHeight w:val="310"/>
        </w:trPr>
        <w:tc>
          <w:tcPr>
            <w:tcW w:w="2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w:t>
            </w:r>
          </w:p>
        </w:tc>
        <w:tc>
          <w:tcPr>
            <w:tcW w:w="9360" w:type="dxa"/>
            <w:vAlign w:val="bottom"/>
          </w:tcPr>
          <w:p>
            <w:pPr>
              <w:jc w:val="right"/>
              <w:ind w:right="8593"/>
              <w:spacing w:after="0"/>
              <w:rPr>
                <w:sz w:val="20"/>
                <w:szCs w:val="20"/>
                <w:color w:val="auto"/>
              </w:rPr>
            </w:pPr>
            <w:r>
              <w:rPr>
                <w:rFonts w:ascii="Arial" w:cs="Arial" w:eastAsia="Arial" w:hAnsi="Arial"/>
                <w:sz w:val="13"/>
                <w:szCs w:val="13"/>
                <w:color w:val="auto"/>
              </w:rPr>
              <w:t>[***].</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Personalised Immunotherapies (EGFF).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260"/>
          </w:cols>
          <w:pgMar w:left="320" w:top="126" w:right="319" w:bottom="1440" w:gutter="0" w:footer="0" w:header="0"/>
        </w:sectPr>
      </w:pPr>
    </w:p>
    <w:bookmarkStart w:id="402" w:name="page403"/>
    <w:bookmarkEnd w:id="402"/>
    <w:p>
      <w:pPr>
        <w:ind w:left="10600"/>
        <w:spacing w:after="0"/>
        <w:rPr>
          <w:sz w:val="20"/>
          <w:szCs w:val="20"/>
          <w:color w:val="auto"/>
        </w:rPr>
      </w:pPr>
      <w:r>
        <w:rPr>
          <w:rFonts w:ascii="Arial" w:cs="Arial" w:eastAsia="Arial" w:hAnsi="Arial"/>
          <w:sz w:val="12"/>
          <w:szCs w:val="12"/>
          <w:b w:val="1"/>
          <w:bCs w:val="1"/>
          <w:color w:val="auto"/>
        </w:rPr>
        <w:t>Exhibit 4.42</w:t>
      </w:r>
    </w:p>
    <w:p>
      <w:pPr>
        <w:spacing w:after="0" w:line="178" w:lineRule="exact"/>
        <w:rPr>
          <w:sz w:val="20"/>
          <w:szCs w:val="20"/>
          <w:color w:val="auto"/>
        </w:rPr>
      </w:pPr>
    </w:p>
    <w:p>
      <w:pPr>
        <w:jc w:val="center"/>
        <w:ind w:left="2680" w:right="2680"/>
        <w:spacing w:after="0" w:line="244" w:lineRule="auto"/>
        <w:rPr>
          <w:sz w:val="20"/>
          <w:szCs w:val="20"/>
          <w:color w:val="auto"/>
        </w:rPr>
      </w:pPr>
      <w:r>
        <w:rPr>
          <w:rFonts w:ascii="Arial" w:cs="Arial" w:eastAsia="Arial" w:hAnsi="Arial"/>
          <w:sz w:val="15"/>
          <w:szCs w:val="15"/>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FINANCE FEE LETTER</w:t>
      </w:r>
    </w:p>
    <w:p>
      <w:pPr>
        <w:sectPr>
          <w:pgSz w:w="11900" w:h="16838" w:orient="portrait"/>
          <w:cols w:equalWidth="0" w:num="1">
            <w:col w:w="11300"/>
          </w:cols>
          <w:pgMar w:left="300" w:top="127" w:right="29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European Investment Bank</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100 boulevard Konrad Adenauer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L-2950 Luxembourg</w:t>
      </w:r>
    </w:p>
    <w:p>
      <w:pPr>
        <w:spacing w:after="0"/>
        <w:rPr>
          <w:sz w:val="20"/>
          <w:szCs w:val="20"/>
          <w:color w:val="auto"/>
        </w:rPr>
      </w:pPr>
      <w:r>
        <w:rPr>
          <w:rFonts w:ascii="Arial" w:cs="Arial" w:eastAsia="Arial" w:hAnsi="Arial"/>
          <w:sz w:val="15"/>
          <w:szCs w:val="15"/>
          <w:color w:val="auto"/>
        </w:rPr>
        <w:t>Grand Duchy of Luxembourg</w:t>
      </w:r>
    </w:p>
    <w:p>
      <w:pPr>
        <w:spacing w:after="0" w:line="151" w:lineRule="exact"/>
        <w:rPr>
          <w:sz w:val="20"/>
          <w:szCs w:val="20"/>
          <w:color w:val="auto"/>
        </w:rPr>
      </w:pPr>
    </w:p>
    <w:p>
      <w:pPr>
        <w:sectPr>
          <w:pgSz w:w="11900" w:h="16838" w:orient="portrait"/>
          <w:cols w:equalWidth="0" w:num="2">
            <w:col w:w="400" w:space="60"/>
            <w:col w:w="10840"/>
          </w:cols>
          <w:pgMar w:left="300" w:top="127" w:right="29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b w:val="1"/>
          <w:bCs w:val="1"/>
          <w:color w:val="auto"/>
        </w:rPr>
        <w:t>Bank</w:t>
      </w:r>
      <w:r>
        <w:rPr>
          <w:rFonts w:ascii="Arial" w:cs="Arial" w:eastAsia="Arial" w:hAnsi="Arial"/>
          <w:sz w:val="14"/>
          <w:szCs w:val="14"/>
          <w:color w:val="auto"/>
        </w:rPr>
        <w:t>")</w:t>
      </w:r>
    </w:p>
    <w:p>
      <w:pPr>
        <w:sectPr>
          <w:pgSz w:w="11900" w:h="16838" w:orient="portrait"/>
          <w:cols w:equalWidth="0" w:num="1">
            <w:col w:w="11300"/>
          </w:cols>
          <w:pgMar w:left="300" w:top="127" w:right="29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BioNTech SE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An der Goldgrube 12</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55131 Mainz</w:t>
      </w:r>
    </w:p>
    <w:p>
      <w:pPr>
        <w:spacing w:after="0"/>
        <w:rPr>
          <w:sz w:val="20"/>
          <w:szCs w:val="20"/>
          <w:color w:val="auto"/>
        </w:rPr>
      </w:pPr>
      <w:r>
        <w:rPr>
          <w:rFonts w:ascii="Arial" w:cs="Arial" w:eastAsia="Arial" w:hAnsi="Arial"/>
          <w:sz w:val="15"/>
          <w:szCs w:val="15"/>
          <w:color w:val="auto"/>
        </w:rPr>
        <w:t>Germany</w:t>
      </w:r>
    </w:p>
    <w:p>
      <w:pPr>
        <w:spacing w:after="0" w:line="151" w:lineRule="exact"/>
        <w:rPr>
          <w:sz w:val="20"/>
          <w:szCs w:val="20"/>
          <w:color w:val="auto"/>
        </w:rPr>
      </w:pPr>
    </w:p>
    <w:p>
      <w:pPr>
        <w:sectPr>
          <w:pgSz w:w="11900" w:h="16838" w:orient="portrait"/>
          <w:cols w:equalWidth="0" w:num="2">
            <w:col w:w="200" w:space="660"/>
            <w:col w:w="10440"/>
          </w:cols>
          <w:pgMar w:left="300" w:top="127" w:right="299" w:bottom="1440" w:gutter="0" w:footer="0" w:header="0"/>
          <w:type w:val="continuous"/>
        </w:sectPr>
      </w:pPr>
    </w:p>
    <w:p>
      <w:pPr>
        <w:ind w:left="860"/>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b w:val="1"/>
          <w:bCs w:val="1"/>
          <w:color w:val="auto"/>
        </w:rPr>
        <w:t>Borrower</w:t>
      </w:r>
      <w:r>
        <w:rPr>
          <w:rFonts w:ascii="Arial" w:cs="Arial" w:eastAsia="Arial" w:hAnsi="Arial"/>
          <w:sz w:val="14"/>
          <w:szCs w:val="14"/>
          <w:color w:val="auto"/>
        </w:rPr>
        <w:t>")</w:t>
      </w:r>
    </w:p>
    <w:p>
      <w:pPr>
        <w:sectPr>
          <w:pgSz w:w="11900" w:h="16838" w:orient="portrait"/>
          <w:cols w:equalWidth="0" w:num="1">
            <w:col w:w="11300"/>
          </w:cols>
          <w:pgMar w:left="300" w:top="127" w:right="29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both"/>
        <w:ind w:left="9380"/>
        <w:spacing w:after="0"/>
        <w:tabs>
          <w:tab w:leader="none" w:pos="1016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12 December 2019</w:t>
      </w:r>
    </w:p>
    <w:p>
      <w:pPr>
        <w:spacing w:after="0" w:line="153" w:lineRule="exact"/>
        <w:rPr>
          <w:sz w:val="20"/>
          <w:szCs w:val="20"/>
          <w:color w:val="auto"/>
        </w:rPr>
      </w:pPr>
    </w:p>
    <w:p>
      <w:pPr>
        <w:spacing w:after="0"/>
        <w:tabs>
          <w:tab w:leader="none" w:pos="1740" w:val="left"/>
        </w:tabs>
        <w:rPr>
          <w:sz w:val="20"/>
          <w:szCs w:val="20"/>
          <w:color w:val="auto"/>
        </w:rPr>
      </w:pPr>
      <w:r>
        <w:rPr>
          <w:rFonts w:ascii="Arial" w:cs="Arial" w:eastAsia="Arial" w:hAnsi="Arial"/>
          <w:sz w:val="15"/>
          <w:szCs w:val="15"/>
          <w:b w:val="1"/>
          <w:bCs w:val="1"/>
          <w:color w:val="auto"/>
        </w:rPr>
        <w:t>Subject:</w:t>
      </w:r>
      <w:r>
        <w:rPr>
          <w:sz w:val="20"/>
          <w:szCs w:val="20"/>
          <w:color w:val="auto"/>
        </w:rPr>
        <w:tab/>
      </w:r>
      <w:r>
        <w:rPr>
          <w:rFonts w:ascii="Arial" w:cs="Arial" w:eastAsia="Arial" w:hAnsi="Arial"/>
          <w:sz w:val="15"/>
          <w:szCs w:val="15"/>
          <w:b w:val="1"/>
          <w:bCs w:val="1"/>
          <w:color w:val="auto"/>
        </w:rPr>
        <w:t>Finance Contract between European Investment Bank and BioNTech SE dated on or about 12 December 2019</w:t>
      </w:r>
    </w:p>
    <w:p>
      <w:pPr>
        <w:spacing w:after="0" w:line="157" w:lineRule="exact"/>
        <w:rPr>
          <w:sz w:val="20"/>
          <w:szCs w:val="20"/>
          <w:color w:val="auto"/>
        </w:rPr>
      </w:pPr>
    </w:p>
    <w:p>
      <w:pPr>
        <w:ind w:left="1700"/>
        <w:spacing w:after="0"/>
        <w:rPr>
          <w:sz w:val="20"/>
          <w:szCs w:val="20"/>
          <w:color w:val="auto"/>
        </w:rPr>
      </w:pPr>
      <w:r>
        <w:rPr>
          <w:rFonts w:ascii="Arial" w:cs="Arial" w:eastAsia="Arial" w:hAnsi="Arial"/>
          <w:sz w:val="15"/>
          <w:szCs w:val="15"/>
          <w:b w:val="1"/>
          <w:bCs w:val="1"/>
          <w:color w:val="auto"/>
        </w:rPr>
        <w:t>Contract numbers (FI No) 90272 and 91603; Serapis No.: 2018-0810</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Dear Sirs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We refer to the EUR 50,000,000 finance contract dated 12 December 2019 between the Bank as lender and the Borrower (the "</w:t>
      </w:r>
      <w:r>
        <w:rPr>
          <w:rFonts w:ascii="Arial" w:cs="Arial" w:eastAsia="Arial" w:hAnsi="Arial"/>
          <w:sz w:val="15"/>
          <w:szCs w:val="15"/>
          <w:b w:val="1"/>
          <w:bCs w:val="1"/>
          <w:color w:val="auto"/>
        </w:rPr>
        <w:t>Finance Contract</w:t>
      </w:r>
      <w:r>
        <w:rPr>
          <w:rFonts w:ascii="Arial" w:cs="Arial" w:eastAsia="Arial" w:hAnsi="Arial"/>
          <w:sz w:val="15"/>
          <w:szCs w:val="15"/>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This Finance Fee Letter is a Fee Letter as referred to in the Finance Contract.</w:t>
      </w:r>
    </w:p>
    <w:p>
      <w:pPr>
        <w:spacing w:after="0" w:line="153" w:lineRule="exact"/>
        <w:rPr>
          <w:sz w:val="20"/>
          <w:szCs w:val="20"/>
          <w:color w:val="auto"/>
        </w:rPr>
      </w:pPr>
    </w:p>
    <w:p>
      <w:pPr>
        <w:ind w:left="880" w:hanging="880"/>
        <w:spacing w:after="0"/>
        <w:tabs>
          <w:tab w:leader="none" w:pos="880" w:val="left"/>
        </w:tabs>
        <w:numPr>
          <w:ilvl w:val="0"/>
          <w:numId w:val="501"/>
        </w:numPr>
        <w:rPr>
          <w:rFonts w:ascii="Arial" w:cs="Arial" w:eastAsia="Arial" w:hAnsi="Arial"/>
          <w:sz w:val="15"/>
          <w:szCs w:val="15"/>
          <w:color w:val="auto"/>
        </w:rPr>
      </w:pPr>
      <w:r>
        <w:rPr>
          <w:rFonts w:ascii="Arial" w:cs="Arial" w:eastAsia="Arial" w:hAnsi="Arial"/>
          <w:sz w:val="15"/>
          <w:szCs w:val="15"/>
          <w:b w:val="1"/>
          <w:bCs w:val="1"/>
          <w:color w:val="auto"/>
        </w:rPr>
        <w:t>DEFINITIONS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 w:type="dxa"/>
            <w:vAlign w:val="bottom"/>
          </w:tcPr>
          <w:p>
            <w:pPr>
              <w:jc w:val="right"/>
              <w:ind w:right="287"/>
              <w:spacing w:after="0"/>
              <w:rPr>
                <w:sz w:val="20"/>
                <w:szCs w:val="20"/>
                <w:color w:val="auto"/>
              </w:rPr>
            </w:pPr>
            <w:r>
              <w:rPr>
                <w:rFonts w:ascii="Arial" w:cs="Arial" w:eastAsia="Arial" w:hAnsi="Arial"/>
                <w:sz w:val="15"/>
                <w:szCs w:val="15"/>
                <w:color w:val="auto"/>
                <w:w w:val="76"/>
              </w:rPr>
              <w:t>1.1</w:t>
            </w:r>
          </w:p>
        </w:tc>
        <w:tc>
          <w:tcPr>
            <w:tcW w:w="10740" w:type="dxa"/>
            <w:vAlign w:val="bottom"/>
          </w:tcPr>
          <w:p>
            <w:pPr>
              <w:ind w:left="340"/>
              <w:spacing w:after="0"/>
              <w:rPr>
                <w:sz w:val="20"/>
                <w:szCs w:val="20"/>
                <w:color w:val="auto"/>
              </w:rPr>
            </w:pPr>
            <w:r>
              <w:rPr>
                <w:rFonts w:ascii="Arial" w:cs="Arial" w:eastAsia="Arial" w:hAnsi="Arial"/>
                <w:sz w:val="15"/>
                <w:szCs w:val="15"/>
                <w:color w:val="auto"/>
                <w:w w:val="88"/>
              </w:rPr>
              <w:t>Terms defined in the Finance Contract shall have the same meaning when used in this Fee Letter, unless a contrary indication appears. This Fee Letter is a Finance Document.</w:t>
            </w:r>
          </w:p>
        </w:tc>
      </w:tr>
      <w:tr>
        <w:trPr>
          <w:trHeight w:val="330"/>
        </w:trPr>
        <w:tc>
          <w:tcPr>
            <w:tcW w:w="540" w:type="dxa"/>
            <w:vAlign w:val="bottom"/>
          </w:tcPr>
          <w:p>
            <w:pPr>
              <w:jc w:val="right"/>
              <w:ind w:right="287"/>
              <w:spacing w:after="0"/>
              <w:rPr>
                <w:sz w:val="20"/>
                <w:szCs w:val="20"/>
                <w:color w:val="auto"/>
              </w:rPr>
            </w:pPr>
            <w:r>
              <w:rPr>
                <w:rFonts w:ascii="Arial" w:cs="Arial" w:eastAsia="Arial" w:hAnsi="Arial"/>
                <w:sz w:val="15"/>
                <w:szCs w:val="15"/>
                <w:color w:val="auto"/>
                <w:w w:val="76"/>
              </w:rPr>
              <w:t>1.2</w:t>
            </w:r>
          </w:p>
        </w:tc>
        <w:tc>
          <w:tcPr>
            <w:tcW w:w="10740" w:type="dxa"/>
            <w:vAlign w:val="bottom"/>
          </w:tcPr>
          <w:p>
            <w:pPr>
              <w:ind w:left="340"/>
              <w:spacing w:after="0"/>
              <w:rPr>
                <w:sz w:val="20"/>
                <w:szCs w:val="20"/>
                <w:color w:val="auto"/>
              </w:rPr>
            </w:pPr>
            <w:r>
              <w:rPr>
                <w:rFonts w:ascii="Arial" w:cs="Arial" w:eastAsia="Arial" w:hAnsi="Arial"/>
                <w:sz w:val="15"/>
                <w:szCs w:val="15"/>
                <w:color w:val="auto"/>
              </w:rPr>
              <w:t>In this Fee Letter:</w:t>
            </w:r>
          </w:p>
        </w:tc>
      </w:tr>
      <w:tr>
        <w:trPr>
          <w:trHeight w:val="313"/>
        </w:trPr>
        <w:tc>
          <w:tcPr>
            <w:tcW w:w="540" w:type="dxa"/>
            <w:vAlign w:val="bottom"/>
          </w:tcPr>
          <w:p>
            <w:pPr>
              <w:spacing w:after="0"/>
              <w:rPr>
                <w:sz w:val="24"/>
                <w:szCs w:val="24"/>
                <w:color w:val="auto"/>
              </w:rPr>
            </w:pPr>
          </w:p>
        </w:tc>
        <w:tc>
          <w:tcPr>
            <w:tcW w:w="10740" w:type="dxa"/>
            <w:vAlign w:val="bottom"/>
          </w:tcPr>
          <w:p>
            <w:pPr>
              <w:ind w:left="360"/>
              <w:spacing w:after="0"/>
              <w:rPr>
                <w:sz w:val="20"/>
                <w:szCs w:val="20"/>
                <w:color w:val="auto"/>
              </w:rPr>
            </w:pPr>
            <w:r>
              <w:rPr>
                <w:rFonts w:ascii="Arial" w:cs="Arial" w:eastAsia="Arial" w:hAnsi="Arial"/>
                <w:sz w:val="15"/>
                <w:szCs w:val="15"/>
                <w:color w:val="auto"/>
                <w:w w:val="93"/>
              </w:rPr>
              <w:t>"</w:t>
            </w:r>
            <w:r>
              <w:rPr>
                <w:rFonts w:ascii="Arial" w:cs="Arial" w:eastAsia="Arial" w:hAnsi="Arial"/>
                <w:sz w:val="15"/>
                <w:szCs w:val="15"/>
                <w:b w:val="1"/>
                <w:bCs w:val="1"/>
                <w:color w:val="auto"/>
                <w:w w:val="93"/>
              </w:rPr>
              <w:t>Cancellation Fee</w:t>
            </w:r>
            <w:r>
              <w:rPr>
                <w:rFonts w:ascii="Arial" w:cs="Arial" w:eastAsia="Arial" w:hAnsi="Arial"/>
                <w:sz w:val="15"/>
                <w:szCs w:val="15"/>
                <w:color w:val="auto"/>
                <w:w w:val="93"/>
              </w:rPr>
              <w:t>" means, in relation to the cancellation of an Accepted Tranche by the Borrower under Sub-Paragraph (a) of Article 2.6 (</w:t>
            </w:r>
            <w:r>
              <w:rPr>
                <w:rFonts w:ascii="Arial" w:cs="Arial" w:eastAsia="Arial" w:hAnsi="Arial"/>
                <w:sz w:val="15"/>
                <w:szCs w:val="15"/>
                <w:i w:val="1"/>
                <w:iCs w:val="1"/>
                <w:color w:val="auto"/>
                <w:w w:val="93"/>
              </w:rPr>
              <w:t>Cancellation</w:t>
            </w:r>
            <w:r>
              <w:rPr>
                <w:rFonts w:ascii="Arial" w:cs="Arial" w:eastAsia="Arial" w:hAnsi="Arial"/>
                <w:sz w:val="15"/>
                <w:szCs w:val="15"/>
                <w:color w:val="auto"/>
                <w:w w:val="93"/>
              </w:rPr>
              <w:t>) of the Finance</w:t>
            </w:r>
          </w:p>
        </w:tc>
      </w:tr>
      <w:tr>
        <w:trPr>
          <w:trHeight w:val="170"/>
        </w:trPr>
        <w:tc>
          <w:tcPr>
            <w:tcW w:w="540" w:type="dxa"/>
            <w:vAlign w:val="bottom"/>
          </w:tcPr>
          <w:p>
            <w:pPr>
              <w:spacing w:after="0"/>
              <w:rPr>
                <w:sz w:val="14"/>
                <w:szCs w:val="14"/>
                <w:color w:val="auto"/>
              </w:rPr>
            </w:pPr>
          </w:p>
        </w:tc>
        <w:tc>
          <w:tcPr>
            <w:tcW w:w="10740" w:type="dxa"/>
            <w:vAlign w:val="bottom"/>
          </w:tcPr>
          <w:p>
            <w:pPr>
              <w:ind w:left="360"/>
              <w:spacing w:after="0" w:line="170" w:lineRule="exact"/>
              <w:rPr>
                <w:sz w:val="20"/>
                <w:szCs w:val="20"/>
                <w:color w:val="auto"/>
              </w:rPr>
            </w:pPr>
            <w:r>
              <w:rPr>
                <w:rFonts w:ascii="Arial" w:cs="Arial" w:eastAsia="Arial" w:hAnsi="Arial"/>
                <w:sz w:val="15"/>
                <w:szCs w:val="15"/>
                <w:color w:val="auto"/>
                <w:w w:val="89"/>
              </w:rPr>
              <w:t>Contract, or in relation to an amount cancelled by the Bank under Sub-Paragraphs (b) or (c) of Article 2.6 (</w:t>
            </w:r>
            <w:r>
              <w:rPr>
                <w:rFonts w:ascii="Arial" w:cs="Arial" w:eastAsia="Arial" w:hAnsi="Arial"/>
                <w:sz w:val="15"/>
                <w:szCs w:val="15"/>
                <w:i w:val="1"/>
                <w:iCs w:val="1"/>
                <w:color w:val="auto"/>
                <w:w w:val="89"/>
              </w:rPr>
              <w:t>Cancellation</w:t>
            </w:r>
            <w:r>
              <w:rPr>
                <w:rFonts w:ascii="Arial" w:cs="Arial" w:eastAsia="Arial" w:hAnsi="Arial"/>
                <w:sz w:val="15"/>
                <w:szCs w:val="15"/>
                <w:color w:val="auto"/>
                <w:w w:val="89"/>
              </w:rPr>
              <w:t>) of the Finance Contract, a fee of 2% (200 basis points)</w:t>
            </w:r>
          </w:p>
        </w:tc>
      </w:tr>
      <w:tr>
        <w:trPr>
          <w:trHeight w:val="187"/>
        </w:trPr>
        <w:tc>
          <w:tcPr>
            <w:tcW w:w="540" w:type="dxa"/>
            <w:vAlign w:val="bottom"/>
          </w:tcPr>
          <w:p>
            <w:pPr>
              <w:spacing w:after="0"/>
              <w:rPr>
                <w:sz w:val="16"/>
                <w:szCs w:val="16"/>
                <w:color w:val="auto"/>
              </w:rPr>
            </w:pPr>
          </w:p>
        </w:tc>
        <w:tc>
          <w:tcPr>
            <w:tcW w:w="10740" w:type="dxa"/>
            <w:vAlign w:val="bottom"/>
          </w:tcPr>
          <w:p>
            <w:pPr>
              <w:ind w:left="360"/>
              <w:spacing w:after="0"/>
              <w:rPr>
                <w:sz w:val="20"/>
                <w:szCs w:val="20"/>
                <w:color w:val="auto"/>
              </w:rPr>
            </w:pPr>
            <w:r>
              <w:rPr>
                <w:rFonts w:ascii="Arial" w:cs="Arial" w:eastAsia="Arial" w:hAnsi="Arial"/>
                <w:sz w:val="15"/>
                <w:szCs w:val="15"/>
                <w:color w:val="auto"/>
              </w:rPr>
              <w:t>of the cancelled amount.</w:t>
            </w:r>
          </w:p>
        </w:tc>
      </w:tr>
    </w:tbl>
    <w:p>
      <w:pPr>
        <w:spacing w:after="0" w:line="139" w:lineRule="exact"/>
        <w:rPr>
          <w:sz w:val="20"/>
          <w:szCs w:val="20"/>
          <w:color w:val="auto"/>
        </w:rPr>
      </w:pPr>
    </w:p>
    <w:p>
      <w:pPr>
        <w:ind w:left="880" w:hanging="880"/>
        <w:spacing w:after="0"/>
        <w:tabs>
          <w:tab w:leader="none" w:pos="880" w:val="left"/>
        </w:tabs>
        <w:numPr>
          <w:ilvl w:val="0"/>
          <w:numId w:val="502"/>
        </w:numPr>
        <w:rPr>
          <w:rFonts w:ascii="Arial" w:cs="Arial" w:eastAsia="Arial" w:hAnsi="Arial"/>
          <w:sz w:val="15"/>
          <w:szCs w:val="15"/>
          <w:color w:val="auto"/>
        </w:rPr>
      </w:pPr>
      <w:r>
        <w:rPr>
          <w:rFonts w:ascii="Arial" w:cs="Arial" w:eastAsia="Arial" w:hAnsi="Arial"/>
          <w:sz w:val="15"/>
          <w:szCs w:val="15"/>
          <w:b w:val="1"/>
          <w:bCs w:val="1"/>
          <w:color w:val="auto"/>
        </w:rPr>
        <w:t>STANDBY FEE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jc w:val="right"/>
              <w:ind w:right="287"/>
              <w:spacing w:after="0"/>
              <w:rPr>
                <w:sz w:val="20"/>
                <w:szCs w:val="20"/>
                <w:color w:val="auto"/>
              </w:rPr>
            </w:pPr>
            <w:r>
              <w:rPr>
                <w:rFonts w:ascii="Arial" w:cs="Arial" w:eastAsia="Arial" w:hAnsi="Arial"/>
                <w:sz w:val="15"/>
                <w:szCs w:val="15"/>
                <w:color w:val="auto"/>
                <w:w w:val="76"/>
              </w:rPr>
              <w:t>2.1</w:t>
            </w:r>
          </w:p>
        </w:tc>
        <w:tc>
          <w:tcPr>
            <w:tcW w:w="10760" w:type="dxa"/>
            <w:vAlign w:val="bottom"/>
          </w:tcPr>
          <w:p>
            <w:pPr>
              <w:ind w:left="340"/>
              <w:spacing w:after="0"/>
              <w:rPr>
                <w:sz w:val="20"/>
                <w:szCs w:val="20"/>
                <w:color w:val="auto"/>
              </w:rPr>
            </w:pPr>
            <w:r>
              <w:rPr>
                <w:rFonts w:ascii="Arial" w:cs="Arial" w:eastAsia="Arial" w:hAnsi="Arial"/>
                <w:sz w:val="15"/>
                <w:szCs w:val="15"/>
                <w:color w:val="auto"/>
                <w:w w:val="91"/>
              </w:rPr>
              <w:t>If no Disbursement Offer is made by the Bank within [***] years from the date of the Finance Contract or in case the Credit is cancelled in full under Article 2.6 (</w:t>
            </w:r>
            <w:r>
              <w:rPr>
                <w:rFonts w:ascii="Arial" w:cs="Arial" w:eastAsia="Arial" w:hAnsi="Arial"/>
                <w:sz w:val="15"/>
                <w:szCs w:val="15"/>
                <w:i w:val="1"/>
                <w:iCs w:val="1"/>
                <w:color w:val="auto"/>
                <w:w w:val="91"/>
              </w:rPr>
              <w:t>Cancellation</w:t>
            </w:r>
            <w:r>
              <w:rPr>
                <w:rFonts w:ascii="Arial" w:cs="Arial" w:eastAsia="Arial" w:hAnsi="Arial"/>
                <w:sz w:val="15"/>
                <w:szCs w:val="15"/>
                <w:color w:val="auto"/>
                <w:w w:val="91"/>
              </w:rPr>
              <w:t>)</w:t>
            </w:r>
          </w:p>
        </w:tc>
      </w:tr>
      <w:tr>
        <w:trPr>
          <w:trHeight w:val="187"/>
        </w:trPr>
        <w:tc>
          <w:tcPr>
            <w:tcW w:w="540" w:type="dxa"/>
            <w:vAlign w:val="bottom"/>
          </w:tcPr>
          <w:p>
            <w:pPr>
              <w:spacing w:after="0"/>
              <w:rPr>
                <w:sz w:val="16"/>
                <w:szCs w:val="16"/>
                <w:color w:val="auto"/>
              </w:rPr>
            </w:pPr>
          </w:p>
        </w:tc>
        <w:tc>
          <w:tcPr>
            <w:tcW w:w="10760" w:type="dxa"/>
            <w:vAlign w:val="bottom"/>
          </w:tcPr>
          <w:p>
            <w:pPr>
              <w:ind w:left="340"/>
              <w:spacing w:after="0"/>
              <w:rPr>
                <w:sz w:val="20"/>
                <w:szCs w:val="20"/>
                <w:color w:val="auto"/>
              </w:rPr>
            </w:pPr>
            <w:r>
              <w:rPr>
                <w:rFonts w:ascii="Arial" w:cs="Arial" w:eastAsia="Arial" w:hAnsi="Arial"/>
                <w:sz w:val="15"/>
                <w:szCs w:val="15"/>
                <w:color w:val="auto"/>
              </w:rPr>
              <w:t>of the Finance</w:t>
            </w:r>
          </w:p>
        </w:tc>
      </w:tr>
      <w:tr>
        <w:trPr>
          <w:trHeight w:val="424"/>
        </w:trPr>
        <w:tc>
          <w:tcPr>
            <w:tcW w:w="540" w:type="dxa"/>
            <w:vAlign w:val="bottom"/>
          </w:tcPr>
          <w:p>
            <w:pPr>
              <w:spacing w:after="0"/>
              <w:rPr>
                <w:sz w:val="24"/>
                <w:szCs w:val="24"/>
                <w:color w:val="auto"/>
              </w:rPr>
            </w:pPr>
          </w:p>
        </w:tc>
        <w:tc>
          <w:tcPr>
            <w:tcW w:w="10760" w:type="dxa"/>
            <w:vAlign w:val="bottom"/>
          </w:tcPr>
          <w:p>
            <w:pPr>
              <w:jc w:val="right"/>
              <w:ind w:right="5576"/>
              <w:spacing w:after="0"/>
              <w:rPr>
                <w:sz w:val="20"/>
                <w:szCs w:val="20"/>
                <w:color w:val="auto"/>
              </w:rPr>
            </w:pPr>
            <w:r>
              <w:rPr>
                <w:rFonts w:ascii="Arial" w:cs="Arial" w:eastAsia="Arial" w:hAnsi="Arial"/>
                <w:sz w:val="9"/>
                <w:szCs w:val="9"/>
                <w:color w:val="auto"/>
              </w:rPr>
              <w:t>1</w:t>
            </w:r>
          </w:p>
        </w:tc>
      </w:tr>
      <w:tr>
        <w:trPr>
          <w:trHeight w:val="172"/>
        </w:trPr>
        <w:tc>
          <w:tcPr>
            <w:tcW w:w="540" w:type="dxa"/>
            <w:vAlign w:val="bottom"/>
            <w:tcBorders>
              <w:bottom w:val="single" w:sz="8" w:color="9A9A9A"/>
            </w:tcBorders>
          </w:tcPr>
          <w:p>
            <w:pPr>
              <w:spacing w:after="0"/>
              <w:rPr>
                <w:sz w:val="14"/>
                <w:szCs w:val="14"/>
                <w:color w:val="auto"/>
              </w:rPr>
            </w:pPr>
          </w:p>
        </w:tc>
        <w:tc>
          <w:tcPr>
            <w:tcW w:w="107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-5715</wp:posOffset>
            </wp:positionV>
            <wp:extent cx="6350"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6350" cy="127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5">
                      <a:extLst>
                        <a:ext uri="{28A0092B-C50C-407E-A947-70E740481C1C}"/>
                      </a:extLst>
                    </a:blip>
                    <a:srcRect/>
                    <a:stretch>
                      <a:fillRect/>
                    </a:stretch>
                  </pic:blipFill>
                  <pic:spPr bwMode="auto">
                    <a:xfrm>
                      <a:off x="0" y="0"/>
                      <a:ext cx="6350" cy="1270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type w:val="continuous"/>
        </w:sectPr>
      </w:pPr>
    </w:p>
    <w:bookmarkStart w:id="403" w:name="page404"/>
    <w:bookmarkEnd w:id="403"/>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w w:val="94"/>
              </w:rPr>
              <w:t>Contract prior to the expiry of this term, the Borrower shall pay to the Bank a one-off contractual fee equal to 1% (100 basis points) of the Credit (the "</w:t>
            </w:r>
            <w:r>
              <w:rPr>
                <w:rFonts w:ascii="Arial" w:cs="Arial" w:eastAsia="Arial" w:hAnsi="Arial"/>
                <w:sz w:val="15"/>
                <w:szCs w:val="15"/>
                <w:b w:val="1"/>
                <w:bCs w:val="1"/>
                <w:color w:val="auto"/>
                <w:w w:val="94"/>
              </w:rPr>
              <w:t>Standby Fee</w:t>
            </w:r>
            <w:r>
              <w:rPr>
                <w:rFonts w:ascii="Arial" w:cs="Arial" w:eastAsia="Arial" w:hAnsi="Arial"/>
                <w:sz w:val="15"/>
                <w:szCs w:val="15"/>
                <w:color w:val="auto"/>
                <w:w w:val="94"/>
              </w:rPr>
              <w:t>").</w:t>
            </w:r>
          </w:p>
        </w:tc>
      </w:tr>
      <w:tr>
        <w:trPr>
          <w:trHeight w:val="313"/>
        </w:trPr>
        <w:tc>
          <w:tcPr>
            <w:tcW w:w="540" w:type="dxa"/>
            <w:vAlign w:val="bottom"/>
          </w:tcPr>
          <w:p>
            <w:pPr>
              <w:jc w:val="right"/>
              <w:ind w:right="287"/>
              <w:spacing w:after="0"/>
              <w:rPr>
                <w:sz w:val="20"/>
                <w:szCs w:val="20"/>
                <w:color w:val="auto"/>
              </w:rPr>
            </w:pPr>
            <w:r>
              <w:rPr>
                <w:rFonts w:ascii="Arial" w:cs="Arial" w:eastAsia="Arial" w:hAnsi="Arial"/>
                <w:sz w:val="15"/>
                <w:szCs w:val="15"/>
                <w:color w:val="auto"/>
                <w:w w:val="76"/>
              </w:rPr>
              <w:t>2.2</w:t>
            </w:r>
          </w:p>
        </w:tc>
        <w:tc>
          <w:tcPr>
            <w:tcW w:w="10740" w:type="dxa"/>
            <w:vAlign w:val="bottom"/>
          </w:tcPr>
          <w:p>
            <w:pPr>
              <w:ind w:left="340"/>
              <w:spacing w:after="0"/>
              <w:rPr>
                <w:sz w:val="20"/>
                <w:szCs w:val="20"/>
                <w:color w:val="auto"/>
              </w:rPr>
            </w:pPr>
            <w:r>
              <w:rPr>
                <w:rFonts w:ascii="Arial" w:cs="Arial" w:eastAsia="Arial" w:hAnsi="Arial"/>
                <w:sz w:val="15"/>
                <w:szCs w:val="15"/>
                <w:color w:val="auto"/>
                <w:w w:val="92"/>
              </w:rPr>
              <w:t>The Standby Fee shall be payable by the Borrower to the Bank within [***] days of the Borrower’s receipt of the Bank’s demand or within any longer period specified in the</w:t>
            </w:r>
          </w:p>
        </w:tc>
      </w:tr>
      <w:tr>
        <w:trPr>
          <w:trHeight w:val="187"/>
        </w:trPr>
        <w:tc>
          <w:tcPr>
            <w:tcW w:w="54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Bank’s demand.</w:t>
            </w:r>
          </w:p>
        </w:tc>
      </w:tr>
    </w:tbl>
    <w:p>
      <w:pPr>
        <w:spacing w:after="0" w:line="139" w:lineRule="exact"/>
        <w:rPr>
          <w:sz w:val="20"/>
          <w:szCs w:val="20"/>
          <w:color w:val="auto"/>
        </w:rPr>
      </w:pPr>
    </w:p>
    <w:p>
      <w:pPr>
        <w:ind w:left="880" w:hanging="880"/>
        <w:spacing w:after="0"/>
        <w:tabs>
          <w:tab w:leader="none" w:pos="880" w:val="left"/>
        </w:tabs>
        <w:numPr>
          <w:ilvl w:val="0"/>
          <w:numId w:val="503"/>
        </w:numPr>
        <w:rPr>
          <w:rFonts w:ascii="Arial" w:cs="Arial" w:eastAsia="Arial" w:hAnsi="Arial"/>
          <w:sz w:val="15"/>
          <w:szCs w:val="15"/>
          <w:color w:val="auto"/>
        </w:rPr>
      </w:pPr>
      <w:r>
        <w:rPr>
          <w:rFonts w:ascii="Arial" w:cs="Arial" w:eastAsia="Arial" w:hAnsi="Arial"/>
          <w:sz w:val="15"/>
          <w:szCs w:val="15"/>
          <w:b w:val="1"/>
          <w:bCs w:val="1"/>
          <w:color w:val="auto"/>
        </w:rPr>
        <w:t>CANCELLATION FEE</w:t>
      </w:r>
    </w:p>
    <w:p>
      <w:pPr>
        <w:spacing w:after="0" w:line="161" w:lineRule="exact"/>
        <w:rPr>
          <w:rFonts w:ascii="Arial" w:cs="Arial" w:eastAsia="Arial" w:hAnsi="Arial"/>
          <w:sz w:val="15"/>
          <w:szCs w:val="15"/>
          <w:color w:val="auto"/>
        </w:rPr>
      </w:pPr>
    </w:p>
    <w:p>
      <w:pPr>
        <w:jc w:val="both"/>
        <w:ind w:left="900"/>
        <w:spacing w:after="0" w:line="246" w:lineRule="auto"/>
        <w:rPr>
          <w:rFonts w:ascii="Arial" w:cs="Arial" w:eastAsia="Arial" w:hAnsi="Arial"/>
          <w:sz w:val="15"/>
          <w:szCs w:val="15"/>
          <w:color w:val="auto"/>
        </w:rPr>
      </w:pPr>
      <w:r>
        <w:rPr>
          <w:rFonts w:ascii="Arial" w:cs="Arial" w:eastAsia="Arial" w:hAnsi="Arial"/>
          <w:sz w:val="15"/>
          <w:szCs w:val="15"/>
          <w:color w:val="auto"/>
        </w:rPr>
        <w:t>If the Borrower pursuant to Article 2.7(a) (</w:t>
      </w:r>
      <w:r>
        <w:rPr>
          <w:rFonts w:ascii="Arial" w:cs="Arial" w:eastAsia="Arial" w:hAnsi="Arial"/>
          <w:sz w:val="15"/>
          <w:szCs w:val="15"/>
          <w:i w:val="1"/>
          <w:iCs w:val="1"/>
          <w:color w:val="auto"/>
        </w:rPr>
        <w:t>Fee for cancellation of an Accepted Tranche</w:t>
      </w:r>
      <w:r>
        <w:rPr>
          <w:rFonts w:ascii="Arial" w:cs="Arial" w:eastAsia="Arial" w:hAnsi="Arial"/>
          <w:sz w:val="15"/>
          <w:szCs w:val="15"/>
          <w:color w:val="auto"/>
        </w:rPr>
        <w:t>) or the Bank pursuant to Article 2.7(b) (</w:t>
      </w:r>
      <w:r>
        <w:rPr>
          <w:rFonts w:ascii="Arial" w:cs="Arial" w:eastAsia="Arial" w:hAnsi="Arial"/>
          <w:sz w:val="15"/>
          <w:szCs w:val="15"/>
          <w:i w:val="1"/>
          <w:iCs w:val="1"/>
          <w:color w:val="auto"/>
        </w:rPr>
        <w:t>Fee for cancellation of an Accepted Tranche</w:t>
      </w:r>
      <w:r>
        <w:rPr>
          <w:rFonts w:ascii="Arial" w:cs="Arial" w:eastAsia="Arial" w:hAnsi="Arial"/>
          <w:sz w:val="15"/>
          <w:szCs w:val="15"/>
          <w:color w:val="auto"/>
        </w:rPr>
        <w:t>) or Article 2.7(c) (</w:t>
      </w:r>
      <w:r>
        <w:rPr>
          <w:rFonts w:ascii="Arial" w:cs="Arial" w:eastAsia="Arial" w:hAnsi="Arial"/>
          <w:sz w:val="15"/>
          <w:szCs w:val="15"/>
          <w:i w:val="1"/>
          <w:iCs w:val="1"/>
          <w:color w:val="auto"/>
        </w:rPr>
        <w:t>Fee for cancellation of an Accepted Tranche</w:t>
      </w:r>
      <w:r>
        <w:rPr>
          <w:rFonts w:ascii="Arial" w:cs="Arial" w:eastAsia="Arial" w:hAnsi="Arial"/>
          <w:sz w:val="15"/>
          <w:szCs w:val="15"/>
          <w:color w:val="auto"/>
        </w:rPr>
        <w:t>) of the Finance Contract cancels an Accepted Tranche, the Borrower shall pay to the Bank the relevant Cancellation Fee.</w:t>
      </w:r>
    </w:p>
    <w:p>
      <w:pPr>
        <w:spacing w:after="0" w:line="135" w:lineRule="exact"/>
        <w:rPr>
          <w:rFonts w:ascii="Arial" w:cs="Arial" w:eastAsia="Arial" w:hAnsi="Arial"/>
          <w:sz w:val="15"/>
          <w:szCs w:val="15"/>
          <w:color w:val="auto"/>
        </w:rPr>
      </w:pPr>
    </w:p>
    <w:p>
      <w:pPr>
        <w:ind w:left="880" w:hanging="880"/>
        <w:spacing w:after="0"/>
        <w:tabs>
          <w:tab w:leader="none" w:pos="880" w:val="left"/>
        </w:tabs>
        <w:numPr>
          <w:ilvl w:val="0"/>
          <w:numId w:val="503"/>
        </w:numPr>
        <w:rPr>
          <w:rFonts w:ascii="Arial" w:cs="Arial" w:eastAsia="Arial" w:hAnsi="Arial"/>
          <w:sz w:val="15"/>
          <w:szCs w:val="15"/>
          <w:color w:val="auto"/>
        </w:rPr>
      </w:pPr>
      <w:r>
        <w:rPr>
          <w:rFonts w:ascii="Arial" w:cs="Arial" w:eastAsia="Arial" w:hAnsi="Arial"/>
          <w:sz w:val="15"/>
          <w:szCs w:val="15"/>
          <w:b w:val="1"/>
          <w:bCs w:val="1"/>
          <w:color w:val="auto"/>
        </w:rPr>
        <w:t>MISCELLANEOUS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jc w:val="right"/>
              <w:ind w:right="287"/>
              <w:spacing w:after="0"/>
              <w:rPr>
                <w:sz w:val="20"/>
                <w:szCs w:val="20"/>
                <w:color w:val="auto"/>
              </w:rPr>
            </w:pPr>
            <w:r>
              <w:rPr>
                <w:rFonts w:ascii="Arial" w:cs="Arial" w:eastAsia="Arial" w:hAnsi="Arial"/>
                <w:sz w:val="15"/>
                <w:szCs w:val="15"/>
                <w:color w:val="auto"/>
                <w:w w:val="76"/>
              </w:rPr>
              <w:t>4.1</w:t>
            </w:r>
          </w:p>
        </w:tc>
        <w:tc>
          <w:tcPr>
            <w:tcW w:w="10740" w:type="dxa"/>
            <w:vAlign w:val="bottom"/>
          </w:tcPr>
          <w:p>
            <w:pPr>
              <w:ind w:left="340"/>
              <w:spacing w:after="0"/>
              <w:rPr>
                <w:sz w:val="20"/>
                <w:szCs w:val="20"/>
                <w:color w:val="auto"/>
              </w:rPr>
            </w:pPr>
            <w:r>
              <w:rPr>
                <w:rFonts w:ascii="Arial" w:cs="Arial" w:eastAsia="Arial" w:hAnsi="Arial"/>
                <w:sz w:val="15"/>
                <w:szCs w:val="15"/>
                <w:color w:val="auto"/>
                <w:w w:val="89"/>
              </w:rPr>
              <w:t>The provisions of Article 2.10 (</w:t>
            </w:r>
            <w:r>
              <w:rPr>
                <w:rFonts w:ascii="Arial" w:cs="Arial" w:eastAsia="Arial" w:hAnsi="Arial"/>
                <w:sz w:val="15"/>
                <w:szCs w:val="15"/>
                <w:i w:val="1"/>
                <w:iCs w:val="1"/>
                <w:color w:val="auto"/>
                <w:w w:val="89"/>
              </w:rPr>
              <w:t>Sums due under Article 2</w:t>
            </w:r>
            <w:r>
              <w:rPr>
                <w:rFonts w:ascii="Arial" w:cs="Arial" w:eastAsia="Arial" w:hAnsi="Arial"/>
                <w:sz w:val="15"/>
                <w:szCs w:val="15"/>
                <w:color w:val="auto"/>
                <w:w w:val="89"/>
              </w:rPr>
              <w:t>) and Article 8.1 (</w:t>
            </w:r>
            <w:r>
              <w:rPr>
                <w:rFonts w:ascii="Arial" w:cs="Arial" w:eastAsia="Arial" w:hAnsi="Arial"/>
                <w:sz w:val="15"/>
                <w:szCs w:val="15"/>
                <w:i w:val="1"/>
                <w:iCs w:val="1"/>
                <w:color w:val="auto"/>
                <w:w w:val="89"/>
              </w:rPr>
              <w:t>Taxes, duties and fees</w:t>
            </w:r>
            <w:r>
              <w:rPr>
                <w:rFonts w:ascii="Arial" w:cs="Arial" w:eastAsia="Arial" w:hAnsi="Arial"/>
                <w:sz w:val="15"/>
                <w:szCs w:val="15"/>
                <w:color w:val="auto"/>
                <w:w w:val="89"/>
              </w:rPr>
              <w:t>) of the Finance Contract shall apply to all payments made or to be made under</w:t>
            </w:r>
          </w:p>
        </w:tc>
      </w:tr>
      <w:tr>
        <w:trPr>
          <w:trHeight w:val="187"/>
        </w:trPr>
        <w:tc>
          <w:tcPr>
            <w:tcW w:w="54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this Fee Letter.</w:t>
            </w:r>
          </w:p>
        </w:tc>
      </w:tr>
      <w:tr>
        <w:trPr>
          <w:trHeight w:val="330"/>
        </w:trPr>
        <w:tc>
          <w:tcPr>
            <w:tcW w:w="540" w:type="dxa"/>
            <w:vAlign w:val="bottom"/>
          </w:tcPr>
          <w:p>
            <w:pPr>
              <w:jc w:val="right"/>
              <w:ind w:right="287"/>
              <w:spacing w:after="0"/>
              <w:rPr>
                <w:sz w:val="20"/>
                <w:szCs w:val="20"/>
                <w:color w:val="auto"/>
              </w:rPr>
            </w:pPr>
            <w:r>
              <w:rPr>
                <w:rFonts w:ascii="Arial" w:cs="Arial" w:eastAsia="Arial" w:hAnsi="Arial"/>
                <w:sz w:val="15"/>
                <w:szCs w:val="15"/>
                <w:color w:val="auto"/>
                <w:w w:val="76"/>
              </w:rPr>
              <w:t>4.2</w:t>
            </w:r>
          </w:p>
        </w:tc>
        <w:tc>
          <w:tcPr>
            <w:tcW w:w="10740" w:type="dxa"/>
            <w:vAlign w:val="bottom"/>
          </w:tcPr>
          <w:p>
            <w:pPr>
              <w:ind w:left="340"/>
              <w:spacing w:after="0"/>
              <w:rPr>
                <w:sz w:val="20"/>
                <w:szCs w:val="20"/>
                <w:color w:val="auto"/>
              </w:rPr>
            </w:pPr>
            <w:r>
              <w:rPr>
                <w:rFonts w:ascii="Arial" w:cs="Arial" w:eastAsia="Arial" w:hAnsi="Arial"/>
                <w:sz w:val="15"/>
                <w:szCs w:val="15"/>
                <w:color w:val="auto"/>
                <w:w w:val="99"/>
              </w:rPr>
              <w:t>If the date on which a fee under this Fee Letter is due to be paid is not a Relevant Business Day, payment shall be made on the next Relevant Business Day.</w:t>
            </w:r>
          </w:p>
        </w:tc>
      </w:tr>
    </w:tbl>
    <w:p>
      <w:pPr>
        <w:spacing w:after="0" w:line="139" w:lineRule="exact"/>
        <w:rPr>
          <w:sz w:val="20"/>
          <w:szCs w:val="20"/>
          <w:color w:val="auto"/>
        </w:rPr>
      </w:pPr>
    </w:p>
    <w:p>
      <w:pPr>
        <w:ind w:left="880" w:hanging="880"/>
        <w:spacing w:after="0"/>
        <w:tabs>
          <w:tab w:leader="none" w:pos="880" w:val="left"/>
        </w:tabs>
        <w:numPr>
          <w:ilvl w:val="0"/>
          <w:numId w:val="504"/>
        </w:numPr>
        <w:rPr>
          <w:rFonts w:ascii="Arial" w:cs="Arial" w:eastAsia="Arial" w:hAnsi="Arial"/>
          <w:sz w:val="15"/>
          <w:szCs w:val="15"/>
          <w:color w:val="auto"/>
        </w:rPr>
      </w:pPr>
      <w:r>
        <w:rPr>
          <w:rFonts w:ascii="Arial" w:cs="Arial" w:eastAsia="Arial" w:hAnsi="Arial"/>
          <w:sz w:val="15"/>
          <w:szCs w:val="15"/>
          <w:b w:val="1"/>
          <w:bCs w:val="1"/>
          <w:color w:val="auto"/>
        </w:rPr>
        <w:t>COUNTERPARTS</w:t>
      </w:r>
    </w:p>
    <w:p>
      <w:pPr>
        <w:spacing w:after="0" w:line="16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3"/>
          <w:szCs w:val="13"/>
          <w:color w:val="auto"/>
        </w:rPr>
        <w:t>This Fee Letter may be executed in any number of counterparts, and this has the same effect as if the signatures on the counterparts were on a single copy of this Fee Letter.</w:t>
      </w:r>
    </w:p>
    <w:p>
      <w:pPr>
        <w:spacing w:after="0" w:line="176" w:lineRule="exact"/>
        <w:rPr>
          <w:rFonts w:ascii="Arial" w:cs="Arial" w:eastAsia="Arial" w:hAnsi="Arial"/>
          <w:sz w:val="15"/>
          <w:szCs w:val="15"/>
          <w:color w:val="auto"/>
        </w:rPr>
      </w:pPr>
    </w:p>
    <w:p>
      <w:pPr>
        <w:ind w:left="880" w:hanging="880"/>
        <w:spacing w:after="0"/>
        <w:tabs>
          <w:tab w:leader="none" w:pos="880" w:val="left"/>
        </w:tabs>
        <w:numPr>
          <w:ilvl w:val="0"/>
          <w:numId w:val="504"/>
        </w:numPr>
        <w:rPr>
          <w:rFonts w:ascii="Arial" w:cs="Arial" w:eastAsia="Arial" w:hAnsi="Arial"/>
          <w:sz w:val="15"/>
          <w:szCs w:val="15"/>
          <w:color w:val="auto"/>
        </w:rPr>
      </w:pPr>
      <w:r>
        <w:rPr>
          <w:rFonts w:ascii="Arial" w:cs="Arial" w:eastAsia="Arial" w:hAnsi="Arial"/>
          <w:sz w:val="15"/>
          <w:szCs w:val="15"/>
          <w:b w:val="1"/>
          <w:bCs w:val="1"/>
          <w:color w:val="auto"/>
        </w:rPr>
        <w:t>GOVERNING LAW</w:t>
      </w:r>
    </w:p>
    <w:p>
      <w:pPr>
        <w:spacing w:after="0" w:line="161" w:lineRule="exact"/>
        <w:rPr>
          <w:rFonts w:ascii="Arial" w:cs="Arial" w:eastAsia="Arial" w:hAnsi="Arial"/>
          <w:sz w:val="15"/>
          <w:szCs w:val="15"/>
          <w:color w:val="auto"/>
        </w:rPr>
      </w:pPr>
    </w:p>
    <w:p>
      <w:pPr>
        <w:ind w:left="900"/>
        <w:spacing w:after="0" w:line="256" w:lineRule="auto"/>
        <w:rPr>
          <w:rFonts w:ascii="Arial" w:cs="Arial" w:eastAsia="Arial" w:hAnsi="Arial"/>
          <w:sz w:val="15"/>
          <w:szCs w:val="15"/>
          <w:color w:val="auto"/>
        </w:rPr>
      </w:pPr>
      <w:r>
        <w:rPr>
          <w:rFonts w:ascii="Arial" w:cs="Arial" w:eastAsia="Arial" w:hAnsi="Arial"/>
          <w:sz w:val="15"/>
          <w:szCs w:val="15"/>
          <w:color w:val="auto"/>
        </w:rPr>
        <w:t>This Fee Letter and any non-contractual obligations arising out of or in connection with it are governed by Luxembourg law. The parties submit to the exclusive jurisdiction of the Luxembourg courts.</w:t>
      </w:r>
    </w:p>
    <w:p>
      <w:pPr>
        <w:spacing w:after="0" w:line="13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If you agree to the above, please sign, date and return to the Bank the enclosed copy of this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80580" cy="127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6">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04" w:name="page405"/>
    <w:bookmarkEnd w:id="404"/>
    <w:p>
      <w:pPr>
        <w:spacing w:after="0"/>
        <w:rPr>
          <w:sz w:val="20"/>
          <w:szCs w:val="20"/>
          <w:color w:val="auto"/>
        </w:rPr>
      </w:pPr>
      <w:r>
        <w:rPr>
          <w:rFonts w:ascii="Arial" w:cs="Arial" w:eastAsia="Arial" w:hAnsi="Arial"/>
          <w:sz w:val="15"/>
          <w:szCs w:val="15"/>
          <w:color w:val="auto"/>
        </w:rPr>
        <w:t>Yours faithfully</w:t>
      </w:r>
    </w:p>
    <w:p>
      <w:pPr>
        <w:spacing w:after="0" w:line="200" w:lineRule="exact"/>
        <w:rPr>
          <w:sz w:val="20"/>
          <w:szCs w:val="20"/>
          <w:color w:val="auto"/>
        </w:rPr>
      </w:pPr>
    </w:p>
    <w:p>
      <w:pPr>
        <w:spacing w:after="0" w:line="278" w:lineRule="exact"/>
        <w:rPr>
          <w:sz w:val="20"/>
          <w:szCs w:val="20"/>
          <w:color w:val="auto"/>
        </w:rPr>
      </w:pPr>
    </w:p>
    <w:p>
      <w:pPr>
        <w:ind w:left="780" w:hanging="780"/>
        <w:spacing w:after="0"/>
        <w:tabs>
          <w:tab w:leader="none" w:pos="780" w:val="left"/>
        </w:tabs>
        <w:numPr>
          <w:ilvl w:val="0"/>
          <w:numId w:val="505"/>
        </w:numPr>
        <w:rPr>
          <w:rFonts w:ascii="Arial" w:cs="Arial" w:eastAsia="Arial" w:hAnsi="Arial"/>
          <w:sz w:val="15"/>
          <w:szCs w:val="15"/>
          <w:color w:val="auto"/>
        </w:rPr>
      </w:pPr>
      <w:r>
        <w:rPr>
          <w:rFonts w:ascii="Arial" w:cs="Arial" w:eastAsia="Arial" w:hAnsi="Arial"/>
          <w:sz w:val="15"/>
          <w:szCs w:val="15"/>
          <w:color w:val="auto"/>
        </w:rPr>
        <w:t>[***]</w:t>
      </w:r>
    </w:p>
    <w:p>
      <w:pPr>
        <w:sectPr>
          <w:pgSz w:w="11900" w:h="16838" w:orient="portrait"/>
          <w:cols w:equalWidth="0" w:num="1">
            <w:col w:w="10159"/>
          </w:cols>
          <w:pgMar w:left="300" w:top="125" w:right="1440"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Name: [***]</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Title: [***]</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80"/>
        <w:spacing w:after="0"/>
        <w:rPr>
          <w:sz w:val="20"/>
          <w:szCs w:val="20"/>
          <w:color w:val="auto"/>
        </w:rPr>
      </w:pPr>
      <w:r>
        <w:rPr>
          <w:rFonts w:ascii="Arial" w:cs="Arial" w:eastAsia="Arial" w:hAnsi="Arial"/>
          <w:sz w:val="14"/>
          <w:szCs w:val="14"/>
          <w:color w:val="auto"/>
        </w:rPr>
        <w:t>Name: [***]</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Title: [***]</w:t>
      </w:r>
    </w:p>
    <w:p>
      <w:pPr>
        <w:spacing w:after="0" w:line="200" w:lineRule="exact"/>
        <w:rPr>
          <w:sz w:val="20"/>
          <w:szCs w:val="20"/>
          <w:color w:val="auto"/>
        </w:rPr>
      </w:pPr>
    </w:p>
    <w:p>
      <w:pPr>
        <w:sectPr>
          <w:pgSz w:w="11900" w:h="16838" w:orient="portrait"/>
          <w:cols w:equalWidth="0" w:num="2">
            <w:col w:w="740" w:space="400"/>
            <w:col w:w="9019"/>
          </w:cols>
          <w:pgMar w:left="300" w:top="125" w:right="1440"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European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7180580" cy="127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7">
                      <a:extLst>
                        <a:ext uri="{28A0092B-C50C-407E-A947-70E740481C1C}"/>
                      </a:extLst>
                    </a:blip>
                    <a:srcRect/>
                    <a:stretch>
                      <a:fillRect/>
                    </a:stretch>
                  </pic:blipFill>
                  <pic:spPr bwMode="auto">
                    <a:xfrm>
                      <a:off x="0" y="0"/>
                      <a:ext cx="7180580" cy="1270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type w:val="continuous"/>
        </w:sectPr>
      </w:pPr>
    </w:p>
    <w:bookmarkStart w:id="405" w:name="page406"/>
    <w:bookmarkEnd w:id="405"/>
    <w:p>
      <w:pPr>
        <w:spacing w:after="0"/>
        <w:rPr>
          <w:sz w:val="20"/>
          <w:szCs w:val="20"/>
          <w:color w:val="auto"/>
        </w:rPr>
      </w:pPr>
      <w:r>
        <w:rPr>
          <w:rFonts w:ascii="Arial" w:cs="Arial" w:eastAsia="Arial" w:hAnsi="Arial"/>
          <w:sz w:val="13"/>
          <w:szCs w:val="13"/>
          <w:color w:val="auto"/>
        </w:rPr>
        <w:t>We acknowledge and agree to the above:</w:t>
      </w:r>
    </w:p>
    <w:p>
      <w:pPr>
        <w:spacing w:after="0" w:line="200" w:lineRule="exact"/>
        <w:rPr>
          <w:sz w:val="20"/>
          <w:szCs w:val="20"/>
          <w:color w:val="auto"/>
        </w:rPr>
      </w:pPr>
    </w:p>
    <w:p>
      <w:pPr>
        <w:spacing w:after="0" w:line="301" w:lineRule="exact"/>
        <w:rPr>
          <w:sz w:val="20"/>
          <w:szCs w:val="20"/>
          <w:color w:val="auto"/>
        </w:rPr>
      </w:pPr>
    </w:p>
    <w:p>
      <w:pPr>
        <w:ind w:left="780" w:hanging="780"/>
        <w:spacing w:after="0"/>
        <w:tabs>
          <w:tab w:leader="none" w:pos="780" w:val="left"/>
        </w:tabs>
        <w:numPr>
          <w:ilvl w:val="0"/>
          <w:numId w:val="506"/>
        </w:numPr>
        <w:rPr>
          <w:rFonts w:ascii="Arial" w:cs="Arial" w:eastAsia="Arial" w:hAnsi="Arial"/>
          <w:sz w:val="15"/>
          <w:szCs w:val="15"/>
          <w:color w:val="auto"/>
        </w:rPr>
      </w:pPr>
      <w:r>
        <w:rPr>
          <w:rFonts w:ascii="Arial" w:cs="Arial" w:eastAsia="Arial" w:hAnsi="Arial"/>
          <w:sz w:val="15"/>
          <w:szCs w:val="15"/>
          <w:color w:val="auto"/>
        </w:rPr>
        <w:t>[***]</w:t>
      </w:r>
    </w:p>
    <w:p>
      <w:pPr>
        <w:spacing w:after="0" w:line="317" w:lineRule="exact"/>
        <w:rPr>
          <w:sz w:val="20"/>
          <w:szCs w:val="20"/>
          <w:color w:val="auto"/>
        </w:rPr>
      </w:pPr>
    </w:p>
    <w:p>
      <w:pPr>
        <w:spacing w:after="0"/>
        <w:tabs>
          <w:tab w:leader="none" w:pos="1200" w:val="left"/>
        </w:tabs>
        <w:rPr>
          <w:sz w:val="20"/>
          <w:szCs w:val="20"/>
          <w:color w:val="auto"/>
        </w:rPr>
      </w:pPr>
      <w:r>
        <w:rPr>
          <w:rFonts w:ascii="Arial" w:cs="Arial" w:eastAsia="Arial" w:hAnsi="Arial"/>
          <w:sz w:val="15"/>
          <w:szCs w:val="15"/>
          <w:color w:val="auto"/>
        </w:rPr>
        <w:t>Name: [***]</w:t>
      </w:r>
      <w:r>
        <w:rPr>
          <w:sz w:val="20"/>
          <w:szCs w:val="20"/>
          <w:color w:val="auto"/>
        </w:rPr>
        <w:tab/>
      </w:r>
      <w:r>
        <w:rPr>
          <w:rFonts w:ascii="Arial" w:cs="Arial" w:eastAsia="Arial" w:hAnsi="Arial"/>
          <w:sz w:val="14"/>
          <w:szCs w:val="14"/>
          <w:color w:val="auto"/>
        </w:rPr>
        <w:t>Name: [***]</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Title: [***]</w:t>
      </w:r>
      <w:r>
        <w:rPr>
          <w:sz w:val="20"/>
          <w:szCs w:val="20"/>
          <w:color w:val="auto"/>
        </w:rPr>
        <w:tab/>
      </w:r>
      <w:r>
        <w:rPr>
          <w:rFonts w:ascii="Arial" w:cs="Arial" w:eastAsia="Arial" w:hAnsi="Arial"/>
          <w:sz w:val="15"/>
          <w:szCs w:val="15"/>
          <w:color w:val="auto"/>
        </w:rPr>
        <w:t>Title: [***]</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BioNTech SE</w:t>
      </w:r>
    </w:p>
    <w:p>
      <w:pPr>
        <w:sectPr>
          <w:pgSz w:w="11900" w:h="16838" w:orient="portrait"/>
          <w:cols w:equalWidth="0" w:num="1">
            <w:col w:w="10159"/>
          </w:cols>
          <w:pgMar w:left="300" w:top="125" w:right="1440"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173"/>
        </w:trPr>
        <w:tc>
          <w:tcPr>
            <w:tcW w:w="8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ind w:left="680"/>
              <w:spacing w:after="0"/>
              <w:rPr>
                <w:sz w:val="20"/>
                <w:szCs w:val="20"/>
                <w:color w:val="auto"/>
              </w:rPr>
            </w:pPr>
            <w:r>
              <w:rPr>
                <w:rFonts w:ascii="Arial" w:cs="Arial" w:eastAsia="Arial" w:hAnsi="Arial"/>
                <w:sz w:val="13"/>
                <w:szCs w:val="13"/>
                <w:b w:val="1"/>
                <w:bCs w:val="1"/>
                <w:color w:val="auto"/>
                <w:w w:val="92"/>
              </w:rPr>
              <w:t>Exhibit 8</w:t>
            </w:r>
          </w:p>
        </w:tc>
        <w:tc>
          <w:tcPr>
            <w:tcW w:w="0" w:type="dxa"/>
            <w:vAlign w:val="bottom"/>
          </w:tcPr>
          <w:p>
            <w:pPr>
              <w:spacing w:after="0"/>
              <w:rPr>
                <w:sz w:val="1"/>
                <w:szCs w:val="1"/>
                <w:color w:val="auto"/>
              </w:rPr>
            </w:pPr>
          </w:p>
        </w:tc>
      </w:tr>
      <w:tr>
        <w:trPr>
          <w:trHeight w:val="253"/>
        </w:trPr>
        <w:tc>
          <w:tcPr>
            <w:tcW w:w="8780" w:type="dxa"/>
            <w:vAlign w:val="bottom"/>
            <w:vMerge w:val="restart"/>
          </w:tcPr>
          <w:p>
            <w:pPr>
              <w:spacing w:after="0"/>
              <w:rPr>
                <w:sz w:val="20"/>
                <w:szCs w:val="20"/>
                <w:color w:val="auto"/>
              </w:rPr>
            </w:pPr>
            <w:r>
              <w:rPr>
                <w:rFonts w:ascii="Arial" w:cs="Arial" w:eastAsia="Arial" w:hAnsi="Arial"/>
                <w:sz w:val="11"/>
                <w:szCs w:val="11"/>
                <w:b w:val="1"/>
                <w:bCs w:val="1"/>
                <w:color w:val="auto"/>
              </w:rPr>
              <w:t>Subsidiary</w:t>
            </w:r>
          </w:p>
        </w:tc>
        <w:tc>
          <w:tcPr>
            <w:tcW w:w="13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7"/>
              </w:rPr>
              <w:t>Jurisdiction of</w:t>
            </w:r>
          </w:p>
        </w:tc>
        <w:tc>
          <w:tcPr>
            <w:tcW w:w="0" w:type="dxa"/>
            <w:vAlign w:val="bottom"/>
          </w:tcPr>
          <w:p>
            <w:pPr>
              <w:spacing w:after="0"/>
              <w:rPr>
                <w:sz w:val="1"/>
                <w:szCs w:val="1"/>
                <w:color w:val="auto"/>
              </w:rPr>
            </w:pPr>
          </w:p>
        </w:tc>
      </w:tr>
      <w:tr>
        <w:trPr>
          <w:trHeight w:val="137"/>
        </w:trPr>
        <w:tc>
          <w:tcPr>
            <w:tcW w:w="8780" w:type="dxa"/>
            <w:vAlign w:val="bottom"/>
            <w:tcBorders>
              <w:bottom w:val="single" w:sz="8" w:color="auto"/>
            </w:tcBorders>
            <w:vMerge w:val="continue"/>
          </w:tcPr>
          <w:p>
            <w:pPr>
              <w:spacing w:after="0"/>
              <w:rPr>
                <w:sz w:val="11"/>
                <w:szCs w:val="11"/>
                <w:color w:val="auto"/>
              </w:rPr>
            </w:pPr>
          </w:p>
        </w:tc>
        <w:tc>
          <w:tcPr>
            <w:tcW w:w="1300" w:type="dxa"/>
            <w:vAlign w:val="bottom"/>
          </w:tcPr>
          <w:p>
            <w:pPr>
              <w:spacing w:after="0"/>
              <w:rPr>
                <w:sz w:val="11"/>
                <w:szCs w:val="11"/>
                <w:color w:val="auto"/>
              </w:rPr>
            </w:pPr>
          </w:p>
        </w:tc>
        <w:tc>
          <w:tcPr>
            <w:tcW w:w="12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0"/>
              </w:rPr>
              <w:t>Incorporation</w:t>
            </w:r>
          </w:p>
        </w:tc>
        <w:tc>
          <w:tcPr>
            <w:tcW w:w="0" w:type="dxa"/>
            <w:vAlign w:val="bottom"/>
          </w:tcPr>
          <w:p>
            <w:pPr>
              <w:spacing w:after="0"/>
              <w:rPr>
                <w:sz w:val="1"/>
                <w:szCs w:val="1"/>
                <w:color w:val="auto"/>
              </w:rPr>
            </w:pPr>
          </w:p>
        </w:tc>
      </w:tr>
      <w:tr>
        <w:trPr>
          <w:trHeight w:val="140"/>
        </w:trPr>
        <w:tc>
          <w:tcPr>
            <w:tcW w:w="87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BioNTech RNA Pharmaceuticals GmbH</w:t>
            </w:r>
          </w:p>
        </w:tc>
        <w:tc>
          <w:tcPr>
            <w:tcW w:w="13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0" w:lineRule="exact"/>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tcPr>
          <w:p>
            <w:pPr>
              <w:spacing w:after="0"/>
              <w:rPr>
                <w:sz w:val="20"/>
                <w:szCs w:val="20"/>
                <w:color w:val="auto"/>
              </w:rPr>
            </w:pPr>
            <w:r>
              <w:rPr>
                <w:rFonts w:ascii="Arial" w:cs="Arial" w:eastAsia="Arial" w:hAnsi="Arial"/>
                <w:sz w:val="13"/>
                <w:szCs w:val="13"/>
                <w:color w:val="auto"/>
              </w:rPr>
              <w:t>BioNTech Protein Therapeutics GmbH</w:t>
            </w:r>
          </w:p>
        </w:tc>
        <w:tc>
          <w:tcPr>
            <w:tcW w:w="1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BioNTech Diagnostics GmbH</w:t>
            </w: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tcPr>
          <w:p>
            <w:pPr>
              <w:spacing w:after="0"/>
              <w:rPr>
                <w:sz w:val="20"/>
                <w:szCs w:val="20"/>
                <w:color w:val="auto"/>
              </w:rPr>
            </w:pPr>
            <w:r>
              <w:rPr>
                <w:rFonts w:ascii="Arial" w:cs="Arial" w:eastAsia="Arial" w:hAnsi="Arial"/>
                <w:sz w:val="13"/>
                <w:szCs w:val="13"/>
                <w:color w:val="auto"/>
              </w:rPr>
              <w:t>BioNTech Small Molecules GmbH</w:t>
            </w:r>
          </w:p>
        </w:tc>
        <w:tc>
          <w:tcPr>
            <w:tcW w:w="1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BioNTech Business Services GmbH</w:t>
            </w: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tcPr>
          <w:p>
            <w:pPr>
              <w:spacing w:after="0"/>
              <w:rPr>
                <w:sz w:val="20"/>
                <w:szCs w:val="20"/>
                <w:color w:val="auto"/>
              </w:rPr>
            </w:pPr>
            <w:r>
              <w:rPr>
                <w:rFonts w:ascii="Arial" w:cs="Arial" w:eastAsia="Arial" w:hAnsi="Arial"/>
                <w:sz w:val="13"/>
                <w:szCs w:val="13"/>
                <w:color w:val="auto"/>
              </w:rPr>
              <w:t>BioNTech Innovative Manufacturing Services GmbH</w:t>
            </w:r>
          </w:p>
        </w:tc>
        <w:tc>
          <w:tcPr>
            <w:tcW w:w="1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JPT Peptide Technologies GmbH</w:t>
            </w: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tcPr>
          <w:p>
            <w:pPr>
              <w:spacing w:after="0"/>
              <w:rPr>
                <w:sz w:val="20"/>
                <w:szCs w:val="20"/>
                <w:color w:val="auto"/>
              </w:rPr>
            </w:pPr>
            <w:r>
              <w:rPr>
                <w:rFonts w:ascii="Arial" w:cs="Arial" w:eastAsia="Arial" w:hAnsi="Arial"/>
                <w:sz w:val="13"/>
                <w:szCs w:val="13"/>
                <w:color w:val="auto"/>
              </w:rPr>
              <w:t>BioNTech Cell &amp; Gene Therapies GmbH</w:t>
            </w:r>
          </w:p>
        </w:tc>
        <w:tc>
          <w:tcPr>
            <w:tcW w:w="1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BioNTech Real Estate Holding GmbH</w:t>
            </w: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tcPr>
          <w:p>
            <w:pPr>
              <w:spacing w:after="0"/>
              <w:rPr>
                <w:sz w:val="20"/>
                <w:szCs w:val="20"/>
                <w:color w:val="auto"/>
              </w:rPr>
            </w:pPr>
            <w:r>
              <w:rPr>
                <w:rFonts w:ascii="Arial" w:cs="Arial" w:eastAsia="Arial" w:hAnsi="Arial"/>
                <w:sz w:val="13"/>
                <w:szCs w:val="13"/>
                <w:color w:val="auto"/>
              </w:rPr>
              <w:t>BioNTech Real Estate Verwaltungs GmbH</w:t>
            </w:r>
          </w:p>
        </w:tc>
        <w:tc>
          <w:tcPr>
            <w:tcW w:w="1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BioNTech Real Estate GmbH &amp; Co. KG</w:t>
            </w: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tcPr>
          <w:p>
            <w:pPr>
              <w:spacing w:after="0"/>
              <w:rPr>
                <w:sz w:val="20"/>
                <w:szCs w:val="20"/>
                <w:color w:val="auto"/>
              </w:rPr>
            </w:pPr>
            <w:r>
              <w:rPr>
                <w:rFonts w:ascii="Arial" w:cs="Arial" w:eastAsia="Arial" w:hAnsi="Arial"/>
                <w:sz w:val="13"/>
                <w:szCs w:val="13"/>
                <w:color w:val="auto"/>
              </w:rPr>
              <w:t>BioNTech Austria Beteiligungen GmbH</w:t>
            </w:r>
          </w:p>
        </w:tc>
        <w:tc>
          <w:tcPr>
            <w:tcW w:w="1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3"/>
              </w:rPr>
              <w:t>Austria</w:t>
            </w:r>
          </w:p>
        </w:tc>
        <w:tc>
          <w:tcPr>
            <w:tcW w:w="0" w:type="dxa"/>
            <w:vAlign w:val="bottom"/>
          </w:tcPr>
          <w:p>
            <w:pPr>
              <w:spacing w:after="0"/>
              <w:rPr>
                <w:sz w:val="1"/>
                <w:szCs w:val="1"/>
                <w:color w:val="auto"/>
              </w:rPr>
            </w:pPr>
          </w:p>
        </w:tc>
      </w:tr>
      <w:tr>
        <w:trPr>
          <w:trHeight w:val="160"/>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reBOOST Management GmbH</w:t>
            </w: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Germany</w:t>
            </w:r>
          </w:p>
        </w:tc>
        <w:tc>
          <w:tcPr>
            <w:tcW w:w="0" w:type="dxa"/>
            <w:vAlign w:val="bottom"/>
          </w:tcPr>
          <w:p>
            <w:pPr>
              <w:spacing w:after="0"/>
              <w:rPr>
                <w:sz w:val="1"/>
                <w:szCs w:val="1"/>
                <w:color w:val="auto"/>
              </w:rPr>
            </w:pPr>
          </w:p>
        </w:tc>
      </w:tr>
      <w:tr>
        <w:trPr>
          <w:trHeight w:val="160"/>
        </w:trPr>
        <w:tc>
          <w:tcPr>
            <w:tcW w:w="8780" w:type="dxa"/>
            <w:vAlign w:val="bottom"/>
          </w:tcPr>
          <w:p>
            <w:pPr>
              <w:spacing w:after="0"/>
              <w:rPr>
                <w:sz w:val="20"/>
                <w:szCs w:val="20"/>
                <w:color w:val="auto"/>
              </w:rPr>
            </w:pPr>
            <w:r>
              <w:rPr>
                <w:rFonts w:ascii="Arial" w:cs="Arial" w:eastAsia="Arial" w:hAnsi="Arial"/>
                <w:sz w:val="13"/>
                <w:szCs w:val="13"/>
                <w:color w:val="auto"/>
              </w:rPr>
              <w:t>JPT Inc.</w:t>
            </w:r>
          </w:p>
        </w:tc>
        <w:tc>
          <w:tcPr>
            <w:tcW w:w="1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0"/>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BioNTech USA Holding, LLC</w:t>
            </w: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0"/>
        </w:trPr>
        <w:tc>
          <w:tcPr>
            <w:tcW w:w="8780" w:type="dxa"/>
            <w:vAlign w:val="bottom"/>
          </w:tcPr>
          <w:p>
            <w:pPr>
              <w:spacing w:after="0"/>
              <w:rPr>
                <w:sz w:val="20"/>
                <w:szCs w:val="20"/>
                <w:color w:val="auto"/>
              </w:rPr>
            </w:pPr>
            <w:r>
              <w:rPr>
                <w:rFonts w:ascii="Arial" w:cs="Arial" w:eastAsia="Arial" w:hAnsi="Arial"/>
                <w:sz w:val="13"/>
                <w:szCs w:val="13"/>
                <w:color w:val="auto"/>
              </w:rPr>
              <w:t>BioNTech Research and Development Inc.</w:t>
            </w:r>
          </w:p>
        </w:tc>
        <w:tc>
          <w:tcPr>
            <w:tcW w:w="1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r>
        <w:trPr>
          <w:trHeight w:val="160"/>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Endor Lights, Inc.</w:t>
            </w: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0" w:type="dxa"/>
            <w:vAlign w:val="bottom"/>
          </w:tcPr>
          <w:p>
            <w:pPr>
              <w:spacing w:after="0"/>
              <w:rPr>
                <w:sz w:val="1"/>
                <w:szCs w:val="1"/>
                <w:color w:val="auto"/>
              </w:rPr>
            </w:pPr>
          </w:p>
        </w:tc>
      </w:tr>
    </w:tbl>
    <w:p>
      <w:pPr>
        <w:sectPr>
          <w:pgSz w:w="11900" w:h="16838" w:orient="portrait"/>
          <w:cols w:equalWidth="0" w:num="1">
            <w:col w:w="11280"/>
          </w:cols>
          <w:pgMar w:left="300" w:top="126" w:right="319" w:bottom="1440" w:gutter="0" w:footer="0" w:header="0"/>
        </w:sectPr>
      </w:pPr>
    </w:p>
    <w:bookmarkStart w:id="407" w:name="page408"/>
    <w:bookmarkEnd w:id="407"/>
    <w:p>
      <w:pPr>
        <w:jc w:val="right"/>
        <w:spacing w:after="0"/>
        <w:rPr>
          <w:sz w:val="20"/>
          <w:szCs w:val="20"/>
          <w:color w:val="auto"/>
        </w:rPr>
      </w:pPr>
      <w:r>
        <w:rPr>
          <w:rFonts w:ascii="Arial" w:cs="Arial" w:eastAsia="Arial" w:hAnsi="Arial"/>
          <w:sz w:val="13"/>
          <w:szCs w:val="13"/>
          <w:b w:val="1"/>
          <w:bCs w:val="1"/>
          <w:color w:val="auto"/>
        </w:rPr>
        <w:t>Exhibit 12.1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I, Ugur Sahin, certify that:</w:t>
      </w:r>
    </w:p>
    <w:p>
      <w:pPr>
        <w:spacing w:after="0" w:line="90" w:lineRule="exact"/>
        <w:rPr>
          <w:sz w:val="20"/>
          <w:szCs w:val="20"/>
          <w:color w:val="auto"/>
        </w:rPr>
      </w:pPr>
    </w:p>
    <w:p>
      <w:pPr>
        <w:ind w:left="1000" w:hanging="500"/>
        <w:spacing w:after="0"/>
        <w:tabs>
          <w:tab w:leader="none" w:pos="1000" w:val="left"/>
        </w:tabs>
        <w:numPr>
          <w:ilvl w:val="0"/>
          <w:numId w:val="507"/>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BioNTech SE;</w:t>
      </w:r>
    </w:p>
    <w:p>
      <w:pPr>
        <w:spacing w:after="0" w:line="90" w:lineRule="exact"/>
        <w:rPr>
          <w:rFonts w:ascii="Arial" w:cs="Arial" w:eastAsia="Arial" w:hAnsi="Arial"/>
          <w:sz w:val="13"/>
          <w:szCs w:val="13"/>
          <w:color w:val="auto"/>
        </w:rPr>
      </w:pPr>
    </w:p>
    <w:p>
      <w:pPr>
        <w:ind w:left="1000" w:right="40" w:hanging="500"/>
        <w:spacing w:after="0" w:line="287" w:lineRule="auto"/>
        <w:tabs>
          <w:tab w:leader="none" w:pos="1000" w:val="left"/>
        </w:tabs>
        <w:numPr>
          <w:ilvl w:val="0"/>
          <w:numId w:val="50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3"/>
          <w:szCs w:val="13"/>
          <w:color w:val="auto"/>
        </w:rPr>
      </w:pPr>
    </w:p>
    <w:p>
      <w:pPr>
        <w:ind w:left="1000" w:right="100" w:hanging="500"/>
        <w:spacing w:after="0" w:line="287" w:lineRule="auto"/>
        <w:tabs>
          <w:tab w:leader="none" w:pos="1000" w:val="left"/>
        </w:tabs>
        <w:numPr>
          <w:ilvl w:val="0"/>
          <w:numId w:val="50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2" w:lineRule="exact"/>
        <w:rPr>
          <w:rFonts w:ascii="Arial" w:cs="Arial" w:eastAsia="Arial" w:hAnsi="Arial"/>
          <w:sz w:val="13"/>
          <w:szCs w:val="13"/>
          <w:color w:val="auto"/>
        </w:rPr>
      </w:pPr>
    </w:p>
    <w:p>
      <w:pPr>
        <w:ind w:left="1000" w:right="60" w:hanging="500"/>
        <w:spacing w:after="0" w:line="287" w:lineRule="auto"/>
        <w:tabs>
          <w:tab w:leader="none" w:pos="1000" w:val="left"/>
        </w:tabs>
        <w:numPr>
          <w:ilvl w:val="0"/>
          <w:numId w:val="507"/>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2" w:lineRule="exact"/>
        <w:rPr>
          <w:rFonts w:ascii="Arial" w:cs="Arial" w:eastAsia="Arial" w:hAnsi="Arial"/>
          <w:sz w:val="13"/>
          <w:szCs w:val="13"/>
          <w:color w:val="auto"/>
        </w:rPr>
      </w:pPr>
    </w:p>
    <w:p>
      <w:pPr>
        <w:ind w:left="1520" w:right="20" w:hanging="500"/>
        <w:spacing w:after="0" w:line="331" w:lineRule="auto"/>
        <w:tabs>
          <w:tab w:leader="none" w:pos="1520" w:val="left"/>
        </w:tabs>
        <w:numPr>
          <w:ilvl w:val="1"/>
          <w:numId w:val="50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2"/>
          <w:szCs w:val="12"/>
          <w:color w:val="auto"/>
        </w:rPr>
      </w:pPr>
    </w:p>
    <w:p>
      <w:pPr>
        <w:ind w:left="1520" w:right="80" w:hanging="500"/>
        <w:spacing w:after="0" w:line="331" w:lineRule="auto"/>
        <w:tabs>
          <w:tab w:leader="none" w:pos="1520" w:val="left"/>
        </w:tabs>
        <w:numPr>
          <w:ilvl w:val="1"/>
          <w:numId w:val="50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2"/>
          <w:szCs w:val="12"/>
          <w:color w:val="auto"/>
        </w:rPr>
      </w:pPr>
    </w:p>
    <w:p>
      <w:pPr>
        <w:ind w:left="1520" w:right="280" w:hanging="500"/>
        <w:spacing w:after="0" w:line="287" w:lineRule="auto"/>
        <w:tabs>
          <w:tab w:leader="none" w:pos="1520" w:val="left"/>
        </w:tabs>
        <w:numPr>
          <w:ilvl w:val="1"/>
          <w:numId w:val="507"/>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3"/>
          <w:szCs w:val="13"/>
          <w:color w:val="auto"/>
        </w:rPr>
      </w:pPr>
    </w:p>
    <w:p>
      <w:pPr>
        <w:ind w:left="1520" w:right="60" w:hanging="500"/>
        <w:spacing w:after="0" w:line="287" w:lineRule="auto"/>
        <w:tabs>
          <w:tab w:leader="none" w:pos="1520" w:val="left"/>
        </w:tabs>
        <w:numPr>
          <w:ilvl w:val="1"/>
          <w:numId w:val="507"/>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2" w:lineRule="exact"/>
        <w:rPr>
          <w:rFonts w:ascii="Arial" w:cs="Arial" w:eastAsia="Arial" w:hAnsi="Arial"/>
          <w:sz w:val="13"/>
          <w:szCs w:val="13"/>
          <w:color w:val="auto"/>
        </w:rPr>
      </w:pPr>
    </w:p>
    <w:p>
      <w:pPr>
        <w:ind w:left="1000" w:right="560" w:hanging="500"/>
        <w:spacing w:after="0" w:line="287" w:lineRule="auto"/>
        <w:tabs>
          <w:tab w:leader="none" w:pos="1000" w:val="left"/>
        </w:tabs>
        <w:numPr>
          <w:ilvl w:val="0"/>
          <w:numId w:val="507"/>
        </w:numPr>
        <w:rPr>
          <w:rFonts w:ascii="Arial" w:cs="Arial" w:eastAsia="Arial" w:hAnsi="Arial"/>
          <w:sz w:val="13"/>
          <w:szCs w:val="13"/>
          <w:color w:val="auto"/>
        </w:rPr>
      </w:pPr>
      <w:r>
        <w:rPr>
          <w:rFonts w:ascii="Arial" w:cs="Arial" w:eastAsia="Arial" w:hAnsi="Arial"/>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2" w:lineRule="exact"/>
        <w:rPr>
          <w:rFonts w:ascii="Arial" w:cs="Arial" w:eastAsia="Arial" w:hAnsi="Arial"/>
          <w:sz w:val="13"/>
          <w:szCs w:val="13"/>
          <w:color w:val="auto"/>
        </w:rPr>
      </w:pPr>
    </w:p>
    <w:p>
      <w:pPr>
        <w:ind w:left="1520" w:right="580" w:hanging="500"/>
        <w:spacing w:after="0" w:line="287" w:lineRule="auto"/>
        <w:tabs>
          <w:tab w:leader="none" w:pos="1520" w:val="left"/>
        </w:tabs>
        <w:numPr>
          <w:ilvl w:val="1"/>
          <w:numId w:val="50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2" w:lineRule="exact"/>
        <w:rPr>
          <w:rFonts w:ascii="Arial" w:cs="Arial" w:eastAsia="Arial" w:hAnsi="Arial"/>
          <w:sz w:val="13"/>
          <w:szCs w:val="13"/>
          <w:color w:val="auto"/>
        </w:rPr>
      </w:pPr>
    </w:p>
    <w:p>
      <w:pPr>
        <w:ind w:left="1520" w:hanging="500"/>
        <w:spacing w:after="0"/>
        <w:tabs>
          <w:tab w:leader="none" w:pos="1520" w:val="left"/>
        </w:tabs>
        <w:numPr>
          <w:ilvl w:val="1"/>
          <w:numId w:val="50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spacing w:after="0"/>
        <w:tabs>
          <w:tab w:leader="none" w:pos="6420" w:val="left"/>
          <w:tab w:leader="none" w:pos="8380" w:val="left"/>
        </w:tabs>
        <w:rPr>
          <w:sz w:val="20"/>
          <w:szCs w:val="20"/>
          <w:color w:val="auto"/>
        </w:rPr>
      </w:pPr>
      <w:r>
        <w:rPr>
          <w:rFonts w:ascii="Arial" w:cs="Arial" w:eastAsia="Arial" w:hAnsi="Arial"/>
          <w:sz w:val="13"/>
          <w:szCs w:val="13"/>
          <w:color w:val="auto"/>
        </w:rPr>
        <w:t>Date: March 31,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Prof. Dr. Ugur Sahin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12065</wp:posOffset>
            </wp:positionV>
            <wp:extent cx="2863215" cy="63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8">
                      <a:extLst>
                        <a:ext uri="{28A0092B-C50C-407E-A947-70E740481C1C}"/>
                      </a:extLst>
                    </a:blip>
                    <a:srcRect/>
                    <a:stretch>
                      <a:fillRect/>
                    </a:stretch>
                  </pic:blipFill>
                  <pic:spPr bwMode="auto">
                    <a:xfrm>
                      <a:off x="0" y="0"/>
                      <a:ext cx="2863215" cy="6350"/>
                    </a:xfrm>
                    <a:prstGeom prst="rect">
                      <a:avLst/>
                    </a:prstGeom>
                    <a:noFill/>
                  </pic:spPr>
                </pic:pic>
              </a:graphicData>
            </a:graphic>
          </wp:anchor>
        </w:drawing>
      </w:r>
    </w:p>
    <w:p>
      <w:pPr>
        <w:spacing w:after="0" w:line="6"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Prof. Dr. Ugur Sahin</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80"/>
          </w:cols>
          <w:pgMar w:left="300" w:top="296" w:right="319" w:bottom="1440" w:gutter="0" w:footer="0" w:header="0"/>
        </w:sectPr>
      </w:pPr>
    </w:p>
    <w:bookmarkStart w:id="408" w:name="page409"/>
    <w:bookmarkEnd w:id="408"/>
    <w:p>
      <w:pPr>
        <w:jc w:val="right"/>
        <w:spacing w:after="0"/>
        <w:rPr>
          <w:sz w:val="20"/>
          <w:szCs w:val="20"/>
          <w:color w:val="auto"/>
        </w:rPr>
      </w:pPr>
      <w:r>
        <w:rPr>
          <w:rFonts w:ascii="Arial" w:cs="Arial" w:eastAsia="Arial" w:hAnsi="Arial"/>
          <w:sz w:val="13"/>
          <w:szCs w:val="13"/>
          <w:b w:val="1"/>
          <w:bCs w:val="1"/>
          <w:color w:val="auto"/>
        </w:rPr>
        <w:t>Exhibit 12.2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I, Sierk Poetting, certify that:</w:t>
      </w:r>
    </w:p>
    <w:p>
      <w:pPr>
        <w:spacing w:after="0" w:line="90" w:lineRule="exact"/>
        <w:rPr>
          <w:sz w:val="20"/>
          <w:szCs w:val="20"/>
          <w:color w:val="auto"/>
        </w:rPr>
      </w:pPr>
    </w:p>
    <w:p>
      <w:pPr>
        <w:ind w:left="1000" w:hanging="500"/>
        <w:spacing w:after="0"/>
        <w:tabs>
          <w:tab w:leader="none" w:pos="1000" w:val="left"/>
        </w:tabs>
        <w:numPr>
          <w:ilvl w:val="0"/>
          <w:numId w:val="508"/>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BioNTech SE;</w:t>
      </w:r>
    </w:p>
    <w:p>
      <w:pPr>
        <w:spacing w:after="0" w:line="90" w:lineRule="exact"/>
        <w:rPr>
          <w:rFonts w:ascii="Arial" w:cs="Arial" w:eastAsia="Arial" w:hAnsi="Arial"/>
          <w:sz w:val="13"/>
          <w:szCs w:val="13"/>
          <w:color w:val="auto"/>
        </w:rPr>
      </w:pPr>
    </w:p>
    <w:p>
      <w:pPr>
        <w:ind w:left="1000" w:right="40" w:hanging="500"/>
        <w:spacing w:after="0" w:line="287" w:lineRule="auto"/>
        <w:tabs>
          <w:tab w:leader="none" w:pos="1000" w:val="left"/>
        </w:tabs>
        <w:numPr>
          <w:ilvl w:val="0"/>
          <w:numId w:val="50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3"/>
          <w:szCs w:val="13"/>
          <w:color w:val="auto"/>
        </w:rPr>
      </w:pPr>
    </w:p>
    <w:p>
      <w:pPr>
        <w:ind w:left="1000" w:right="100" w:hanging="500"/>
        <w:spacing w:after="0" w:line="287" w:lineRule="auto"/>
        <w:tabs>
          <w:tab w:leader="none" w:pos="1000" w:val="left"/>
        </w:tabs>
        <w:numPr>
          <w:ilvl w:val="0"/>
          <w:numId w:val="50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2" w:lineRule="exact"/>
        <w:rPr>
          <w:rFonts w:ascii="Arial" w:cs="Arial" w:eastAsia="Arial" w:hAnsi="Arial"/>
          <w:sz w:val="13"/>
          <w:szCs w:val="13"/>
          <w:color w:val="auto"/>
        </w:rPr>
      </w:pPr>
    </w:p>
    <w:p>
      <w:pPr>
        <w:ind w:left="1000" w:right="60" w:hanging="500"/>
        <w:spacing w:after="0" w:line="287" w:lineRule="auto"/>
        <w:tabs>
          <w:tab w:leader="none" w:pos="1000" w:val="left"/>
        </w:tabs>
        <w:numPr>
          <w:ilvl w:val="0"/>
          <w:numId w:val="508"/>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2" w:lineRule="exact"/>
        <w:rPr>
          <w:rFonts w:ascii="Arial" w:cs="Arial" w:eastAsia="Arial" w:hAnsi="Arial"/>
          <w:sz w:val="13"/>
          <w:szCs w:val="13"/>
          <w:color w:val="auto"/>
        </w:rPr>
      </w:pPr>
    </w:p>
    <w:p>
      <w:pPr>
        <w:ind w:left="1520" w:right="20" w:hanging="500"/>
        <w:spacing w:after="0" w:line="331" w:lineRule="auto"/>
        <w:tabs>
          <w:tab w:leader="none" w:pos="1520" w:val="left"/>
        </w:tabs>
        <w:numPr>
          <w:ilvl w:val="1"/>
          <w:numId w:val="50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2"/>
          <w:szCs w:val="12"/>
          <w:color w:val="auto"/>
        </w:rPr>
      </w:pPr>
    </w:p>
    <w:p>
      <w:pPr>
        <w:ind w:left="1520" w:right="80" w:hanging="500"/>
        <w:spacing w:after="0" w:line="331" w:lineRule="auto"/>
        <w:tabs>
          <w:tab w:leader="none" w:pos="1520" w:val="left"/>
        </w:tabs>
        <w:numPr>
          <w:ilvl w:val="1"/>
          <w:numId w:val="50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2"/>
          <w:szCs w:val="12"/>
          <w:color w:val="auto"/>
        </w:rPr>
      </w:pPr>
    </w:p>
    <w:p>
      <w:pPr>
        <w:ind w:left="1520" w:right="280" w:hanging="500"/>
        <w:spacing w:after="0" w:line="287" w:lineRule="auto"/>
        <w:tabs>
          <w:tab w:leader="none" w:pos="1520" w:val="left"/>
        </w:tabs>
        <w:numPr>
          <w:ilvl w:val="1"/>
          <w:numId w:val="508"/>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3"/>
          <w:szCs w:val="13"/>
          <w:color w:val="auto"/>
        </w:rPr>
      </w:pPr>
    </w:p>
    <w:p>
      <w:pPr>
        <w:ind w:left="1520" w:right="60" w:hanging="500"/>
        <w:spacing w:after="0" w:line="287" w:lineRule="auto"/>
        <w:tabs>
          <w:tab w:leader="none" w:pos="1520" w:val="left"/>
        </w:tabs>
        <w:numPr>
          <w:ilvl w:val="1"/>
          <w:numId w:val="508"/>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2" w:lineRule="exact"/>
        <w:rPr>
          <w:rFonts w:ascii="Arial" w:cs="Arial" w:eastAsia="Arial" w:hAnsi="Arial"/>
          <w:sz w:val="13"/>
          <w:szCs w:val="13"/>
          <w:color w:val="auto"/>
        </w:rPr>
      </w:pPr>
    </w:p>
    <w:p>
      <w:pPr>
        <w:ind w:left="1000" w:right="560" w:hanging="500"/>
        <w:spacing w:after="0" w:line="287" w:lineRule="auto"/>
        <w:tabs>
          <w:tab w:leader="none" w:pos="1000" w:val="left"/>
        </w:tabs>
        <w:numPr>
          <w:ilvl w:val="0"/>
          <w:numId w:val="508"/>
        </w:numPr>
        <w:rPr>
          <w:rFonts w:ascii="Arial" w:cs="Arial" w:eastAsia="Arial" w:hAnsi="Arial"/>
          <w:sz w:val="13"/>
          <w:szCs w:val="13"/>
          <w:color w:val="auto"/>
        </w:rPr>
      </w:pPr>
      <w:r>
        <w:rPr>
          <w:rFonts w:ascii="Arial" w:cs="Arial" w:eastAsia="Arial" w:hAnsi="Arial"/>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2" w:lineRule="exact"/>
        <w:rPr>
          <w:rFonts w:ascii="Arial" w:cs="Arial" w:eastAsia="Arial" w:hAnsi="Arial"/>
          <w:sz w:val="13"/>
          <w:szCs w:val="13"/>
          <w:color w:val="auto"/>
        </w:rPr>
      </w:pPr>
    </w:p>
    <w:p>
      <w:pPr>
        <w:ind w:left="1520" w:right="580" w:hanging="500"/>
        <w:spacing w:after="0" w:line="287" w:lineRule="auto"/>
        <w:tabs>
          <w:tab w:leader="none" w:pos="1520" w:val="left"/>
        </w:tabs>
        <w:numPr>
          <w:ilvl w:val="1"/>
          <w:numId w:val="50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2" w:lineRule="exact"/>
        <w:rPr>
          <w:rFonts w:ascii="Arial" w:cs="Arial" w:eastAsia="Arial" w:hAnsi="Arial"/>
          <w:sz w:val="13"/>
          <w:szCs w:val="13"/>
          <w:color w:val="auto"/>
        </w:rPr>
      </w:pPr>
    </w:p>
    <w:p>
      <w:pPr>
        <w:ind w:left="1520" w:hanging="500"/>
        <w:spacing w:after="0"/>
        <w:tabs>
          <w:tab w:leader="none" w:pos="1520" w:val="left"/>
        </w:tabs>
        <w:numPr>
          <w:ilvl w:val="1"/>
          <w:numId w:val="50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spacing w:after="0"/>
        <w:tabs>
          <w:tab w:leader="none" w:pos="6420" w:val="left"/>
          <w:tab w:leader="none" w:pos="8440" w:val="left"/>
        </w:tabs>
        <w:rPr>
          <w:sz w:val="20"/>
          <w:szCs w:val="20"/>
          <w:color w:val="auto"/>
        </w:rPr>
      </w:pPr>
      <w:r>
        <w:rPr>
          <w:rFonts w:ascii="Arial" w:cs="Arial" w:eastAsia="Arial" w:hAnsi="Arial"/>
          <w:sz w:val="13"/>
          <w:szCs w:val="13"/>
          <w:color w:val="auto"/>
        </w:rPr>
        <w:t>Date: March 31,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12065</wp:posOffset>
            </wp:positionV>
            <wp:extent cx="2863215"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9">
                      <a:extLst>
                        <a:ext uri="{28A0092B-C50C-407E-A947-70E740481C1C}"/>
                      </a:extLst>
                    </a:blip>
                    <a:srcRect/>
                    <a:stretch>
                      <a:fillRect/>
                    </a:stretch>
                  </pic:blipFill>
                  <pic:spPr bwMode="auto">
                    <a:xfrm>
                      <a:off x="0" y="0"/>
                      <a:ext cx="2863215" cy="6350"/>
                    </a:xfrm>
                    <a:prstGeom prst="rect">
                      <a:avLst/>
                    </a:prstGeom>
                    <a:noFill/>
                  </pic:spPr>
                </pic:pic>
              </a:graphicData>
            </a:graphic>
          </wp:anchor>
        </w:drawing>
      </w:r>
    </w:p>
    <w:p>
      <w:pPr>
        <w:spacing w:after="0" w:line="6"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Dr. Sierk Poetting</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80"/>
          </w:cols>
          <w:pgMar w:left="300" w:top="297" w:right="319" w:bottom="1440" w:gutter="0" w:footer="0" w:header="0"/>
        </w:sectPr>
      </w:pPr>
    </w:p>
    <w:bookmarkStart w:id="409" w:name="page410"/>
    <w:bookmarkEnd w:id="409"/>
    <w:p>
      <w:pPr>
        <w:jc w:val="right"/>
        <w:spacing w:after="0"/>
        <w:rPr>
          <w:sz w:val="20"/>
          <w:szCs w:val="20"/>
          <w:color w:val="auto"/>
        </w:rPr>
      </w:pPr>
      <w:r>
        <w:rPr>
          <w:rFonts w:ascii="Arial" w:cs="Arial" w:eastAsia="Arial" w:hAnsi="Arial"/>
          <w:sz w:val="13"/>
          <w:szCs w:val="13"/>
          <w:b w:val="1"/>
          <w:bCs w:val="1"/>
          <w:color w:val="auto"/>
        </w:rPr>
        <w:t>Exhibit 13.1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0"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2" w:lineRule="exact"/>
        <w:rPr>
          <w:sz w:val="20"/>
          <w:szCs w:val="20"/>
          <w:color w:val="auto"/>
        </w:rPr>
      </w:pPr>
    </w:p>
    <w:p>
      <w:pPr>
        <w:ind w:right="220"/>
        <w:spacing w:after="0" w:line="287" w:lineRule="auto"/>
        <w:rPr>
          <w:sz w:val="20"/>
          <w:szCs w:val="20"/>
          <w:color w:val="auto"/>
        </w:rPr>
      </w:pPr>
      <w:r>
        <w:rPr>
          <w:rFonts w:ascii="Arial" w:cs="Arial" w:eastAsia="Arial" w:hAnsi="Arial"/>
          <w:sz w:val="13"/>
          <w:szCs w:val="13"/>
          <w:color w:val="auto"/>
        </w:rPr>
        <w:t>The certification set forth below is being submitted in connection with the Annual Report on Form 20-F for the year ended 2019 (the “Report”) for the purpose of complying with Rule 13a-14(b) or Rule 15d-14(b) of the Securities Exchange Act of 1934 (the “Exchange Act”) and Section 1350 of Chapter 63 of Title 18 of the United States Code.</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 Ugur Sahin, certify that:</w:t>
      </w:r>
    </w:p>
    <w:p>
      <w:pPr>
        <w:spacing w:after="0" w:line="90" w:lineRule="exact"/>
        <w:rPr>
          <w:sz w:val="20"/>
          <w:szCs w:val="20"/>
          <w:color w:val="auto"/>
        </w:rPr>
      </w:pPr>
    </w:p>
    <w:p>
      <w:pPr>
        <w:ind w:left="1000" w:hanging="500"/>
        <w:spacing w:after="0"/>
        <w:tabs>
          <w:tab w:leader="none" w:pos="1000" w:val="left"/>
        </w:tabs>
        <w:numPr>
          <w:ilvl w:val="0"/>
          <w:numId w:val="50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Exchange Act; and</w:t>
      </w:r>
    </w:p>
    <w:p>
      <w:pPr>
        <w:spacing w:after="0" w:line="90" w:lineRule="exact"/>
        <w:rPr>
          <w:rFonts w:ascii="Arial" w:cs="Arial" w:eastAsia="Arial" w:hAnsi="Arial"/>
          <w:sz w:val="13"/>
          <w:szCs w:val="13"/>
          <w:color w:val="auto"/>
        </w:rPr>
      </w:pPr>
    </w:p>
    <w:p>
      <w:pPr>
        <w:ind w:left="1000" w:hanging="500"/>
        <w:spacing w:after="0"/>
        <w:tabs>
          <w:tab w:leader="none" w:pos="1000" w:val="left"/>
        </w:tabs>
        <w:numPr>
          <w:ilvl w:val="0"/>
          <w:numId w:val="50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tabs>
          <w:tab w:leader="none" w:pos="6420" w:val="left"/>
          <w:tab w:leader="none" w:pos="8380" w:val="left"/>
        </w:tabs>
        <w:rPr>
          <w:sz w:val="20"/>
          <w:szCs w:val="20"/>
          <w:color w:val="auto"/>
        </w:rPr>
      </w:pPr>
      <w:r>
        <w:rPr>
          <w:rFonts w:ascii="Arial" w:cs="Arial" w:eastAsia="Arial" w:hAnsi="Arial"/>
          <w:sz w:val="13"/>
          <w:szCs w:val="13"/>
          <w:color w:val="auto"/>
        </w:rPr>
        <w:t>Date: March 31,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Prof. Dr. Ugur Sahin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12065</wp:posOffset>
            </wp:positionV>
            <wp:extent cx="2863215"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0">
                      <a:extLst>
                        <a:ext uri="{28A0092B-C50C-407E-A947-70E740481C1C}"/>
                      </a:extLst>
                    </a:blip>
                    <a:srcRect/>
                    <a:stretch>
                      <a:fillRect/>
                    </a:stretch>
                  </pic:blipFill>
                  <pic:spPr bwMode="auto">
                    <a:xfrm>
                      <a:off x="0" y="0"/>
                      <a:ext cx="2863215" cy="6350"/>
                    </a:xfrm>
                    <a:prstGeom prst="rect">
                      <a:avLst/>
                    </a:prstGeom>
                    <a:noFill/>
                  </pic:spPr>
                </pic:pic>
              </a:graphicData>
            </a:graphic>
          </wp:anchor>
        </w:drawing>
      </w:r>
    </w:p>
    <w:p>
      <w:pPr>
        <w:spacing w:after="0" w:line="6"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Prof. Dr. Ugur Sahin</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80"/>
          </w:cols>
          <w:pgMar w:left="300" w:top="296" w:right="319" w:bottom="1440" w:gutter="0" w:footer="0" w:header="0"/>
        </w:sectPr>
      </w:pPr>
    </w:p>
    <w:bookmarkStart w:id="410" w:name="page411"/>
    <w:bookmarkEnd w:id="410"/>
    <w:p>
      <w:pPr>
        <w:jc w:val="right"/>
        <w:spacing w:after="0"/>
        <w:rPr>
          <w:sz w:val="20"/>
          <w:szCs w:val="20"/>
          <w:color w:val="auto"/>
        </w:rPr>
      </w:pPr>
      <w:r>
        <w:rPr>
          <w:rFonts w:ascii="Arial" w:cs="Arial" w:eastAsia="Arial" w:hAnsi="Arial"/>
          <w:sz w:val="13"/>
          <w:szCs w:val="13"/>
          <w:b w:val="1"/>
          <w:bCs w:val="1"/>
          <w:color w:val="auto"/>
        </w:rPr>
        <w:t>Exhibit 13.2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0"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2" w:lineRule="exact"/>
        <w:rPr>
          <w:sz w:val="20"/>
          <w:szCs w:val="20"/>
          <w:color w:val="auto"/>
        </w:rPr>
      </w:pPr>
    </w:p>
    <w:p>
      <w:pPr>
        <w:ind w:right="220"/>
        <w:spacing w:after="0" w:line="287" w:lineRule="auto"/>
        <w:rPr>
          <w:sz w:val="20"/>
          <w:szCs w:val="20"/>
          <w:color w:val="auto"/>
        </w:rPr>
      </w:pPr>
      <w:r>
        <w:rPr>
          <w:rFonts w:ascii="Arial" w:cs="Arial" w:eastAsia="Arial" w:hAnsi="Arial"/>
          <w:sz w:val="13"/>
          <w:szCs w:val="13"/>
          <w:color w:val="auto"/>
        </w:rPr>
        <w:t>The certification set forth below is being submitted in connection with the Annual Report on Form 20-F for the year ended 2019 (the “Report”) for the purpose of complying with Rule 13a-14(b) or Rule 15d-14(b) of the Securities Exchange Act of 1934 (the “Exchange Act”) and Section 1350 of Chapter 63 of Title 18 of the United States Code.</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 Sierk Poetting, certify that:</w:t>
      </w:r>
    </w:p>
    <w:p>
      <w:pPr>
        <w:spacing w:after="0" w:line="90" w:lineRule="exact"/>
        <w:rPr>
          <w:sz w:val="20"/>
          <w:szCs w:val="20"/>
          <w:color w:val="auto"/>
        </w:rPr>
      </w:pPr>
    </w:p>
    <w:p>
      <w:pPr>
        <w:ind w:left="1000" w:hanging="500"/>
        <w:spacing w:after="0"/>
        <w:tabs>
          <w:tab w:leader="none" w:pos="1000" w:val="left"/>
        </w:tabs>
        <w:numPr>
          <w:ilvl w:val="0"/>
          <w:numId w:val="51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Exchange Act; and</w:t>
      </w:r>
    </w:p>
    <w:p>
      <w:pPr>
        <w:spacing w:after="0" w:line="90" w:lineRule="exact"/>
        <w:rPr>
          <w:rFonts w:ascii="Arial" w:cs="Arial" w:eastAsia="Arial" w:hAnsi="Arial"/>
          <w:sz w:val="13"/>
          <w:szCs w:val="13"/>
          <w:color w:val="auto"/>
        </w:rPr>
      </w:pPr>
    </w:p>
    <w:p>
      <w:pPr>
        <w:ind w:left="1000" w:hanging="500"/>
        <w:spacing w:after="0"/>
        <w:tabs>
          <w:tab w:leader="none" w:pos="1000" w:val="left"/>
        </w:tabs>
        <w:numPr>
          <w:ilvl w:val="0"/>
          <w:numId w:val="51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tabs>
          <w:tab w:leader="none" w:pos="6420" w:val="left"/>
          <w:tab w:leader="none" w:pos="8440" w:val="left"/>
        </w:tabs>
        <w:rPr>
          <w:sz w:val="20"/>
          <w:szCs w:val="20"/>
          <w:color w:val="auto"/>
        </w:rPr>
      </w:pPr>
      <w:r>
        <w:rPr>
          <w:rFonts w:ascii="Arial" w:cs="Arial" w:eastAsia="Arial" w:hAnsi="Arial"/>
          <w:sz w:val="13"/>
          <w:szCs w:val="13"/>
          <w:color w:val="auto"/>
        </w:rPr>
        <w:t>Date: March 31,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12065</wp:posOffset>
            </wp:positionV>
            <wp:extent cx="2863215"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1">
                      <a:extLst>
                        <a:ext uri="{28A0092B-C50C-407E-A947-70E740481C1C}"/>
                      </a:extLst>
                    </a:blip>
                    <a:srcRect/>
                    <a:stretch>
                      <a:fillRect/>
                    </a:stretch>
                  </pic:blipFill>
                  <pic:spPr bwMode="auto">
                    <a:xfrm>
                      <a:off x="0" y="0"/>
                      <a:ext cx="2863215" cy="6350"/>
                    </a:xfrm>
                    <a:prstGeom prst="rect">
                      <a:avLst/>
                    </a:prstGeom>
                    <a:noFill/>
                  </pic:spPr>
                </pic:pic>
              </a:graphicData>
            </a:graphic>
          </wp:anchor>
        </w:drawing>
      </w:r>
    </w:p>
    <w:p>
      <w:pPr>
        <w:spacing w:after="0" w:line="6"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Dr. Sierk Poetting</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Chief Financial Officer</w:t>
      </w:r>
    </w:p>
    <w:sectPr>
      <w:pgSz w:w="11900" w:h="16838" w:orient="portrait"/>
      <w:cols w:equalWidth="0" w:num="1">
        <w:col w:w="11280"/>
      </w:cols>
      <w:pgMar w:left="300" w:top="29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D6D6F4"/>
    <w:multiLevelType w:val="hybridMultilevel"/>
    <w:lvl w:ilvl="0">
      <w:lvlJc w:val="left"/>
      <w:lvlText w:val="☐"/>
      <w:numFmt w:val="bullet"/>
      <w:start w:val="1"/>
    </w:lvl>
  </w:abstractNum>
  <w:abstractNum w:abstractNumId="1">
    <w:nsid w:val="769A091F"/>
    <w:multiLevelType w:val="hybridMultilevel"/>
    <w:lvl w:ilvl="0">
      <w:lvlJc w:val="left"/>
      <w:lvlText w:val="☒"/>
      <w:numFmt w:val="bullet"/>
      <w:start w:val="1"/>
    </w:lvl>
  </w:abstractNum>
  <w:abstractNum w:abstractNumId="2">
    <w:nsid w:val="4695AE95"/>
    <w:multiLevelType w:val="hybridMultilevel"/>
    <w:lvl w:ilvl="0">
      <w:lvlJc w:val="left"/>
      <w:lvlText w:val="☐"/>
      <w:numFmt w:val="bullet"/>
      <w:start w:val="1"/>
    </w:lvl>
  </w:abstractNum>
  <w:abstractNum w:abstractNumId="3">
    <w:nsid w:val="777A4EAA"/>
    <w:multiLevelType w:val="hybridMultilevel"/>
    <w:lvl w:ilvl="0">
      <w:lvlJc w:val="left"/>
      <w:lvlText w:val="☐"/>
      <w:numFmt w:val="bullet"/>
      <w:start w:val="1"/>
    </w:lvl>
  </w:abstractNum>
  <w:abstractNum w:abstractNumId="4">
    <w:nsid w:val="3F48B982"/>
    <w:multiLevelType w:val="hybridMultilevel"/>
    <w:lvl w:ilvl="0">
      <w:lvlJc w:val="left"/>
      <w:lvlText w:val="*"/>
      <w:numFmt w:val="bullet"/>
      <w:start w:val="1"/>
    </w:lvl>
  </w:abstractNum>
  <w:abstractNum w:abstractNumId="5">
    <w:nsid w:val="46BA8FCA"/>
    <w:multiLevelType w:val="hybridMultilevel"/>
    <w:lvl w:ilvl="0">
      <w:lvlJc w:val="left"/>
      <w:lvlText w:val="•"/>
      <w:numFmt w:val="bullet"/>
      <w:start w:val="1"/>
    </w:lvl>
  </w:abstractNum>
  <w:abstractNum w:abstractNumId="6">
    <w:nsid w:val="7835626C"/>
    <w:multiLevelType w:val="hybridMultilevel"/>
    <w:lvl w:ilvl="0">
      <w:lvlJc w:val="left"/>
      <w:lvlText w:val="•"/>
      <w:numFmt w:val="bullet"/>
      <w:start w:val="1"/>
    </w:lvl>
  </w:abstractNum>
  <w:abstractNum w:abstractNumId="7">
    <w:nsid w:val="665ACA49"/>
    <w:multiLevelType w:val="hybridMultilevel"/>
    <w:lvl w:ilvl="0">
      <w:lvlJc w:val="left"/>
      <w:lvlText w:val="%1."/>
      <w:numFmt w:val="upperLetter"/>
      <w:start w:val="1"/>
    </w:lvl>
  </w:abstractNum>
  <w:abstractNum w:abstractNumId="8">
    <w:nsid w:val="6835B2AE"/>
    <w:multiLevelType w:val="hybridMultilevel"/>
    <w:lvl w:ilvl="0">
      <w:lvlJc w:val="left"/>
      <w:lvlText w:val="%1."/>
      <w:numFmt w:val="upperLetter"/>
      <w:start w:val="3"/>
    </w:lvl>
  </w:abstractNum>
  <w:abstractNum w:abstractNumId="9">
    <w:nsid w:val="4C187C90"/>
    <w:multiLevelType w:val="hybridMultilevel"/>
    <w:lvl w:ilvl="0">
      <w:lvlJc w:val="left"/>
      <w:lvlText w:val="%1."/>
      <w:numFmt w:val="upperLetter"/>
      <w:start w:val="4"/>
    </w:lvl>
  </w:abstractNum>
  <w:abstractNum w:abstractNumId="10">
    <w:nsid w:val="541F28CD"/>
    <w:multiLevelType w:val="hybridMultilevel"/>
    <w:lvl w:ilvl="0">
      <w:lvlJc w:val="left"/>
      <w:lvlText w:val="•"/>
      <w:numFmt w:val="bullet"/>
      <w:start w:val="1"/>
    </w:lvl>
  </w:abstractNum>
  <w:abstractNum w:abstractNumId="11">
    <w:nsid w:val="7F65FD16"/>
    <w:multiLevelType w:val="hybridMultilevel"/>
    <w:lvl w:ilvl="0">
      <w:lvlJc w:val="left"/>
      <w:lvlText w:val="•"/>
      <w:numFmt w:val="bullet"/>
      <w:start w:val="1"/>
    </w:lvl>
  </w:abstractNum>
  <w:abstractNum w:abstractNumId="12">
    <w:nsid w:val="77C9FD68"/>
    <w:multiLevelType w:val="hybridMultilevel"/>
    <w:lvl w:ilvl="0">
      <w:lvlJc w:val="left"/>
      <w:lvlText w:val="•"/>
      <w:numFmt w:val="bullet"/>
      <w:start w:val="1"/>
    </w:lvl>
  </w:abstractNum>
  <w:abstractNum w:abstractNumId="13">
    <w:nsid w:val="298A92BA"/>
    <w:multiLevelType w:val="hybridMultilevel"/>
    <w:lvl w:ilvl="0">
      <w:lvlJc w:val="left"/>
      <w:lvlText w:val="•"/>
      <w:numFmt w:val="bullet"/>
      <w:start w:val="1"/>
    </w:lvl>
  </w:abstractNum>
  <w:abstractNum w:abstractNumId="14">
    <w:nsid w:val="6FE95EAC"/>
    <w:multiLevelType w:val="hybridMultilevel"/>
    <w:lvl w:ilvl="0">
      <w:lvlJc w:val="left"/>
      <w:lvlText w:val="•"/>
      <w:numFmt w:val="bullet"/>
      <w:start w:val="1"/>
    </w:lvl>
  </w:abstractNum>
  <w:abstractNum w:abstractNumId="15">
    <w:nsid w:val="4B697C7A"/>
    <w:multiLevelType w:val="hybridMultilevel"/>
    <w:lvl w:ilvl="0">
      <w:lvlJc w:val="left"/>
      <w:lvlText w:val="•"/>
      <w:numFmt w:val="bullet"/>
      <w:start w:val="1"/>
    </w:lvl>
  </w:abstractNum>
  <w:abstractNum w:abstractNumId="16">
    <w:nsid w:val="51A27AA6"/>
    <w:multiLevelType w:val="hybridMultilevel"/>
    <w:lvl w:ilvl="0">
      <w:lvlJc w:val="left"/>
      <w:lvlText w:val="•"/>
      <w:numFmt w:val="bullet"/>
      <w:start w:val="1"/>
    </w:lvl>
  </w:abstractNum>
  <w:abstractNum w:abstractNumId="17">
    <w:nsid w:val="613183F2"/>
    <w:multiLevelType w:val="hybridMultilevel"/>
    <w:lvl w:ilvl="0">
      <w:lvlJc w:val="left"/>
      <w:lvlText w:val="•"/>
      <w:numFmt w:val="bullet"/>
      <w:start w:val="1"/>
    </w:lvl>
  </w:abstractNum>
  <w:abstractNum w:abstractNumId="18">
    <w:nsid w:val="634102B4"/>
    <w:multiLevelType w:val="hybridMultilevel"/>
    <w:lvl w:ilvl="0">
      <w:lvlJc w:val="left"/>
      <w:lvlText w:val="•"/>
      <w:numFmt w:val="bullet"/>
      <w:start w:val="1"/>
    </w:lvl>
  </w:abstractNum>
  <w:abstractNum w:abstractNumId="19">
    <w:nsid w:val="65BF9DA8"/>
    <w:multiLevelType w:val="hybridMultilevel"/>
    <w:lvl w:ilvl="0">
      <w:lvlJc w:val="left"/>
      <w:lvlText w:val="•"/>
      <w:numFmt w:val="bullet"/>
      <w:start w:val="1"/>
    </w:lvl>
  </w:abstractNum>
  <w:abstractNum w:abstractNumId="20">
    <w:nsid w:val="21A2ECCA"/>
    <w:multiLevelType w:val="hybridMultilevel"/>
    <w:lvl w:ilvl="0">
      <w:lvlJc w:val="left"/>
      <w:lvlText w:val="•"/>
      <w:numFmt w:val="bullet"/>
      <w:start w:val="1"/>
    </w:lvl>
  </w:abstractNum>
  <w:abstractNum w:abstractNumId="21">
    <w:nsid w:val="4D5C4899"/>
    <w:multiLevelType w:val="hybridMultilevel"/>
    <w:lvl w:ilvl="0">
      <w:lvlJc w:val="left"/>
      <w:lvlText w:val="•"/>
      <w:numFmt w:val="bullet"/>
      <w:start w:val="1"/>
    </w:lvl>
  </w:abstractNum>
  <w:abstractNum w:abstractNumId="22">
    <w:nsid w:val="3C3B72B2"/>
    <w:multiLevelType w:val="hybridMultilevel"/>
    <w:lvl w:ilvl="0">
      <w:lvlJc w:val="left"/>
      <w:lvlText w:val="•"/>
      <w:numFmt w:val="bullet"/>
      <w:start w:val="1"/>
    </w:lvl>
  </w:abstractNum>
  <w:abstractNum w:abstractNumId="23">
    <w:nsid w:val="155EC4C2"/>
    <w:multiLevelType w:val="hybridMultilevel"/>
    <w:lvl w:ilvl="0">
      <w:lvlJc w:val="left"/>
      <w:lvlText w:val="•"/>
      <w:numFmt w:val="bullet"/>
      <w:start w:val="1"/>
    </w:lvl>
  </w:abstractNum>
  <w:abstractNum w:abstractNumId="24">
    <w:nsid w:val="65D2A137"/>
    <w:multiLevelType w:val="hybridMultilevel"/>
    <w:lvl w:ilvl="0">
      <w:lvlJc w:val="left"/>
      <w:lvlText w:val="•"/>
      <w:numFmt w:val="bullet"/>
      <w:start w:val="1"/>
    </w:lvl>
  </w:abstractNum>
  <w:abstractNum w:abstractNumId="25">
    <w:nsid w:val="6EBB1F2A"/>
    <w:multiLevelType w:val="hybridMultilevel"/>
    <w:lvl w:ilvl="0">
      <w:lvlJc w:val="left"/>
      <w:lvlText w:val="•"/>
      <w:numFmt w:val="bullet"/>
      <w:start w:val="1"/>
    </w:lvl>
  </w:abstractNum>
  <w:abstractNum w:abstractNumId="26">
    <w:nsid w:val="6FBF29CB"/>
    <w:multiLevelType w:val="hybridMultilevel"/>
    <w:lvl w:ilvl="0">
      <w:lvlJc w:val="left"/>
      <w:lvlText w:val="•"/>
      <w:numFmt w:val="bullet"/>
      <w:start w:val="1"/>
    </w:lvl>
  </w:abstractNum>
  <w:abstractNum w:abstractNumId="27">
    <w:nsid w:val="550B8808"/>
    <w:multiLevelType w:val="hybridMultilevel"/>
    <w:lvl w:ilvl="0">
      <w:lvlJc w:val="left"/>
      <w:lvlText w:val="•"/>
      <w:numFmt w:val="bullet"/>
      <w:start w:val="1"/>
    </w:lvl>
  </w:abstractNum>
  <w:abstractNum w:abstractNumId="28">
    <w:nsid w:val="34CC3ACF"/>
    <w:multiLevelType w:val="hybridMultilevel"/>
    <w:lvl w:ilvl="0">
      <w:lvlJc w:val="left"/>
      <w:lvlText w:val="•"/>
      <w:numFmt w:val="bullet"/>
      <w:start w:val="1"/>
    </w:lvl>
  </w:abstractNum>
  <w:abstractNum w:abstractNumId="29">
    <w:nsid w:val="4E556261"/>
    <w:multiLevelType w:val="hybridMultilevel"/>
    <w:lvl w:ilvl="0">
      <w:lvlJc w:val="left"/>
      <w:lvlText w:val="•"/>
      <w:numFmt w:val="bullet"/>
      <w:start w:val="1"/>
    </w:lvl>
  </w:abstractNum>
  <w:abstractNum w:abstractNumId="30">
    <w:nsid w:val="4C672FC9"/>
    <w:multiLevelType w:val="hybridMultilevel"/>
    <w:lvl w:ilvl="0">
      <w:lvlJc w:val="left"/>
      <w:lvlText w:val="•"/>
      <w:numFmt w:val="bullet"/>
      <w:start w:val="1"/>
    </w:lvl>
  </w:abstractNum>
  <w:abstractNum w:abstractNumId="31">
    <w:nsid w:val="52A311C3"/>
    <w:multiLevelType w:val="hybridMultilevel"/>
    <w:lvl w:ilvl="0">
      <w:lvlJc w:val="left"/>
      <w:lvlText w:val="•"/>
      <w:numFmt w:val="bullet"/>
      <w:start w:val="1"/>
    </w:lvl>
  </w:abstractNum>
  <w:abstractNum w:abstractNumId="32">
    <w:nsid w:val="44EF6B80"/>
    <w:multiLevelType w:val="hybridMultilevel"/>
    <w:lvl w:ilvl="0">
      <w:lvlJc w:val="left"/>
      <w:lvlText w:val="•"/>
      <w:numFmt w:val="bullet"/>
      <w:start w:val="1"/>
    </w:lvl>
  </w:abstractNum>
  <w:abstractNum w:abstractNumId="33">
    <w:nsid w:val="12FCDE5E"/>
    <w:multiLevelType w:val="hybridMultilevel"/>
    <w:lvl w:ilvl="0">
      <w:lvlJc w:val="left"/>
      <w:lvlText w:val="•"/>
      <w:numFmt w:val="bullet"/>
      <w:start w:val="1"/>
    </w:lvl>
  </w:abstractNum>
  <w:abstractNum w:abstractNumId="34">
    <w:nsid w:val="4A1D606E"/>
    <w:multiLevelType w:val="hybridMultilevel"/>
    <w:lvl w:ilvl="0">
      <w:lvlJc w:val="left"/>
      <w:lvlText w:val="•"/>
      <w:numFmt w:val="bullet"/>
      <w:start w:val="1"/>
    </w:lvl>
  </w:abstractNum>
  <w:abstractNum w:abstractNumId="35">
    <w:nsid w:val="4382503"/>
    <w:multiLevelType w:val="hybridMultilevel"/>
    <w:lvl w:ilvl="0">
      <w:lvlJc w:val="left"/>
      <w:lvlText w:val="•"/>
      <w:numFmt w:val="bullet"/>
      <w:start w:val="1"/>
    </w:lvl>
  </w:abstractNum>
  <w:abstractNum w:abstractNumId="36">
    <w:nsid w:val="59B76E28"/>
    <w:multiLevelType w:val="hybridMultilevel"/>
    <w:lvl w:ilvl="0">
      <w:lvlJc w:val="left"/>
      <w:lvlText w:val="•"/>
      <w:numFmt w:val="bullet"/>
      <w:start w:val="1"/>
    </w:lvl>
  </w:abstractNum>
  <w:abstractNum w:abstractNumId="37">
    <w:nsid w:val="4252C2DA"/>
    <w:multiLevelType w:val="hybridMultilevel"/>
    <w:lvl w:ilvl="0">
      <w:lvlJc w:val="left"/>
      <w:lvlText w:val="•"/>
      <w:numFmt w:val="bullet"/>
      <w:start w:val="1"/>
    </w:lvl>
  </w:abstractNum>
  <w:abstractNum w:abstractNumId="38">
    <w:nsid w:val="6A92EF4C"/>
    <w:multiLevelType w:val="hybridMultilevel"/>
    <w:lvl w:ilvl="0">
      <w:lvlJc w:val="left"/>
      <w:lvlText w:val="•"/>
      <w:numFmt w:val="bullet"/>
      <w:start w:val="1"/>
    </w:lvl>
  </w:abstractNum>
  <w:abstractNum w:abstractNumId="39">
    <w:nsid w:val="41ED20D7"/>
    <w:multiLevelType w:val="hybridMultilevel"/>
    <w:lvl w:ilvl="0">
      <w:lvlJc w:val="left"/>
      <w:lvlText w:val="•"/>
      <w:numFmt w:val="bullet"/>
      <w:start w:val="1"/>
    </w:lvl>
  </w:abstractNum>
  <w:abstractNum w:abstractNumId="40">
    <w:nsid w:val="E6B3F6A"/>
    <w:multiLevelType w:val="hybridMultilevel"/>
    <w:lvl w:ilvl="0">
      <w:lvlJc w:val="left"/>
      <w:lvlText w:val="•"/>
      <w:numFmt w:val="bullet"/>
      <w:start w:val="1"/>
    </w:lvl>
  </w:abstractNum>
  <w:abstractNum w:abstractNumId="41">
    <w:nsid w:val="3EB21819"/>
    <w:multiLevelType w:val="hybridMultilevel"/>
    <w:lvl w:ilvl="0">
      <w:lvlJc w:val="left"/>
      <w:lvlText w:val="•"/>
      <w:numFmt w:val="bullet"/>
      <w:start w:val="1"/>
    </w:lvl>
  </w:abstractNum>
  <w:abstractNum w:abstractNumId="42">
    <w:nsid w:val="41531DED"/>
    <w:multiLevelType w:val="hybridMultilevel"/>
    <w:lvl w:ilvl="0">
      <w:lvlJc w:val="left"/>
      <w:lvlText w:val="•"/>
      <w:numFmt w:val="bullet"/>
      <w:start w:val="1"/>
    </w:lvl>
  </w:abstractNum>
  <w:abstractNum w:abstractNumId="43">
    <w:nsid w:val="6353CD2"/>
    <w:multiLevelType w:val="hybridMultilevel"/>
    <w:lvl w:ilvl="0">
      <w:lvlJc w:val="left"/>
      <w:lvlText w:val="•"/>
      <w:numFmt w:val="bullet"/>
      <w:start w:val="1"/>
    </w:lvl>
  </w:abstractNum>
  <w:abstractNum w:abstractNumId="44">
    <w:nsid w:val="683CAAD3"/>
    <w:multiLevelType w:val="hybridMultilevel"/>
    <w:lvl w:ilvl="0">
      <w:lvlJc w:val="left"/>
      <w:lvlText w:val="•"/>
      <w:numFmt w:val="bullet"/>
      <w:start w:val="1"/>
    </w:lvl>
  </w:abstractNum>
  <w:abstractNum w:abstractNumId="45">
    <w:nsid w:val="313C7C99"/>
    <w:multiLevelType w:val="hybridMultilevel"/>
    <w:lvl w:ilvl="0">
      <w:lvlJc w:val="left"/>
      <w:lvlText w:val="•"/>
      <w:numFmt w:val="bullet"/>
      <w:start w:val="1"/>
    </w:lvl>
  </w:abstractNum>
  <w:abstractNum w:abstractNumId="46">
    <w:nsid w:val="519EB94C"/>
    <w:multiLevelType w:val="hybridMultilevel"/>
    <w:lvl w:ilvl="0">
      <w:lvlJc w:val="left"/>
      <w:lvlText w:val="•"/>
      <w:numFmt w:val="bullet"/>
      <w:start w:val="1"/>
    </w:lvl>
  </w:abstractNum>
  <w:abstractNum w:abstractNumId="47">
    <w:nsid w:val="39DF2579"/>
    <w:multiLevelType w:val="hybridMultilevel"/>
    <w:lvl w:ilvl="0">
      <w:lvlJc w:val="left"/>
      <w:lvlText w:val="•"/>
      <w:numFmt w:val="bullet"/>
      <w:start w:val="1"/>
    </w:lvl>
  </w:abstractNum>
  <w:abstractNum w:abstractNumId="48">
    <w:nsid w:val="126E008B"/>
    <w:multiLevelType w:val="hybridMultilevel"/>
    <w:lvl w:ilvl="0">
      <w:lvlJc w:val="left"/>
      <w:lvlText w:val="•"/>
      <w:numFmt w:val="bullet"/>
      <w:start w:val="1"/>
    </w:lvl>
  </w:abstractNum>
  <w:abstractNum w:abstractNumId="49">
    <w:nsid w:val="34DFBC00"/>
    <w:multiLevelType w:val="hybridMultilevel"/>
    <w:lvl w:ilvl="0">
      <w:lvlJc w:val="left"/>
      <w:lvlText w:val="•"/>
      <w:numFmt w:val="bullet"/>
      <w:start w:val="1"/>
    </w:lvl>
  </w:abstractNum>
  <w:abstractNum w:abstractNumId="50">
    <w:nsid w:val="1F9EC322"/>
    <w:multiLevelType w:val="hybridMultilevel"/>
    <w:lvl w:ilvl="0">
      <w:lvlJc w:val="left"/>
      <w:lvlText w:val="•"/>
      <w:numFmt w:val="bullet"/>
      <w:start w:val="1"/>
    </w:lvl>
  </w:abstractNum>
  <w:abstractNum w:abstractNumId="51">
    <w:nsid w:val="3410ED56"/>
    <w:multiLevelType w:val="hybridMultilevel"/>
    <w:lvl w:ilvl="0">
      <w:lvlJc w:val="left"/>
      <w:lvlText w:val="•"/>
      <w:numFmt w:val="bullet"/>
      <w:start w:val="1"/>
    </w:lvl>
  </w:abstractNum>
  <w:abstractNum w:abstractNumId="52">
    <w:nsid w:val="23C049A"/>
    <w:multiLevelType w:val="hybridMultilevel"/>
    <w:lvl w:ilvl="0">
      <w:lvlJc w:val="left"/>
      <w:lvlText w:val="•"/>
      <w:numFmt w:val="bullet"/>
      <w:start w:val="1"/>
    </w:lvl>
  </w:abstractNum>
  <w:abstractNum w:abstractNumId="53">
    <w:nsid w:val="5BDA35D4"/>
    <w:multiLevelType w:val="hybridMultilevel"/>
    <w:lvl w:ilvl="0">
      <w:lvlJc w:val="left"/>
      <w:lvlText w:val="•"/>
      <w:numFmt w:val="bullet"/>
      <w:start w:val="1"/>
    </w:lvl>
  </w:abstractNum>
  <w:abstractNum w:abstractNumId="54">
    <w:nsid w:val="496FB218"/>
    <w:multiLevelType w:val="hybridMultilevel"/>
    <w:lvl w:ilvl="0">
      <w:lvlJc w:val="left"/>
      <w:lvlText w:val="•"/>
      <w:numFmt w:val="bullet"/>
      <w:start w:val="1"/>
    </w:lvl>
  </w:abstractNum>
  <w:abstractNum w:abstractNumId="55">
    <w:nsid w:val="680EA5D1"/>
    <w:multiLevelType w:val="hybridMultilevel"/>
    <w:lvl w:ilvl="0">
      <w:lvlJc w:val="left"/>
      <w:lvlText w:val="•"/>
      <w:numFmt w:val="bullet"/>
      <w:start w:val="1"/>
    </w:lvl>
  </w:abstractNum>
  <w:abstractNum w:abstractNumId="56">
    <w:nsid w:val="4A9554FE"/>
    <w:multiLevelType w:val="hybridMultilevel"/>
    <w:lvl w:ilvl="0">
      <w:lvlJc w:val="left"/>
      <w:lvlText w:val="•"/>
      <w:numFmt w:val="bullet"/>
      <w:start w:val="1"/>
    </w:lvl>
  </w:abstractNum>
  <w:abstractNum w:abstractNumId="57">
    <w:nsid w:val="392EDBE4"/>
    <w:multiLevelType w:val="hybridMultilevel"/>
    <w:lvl w:ilvl="0">
      <w:lvlJc w:val="left"/>
      <w:lvlText w:val="•"/>
      <w:numFmt w:val="bullet"/>
      <w:start w:val="1"/>
    </w:lvl>
  </w:abstractNum>
  <w:abstractNum w:abstractNumId="58">
    <w:nsid w:val="3D1A2DD9"/>
    <w:multiLevelType w:val="hybridMultilevel"/>
    <w:lvl w:ilvl="0">
      <w:lvlJc w:val="left"/>
      <w:lvlText w:val="•"/>
      <w:numFmt w:val="bullet"/>
      <w:start w:val="1"/>
    </w:lvl>
  </w:abstractNum>
  <w:abstractNum w:abstractNumId="59">
    <w:nsid w:val="7F618FCD"/>
    <w:multiLevelType w:val="hybridMultilevel"/>
    <w:lvl w:ilvl="0">
      <w:lvlJc w:val="left"/>
      <w:lvlText w:val="•"/>
      <w:numFmt w:val="bullet"/>
      <w:start w:val="1"/>
    </w:lvl>
  </w:abstractNum>
  <w:abstractNum w:abstractNumId="60">
    <w:nsid w:val="7843E45"/>
    <w:multiLevelType w:val="hybridMultilevel"/>
    <w:lvl w:ilvl="0">
      <w:lvlJc w:val="left"/>
      <w:lvlText w:val="\endash "/>
      <w:numFmt w:val="bullet"/>
      <w:start w:val="1"/>
    </w:lvl>
  </w:abstractNum>
  <w:abstractNum w:abstractNumId="61">
    <w:nsid w:val="9815DA3"/>
    <w:multiLevelType w:val="hybridMultilevel"/>
    <w:lvl w:ilvl="0">
      <w:lvlJc w:val="left"/>
      <w:lvlText w:val="%1."/>
      <w:numFmt w:val="upperLetter"/>
      <w:start w:val="1"/>
    </w:lvl>
  </w:abstractNum>
  <w:abstractNum w:abstractNumId="62">
    <w:nsid w:val="5204A191"/>
    <w:multiLevelType w:val="hybridMultilevel"/>
    <w:lvl w:ilvl="0">
      <w:lvlJc w:val="left"/>
      <w:lvlText w:val="%1."/>
      <w:numFmt w:val="upperLetter"/>
      <w:start w:val="9"/>
    </w:lvl>
  </w:abstractNum>
  <w:abstractNum w:abstractNumId="63">
    <w:nsid w:val="4C73A9C6"/>
    <w:multiLevelType w:val="hybridMultilevel"/>
    <w:lvl w:ilvl="0">
      <w:lvlJc w:val="left"/>
      <w:lvlText w:val="•"/>
      <w:numFmt w:val="bullet"/>
      <w:start w:val="1"/>
    </w:lvl>
  </w:abstractNum>
  <w:abstractNum w:abstractNumId="64">
    <w:nsid w:val="1C7E3C01"/>
    <w:multiLevelType w:val="hybridMultilevel"/>
    <w:lvl w:ilvl="0">
      <w:lvlJc w:val="left"/>
      <w:lvlText w:val="•"/>
      <w:numFmt w:val="bullet"/>
      <w:start w:val="1"/>
    </w:lvl>
  </w:abstractNum>
  <w:abstractNum w:abstractNumId="65">
    <w:nsid w:val="1C2201FF"/>
    <w:multiLevelType w:val="hybridMultilevel"/>
    <w:lvl w:ilvl="0">
      <w:lvlJc w:val="left"/>
      <w:lvlText w:val="%1."/>
      <w:numFmt w:val="upperLetter"/>
      <w:start w:val="1"/>
    </w:lvl>
  </w:abstractNum>
  <w:abstractNum w:abstractNumId="66">
    <w:nsid w:val="50ABCEC9"/>
    <w:multiLevelType w:val="hybridMultilevel"/>
    <w:lvl w:ilvl="0">
      <w:lvlJc w:val="left"/>
      <w:lvlText w:val="%1."/>
      <w:numFmt w:val="decimal"/>
      <w:start w:val="1"/>
    </w:lvl>
  </w:abstractNum>
  <w:abstractNum w:abstractNumId="67">
    <w:nsid w:val="7635AA2A"/>
    <w:multiLevelType w:val="hybridMultilevel"/>
    <w:lvl w:ilvl="0">
      <w:lvlJc w:val="left"/>
      <w:lvlText w:val="•"/>
      <w:numFmt w:val="bullet"/>
      <w:start w:val="1"/>
    </w:lvl>
  </w:abstractNum>
  <w:abstractNum w:abstractNumId="68">
    <w:nsid w:val="5E74C4D9"/>
    <w:multiLevelType w:val="hybridMultilevel"/>
    <w:lvl w:ilvl="0">
      <w:lvlJc w:val="left"/>
      <w:lvlText w:val="%1."/>
      <w:numFmt w:val="decimal"/>
      <w:start w:val="2"/>
    </w:lvl>
  </w:abstractNum>
  <w:abstractNum w:abstractNumId="69">
    <w:nsid w:val="3B3EBE15"/>
    <w:multiLevelType w:val="hybridMultilevel"/>
    <w:lvl w:ilvl="0">
      <w:lvlJc w:val="left"/>
      <w:lvlText w:val="•"/>
      <w:numFmt w:val="bullet"/>
      <w:start w:val="1"/>
    </w:lvl>
  </w:abstractNum>
  <w:abstractNum w:abstractNumId="70">
    <w:nsid w:val="3822CB01"/>
    <w:multiLevelType w:val="hybridMultilevel"/>
    <w:lvl w:ilvl="0">
      <w:lvlJc w:val="left"/>
      <w:lvlText w:val="%1."/>
      <w:numFmt w:val="decimal"/>
      <w:start w:val="3"/>
    </w:lvl>
  </w:abstractNum>
  <w:abstractNum w:abstractNumId="71">
    <w:nsid w:val="6CE00443"/>
    <w:multiLevelType w:val="hybridMultilevel"/>
    <w:lvl w:ilvl="0">
      <w:lvlJc w:val="left"/>
      <w:lvlText w:val="%1."/>
      <w:numFmt w:val="upperLetter"/>
      <w:start w:val="35"/>
    </w:lvl>
  </w:abstractNum>
  <w:abstractNum w:abstractNumId="72">
    <w:nsid w:val="79F0D62F"/>
    <w:multiLevelType w:val="hybridMultilevel"/>
    <w:lvl w:ilvl="0">
      <w:lvlJc w:val="left"/>
      <w:lvlText w:val="•"/>
      <w:numFmt w:val="bullet"/>
      <w:start w:val="1"/>
    </w:lvl>
  </w:abstractNum>
  <w:abstractNum w:abstractNumId="73">
    <w:nsid w:val="7975E8EE"/>
    <w:multiLevelType w:val="hybridMultilevel"/>
    <w:lvl w:ilvl="0">
      <w:lvlJc w:val="left"/>
      <w:lvlText w:val="•"/>
      <w:numFmt w:val="bullet"/>
      <w:start w:val="1"/>
    </w:lvl>
  </w:abstractNum>
  <w:abstractNum w:abstractNumId="74">
    <w:nsid w:val="73154115"/>
    <w:multiLevelType w:val="hybridMultilevel"/>
    <w:lvl w:ilvl="0">
      <w:lvlJc w:val="left"/>
      <w:lvlText w:val="•"/>
      <w:numFmt w:val="bullet"/>
      <w:start w:val="1"/>
    </w:lvl>
  </w:abstractNum>
  <w:abstractNum w:abstractNumId="75">
    <w:nsid w:val="622D8102"/>
    <w:multiLevelType w:val="hybridMultilevel"/>
    <w:lvl w:ilvl="0">
      <w:lvlJc w:val="left"/>
      <w:lvlText w:val="•"/>
      <w:numFmt w:val="bullet"/>
      <w:start w:val="1"/>
    </w:lvl>
  </w:abstractNum>
  <w:abstractNum w:abstractNumId="76">
    <w:nsid w:val="2AB26587"/>
    <w:multiLevelType w:val="hybridMultilevel"/>
    <w:lvl w:ilvl="0">
      <w:lvlJc w:val="left"/>
      <w:lvlText w:val="•"/>
      <w:numFmt w:val="bullet"/>
      <w:start w:val="1"/>
    </w:lvl>
    <w:lvl w:ilvl="1">
      <w:lvlJc w:val="left"/>
      <w:lvlText w:val="•"/>
      <w:numFmt w:val="bullet"/>
      <w:start w:val="1"/>
    </w:lvl>
  </w:abstractNum>
  <w:abstractNum w:abstractNumId="77">
    <w:nsid w:val="44B3FA61"/>
    <w:multiLevelType w:val="hybridMultilevel"/>
    <w:lvl w:ilvl="0">
      <w:lvlJc w:val="left"/>
      <w:lvlText w:val="•"/>
      <w:numFmt w:val="bullet"/>
      <w:start w:val="1"/>
    </w:lvl>
  </w:abstractNum>
  <w:abstractNum w:abstractNumId="78">
    <w:nsid w:val="1C0CA67C"/>
    <w:multiLevelType w:val="hybridMultilevel"/>
    <w:lvl w:ilvl="0">
      <w:lvlJc w:val="left"/>
      <w:lvlText w:val="•"/>
      <w:numFmt w:val="bullet"/>
      <w:start w:val="1"/>
    </w:lvl>
  </w:abstractNum>
  <w:abstractNum w:abstractNumId="79">
    <w:nsid w:val="3D206613"/>
    <w:multiLevelType w:val="hybridMultilevel"/>
    <w:lvl w:ilvl="0">
      <w:lvlJc w:val="left"/>
      <w:lvlText w:val="•"/>
      <w:numFmt w:val="bullet"/>
      <w:start w:val="1"/>
    </w:lvl>
  </w:abstractNum>
  <w:abstractNum w:abstractNumId="80">
    <w:nsid w:val="7993B662"/>
    <w:multiLevelType w:val="hybridMultilevel"/>
    <w:lvl w:ilvl="0">
      <w:lvlJc w:val="left"/>
      <w:lvlText w:val="%1."/>
      <w:numFmt w:val="upperLetter"/>
      <w:start w:val="60"/>
    </w:lvl>
    <w:lvl w:ilvl="1">
      <w:lvlJc w:val="left"/>
      <w:lvlText w:val="•"/>
      <w:numFmt w:val="bullet"/>
      <w:start w:val="1"/>
    </w:lvl>
  </w:abstractNum>
  <w:abstractNum w:abstractNumId="81">
    <w:nsid w:val="3BAB699E"/>
    <w:multiLevelType w:val="hybridMultilevel"/>
    <w:lvl w:ilvl="0">
      <w:lvlJc w:val="left"/>
      <w:lvlText w:val="•"/>
      <w:numFmt w:val="bullet"/>
      <w:start w:val="1"/>
    </w:lvl>
  </w:abstractNum>
  <w:abstractNum w:abstractNumId="82">
    <w:nsid w:val="71315369"/>
    <w:multiLevelType w:val="hybridMultilevel"/>
    <w:lvl w:ilvl="0">
      <w:lvlJc w:val="left"/>
      <w:lvlText w:val="•"/>
      <w:numFmt w:val="bullet"/>
      <w:start w:val="1"/>
    </w:lvl>
  </w:abstractNum>
  <w:abstractNum w:abstractNumId="83">
    <w:nsid w:val="7BCFBAFC"/>
    <w:multiLevelType w:val="hybridMultilevel"/>
    <w:lvl w:ilvl="0">
      <w:lvlJc w:val="left"/>
      <w:lvlText w:val="•"/>
      <w:numFmt w:val="bullet"/>
      <w:start w:val="1"/>
    </w:lvl>
  </w:abstractNum>
  <w:abstractNum w:abstractNumId="84">
    <w:nsid w:val="17859F72"/>
    <w:multiLevelType w:val="hybridMultilevel"/>
    <w:lvl w:ilvl="0">
      <w:lvlJc w:val="left"/>
      <w:lvlText w:val="•"/>
      <w:numFmt w:val="bullet"/>
      <w:start w:val="1"/>
    </w:lvl>
  </w:abstractNum>
  <w:abstractNum w:abstractNumId="85">
    <w:nsid w:val="3AA10581"/>
    <w:multiLevelType w:val="hybridMultilevel"/>
    <w:lvl w:ilvl="0">
      <w:lvlJc w:val="left"/>
      <w:lvlText w:val="•"/>
      <w:numFmt w:val="bullet"/>
      <w:start w:val="1"/>
    </w:lvl>
  </w:abstractNum>
  <w:abstractNum w:abstractNumId="86">
    <w:nsid w:val="63DE60CD"/>
    <w:multiLevelType w:val="hybridMultilevel"/>
    <w:lvl w:ilvl="0">
      <w:lvlJc w:val="left"/>
      <w:lvlText w:val="•"/>
      <w:numFmt w:val="bullet"/>
      <w:start w:val="1"/>
    </w:lvl>
  </w:abstractNum>
  <w:abstractNum w:abstractNumId="87">
    <w:nsid w:val="621AF471"/>
    <w:multiLevelType w:val="hybridMultilevel"/>
    <w:lvl w:ilvl="0">
      <w:lvlJc w:val="left"/>
      <w:lvlText w:val="•"/>
      <w:numFmt w:val="bullet"/>
      <w:start w:val="1"/>
    </w:lvl>
  </w:abstractNum>
  <w:abstractNum w:abstractNumId="88">
    <w:nsid w:val="73CFE165"/>
    <w:multiLevelType w:val="hybridMultilevel"/>
    <w:lvl w:ilvl="0">
      <w:lvlJc w:val="left"/>
      <w:lvlText w:val="•"/>
      <w:numFmt w:val="bullet"/>
      <w:start w:val="1"/>
    </w:lvl>
  </w:abstractNum>
  <w:abstractNum w:abstractNumId="89">
    <w:nsid w:val="20F88EA6"/>
    <w:multiLevelType w:val="hybridMultilevel"/>
    <w:lvl w:ilvl="0">
      <w:lvlJc w:val="left"/>
      <w:lvlText w:val="%1."/>
      <w:numFmt w:val="upperLetter"/>
      <w:start w:val="22"/>
    </w:lvl>
  </w:abstractNum>
  <w:abstractNum w:abstractNumId="90">
    <w:nsid w:val="617C843E"/>
    <w:multiLevelType w:val="hybridMultilevel"/>
    <w:lvl w:ilvl="0">
      <w:lvlJc w:val="left"/>
      <w:lvlText w:val="•"/>
      <w:numFmt w:val="bullet"/>
      <w:start w:val="1"/>
    </w:lvl>
  </w:abstractNum>
  <w:abstractNum w:abstractNumId="91">
    <w:nsid w:val="7B541FAB"/>
    <w:multiLevelType w:val="hybridMultilevel"/>
    <w:lvl w:ilvl="0">
      <w:lvlJc w:val="left"/>
      <w:lvlText w:val="•"/>
      <w:numFmt w:val="bullet"/>
      <w:start w:val="1"/>
    </w:lvl>
  </w:abstractNum>
  <w:abstractNum w:abstractNumId="92">
    <w:nsid w:val="2A79EC49"/>
    <w:multiLevelType w:val="hybridMultilevel"/>
    <w:lvl w:ilvl="0">
      <w:lvlJc w:val="left"/>
      <w:lvlText w:val="%1."/>
      <w:numFmt w:val="decimal"/>
      <w:start w:val="1"/>
    </w:lvl>
  </w:abstractNum>
  <w:abstractNum w:abstractNumId="93">
    <w:nsid w:val="338125CF"/>
    <w:multiLevelType w:val="hybridMultilevel"/>
    <w:lvl w:ilvl="0">
      <w:lvlJc w:val="left"/>
      <w:lvlText w:val="%1."/>
      <w:numFmt w:val="upperLetter"/>
      <w:start w:val="1"/>
    </w:lvl>
  </w:abstractNum>
  <w:abstractNum w:abstractNumId="94">
    <w:nsid w:val="47C7C971"/>
    <w:multiLevelType w:val="hybridMultilevel"/>
    <w:lvl w:ilvl="0">
      <w:lvlJc w:val="left"/>
      <w:lvlText w:val="%1."/>
      <w:numFmt w:val="decimal"/>
      <w:start w:val="1"/>
    </w:lvl>
  </w:abstractNum>
  <w:abstractNum w:abstractNumId="95">
    <w:nsid w:val="46F8284B"/>
    <w:multiLevelType w:val="hybridMultilevel"/>
    <w:lvl w:ilvl="0">
      <w:lvlJc w:val="left"/>
      <w:lvlText w:val="•"/>
      <w:numFmt w:val="bullet"/>
      <w:start w:val="1"/>
    </w:lvl>
    <w:lvl w:ilvl="1">
      <w:lvlJc w:val="left"/>
      <w:lvlText w:val="%2."/>
      <w:numFmt w:val="decimal"/>
      <w:start w:val="2"/>
    </w:lvl>
  </w:abstractNum>
  <w:abstractNum w:abstractNumId="96">
    <w:nsid w:val="4FA327CE"/>
    <w:multiLevelType w:val="hybridMultilevel"/>
    <w:lvl w:ilvl="0">
      <w:lvlJc w:val="left"/>
      <w:lvlText w:val="%1."/>
      <w:numFmt w:val="decimal"/>
      <w:start w:val="3"/>
    </w:lvl>
  </w:abstractNum>
  <w:abstractNum w:abstractNumId="97">
    <w:nsid w:val="1873983A"/>
    <w:multiLevelType w:val="hybridMultilevel"/>
    <w:lvl w:ilvl="0">
      <w:lvlJc w:val="left"/>
      <w:lvlText w:val="%1."/>
      <w:numFmt w:val="upperLetter"/>
      <w:start w:val="2"/>
    </w:lvl>
  </w:abstractNum>
  <w:abstractNum w:abstractNumId="98">
    <w:nsid w:val="3D2DD275"/>
    <w:multiLevelType w:val="hybridMultilevel"/>
    <w:lvl w:ilvl="0">
      <w:lvlJc w:val="left"/>
      <w:lvlText w:val="%1."/>
      <w:numFmt w:val="decimal"/>
      <w:start w:val="1"/>
    </w:lvl>
  </w:abstractNum>
  <w:abstractNum w:abstractNumId="99">
    <w:nsid w:val="2E17ECA7"/>
    <w:multiLevelType w:val="hybridMultilevel"/>
    <w:lvl w:ilvl="0">
      <w:lvlJc w:val="left"/>
      <w:lvlText w:val="%1."/>
      <w:numFmt w:val="decimal"/>
      <w:start w:val="2"/>
    </w:lvl>
  </w:abstractNum>
  <w:abstractNum w:abstractNumId="100">
    <w:nsid w:val="53B2564F"/>
    <w:multiLevelType w:val="hybridMultilevel"/>
    <w:lvl w:ilvl="0">
      <w:lvlJc w:val="left"/>
      <w:lvlText w:val="%1."/>
      <w:numFmt w:val="upperLetter"/>
      <w:start w:val="3"/>
    </w:lvl>
  </w:abstractNum>
  <w:abstractNum w:abstractNumId="101">
    <w:nsid w:val="75509D76"/>
    <w:multiLevelType w:val="hybridMultilevel"/>
    <w:lvl w:ilvl="0">
      <w:lvlJc w:val="left"/>
      <w:lvlText w:val="%1."/>
      <w:numFmt w:val="decimal"/>
      <w:start w:val="1"/>
    </w:lvl>
  </w:abstractNum>
  <w:abstractNum w:abstractNumId="102">
    <w:nsid w:val="1AF7F0EA"/>
    <w:multiLevelType w:val="hybridMultilevel"/>
    <w:lvl w:ilvl="0">
      <w:lvlJc w:val="left"/>
      <w:lvlText w:val="%1."/>
      <w:numFmt w:val="decimal"/>
      <w:start w:val="2"/>
    </w:lvl>
  </w:abstractNum>
  <w:abstractNum w:abstractNumId="103">
    <w:nsid w:val="4DA32C7E"/>
    <w:multiLevelType w:val="hybridMultilevel"/>
    <w:lvl w:ilvl="0">
      <w:lvlJc w:val="left"/>
      <w:lvlText w:val="•"/>
      <w:numFmt w:val="bullet"/>
      <w:start w:val="1"/>
    </w:lvl>
  </w:abstractNum>
  <w:abstractNum w:abstractNumId="104">
    <w:nsid w:val="6EC68664"/>
    <w:multiLevelType w:val="hybridMultilevel"/>
    <w:lvl w:ilvl="0">
      <w:lvlJc w:val="left"/>
      <w:lvlText w:val="%1."/>
      <w:numFmt w:val="decimal"/>
      <w:start w:val="3"/>
    </w:lvl>
  </w:abstractNum>
  <w:abstractNum w:abstractNumId="105">
    <w:nsid w:val="E0D31FF"/>
    <w:multiLevelType w:val="hybridMultilevel"/>
    <w:lvl w:ilvl="0">
      <w:lvlJc w:val="left"/>
      <w:lvlText w:val="•"/>
      <w:numFmt w:val="bullet"/>
      <w:start w:val="1"/>
    </w:lvl>
  </w:abstractNum>
  <w:abstractNum w:abstractNumId="106">
    <w:nsid w:val="2FD0AD81"/>
    <w:multiLevelType w:val="hybridMultilevel"/>
    <w:lvl w:ilvl="0">
      <w:lvlJc w:val="left"/>
      <w:lvlText w:val="%1."/>
      <w:numFmt w:val="upperLetter"/>
      <w:start w:val="1"/>
    </w:lvl>
  </w:abstractNum>
  <w:abstractNum w:abstractNumId="107">
    <w:nsid w:val="1978EBEB"/>
    <w:multiLevelType w:val="hybridMultilevel"/>
    <w:lvl w:ilvl="0">
      <w:lvlJc w:val="left"/>
      <w:lvlText w:val="•"/>
      <w:numFmt w:val="bullet"/>
      <w:start w:val="1"/>
    </w:lvl>
  </w:abstractNum>
  <w:abstractNum w:abstractNumId="108">
    <w:nsid w:val="52C12C61"/>
    <w:multiLevelType w:val="hybridMultilevel"/>
    <w:lvl w:ilvl="0">
      <w:lvlJc w:val="left"/>
      <w:lvlText w:val="%1."/>
      <w:numFmt w:val="upperLetter"/>
      <w:start w:val="2"/>
    </w:lvl>
  </w:abstractNum>
  <w:abstractNum w:abstractNumId="109">
    <w:nsid w:val="4BDD53FD"/>
    <w:multiLevelType w:val="hybridMultilevel"/>
    <w:lvl w:ilvl="0">
      <w:lvlJc w:val="left"/>
      <w:lvlText w:val="•"/>
      <w:numFmt w:val="bullet"/>
      <w:start w:val="1"/>
    </w:lvl>
  </w:abstractNum>
  <w:abstractNum w:abstractNumId="110">
    <w:nsid w:val="569951FE"/>
    <w:multiLevelType w:val="hybridMultilevel"/>
    <w:lvl w:ilvl="0">
      <w:lvlJc w:val="left"/>
      <w:lvlText w:val="%1."/>
      <w:numFmt w:val="decimal"/>
      <w:start w:val="1"/>
    </w:lvl>
  </w:abstractNum>
  <w:abstractNum w:abstractNumId="111">
    <w:nsid w:val="4C54E2C3"/>
    <w:multiLevelType w:val="hybridMultilevel"/>
    <w:lvl w:ilvl="0">
      <w:lvlJc w:val="left"/>
      <w:lvlText w:val="%1."/>
      <w:numFmt w:val="decimal"/>
      <w:start w:val="2"/>
    </w:lvl>
  </w:abstractNum>
  <w:abstractNum w:abstractNumId="112">
    <w:nsid w:val="788BD9B"/>
    <w:multiLevelType w:val="hybridMultilevel"/>
    <w:lvl w:ilvl="0">
      <w:lvlJc w:val="left"/>
      <w:lvlText w:val="%1."/>
      <w:numFmt w:val="decimal"/>
      <w:start w:val="3"/>
    </w:lvl>
  </w:abstractNum>
  <w:abstractNum w:abstractNumId="113">
    <w:nsid w:val="47CAA567"/>
    <w:multiLevelType w:val="hybridMultilevel"/>
    <w:lvl w:ilvl="0">
      <w:lvlJc w:val="left"/>
      <w:lvlText w:val="%1."/>
      <w:numFmt w:val="decimal"/>
      <w:start w:val="4"/>
    </w:lvl>
  </w:abstractNum>
  <w:abstractNum w:abstractNumId="114">
    <w:nsid w:val="48249DBF"/>
    <w:multiLevelType w:val="hybridMultilevel"/>
    <w:lvl w:ilvl="0">
      <w:lvlJc w:val="left"/>
      <w:lvlText w:val="%1."/>
      <w:numFmt w:val="upperLetter"/>
      <w:start w:val="3"/>
    </w:lvl>
  </w:abstractNum>
  <w:abstractNum w:abstractNumId="115">
    <w:nsid w:val="1F0E5D0D"/>
    <w:multiLevelType w:val="hybridMultilevel"/>
    <w:lvl w:ilvl="0">
      <w:lvlJc w:val="left"/>
      <w:lvlText w:val="•"/>
      <w:numFmt w:val="bullet"/>
      <w:start w:val="1"/>
    </w:lvl>
  </w:abstractNum>
  <w:abstractNum w:abstractNumId="116">
    <w:nsid w:val="26BAAE9"/>
    <w:multiLevelType w:val="hybridMultilevel"/>
    <w:lvl w:ilvl="0">
      <w:lvlJc w:val="left"/>
      <w:lvlText w:val="•"/>
      <w:numFmt w:val="bullet"/>
      <w:start w:val="1"/>
    </w:lvl>
  </w:abstractNum>
  <w:abstractNum w:abstractNumId="117">
    <w:nsid w:val="2C02FE8C"/>
    <w:multiLevelType w:val="hybridMultilevel"/>
    <w:lvl w:ilvl="0">
      <w:lvlJc w:val="left"/>
      <w:lvlText w:val="%1."/>
      <w:numFmt w:val="upperLetter"/>
      <w:start w:val="4"/>
    </w:lvl>
  </w:abstractNum>
  <w:abstractNum w:abstractNumId="118">
    <w:nsid w:val="129517E"/>
    <w:multiLevelType w:val="hybridMultilevel"/>
    <w:lvl w:ilvl="0">
      <w:lvlJc w:val="left"/>
      <w:lvlText w:val="%1."/>
      <w:numFmt w:val="decimal"/>
      <w:start w:val="1"/>
    </w:lvl>
  </w:abstractNum>
  <w:abstractNum w:abstractNumId="119">
    <w:nsid w:val="763B8C4E"/>
    <w:multiLevelType w:val="hybridMultilevel"/>
    <w:lvl w:ilvl="0">
      <w:lvlJc w:val="left"/>
      <w:lvlText w:val="•"/>
      <w:numFmt w:val="bullet"/>
      <w:start w:val="1"/>
    </w:lvl>
  </w:abstractNum>
  <w:abstractNum w:abstractNumId="120">
    <w:nsid w:val="4CFB8D32"/>
    <w:multiLevelType w:val="hybridMultilevel"/>
    <w:lvl w:ilvl="0">
      <w:lvlJc w:val="left"/>
      <w:lvlText w:val="%1)"/>
      <w:numFmt w:val="lowerLetter"/>
      <w:start w:val="1"/>
    </w:lvl>
  </w:abstractNum>
  <w:abstractNum w:abstractNumId="121">
    <w:nsid w:val="62A5D5BD"/>
    <w:multiLevelType w:val="hybridMultilevel"/>
    <w:lvl w:ilvl="0">
      <w:lvlJc w:val="left"/>
      <w:lvlText w:val="•"/>
      <w:numFmt w:val="bullet"/>
      <w:start w:val="1"/>
    </w:lvl>
  </w:abstractNum>
  <w:abstractNum w:abstractNumId="122">
    <w:nsid w:val="718FABF9"/>
    <w:multiLevelType w:val="hybridMultilevel"/>
    <w:lvl w:ilvl="0">
      <w:lvlJc w:val="left"/>
      <w:lvlText w:val="%1)"/>
      <w:numFmt w:val="lowerLetter"/>
      <w:start w:val="2"/>
    </w:lvl>
  </w:abstractNum>
  <w:abstractNum w:abstractNumId="123">
    <w:nsid w:val="7775797C"/>
    <w:multiLevelType w:val="hybridMultilevel"/>
    <w:lvl w:ilvl="0">
      <w:lvlJc w:val="left"/>
      <w:lvlText w:val="•"/>
      <w:numFmt w:val="bullet"/>
      <w:start w:val="1"/>
    </w:lvl>
  </w:abstractNum>
  <w:abstractNum w:abstractNumId="124">
    <w:nsid w:val="1626FB8C"/>
    <w:multiLevelType w:val="hybridMultilevel"/>
    <w:lvl w:ilvl="0">
      <w:lvlJc w:val="left"/>
      <w:lvlText w:val="•"/>
      <w:numFmt w:val="bullet"/>
      <w:start w:val="1"/>
    </w:lvl>
  </w:abstractNum>
  <w:abstractNum w:abstractNumId="125">
    <w:nsid w:val="3957756A"/>
    <w:multiLevelType w:val="hybridMultilevel"/>
    <w:lvl w:ilvl="0">
      <w:lvlJc w:val="left"/>
      <w:lvlText w:val="•"/>
      <w:numFmt w:val="bullet"/>
      <w:start w:val="1"/>
    </w:lvl>
  </w:abstractNum>
  <w:abstractNum w:abstractNumId="126">
    <w:nsid w:val="3E6DA1C7"/>
    <w:multiLevelType w:val="hybridMultilevel"/>
    <w:lvl w:ilvl="0">
      <w:lvlJc w:val="left"/>
      <w:lvlText w:val="1"/>
      <w:numFmt w:val="bullet"/>
      <w:start w:val="1"/>
    </w:lvl>
  </w:abstractNum>
  <w:abstractNum w:abstractNumId="127">
    <w:nsid w:val="65CA235B"/>
    <w:multiLevelType w:val="hybridMultilevel"/>
    <w:lvl w:ilvl="0">
      <w:lvlJc w:val="left"/>
      <w:lvlText w:val="%1)"/>
      <w:numFmt w:val="lowerLetter"/>
      <w:start w:val="3"/>
    </w:lvl>
  </w:abstractNum>
  <w:abstractNum w:abstractNumId="128">
    <w:nsid w:val="51CB0DA4"/>
    <w:multiLevelType w:val="hybridMultilevel"/>
    <w:lvl w:ilvl="0">
      <w:lvlJc w:val="left"/>
      <w:lvlText w:val="•"/>
      <w:numFmt w:val="bullet"/>
      <w:start w:val="1"/>
    </w:lvl>
  </w:abstractNum>
  <w:abstractNum w:abstractNumId="129">
    <w:nsid w:val="7B9B743C"/>
    <w:multiLevelType w:val="hybridMultilevel"/>
    <w:lvl w:ilvl="0">
      <w:lvlJc w:val="left"/>
      <w:lvlText w:val="*"/>
      <w:numFmt w:val="bullet"/>
      <w:start w:val="1"/>
    </w:lvl>
  </w:abstractNum>
  <w:abstractNum w:abstractNumId="130">
    <w:nsid w:val="13E21002"/>
    <w:multiLevelType w:val="hybridMultilevel"/>
    <w:lvl w:ilvl="0">
      <w:lvlJc w:val="left"/>
      <w:lvlText w:val="%1."/>
      <w:numFmt w:val="decimal"/>
      <w:start w:val="2"/>
    </w:lvl>
  </w:abstractNum>
  <w:abstractNum w:abstractNumId="131">
    <w:nsid w:val="257D63F4"/>
    <w:multiLevelType w:val="hybridMultilevel"/>
    <w:lvl w:ilvl="0">
      <w:lvlJc w:val="left"/>
      <w:lvlText w:val="•"/>
      <w:numFmt w:val="bullet"/>
      <w:start w:val="1"/>
    </w:lvl>
  </w:abstractNum>
  <w:abstractNum w:abstractNumId="132">
    <w:nsid w:val="70EC11B2"/>
    <w:multiLevelType w:val="hybridMultilevel"/>
    <w:lvl w:ilvl="0">
      <w:lvlJc w:val="left"/>
      <w:lvlText w:val="•"/>
      <w:numFmt w:val="bullet"/>
      <w:start w:val="1"/>
    </w:lvl>
  </w:abstractNum>
  <w:abstractNum w:abstractNumId="133">
    <w:nsid w:val="2EDA00ED"/>
    <w:multiLevelType w:val="hybridMultilevel"/>
    <w:lvl w:ilvl="0">
      <w:lvlJc w:val="left"/>
      <w:lvlText w:val="%1."/>
      <w:numFmt w:val="decimal"/>
      <w:start w:val="3"/>
    </w:lvl>
  </w:abstractNum>
  <w:abstractNum w:abstractNumId="134">
    <w:nsid w:val="73209072"/>
    <w:multiLevelType w:val="hybridMultilevel"/>
    <w:lvl w:ilvl="0">
      <w:lvlJc w:val="left"/>
      <w:lvlText w:val="•"/>
      <w:numFmt w:val="bullet"/>
      <w:start w:val="1"/>
    </w:lvl>
  </w:abstractNum>
  <w:abstractNum w:abstractNumId="135">
    <w:nsid w:val="5FB29816"/>
    <w:multiLevelType w:val="hybridMultilevel"/>
    <w:lvl w:ilvl="0">
      <w:lvlJc w:val="left"/>
      <w:lvlText w:val="•"/>
      <w:numFmt w:val="bullet"/>
      <w:start w:val="1"/>
    </w:lvl>
  </w:abstractNum>
  <w:abstractNum w:abstractNumId="136">
    <w:nsid w:val="3CE732EC"/>
    <w:multiLevelType w:val="hybridMultilevel"/>
    <w:lvl w:ilvl="0">
      <w:lvlJc w:val="left"/>
      <w:lvlText w:val="•"/>
      <w:numFmt w:val="bullet"/>
      <w:start w:val="1"/>
    </w:lvl>
  </w:abstractNum>
  <w:abstractNum w:abstractNumId="137">
    <w:nsid w:val="22F13DF3"/>
    <w:multiLevelType w:val="hybridMultilevel"/>
    <w:lvl w:ilvl="0">
      <w:lvlJc w:val="left"/>
      <w:lvlText w:val="•"/>
      <w:numFmt w:val="bullet"/>
      <w:start w:val="1"/>
    </w:lvl>
  </w:abstractNum>
  <w:abstractNum w:abstractNumId="138">
    <w:nsid w:val="792B8401"/>
    <w:multiLevelType w:val="hybridMultilevel"/>
    <w:lvl w:ilvl="0">
      <w:lvlJc w:val="left"/>
      <w:lvlText w:val="•"/>
      <w:numFmt w:val="bullet"/>
      <w:start w:val="1"/>
    </w:lvl>
  </w:abstractNum>
  <w:abstractNum w:abstractNumId="139">
    <w:nsid w:val="FA85F4D"/>
    <w:multiLevelType w:val="hybridMultilevel"/>
    <w:lvl w:ilvl="0">
      <w:lvlJc w:val="left"/>
      <w:lvlText w:val="•"/>
      <w:numFmt w:val="bullet"/>
      <w:start w:val="1"/>
    </w:lvl>
  </w:abstractNum>
  <w:abstractNum w:abstractNumId="140">
    <w:nsid w:val="6ECE91F0"/>
    <w:multiLevelType w:val="hybridMultilevel"/>
    <w:lvl w:ilvl="0">
      <w:lvlJc w:val="left"/>
      <w:lvlText w:val="%1."/>
      <w:numFmt w:val="decimal"/>
      <w:start w:val="4"/>
    </w:lvl>
  </w:abstractNum>
  <w:abstractNum w:abstractNumId="141">
    <w:nsid w:val="4FC4D600"/>
    <w:multiLevelType w:val="hybridMultilevel"/>
    <w:lvl w:ilvl="0">
      <w:lvlJc w:val="left"/>
      <w:lvlText w:val="•"/>
      <w:numFmt w:val="bullet"/>
      <w:start w:val="1"/>
    </w:lvl>
  </w:abstractNum>
  <w:abstractNum w:abstractNumId="142">
    <w:nsid w:val="5BFD4210"/>
    <w:multiLevelType w:val="hybridMultilevel"/>
    <w:lvl w:ilvl="0">
      <w:lvlJc w:val="left"/>
      <w:lvlText w:val="%1."/>
      <w:numFmt w:val="decimal"/>
      <w:start w:val="5"/>
    </w:lvl>
  </w:abstractNum>
  <w:abstractNum w:abstractNumId="143">
    <w:nsid w:val="76574F8B"/>
    <w:multiLevelType w:val="hybridMultilevel"/>
    <w:lvl w:ilvl="0">
      <w:lvlJc w:val="left"/>
      <w:lvlText w:val="•"/>
      <w:numFmt w:val="bullet"/>
      <w:start w:val="1"/>
    </w:lvl>
  </w:abstractNum>
  <w:abstractNum w:abstractNumId="144">
    <w:nsid w:val="178F7B67"/>
    <w:multiLevelType w:val="hybridMultilevel"/>
    <w:lvl w:ilvl="0">
      <w:lvlJc w:val="left"/>
      <w:lvlText w:val="•"/>
      <w:numFmt w:val="bullet"/>
      <w:start w:val="1"/>
    </w:lvl>
  </w:abstractNum>
  <w:abstractNum w:abstractNumId="145">
    <w:nsid w:val="2421DFCF"/>
    <w:multiLevelType w:val="hybridMultilevel"/>
    <w:lvl w:ilvl="0">
      <w:lvlJc w:val="left"/>
      <w:lvlText w:val="•"/>
      <w:numFmt w:val="bullet"/>
      <w:start w:val="1"/>
    </w:lvl>
  </w:abstractNum>
  <w:abstractNum w:abstractNumId="146">
    <w:nsid w:val="1565AC99"/>
    <w:multiLevelType w:val="hybridMultilevel"/>
    <w:lvl w:ilvl="0">
      <w:lvlJc w:val="left"/>
      <w:lvlText w:val="%1."/>
      <w:numFmt w:val="upperLetter"/>
      <w:start w:val="1"/>
    </w:lvl>
  </w:abstractNum>
  <w:abstractNum w:abstractNumId="147">
    <w:nsid w:val="19FB2650"/>
    <w:multiLevelType w:val="hybridMultilevel"/>
    <w:lvl w:ilvl="0">
      <w:lvlJc w:val="left"/>
      <w:lvlText w:val="•"/>
      <w:numFmt w:val="bullet"/>
      <w:start w:val="1"/>
    </w:lvl>
  </w:abstractNum>
  <w:abstractNum w:abstractNumId="148">
    <w:nsid w:val="5024DE5B"/>
    <w:multiLevelType w:val="hybridMultilevel"/>
    <w:lvl w:ilvl="0">
      <w:lvlJc w:val="left"/>
      <w:lvlText w:val="•"/>
      <w:numFmt w:val="bullet"/>
      <w:start w:val="1"/>
    </w:lvl>
  </w:abstractNum>
  <w:abstractNum w:abstractNumId="149">
    <w:nsid w:val="168EFE17"/>
    <w:multiLevelType w:val="hybridMultilevel"/>
    <w:lvl w:ilvl="0">
      <w:lvlJc w:val="left"/>
      <w:lvlText w:val="•"/>
      <w:numFmt w:val="bullet"/>
      <w:start w:val="1"/>
    </w:lvl>
  </w:abstractNum>
  <w:abstractNum w:abstractNumId="150">
    <w:nsid w:val="1036B29F"/>
    <w:multiLevelType w:val="hybridMultilevel"/>
    <w:lvl w:ilvl="0">
      <w:lvlJc w:val="left"/>
      <w:lvlText w:val="•"/>
      <w:numFmt w:val="bullet"/>
      <w:start w:val="1"/>
    </w:lvl>
  </w:abstractNum>
  <w:abstractNum w:abstractNumId="151">
    <w:nsid w:val="1D206B8E"/>
    <w:multiLevelType w:val="hybridMultilevel"/>
    <w:lvl w:ilvl="0">
      <w:lvlJc w:val="left"/>
      <w:lvlText w:val="•"/>
      <w:numFmt w:val="bullet"/>
      <w:start w:val="1"/>
    </w:lvl>
  </w:abstractNum>
  <w:abstractNum w:abstractNumId="152">
    <w:nsid w:val="7934D3D4"/>
    <w:multiLevelType w:val="hybridMultilevel"/>
    <w:lvl w:ilvl="0">
      <w:lvlJc w:val="left"/>
      <w:lvlText w:val="%1."/>
      <w:numFmt w:val="upperLetter"/>
      <w:start w:val="2"/>
    </w:lvl>
  </w:abstractNum>
  <w:abstractNum w:abstractNumId="153">
    <w:nsid w:val="1C65E98"/>
    <w:multiLevelType w:val="hybridMultilevel"/>
    <w:lvl w:ilvl="0">
      <w:lvlJc w:val="left"/>
      <w:lvlText w:val="•"/>
      <w:numFmt w:val="bullet"/>
      <w:start w:val="1"/>
    </w:lvl>
  </w:abstractNum>
  <w:abstractNum w:abstractNumId="154">
    <w:nsid w:val="1495E50A"/>
    <w:multiLevelType w:val="hybridMultilevel"/>
    <w:lvl w:ilvl="0">
      <w:lvlJc w:val="left"/>
      <w:lvlText w:val="%1."/>
      <w:numFmt w:val="upperLetter"/>
      <w:start w:val="24"/>
    </w:lvl>
  </w:abstractNum>
  <w:abstractNum w:abstractNumId="155">
    <w:nsid w:val="F5BCF61"/>
    <w:multiLevelType w:val="hybridMultilevel"/>
    <w:lvl w:ilvl="0">
      <w:lvlJc w:val="left"/>
      <w:lvlText w:val="%1."/>
      <w:numFmt w:val="upperLetter"/>
      <w:start w:val="1"/>
    </w:lvl>
  </w:abstractNum>
  <w:abstractNum w:abstractNumId="156">
    <w:nsid w:val="3B1DD403"/>
    <w:multiLevelType w:val="hybridMultilevel"/>
    <w:lvl w:ilvl="0">
      <w:lvlJc w:val="left"/>
      <w:lvlText w:val="•"/>
      <w:numFmt w:val="bullet"/>
      <w:start w:val="1"/>
    </w:lvl>
  </w:abstractNum>
  <w:abstractNum w:abstractNumId="157">
    <w:nsid w:val="530386D1"/>
    <w:multiLevelType w:val="hybridMultilevel"/>
    <w:lvl w:ilvl="0">
      <w:lvlJc w:val="left"/>
      <w:lvlText w:val="•"/>
      <w:numFmt w:val="bullet"/>
      <w:start w:val="1"/>
    </w:lvl>
  </w:abstractNum>
  <w:abstractNum w:abstractNumId="158">
    <w:nsid w:val="7525F2BC"/>
    <w:multiLevelType w:val="hybridMultilevel"/>
    <w:lvl w:ilvl="0">
      <w:lvlJc w:val="left"/>
      <w:lvlText w:val="•"/>
      <w:numFmt w:val="bullet"/>
      <w:start w:val="1"/>
    </w:lvl>
  </w:abstractNum>
  <w:abstractNum w:abstractNumId="159">
    <w:nsid w:val="CE8E1A7"/>
    <w:multiLevelType w:val="hybridMultilevel"/>
    <w:lvl w:ilvl="0">
      <w:lvlJc w:val="left"/>
      <w:lvlText w:val="%1."/>
      <w:numFmt w:val="upperLetter"/>
      <w:start w:val="2"/>
    </w:lvl>
  </w:abstractNum>
  <w:abstractNum w:abstractNumId="160">
    <w:nsid w:val="4E9EFB0D"/>
    <w:multiLevelType w:val="hybridMultilevel"/>
    <w:lvl w:ilvl="0">
      <w:lvlJc w:val="left"/>
      <w:lvlText w:val="%1."/>
      <w:numFmt w:val="decimal"/>
      <w:start w:val="1"/>
    </w:lvl>
  </w:abstractNum>
  <w:abstractNum w:abstractNumId="161">
    <w:nsid w:val="90802BE"/>
    <w:multiLevelType w:val="hybridMultilevel"/>
    <w:lvl w:ilvl="0">
      <w:lvlJc w:val="left"/>
      <w:lvlText w:val="%1."/>
      <w:numFmt w:val="decimal"/>
      <w:start w:val="2"/>
    </w:lvl>
  </w:abstractNum>
  <w:abstractNum w:abstractNumId="162">
    <w:nsid w:val="3266459B"/>
    <w:multiLevelType w:val="hybridMultilevel"/>
    <w:lvl w:ilvl="0">
      <w:lvlJc w:val="left"/>
      <w:lvlText w:val="•"/>
      <w:numFmt w:val="bullet"/>
      <w:start w:val="1"/>
    </w:lvl>
  </w:abstractNum>
  <w:abstractNum w:abstractNumId="163">
    <w:nsid w:val="3F8B0CBF"/>
    <w:multiLevelType w:val="hybridMultilevel"/>
    <w:lvl w:ilvl="0">
      <w:lvlJc w:val="left"/>
      <w:lvlText w:val="%1."/>
      <w:numFmt w:val="upperLetter"/>
      <w:start w:val="1"/>
    </w:lvl>
  </w:abstractNum>
  <w:abstractNum w:abstractNumId="164">
    <w:nsid w:val="37E203AB"/>
    <w:multiLevelType w:val="hybridMultilevel"/>
    <w:lvl w:ilvl="0">
      <w:lvlJc w:val="left"/>
      <w:lvlText w:val="%1."/>
      <w:numFmt w:val="decimal"/>
      <w:start w:val="1"/>
    </w:lvl>
  </w:abstractNum>
  <w:abstractNum w:abstractNumId="165">
    <w:nsid w:val="2586D60E"/>
    <w:multiLevelType w:val="hybridMultilevel"/>
    <w:lvl w:ilvl="0">
      <w:lvlJc w:val="left"/>
      <w:lvlText w:val="%1)"/>
      <w:numFmt w:val="lowerLetter"/>
      <w:start w:val="1"/>
    </w:lvl>
  </w:abstractNum>
  <w:abstractNum w:abstractNumId="166">
    <w:nsid w:val="1F3DA4D5"/>
    <w:multiLevelType w:val="hybridMultilevel"/>
    <w:lvl w:ilvl="0">
      <w:lvlJc w:val="left"/>
      <w:lvlText w:val="•"/>
      <w:numFmt w:val="bullet"/>
      <w:start w:val="1"/>
    </w:lvl>
  </w:abstractNum>
  <w:abstractNum w:abstractNumId="167">
    <w:nsid w:val="74C93698"/>
    <w:multiLevelType w:val="hybridMultilevel"/>
    <w:lvl w:ilvl="0">
      <w:lvlJc w:val="left"/>
      <w:lvlText w:val="%1)"/>
      <w:numFmt w:val="lowerLetter"/>
      <w:start w:val="2"/>
    </w:lvl>
  </w:abstractNum>
  <w:abstractNum w:abstractNumId="168">
    <w:nsid w:val="48781401"/>
    <w:multiLevelType w:val="hybridMultilevel"/>
    <w:lvl w:ilvl="0">
      <w:lvlJc w:val="left"/>
      <w:lvlText w:val="%1)"/>
      <w:numFmt w:val="lowerLetter"/>
      <w:start w:val="3"/>
    </w:lvl>
  </w:abstractNum>
  <w:abstractNum w:abstractNumId="169">
    <w:nsid w:val="186928D6"/>
    <w:multiLevelType w:val="hybridMultilevel"/>
    <w:lvl w:ilvl="0">
      <w:lvlJc w:val="left"/>
      <w:lvlText w:val="%1)"/>
      <w:numFmt w:val="lowerLetter"/>
      <w:start w:val="4"/>
    </w:lvl>
  </w:abstractNum>
  <w:abstractNum w:abstractNumId="170">
    <w:nsid w:val="47195E5"/>
    <w:multiLevelType w:val="hybridMultilevel"/>
    <w:lvl w:ilvl="0">
      <w:lvlJc w:val="left"/>
      <w:lvlText w:val="%1)"/>
      <w:numFmt w:val="lowerLetter"/>
      <w:start w:val="5"/>
    </w:lvl>
  </w:abstractNum>
  <w:abstractNum w:abstractNumId="171">
    <w:nsid w:val="3746A5F2"/>
    <w:multiLevelType w:val="hybridMultilevel"/>
    <w:lvl w:ilvl="0">
      <w:lvlJc w:val="left"/>
      <w:lvlText w:val="%1)"/>
      <w:numFmt w:val="lowerLetter"/>
      <w:start w:val="6"/>
    </w:lvl>
  </w:abstractNum>
  <w:abstractNum w:abstractNumId="172">
    <w:nsid w:val="682DFED6"/>
    <w:multiLevelType w:val="hybridMultilevel"/>
    <w:lvl w:ilvl="0">
      <w:lvlJc w:val="left"/>
      <w:lvlText w:val="%1."/>
      <w:numFmt w:val="decimal"/>
      <w:start w:val="2"/>
    </w:lvl>
  </w:abstractNum>
  <w:abstractNum w:abstractNumId="173">
    <w:nsid w:val="606ED7F6"/>
    <w:multiLevelType w:val="hybridMultilevel"/>
    <w:lvl w:ilvl="0">
      <w:lvlJc w:val="left"/>
      <w:lvlText w:val="%1)"/>
      <w:numFmt w:val="lowerLetter"/>
      <w:start w:val="1"/>
    </w:lvl>
  </w:abstractNum>
  <w:abstractNum w:abstractNumId="174">
    <w:nsid w:val="2D9DF57D"/>
    <w:multiLevelType w:val="hybridMultilevel"/>
    <w:lvl w:ilvl="0">
      <w:lvlJc w:val="left"/>
      <w:lvlText w:val="•"/>
      <w:numFmt w:val="bullet"/>
      <w:start w:val="1"/>
    </w:lvl>
  </w:abstractNum>
  <w:abstractNum w:abstractNumId="175">
    <w:nsid w:val="7FBD7A3E"/>
    <w:multiLevelType w:val="hybridMultilevel"/>
    <w:lvl w:ilvl="0">
      <w:lvlJc w:val="left"/>
      <w:lvlText w:val="•"/>
      <w:numFmt w:val="bullet"/>
      <w:start w:val="1"/>
    </w:lvl>
  </w:abstractNum>
  <w:abstractNum w:abstractNumId="176">
    <w:nsid w:val="490B7C5"/>
    <w:multiLevelType w:val="hybridMultilevel"/>
    <w:lvl w:ilvl="0">
      <w:lvlJc w:val="left"/>
      <w:lvlText w:val="•"/>
      <w:numFmt w:val="bullet"/>
      <w:start w:val="1"/>
    </w:lvl>
  </w:abstractNum>
  <w:abstractNum w:abstractNumId="177">
    <w:nsid w:val="4303A216"/>
    <w:multiLevelType w:val="hybridMultilevel"/>
    <w:lvl w:ilvl="0">
      <w:lvlJc w:val="left"/>
      <w:lvlText w:val="%1."/>
      <w:numFmt w:val="decimal"/>
      <w:start w:val="3"/>
    </w:lvl>
  </w:abstractNum>
  <w:abstractNum w:abstractNumId="178">
    <w:nsid w:val="19B8A08E"/>
    <w:multiLevelType w:val="hybridMultilevel"/>
    <w:lvl w:ilvl="0">
      <w:lvlJc w:val="left"/>
      <w:lvlText w:val="%1)"/>
      <w:numFmt w:val="lowerLetter"/>
      <w:start w:val="1"/>
    </w:lvl>
  </w:abstractNum>
  <w:abstractNum w:abstractNumId="179">
    <w:nsid w:val="54B59621"/>
    <w:multiLevelType w:val="hybridMultilevel"/>
    <w:lvl w:ilvl="0">
      <w:lvlJc w:val="left"/>
      <w:lvlText w:val="%1."/>
      <w:numFmt w:val="decimal"/>
      <w:start w:val="4"/>
    </w:lvl>
  </w:abstractNum>
  <w:abstractNum w:abstractNumId="180">
    <w:nsid w:val="5992A02E"/>
    <w:multiLevelType w:val="hybridMultilevel"/>
    <w:lvl w:ilvl="0">
      <w:lvlJc w:val="left"/>
      <w:lvlText w:val="%1)"/>
      <w:numFmt w:val="lowerLetter"/>
      <w:start w:val="1"/>
    </w:lvl>
  </w:abstractNum>
  <w:abstractNum w:abstractNumId="181">
    <w:nsid w:val="29EF532D"/>
    <w:multiLevelType w:val="hybridMultilevel"/>
    <w:lvl w:ilvl="0">
      <w:lvlJc w:val="left"/>
      <w:lvlText w:val="%1)"/>
      <w:numFmt w:val="lowerLetter"/>
      <w:start w:val="2"/>
    </w:lvl>
  </w:abstractNum>
  <w:abstractNum w:abstractNumId="182">
    <w:nsid w:val="71D601AF"/>
    <w:multiLevelType w:val="hybridMultilevel"/>
    <w:lvl w:ilvl="0">
      <w:lvlJc w:val="left"/>
      <w:lvlText w:val="%1."/>
      <w:numFmt w:val="decimal"/>
      <w:start w:val="5"/>
    </w:lvl>
  </w:abstractNum>
  <w:abstractNum w:abstractNumId="183">
    <w:nsid w:val="52C77402"/>
    <w:multiLevelType w:val="hybridMultilevel"/>
    <w:lvl w:ilvl="0">
      <w:lvlJc w:val="left"/>
      <w:lvlText w:val="%1)"/>
      <w:numFmt w:val="lowerLetter"/>
      <w:start w:val="1"/>
    </w:lvl>
  </w:abstractNum>
  <w:abstractNum w:abstractNumId="184">
    <w:nsid w:val="2BB5B1C6"/>
    <w:multiLevelType w:val="hybridMultilevel"/>
    <w:lvl w:ilvl="0">
      <w:lvlJc w:val="left"/>
      <w:lvlText w:val="%1)"/>
      <w:numFmt w:val="lowerLetter"/>
      <w:start w:val="2"/>
    </w:lvl>
  </w:abstractNum>
  <w:abstractNum w:abstractNumId="185">
    <w:nsid w:val="66BE6B9"/>
    <w:multiLevelType w:val="hybridMultilevel"/>
    <w:lvl w:ilvl="0">
      <w:lvlJc w:val="left"/>
      <w:lvlText w:val="%1)"/>
      <w:numFmt w:val="lowerLetter"/>
      <w:start w:val="3"/>
    </w:lvl>
  </w:abstractNum>
  <w:abstractNum w:abstractNumId="186">
    <w:nsid w:val="62234363"/>
    <w:multiLevelType w:val="hybridMultilevel"/>
    <w:lvl w:ilvl="0">
      <w:lvlJc w:val="left"/>
      <w:lvlText w:val="%1."/>
      <w:numFmt w:val="upperLetter"/>
      <w:start w:val="2"/>
    </w:lvl>
    <w:lvl w:ilvl="1">
      <w:lvlJc w:val="left"/>
      <w:lvlText w:val="%2."/>
      <w:numFmt w:val="decimal"/>
      <w:start w:val="1"/>
    </w:lvl>
  </w:abstractNum>
  <w:abstractNum w:abstractNumId="187">
    <w:nsid w:val="66D385C9"/>
    <w:multiLevelType w:val="hybridMultilevel"/>
    <w:lvl w:ilvl="0">
      <w:lvlJc w:val="left"/>
      <w:lvlText w:val="%1)"/>
      <w:numFmt w:val="lowerLetter"/>
      <w:start w:val="1"/>
    </w:lvl>
  </w:abstractNum>
  <w:abstractNum w:abstractNumId="188">
    <w:nsid w:val="596F6D8A"/>
    <w:multiLevelType w:val="hybridMultilevel"/>
    <w:lvl w:ilvl="0">
      <w:lvlJc w:val="left"/>
      <w:lvlText w:val="%1)"/>
      <w:numFmt w:val="lowerLetter"/>
      <w:start w:val="2"/>
    </w:lvl>
  </w:abstractNum>
  <w:abstractNum w:abstractNumId="189">
    <w:nsid w:val="5749361F"/>
    <w:multiLevelType w:val="hybridMultilevel"/>
    <w:lvl w:ilvl="0">
      <w:lvlJc w:val="left"/>
      <w:lvlText w:val="%1."/>
      <w:numFmt w:val="upperLetter"/>
      <w:start w:val="3"/>
    </w:lvl>
  </w:abstractNum>
  <w:abstractNum w:abstractNumId="190">
    <w:nsid w:val="73BC6770"/>
    <w:multiLevelType w:val="hybridMultilevel"/>
    <w:lvl w:ilvl="0">
      <w:lvlJc w:val="left"/>
      <w:lvlText w:val="%1."/>
      <w:numFmt w:val="upperLetter"/>
      <w:start w:val="4"/>
    </w:lvl>
  </w:abstractNum>
  <w:abstractNum w:abstractNumId="191">
    <w:nsid w:val="280E6897"/>
    <w:multiLevelType w:val="hybridMultilevel"/>
    <w:lvl w:ilvl="0">
      <w:lvlJc w:val="left"/>
      <w:lvlText w:val="%1."/>
      <w:numFmt w:val="decimal"/>
      <w:start w:val="1"/>
    </w:lvl>
  </w:abstractNum>
  <w:abstractNum w:abstractNumId="192">
    <w:nsid w:val="605138DE"/>
    <w:multiLevelType w:val="hybridMultilevel"/>
    <w:lvl w:ilvl="0">
      <w:lvlJc w:val="left"/>
      <w:lvlText w:val="%1)"/>
      <w:numFmt w:val="lowerLetter"/>
      <w:start w:val="1"/>
    </w:lvl>
  </w:abstractNum>
  <w:abstractNum w:abstractNumId="193">
    <w:nsid w:val="2622AD0C"/>
    <w:multiLevelType w:val="hybridMultilevel"/>
    <w:lvl w:ilvl="0">
      <w:lvlJc w:val="left"/>
      <w:lvlText w:val="%1)"/>
      <w:numFmt w:val="lowerLetter"/>
      <w:start w:val="2"/>
    </w:lvl>
  </w:abstractNum>
  <w:abstractNum w:abstractNumId="194">
    <w:nsid w:val="67997556"/>
    <w:multiLevelType w:val="hybridMultilevel"/>
    <w:lvl w:ilvl="0">
      <w:lvlJc w:val="left"/>
      <w:lvlText w:val="%1."/>
      <w:numFmt w:val="decimal"/>
      <w:start w:val="2"/>
    </w:lvl>
  </w:abstractNum>
  <w:abstractNum w:abstractNumId="195">
    <w:nsid w:val="18333C89"/>
    <w:multiLevelType w:val="hybridMultilevel"/>
    <w:lvl w:ilvl="0">
      <w:lvlJc w:val="left"/>
      <w:lvlText w:val="%1)"/>
      <w:numFmt w:val="lowerLetter"/>
      <w:start w:val="1"/>
    </w:lvl>
  </w:abstractNum>
  <w:abstractNum w:abstractNumId="196">
    <w:nsid w:val="4BA9831A"/>
    <w:multiLevelType w:val="hybridMultilevel"/>
    <w:lvl w:ilvl="0">
      <w:lvlJc w:val="left"/>
      <w:lvlText w:val="%1."/>
      <w:numFmt w:val="upperLetter"/>
      <w:start w:val="5"/>
    </w:lvl>
    <w:lvl w:ilvl="1">
      <w:lvlJc w:val="left"/>
      <w:lvlText w:val="%2."/>
      <w:numFmt w:val="decimal"/>
      <w:start w:val="1"/>
    </w:lvl>
  </w:abstractNum>
  <w:abstractNum w:abstractNumId="197">
    <w:nsid w:val="6D71A2B"/>
    <w:multiLevelType w:val="hybridMultilevel"/>
    <w:lvl w:ilvl="0">
      <w:lvlJc w:val="left"/>
      <w:lvlText w:val="%1."/>
      <w:numFmt w:val="upperLetter"/>
      <w:start w:val="6"/>
    </w:lvl>
  </w:abstractNum>
  <w:abstractNum w:abstractNumId="198">
    <w:nsid w:val="CFC7321"/>
    <w:multiLevelType w:val="hybridMultilevel"/>
    <w:lvl w:ilvl="0">
      <w:lvlJc w:val="left"/>
      <w:lvlText w:val="%1."/>
      <w:numFmt w:val="decimal"/>
      <w:start w:val="1"/>
    </w:lvl>
  </w:abstractNum>
  <w:abstractNum w:abstractNumId="199">
    <w:nsid w:val="1421971B"/>
    <w:multiLevelType w:val="hybridMultilevel"/>
    <w:lvl w:ilvl="0">
      <w:lvlJc w:val="left"/>
      <w:lvlText w:val="%1."/>
      <w:numFmt w:val="decimal"/>
      <w:start w:val="2"/>
    </w:lvl>
  </w:abstractNum>
  <w:abstractNum w:abstractNumId="200">
    <w:nsid w:val="1F404301"/>
    <w:multiLevelType w:val="hybridMultilevel"/>
    <w:lvl w:ilvl="0">
      <w:lvlJc w:val="left"/>
      <w:lvlText w:val="%1."/>
      <w:numFmt w:val="upperLetter"/>
      <w:start w:val="7"/>
    </w:lvl>
  </w:abstractNum>
  <w:abstractNum w:abstractNumId="201">
    <w:nsid w:val="116E0907"/>
    <w:multiLevelType w:val="hybridMultilevel"/>
    <w:lvl w:ilvl="0">
      <w:lvlJc w:val="left"/>
      <w:lvlText w:val="%1."/>
      <w:numFmt w:val="upperLetter"/>
      <w:start w:val="8"/>
    </w:lvl>
  </w:abstractNum>
  <w:abstractNum w:abstractNumId="202">
    <w:nsid w:val="4B683D0D"/>
    <w:multiLevelType w:val="hybridMultilevel"/>
    <w:lvl w:ilvl="0">
      <w:lvlJc w:val="left"/>
      <w:lvlText w:val="•"/>
      <w:numFmt w:val="bullet"/>
      <w:start w:val="1"/>
    </w:lvl>
  </w:abstractNum>
  <w:abstractNum w:abstractNumId="203">
    <w:nsid w:val="76E41D8"/>
    <w:multiLevelType w:val="hybridMultilevel"/>
    <w:lvl w:ilvl="0">
      <w:lvlJc w:val="left"/>
      <w:lvlText w:val="•"/>
      <w:numFmt w:val="bullet"/>
      <w:start w:val="1"/>
    </w:lvl>
  </w:abstractNum>
  <w:abstractNum w:abstractNumId="204">
    <w:nsid w:val="71DCE0FD"/>
    <w:multiLevelType w:val="hybridMultilevel"/>
    <w:lvl w:ilvl="0">
      <w:lvlJc w:val="left"/>
      <w:lvlText w:val="•"/>
      <w:numFmt w:val="bullet"/>
      <w:start w:val="1"/>
    </w:lvl>
  </w:abstractNum>
  <w:abstractNum w:abstractNumId="205">
    <w:nsid w:val="7906328B"/>
    <w:multiLevelType w:val="hybridMultilevel"/>
    <w:lvl w:ilvl="0">
      <w:lvlJc w:val="left"/>
      <w:lvlText w:val="•"/>
      <w:numFmt w:val="bullet"/>
      <w:start w:val="1"/>
    </w:lvl>
  </w:abstractNum>
  <w:abstractNum w:abstractNumId="206">
    <w:nsid w:val="72BBC16"/>
    <w:multiLevelType w:val="hybridMultilevel"/>
    <w:lvl w:ilvl="0">
      <w:lvlJc w:val="left"/>
      <w:lvlText w:val="•"/>
      <w:numFmt w:val="bullet"/>
      <w:start w:val="1"/>
    </w:lvl>
  </w:abstractNum>
  <w:abstractNum w:abstractNumId="207">
    <w:nsid w:val="766D98C2"/>
    <w:multiLevelType w:val="hybridMultilevel"/>
    <w:lvl w:ilvl="0">
      <w:lvlJc w:val="left"/>
      <w:lvlText w:val="•"/>
      <w:numFmt w:val="bullet"/>
      <w:start w:val="1"/>
    </w:lvl>
  </w:abstractNum>
  <w:abstractNum w:abstractNumId="208">
    <w:nsid w:val="3C09D4A1"/>
    <w:multiLevelType w:val="hybridMultilevel"/>
    <w:lvl w:ilvl="0">
      <w:lvlJc w:val="left"/>
      <w:lvlText w:val="•"/>
      <w:numFmt w:val="bullet"/>
      <w:start w:val="1"/>
    </w:lvl>
  </w:abstractNum>
  <w:abstractNum w:abstractNumId="209">
    <w:nsid w:val="20E45CA4"/>
    <w:multiLevelType w:val="hybridMultilevel"/>
    <w:lvl w:ilvl="0">
      <w:lvlJc w:val="left"/>
      <w:lvlText w:val="•"/>
      <w:numFmt w:val="bullet"/>
      <w:start w:val="1"/>
    </w:lvl>
  </w:abstractNum>
  <w:abstractNum w:abstractNumId="210">
    <w:nsid w:val="4B232EE3"/>
    <w:multiLevelType w:val="hybridMultilevel"/>
    <w:lvl w:ilvl="0">
      <w:lvlJc w:val="left"/>
      <w:lvlText w:val="•"/>
      <w:numFmt w:val="bullet"/>
      <w:start w:val="1"/>
    </w:lvl>
  </w:abstractNum>
  <w:abstractNum w:abstractNumId="211">
    <w:nsid w:val="159C74CF"/>
    <w:multiLevelType w:val="hybridMultilevel"/>
    <w:lvl w:ilvl="0">
      <w:lvlJc w:val="left"/>
      <w:lvlText w:val="•"/>
      <w:numFmt w:val="bullet"/>
      <w:start w:val="1"/>
    </w:lvl>
  </w:abstractNum>
  <w:abstractNum w:abstractNumId="212">
    <w:nsid w:val="4AD3AFD2"/>
    <w:multiLevelType w:val="hybridMultilevel"/>
    <w:lvl w:ilvl="0">
      <w:lvlJc w:val="left"/>
      <w:lvlText w:val="•"/>
      <w:numFmt w:val="bullet"/>
      <w:start w:val="1"/>
    </w:lvl>
  </w:abstractNum>
  <w:abstractNum w:abstractNumId="213">
    <w:nsid w:val="3CF93092"/>
    <w:multiLevelType w:val="hybridMultilevel"/>
    <w:lvl w:ilvl="0">
      <w:lvlJc w:val="left"/>
      <w:lvlText w:val="•"/>
      <w:numFmt w:val="bullet"/>
      <w:start w:val="1"/>
    </w:lvl>
  </w:abstractNum>
  <w:abstractNum w:abstractNumId="214">
    <w:nsid w:val="6863E8D2"/>
    <w:multiLevelType w:val="hybridMultilevel"/>
    <w:lvl w:ilvl="0">
      <w:lvlJc w:val="left"/>
      <w:lvlText w:val="(%1)"/>
      <w:numFmt w:val="lowerRoman"/>
      <w:start w:val="2"/>
    </w:lvl>
  </w:abstractNum>
  <w:abstractNum w:abstractNumId="215">
    <w:nsid w:val="76896198"/>
    <w:multiLevelType w:val="hybridMultilevel"/>
    <w:lvl w:ilvl="0">
      <w:lvlJc w:val="left"/>
      <w:lvlText w:val="%1."/>
      <w:numFmt w:val="upperLetter"/>
      <w:start w:val="1"/>
    </w:lvl>
  </w:abstractNum>
  <w:abstractNum w:abstractNumId="216">
    <w:nsid w:val="4365174B"/>
    <w:multiLevelType w:val="hybridMultilevel"/>
    <w:lvl w:ilvl="0">
      <w:lvlJc w:val="left"/>
      <w:lvlText w:val="%1."/>
      <w:numFmt w:val="upperLetter"/>
      <w:start w:val="2"/>
    </w:lvl>
  </w:abstractNum>
  <w:abstractNum w:abstractNumId="217">
    <w:nsid w:val="4A872C35"/>
    <w:multiLevelType w:val="hybridMultilevel"/>
    <w:lvl w:ilvl="0">
      <w:lvlJc w:val="left"/>
      <w:lvlText w:val="%1."/>
      <w:numFmt w:val="decimal"/>
      <w:start w:val="1"/>
    </w:lvl>
  </w:abstractNum>
  <w:abstractNum w:abstractNumId="218">
    <w:nsid w:val="5D5CE761"/>
    <w:multiLevelType w:val="hybridMultilevel"/>
    <w:lvl w:ilvl="0">
      <w:lvlJc w:val="left"/>
      <w:lvlText w:val="%1."/>
      <w:numFmt w:val="decimal"/>
      <w:start w:val="2"/>
    </w:lvl>
  </w:abstractNum>
  <w:abstractNum w:abstractNumId="219">
    <w:nsid w:val="1CD484D5"/>
    <w:multiLevelType w:val="hybridMultilevel"/>
    <w:lvl w:ilvl="0">
      <w:lvlJc w:val="left"/>
      <w:lvlText w:val="%1."/>
      <w:numFmt w:val="decimal"/>
      <w:start w:val="3"/>
    </w:lvl>
  </w:abstractNum>
  <w:abstractNum w:abstractNumId="220">
    <w:nsid w:val="21D06255"/>
    <w:multiLevelType w:val="hybridMultilevel"/>
    <w:lvl w:ilvl="0">
      <w:lvlJc w:val="left"/>
      <w:lvlText w:val="%1."/>
      <w:numFmt w:val="decimal"/>
      <w:start w:val="4"/>
    </w:lvl>
  </w:abstractNum>
  <w:abstractNum w:abstractNumId="221">
    <w:nsid w:val="51194ED1"/>
    <w:multiLevelType w:val="hybridMultilevel"/>
    <w:lvl w:ilvl="0">
      <w:lvlJc w:val="left"/>
      <w:lvlText w:val="%1."/>
      <w:numFmt w:val="upperLetter"/>
      <w:start w:val="3"/>
    </w:lvl>
  </w:abstractNum>
  <w:abstractNum w:abstractNumId="222">
    <w:nsid w:val="44E2ED6C"/>
    <w:multiLevelType w:val="hybridMultilevel"/>
    <w:lvl w:ilvl="0">
      <w:lvlJc w:val="left"/>
      <w:lvlText w:val="%1."/>
      <w:numFmt w:val="upperLetter"/>
      <w:start w:val="4"/>
    </w:lvl>
  </w:abstractNum>
  <w:abstractNum w:abstractNumId="223">
    <w:nsid w:val="2219B33"/>
    <w:multiLevelType w:val="hybridMultilevel"/>
    <w:lvl w:ilvl="0">
      <w:lvlJc w:val="left"/>
      <w:lvlText w:val="%1."/>
      <w:numFmt w:val="upperLetter"/>
      <w:start w:val="5"/>
    </w:lvl>
  </w:abstractNum>
  <w:abstractNum w:abstractNumId="224">
    <w:nsid w:val="773BFBDD"/>
    <w:multiLevelType w:val="hybridMultilevel"/>
    <w:lvl w:ilvl="0">
      <w:lvlJc w:val="left"/>
      <w:lvlText w:val="%1."/>
      <w:numFmt w:val="upperLetter"/>
      <w:start w:val="3"/>
    </w:lvl>
  </w:abstractNum>
  <w:abstractNum w:abstractNumId="225">
    <w:nsid w:val="2C7C62C2"/>
    <w:multiLevelType w:val="hybridMultilevel"/>
    <w:lvl w:ilvl="0">
      <w:lvlJc w:val="left"/>
      <w:lvlText w:val="%1."/>
      <w:numFmt w:val="upperLetter"/>
      <w:start w:val="4"/>
    </w:lvl>
  </w:abstractNum>
  <w:abstractNum w:abstractNumId="226">
    <w:nsid w:val="1A54D7BC"/>
    <w:multiLevelType w:val="hybridMultilevel"/>
    <w:lvl w:ilvl="0">
      <w:lvlJc w:val="left"/>
      <w:lvlText w:val="•"/>
      <w:numFmt w:val="bullet"/>
      <w:start w:val="1"/>
    </w:lvl>
  </w:abstractNum>
  <w:abstractNum w:abstractNumId="227">
    <w:nsid w:val="42E57EF7"/>
    <w:multiLevelType w:val="hybridMultilevel"/>
    <w:lvl w:ilvl="0">
      <w:lvlJc w:val="left"/>
      <w:lvlText w:val="•"/>
      <w:numFmt w:val="bullet"/>
      <w:start w:val="1"/>
    </w:lvl>
  </w:abstractNum>
  <w:abstractNum w:abstractNumId="228">
    <w:nsid w:val="33537CED"/>
    <w:multiLevelType w:val="hybridMultilevel"/>
    <w:lvl w:ilvl="0">
      <w:lvlJc w:val="left"/>
      <w:lvlText w:val="•"/>
      <w:numFmt w:val="bullet"/>
      <w:start w:val="1"/>
    </w:lvl>
  </w:abstractNum>
  <w:abstractNum w:abstractNumId="229">
    <w:nsid w:val="27514ADE"/>
    <w:multiLevelType w:val="hybridMultilevel"/>
    <w:lvl w:ilvl="0">
      <w:lvlJc w:val="left"/>
      <w:lvlText w:val="%1."/>
      <w:numFmt w:val="upperLetter"/>
      <w:start w:val="1"/>
    </w:lvl>
  </w:abstractNum>
  <w:abstractNum w:abstractNumId="230">
    <w:nsid w:val="57071613"/>
    <w:multiLevelType w:val="hybridMultilevel"/>
    <w:lvl w:ilvl="0">
      <w:lvlJc w:val="left"/>
      <w:lvlText w:val="•"/>
      <w:numFmt w:val="bullet"/>
      <w:start w:val="1"/>
    </w:lvl>
  </w:abstractNum>
  <w:abstractNum w:abstractNumId="231">
    <w:nsid w:val="5293BFEF"/>
    <w:multiLevelType w:val="hybridMultilevel"/>
    <w:lvl w:ilvl="0">
      <w:lvlJc w:val="left"/>
      <w:lvlText w:val="•"/>
      <w:numFmt w:val="bullet"/>
      <w:start w:val="1"/>
    </w:lvl>
  </w:abstractNum>
  <w:abstractNum w:abstractNumId="232">
    <w:nsid w:val="38BF53E5"/>
    <w:multiLevelType w:val="hybridMultilevel"/>
    <w:lvl w:ilvl="0">
      <w:lvlJc w:val="left"/>
      <w:lvlText w:val="•"/>
      <w:numFmt w:val="bullet"/>
      <w:start w:val="1"/>
    </w:lvl>
  </w:abstractNum>
  <w:abstractNum w:abstractNumId="233">
    <w:nsid w:val="226F5320"/>
    <w:multiLevelType w:val="hybridMultilevel"/>
    <w:lvl w:ilvl="0">
      <w:lvlJc w:val="left"/>
      <w:lvlText w:val="€"/>
      <w:numFmt w:val="bullet"/>
      <w:start w:val="1"/>
    </w:lvl>
  </w:abstractNum>
  <w:abstractNum w:abstractNumId="234">
    <w:nsid w:val="5A0201C7"/>
    <w:multiLevelType w:val="hybridMultilevel"/>
    <w:lvl w:ilvl="0">
      <w:lvlJc w:val="left"/>
      <w:lvlText w:val="(%1)"/>
      <w:numFmt w:val="decimal"/>
      <w:start w:val="42"/>
    </w:lvl>
  </w:abstractNum>
  <w:abstractNum w:abstractNumId="235">
    <w:nsid w:val="2A9C34E2"/>
    <w:multiLevelType w:val="hybridMultilevel"/>
    <w:lvl w:ilvl="0">
      <w:lvlJc w:val="left"/>
      <w:lvlText w:val="€"/>
      <w:numFmt w:val="bullet"/>
      <w:start w:val="1"/>
    </w:lvl>
  </w:abstractNum>
  <w:abstractNum w:abstractNumId="236">
    <w:nsid w:val="1B7585AB"/>
    <w:multiLevelType w:val="hybridMultilevel"/>
    <w:lvl w:ilvl="0">
      <w:lvlJc w:val="left"/>
      <w:lvlText w:val="€"/>
      <w:numFmt w:val="bullet"/>
      <w:start w:val="1"/>
    </w:lvl>
  </w:abstractNum>
  <w:abstractNum w:abstractNumId="237">
    <w:nsid w:val="612DBDDD"/>
    <w:multiLevelType w:val="hybridMultilevel"/>
    <w:lvl w:ilvl="0">
      <w:lvlJc w:val="left"/>
      <w:lvlText w:val="%1"/>
      <w:numFmt w:val="decimal"/>
      <w:start w:val="963"/>
    </w:lvl>
  </w:abstractNum>
  <w:abstractNum w:abstractNumId="238">
    <w:nsid w:val="2109CDA4"/>
    <w:multiLevelType w:val="hybridMultilevel"/>
    <w:lvl w:ilvl="0">
      <w:lvlJc w:val="left"/>
      <w:lvlText w:val="%1"/>
      <w:numFmt w:val="decimal"/>
      <w:start w:val="806"/>
    </w:lvl>
  </w:abstractNum>
  <w:abstractNum w:abstractNumId="239">
    <w:nsid w:val="577F5A4D"/>
    <w:multiLevelType w:val="hybridMultilevel"/>
    <w:lvl w:ilvl="0">
      <w:lvlJc w:val="left"/>
      <w:lvlText w:val="€"/>
      <w:numFmt w:val="bullet"/>
      <w:start w:val="1"/>
    </w:lvl>
  </w:abstractNum>
  <w:abstractNum w:abstractNumId="240">
    <w:nsid w:val="2121A81"/>
    <w:multiLevelType w:val="hybridMultilevel"/>
    <w:lvl w:ilvl="0">
      <w:lvlJc w:val="left"/>
      <w:lvlText w:val="%1"/>
      <w:numFmt w:val="decimal"/>
      <w:start w:val="42"/>
    </w:lvl>
  </w:abstractNum>
  <w:abstractNum w:abstractNumId="241">
    <w:nsid w:val="6C2CFC88"/>
    <w:multiLevelType w:val="hybridMultilevel"/>
    <w:lvl w:ilvl="0">
      <w:lvlJc w:val="left"/>
      <w:lvlText w:val="€"/>
      <w:numFmt w:val="bullet"/>
      <w:start w:val="1"/>
    </w:lvl>
  </w:abstractNum>
  <w:abstractNum w:abstractNumId="242">
    <w:nsid w:val="6D1BCF1C"/>
    <w:multiLevelType w:val="hybridMultilevel"/>
    <w:lvl w:ilvl="0">
      <w:lvlJc w:val="left"/>
      <w:lvlText w:val="€"/>
      <w:numFmt w:val="bullet"/>
      <w:start w:val="1"/>
    </w:lvl>
  </w:abstractNum>
  <w:abstractNum w:abstractNumId="243">
    <w:nsid w:val="4CE5CA53"/>
    <w:multiLevelType w:val="hybridMultilevel"/>
    <w:lvl w:ilvl="0">
      <w:lvlJc w:val="left"/>
      <w:lvlText w:val="%1."/>
      <w:numFmt w:val="upperLetter"/>
      <w:start w:val="2"/>
    </w:lvl>
  </w:abstractNum>
  <w:abstractNum w:abstractNumId="244">
    <w:nsid w:val="29262D1A"/>
    <w:multiLevelType w:val="hybridMultilevel"/>
    <w:lvl w:ilvl="0">
      <w:lvlJc w:val="left"/>
      <w:lvlText w:val="%1."/>
      <w:numFmt w:val="upperLetter"/>
      <w:start w:val="3"/>
    </w:lvl>
  </w:abstractNum>
  <w:abstractNum w:abstractNumId="245">
    <w:nsid w:val="557FB7EE"/>
    <w:multiLevelType w:val="hybridMultilevel"/>
    <w:lvl w:ilvl="0">
      <w:lvlJc w:val="left"/>
      <w:lvlText w:val="%1."/>
      <w:numFmt w:val="upperLetter"/>
      <w:start w:val="4"/>
    </w:lvl>
  </w:abstractNum>
  <w:abstractNum w:abstractNumId="246">
    <w:nsid w:val="436F2BEB"/>
    <w:multiLevelType w:val="hybridMultilevel"/>
    <w:lvl w:ilvl="0">
      <w:lvlJc w:val="left"/>
      <w:lvlText w:val="•"/>
      <w:numFmt w:val="bullet"/>
      <w:start w:val="1"/>
    </w:lvl>
  </w:abstractNum>
  <w:abstractNum w:abstractNumId="247">
    <w:nsid w:val="6C8B4466"/>
    <w:multiLevelType w:val="hybridMultilevel"/>
    <w:lvl w:ilvl="0">
      <w:lvlJc w:val="left"/>
      <w:lvlText w:val="•"/>
      <w:numFmt w:val="bullet"/>
      <w:start w:val="1"/>
    </w:lvl>
  </w:abstractNum>
  <w:abstractNum w:abstractNumId="248">
    <w:nsid w:val="2006E424"/>
    <w:multiLevelType w:val="hybridMultilevel"/>
    <w:lvl w:ilvl="0">
      <w:lvlJc w:val="left"/>
      <w:lvlText w:val="%1."/>
      <w:numFmt w:val="upperLetter"/>
      <w:start w:val="4"/>
    </w:lvl>
    <w:lvl w:ilvl="1">
      <w:lvlJc w:val="left"/>
      <w:lvlText w:val="•"/>
      <w:numFmt w:val="bullet"/>
      <w:start w:val="1"/>
    </w:lvl>
  </w:abstractNum>
  <w:abstractNum w:abstractNumId="249">
    <w:nsid w:val="20CC134C"/>
    <w:multiLevelType w:val="hybridMultilevel"/>
    <w:lvl w:ilvl="0">
      <w:lvlJc w:val="left"/>
      <w:lvlText w:val="%1."/>
      <w:numFmt w:val="upperLetter"/>
      <w:start w:val="6"/>
    </w:lvl>
  </w:abstractNum>
  <w:abstractNum w:abstractNumId="250">
    <w:nsid w:val="95FC93B"/>
    <w:multiLevelType w:val="hybridMultilevel"/>
    <w:lvl w:ilvl="0">
      <w:lvlJc w:val="left"/>
      <w:lvlText w:val="%1."/>
      <w:numFmt w:val="upperLetter"/>
      <w:start w:val="7"/>
    </w:lvl>
  </w:abstractNum>
  <w:abstractNum w:abstractNumId="251">
    <w:nsid w:val="41D74679"/>
    <w:multiLevelType w:val="hybridMultilevel"/>
    <w:lvl w:ilvl="0">
      <w:lvlJc w:val="left"/>
      <w:lvlText w:val="%1."/>
      <w:numFmt w:val="upperLetter"/>
      <w:start w:val="1"/>
    </w:lvl>
  </w:abstractNum>
  <w:abstractNum w:abstractNumId="252">
    <w:nsid w:val="71E5621E"/>
    <w:multiLevelType w:val="hybridMultilevel"/>
    <w:lvl w:ilvl="0">
      <w:lvlJc w:val="left"/>
      <w:lvlText w:val="%1"/>
      <w:numFmt w:val="decimal"/>
      <w:start w:val="62"/>
    </w:lvl>
  </w:abstractNum>
  <w:abstractNum w:abstractNumId="253">
    <w:nsid w:val="4E42B6A8"/>
    <w:multiLevelType w:val="hybridMultilevel"/>
    <w:lvl w:ilvl="0">
      <w:lvlJc w:val="left"/>
      <w:lvlText w:val="%1."/>
      <w:numFmt w:val="upperLetter"/>
      <w:start w:val="2"/>
    </w:lvl>
  </w:abstractNum>
  <w:abstractNum w:abstractNumId="254">
    <w:nsid w:val="43F8E1AC"/>
    <w:multiLevelType w:val="hybridMultilevel"/>
    <w:lvl w:ilvl="0">
      <w:lvlJc w:val="left"/>
      <w:lvlText w:val="•"/>
      <w:numFmt w:val="bullet"/>
      <w:start w:val="1"/>
    </w:lvl>
  </w:abstractNum>
  <w:abstractNum w:abstractNumId="255">
    <w:nsid w:val="69215DFB"/>
    <w:multiLevelType w:val="hybridMultilevel"/>
    <w:lvl w:ilvl="0">
      <w:lvlJc w:val="left"/>
      <w:lvlText w:val="(%1)"/>
      <w:numFmt w:val="decimal"/>
      <w:start w:val="1"/>
    </w:lvl>
  </w:abstractNum>
  <w:abstractNum w:abstractNumId="256">
    <w:nsid w:val="7ABF196A"/>
    <w:multiLevelType w:val="hybridMultilevel"/>
    <w:lvl w:ilvl="0">
      <w:lvlJc w:val="left"/>
      <w:lvlText w:val="(%1)"/>
      <w:numFmt w:val="decimal"/>
      <w:start w:val="1"/>
    </w:lvl>
  </w:abstractNum>
  <w:abstractNum w:abstractNumId="257">
    <w:nsid w:val="5E4DB968"/>
    <w:multiLevelType w:val="hybridMultilevel"/>
    <w:lvl w:ilvl="0">
      <w:lvlJc w:val="left"/>
      <w:lvlText w:val="%1."/>
      <w:numFmt w:val="upperLetter"/>
      <w:start w:val="3"/>
    </w:lvl>
  </w:abstractNum>
  <w:abstractNum w:abstractNumId="258">
    <w:nsid w:val="2C06DCF3"/>
    <w:multiLevelType w:val="hybridMultilevel"/>
    <w:lvl w:ilvl="0">
      <w:lvlJc w:val="left"/>
      <w:lvlText w:val="•"/>
      <w:numFmt w:val="bullet"/>
      <w:start w:val="1"/>
    </w:lvl>
  </w:abstractNum>
  <w:abstractNum w:abstractNumId="259">
    <w:nsid w:val="2E129658"/>
    <w:multiLevelType w:val="hybridMultilevel"/>
    <w:lvl w:ilvl="0">
      <w:lvlJc w:val="left"/>
      <w:lvlText w:val="•"/>
      <w:numFmt w:val="bullet"/>
      <w:start w:val="1"/>
    </w:lvl>
  </w:abstractNum>
  <w:abstractNum w:abstractNumId="260">
    <w:nsid w:val="59F0446"/>
    <w:multiLevelType w:val="hybridMultilevel"/>
    <w:lvl w:ilvl="0">
      <w:lvlJc w:val="left"/>
      <w:lvlText w:val="•"/>
      <w:numFmt w:val="bullet"/>
      <w:start w:val="1"/>
    </w:lvl>
  </w:abstractNum>
  <w:abstractNum w:abstractNumId="261">
    <w:nsid w:val="30DF306"/>
    <w:multiLevelType w:val="hybridMultilevel"/>
    <w:lvl w:ilvl="0">
      <w:lvlJc w:val="left"/>
      <w:lvlText w:val="•"/>
      <w:numFmt w:val="bullet"/>
      <w:start w:val="1"/>
    </w:lvl>
  </w:abstractNum>
  <w:abstractNum w:abstractNumId="262">
    <w:nsid w:val="A65647"/>
    <w:multiLevelType w:val="hybridMultilevel"/>
    <w:lvl w:ilvl="0">
      <w:lvlJc w:val="left"/>
      <w:lvlText w:val="•"/>
      <w:numFmt w:val="bullet"/>
      <w:start w:val="1"/>
    </w:lvl>
  </w:abstractNum>
  <w:abstractNum w:abstractNumId="263">
    <w:nsid w:val="3E5E582B"/>
    <w:multiLevelType w:val="hybridMultilevel"/>
    <w:lvl w:ilvl="0">
      <w:lvlJc w:val="left"/>
      <w:lvlText w:val="%1."/>
      <w:numFmt w:val="upperLetter"/>
      <w:start w:val="4"/>
    </w:lvl>
  </w:abstractNum>
  <w:abstractNum w:abstractNumId="264">
    <w:nsid w:val="257D4626"/>
    <w:multiLevelType w:val="hybridMultilevel"/>
    <w:lvl w:ilvl="0">
      <w:lvlJc w:val="left"/>
      <w:lvlText w:val="%1."/>
      <w:numFmt w:val="upperLetter"/>
      <w:start w:val="5"/>
    </w:lvl>
  </w:abstractNum>
  <w:abstractNum w:abstractNumId="265">
    <w:nsid w:val="5AA8580E"/>
    <w:multiLevelType w:val="hybridMultilevel"/>
    <w:lvl w:ilvl="0">
      <w:lvlJc w:val="left"/>
      <w:lvlText w:val="%1."/>
      <w:numFmt w:val="upperLetter"/>
      <w:start w:val="1"/>
    </w:lvl>
  </w:abstractNum>
  <w:abstractNum w:abstractNumId="266">
    <w:nsid w:val="68FA8D0D"/>
    <w:multiLevelType w:val="hybridMultilevel"/>
    <w:lvl w:ilvl="0">
      <w:lvlJc w:val="left"/>
      <w:lvlText w:val="•"/>
      <w:numFmt w:val="bullet"/>
      <w:start w:val="1"/>
    </w:lvl>
  </w:abstractNum>
  <w:abstractNum w:abstractNumId="267">
    <w:nsid w:val="40F2CBD2"/>
    <w:multiLevelType w:val="hybridMultilevel"/>
    <w:lvl w:ilvl="0">
      <w:lvlJc w:val="left"/>
      <w:lvlText w:val="(%1)"/>
      <w:numFmt w:val="decimal"/>
      <w:start w:val="1"/>
    </w:lvl>
  </w:abstractNum>
  <w:abstractNum w:abstractNumId="268">
    <w:nsid w:val="3BD615EB"/>
    <w:multiLevelType w:val="hybridMultilevel"/>
    <w:lvl w:ilvl="0">
      <w:lvlJc w:val="left"/>
      <w:lvlText w:val="%1."/>
      <w:numFmt w:val="upperLetter"/>
      <w:start w:val="2"/>
    </w:lvl>
  </w:abstractNum>
  <w:abstractNum w:abstractNumId="269">
    <w:nsid w:val="A045AB2"/>
    <w:multiLevelType w:val="hybridMultilevel"/>
    <w:lvl w:ilvl="0">
      <w:lvlJc w:val="left"/>
      <w:lvlText w:val="(%1)"/>
      <w:numFmt w:val="decimal"/>
      <w:start w:val="1"/>
    </w:lvl>
  </w:abstractNum>
  <w:abstractNum w:abstractNumId="270">
    <w:nsid w:val="1872261F"/>
    <w:multiLevelType w:val="hybridMultilevel"/>
    <w:lvl w:ilvl="0">
      <w:lvlJc w:val="left"/>
      <w:lvlText w:val="(%1)"/>
      <w:numFmt w:val="decimal"/>
      <w:start w:val="1"/>
    </w:lvl>
  </w:abstractNum>
  <w:abstractNum w:abstractNumId="271">
    <w:nsid w:val="3DE8306C"/>
    <w:multiLevelType w:val="hybridMultilevel"/>
    <w:lvl w:ilvl="0">
      <w:lvlJc w:val="left"/>
      <w:lvlText w:val="%1"/>
      <w:numFmt w:val="upperLetter"/>
      <w:start w:val="1"/>
    </w:lvl>
    <w:lvl w:ilvl="1">
      <w:lvlJc w:val="left"/>
      <w:lvlText w:val="(%2)"/>
      <w:numFmt w:val="decimal"/>
      <w:start w:val="1"/>
    </w:lvl>
  </w:abstractNum>
  <w:abstractNum w:abstractNumId="272">
    <w:nsid w:val="7631573A"/>
    <w:multiLevelType w:val="hybridMultilevel"/>
    <w:lvl w:ilvl="0">
      <w:lvlJc w:val="left"/>
      <w:lvlText w:val="%1."/>
      <w:numFmt w:val="upperLetter"/>
      <w:start w:val="3"/>
    </w:lvl>
    <w:lvl w:ilvl="1">
      <w:lvlJc w:val="left"/>
      <w:lvlText w:val="%2"/>
      <w:numFmt w:val="decimal"/>
      <w:start w:val="1"/>
    </w:lvl>
  </w:abstractNum>
  <w:abstractNum w:abstractNumId="273">
    <w:nsid w:val="58DF53B"/>
    <w:multiLevelType w:val="hybridMultilevel"/>
    <w:lvl w:ilvl="0">
      <w:lvlJc w:val="left"/>
      <w:lvlText w:val="%1."/>
      <w:numFmt w:val="upperLetter"/>
      <w:start w:val="1"/>
    </w:lvl>
  </w:abstractNum>
  <w:abstractNum w:abstractNumId="274">
    <w:nsid w:val="ACDFAC0"/>
    <w:multiLevelType w:val="hybridMultilevel"/>
    <w:lvl w:ilvl="0">
      <w:lvlJc w:val="left"/>
      <w:lvlText w:val="%1."/>
      <w:numFmt w:val="upperLetter"/>
      <w:start w:val="2"/>
    </w:lvl>
  </w:abstractNum>
  <w:abstractNum w:abstractNumId="275">
    <w:nsid w:val="1F578454"/>
    <w:multiLevelType w:val="hybridMultilevel"/>
    <w:lvl w:ilvl="0">
      <w:lvlJc w:val="left"/>
      <w:lvlText w:val="%1."/>
      <w:numFmt w:val="upperLetter"/>
      <w:start w:val="1"/>
    </w:lvl>
  </w:abstractNum>
  <w:abstractNum w:abstractNumId="276">
    <w:nsid w:val="5B0DAD2A"/>
    <w:multiLevelType w:val="hybridMultilevel"/>
    <w:lvl w:ilvl="0">
      <w:lvlJc w:val="left"/>
      <w:lvlText w:val="%1."/>
      <w:numFmt w:val="upperLetter"/>
      <w:start w:val="2"/>
    </w:lvl>
  </w:abstractNum>
  <w:abstractNum w:abstractNumId="277">
    <w:nsid w:val="4E3D26AB"/>
    <w:multiLevelType w:val="hybridMultilevel"/>
    <w:lvl w:ilvl="0">
      <w:lvlJc w:val="left"/>
      <w:lvlText w:val="%1."/>
      <w:numFmt w:val="upperLetter"/>
      <w:start w:val="3"/>
    </w:lvl>
  </w:abstractNum>
  <w:abstractNum w:abstractNumId="278">
    <w:nsid w:val="BE2C8BA"/>
    <w:multiLevelType w:val="hybridMultilevel"/>
    <w:lvl w:ilvl="0">
      <w:lvlJc w:val="left"/>
      <w:lvlText w:val="%1."/>
      <w:numFmt w:val="upperLetter"/>
      <w:start w:val="4"/>
    </w:lvl>
  </w:abstractNum>
  <w:abstractNum w:abstractNumId="279">
    <w:nsid w:val="7B14914E"/>
    <w:multiLevelType w:val="hybridMultilevel"/>
    <w:lvl w:ilvl="0">
      <w:lvlJc w:val="left"/>
      <w:lvlText w:val="%1."/>
      <w:numFmt w:val="upperLetter"/>
      <w:start w:val="5"/>
    </w:lvl>
  </w:abstractNum>
  <w:abstractNum w:abstractNumId="280">
    <w:nsid w:val="6F0939F8"/>
    <w:multiLevelType w:val="hybridMultilevel"/>
    <w:lvl w:ilvl="0">
      <w:lvlJc w:val="left"/>
      <w:lvlText w:val="%1."/>
      <w:numFmt w:val="upperLetter"/>
      <w:start w:val="6"/>
    </w:lvl>
  </w:abstractNum>
  <w:abstractNum w:abstractNumId="281">
    <w:nsid w:val="154291F6"/>
    <w:multiLevelType w:val="hybridMultilevel"/>
    <w:lvl w:ilvl="0">
      <w:lvlJc w:val="left"/>
      <w:lvlText w:val="%1."/>
      <w:numFmt w:val="upperLetter"/>
      <w:start w:val="1"/>
    </w:lvl>
  </w:abstractNum>
  <w:abstractNum w:abstractNumId="282">
    <w:nsid w:val="3CEBD7C7"/>
    <w:multiLevelType w:val="hybridMultilevel"/>
    <w:lvl w:ilvl="0">
      <w:lvlJc w:val="left"/>
      <w:lvlText w:val="%1."/>
      <w:numFmt w:val="upperLetter"/>
      <w:start w:val="2"/>
    </w:lvl>
  </w:abstractNum>
  <w:abstractNum w:abstractNumId="283">
    <w:nsid w:val="60EE9C16"/>
    <w:multiLevelType w:val="hybridMultilevel"/>
    <w:lvl w:ilvl="0">
      <w:lvlJc w:val="left"/>
      <w:lvlText w:val="•"/>
      <w:numFmt w:val="bullet"/>
      <w:start w:val="1"/>
    </w:lvl>
  </w:abstractNum>
  <w:abstractNum w:abstractNumId="284">
    <w:nsid w:val="6385489E"/>
    <w:multiLevelType w:val="hybridMultilevel"/>
    <w:lvl w:ilvl="0">
      <w:lvlJc w:val="left"/>
      <w:lvlText w:val="•"/>
      <w:numFmt w:val="bullet"/>
      <w:start w:val="1"/>
    </w:lvl>
  </w:abstractNum>
  <w:abstractNum w:abstractNumId="285">
    <w:nsid w:val="E4B973"/>
    <w:multiLevelType w:val="hybridMultilevel"/>
    <w:lvl w:ilvl="0">
      <w:lvlJc w:val="left"/>
      <w:lvlText w:val="•"/>
      <w:numFmt w:val="bullet"/>
      <w:start w:val="1"/>
    </w:lvl>
  </w:abstractNum>
  <w:abstractNum w:abstractNumId="286">
    <w:nsid w:val="4A0FFA11"/>
    <w:multiLevelType w:val="hybridMultilevel"/>
    <w:lvl w:ilvl="0">
      <w:lvlJc w:val="left"/>
      <w:lvlText w:val="•"/>
      <w:numFmt w:val="bullet"/>
      <w:start w:val="1"/>
    </w:lvl>
  </w:abstractNum>
  <w:abstractNum w:abstractNumId="287">
    <w:nsid w:val="5E446208"/>
    <w:multiLevelType w:val="hybridMultilevel"/>
    <w:lvl w:ilvl="0">
      <w:lvlJc w:val="left"/>
      <w:lvlText w:val="%1."/>
      <w:numFmt w:val="upperLetter"/>
      <w:start w:val="3"/>
    </w:lvl>
  </w:abstractNum>
  <w:abstractNum w:abstractNumId="288">
    <w:nsid w:val="5F3272DB"/>
    <w:multiLevelType w:val="hybridMultilevel"/>
    <w:lvl w:ilvl="0">
      <w:lvlJc w:val="left"/>
      <w:lvlText w:val="%1."/>
      <w:numFmt w:val="upperLetter"/>
      <w:start w:val="4"/>
    </w:lvl>
  </w:abstractNum>
  <w:abstractNum w:abstractNumId="289">
    <w:nsid w:val="7616D704"/>
    <w:multiLevelType w:val="hybridMultilevel"/>
    <w:lvl w:ilvl="0">
      <w:lvlJc w:val="left"/>
      <w:lvlText w:val="%1."/>
      <w:numFmt w:val="upperLetter"/>
      <w:start w:val="5"/>
    </w:lvl>
  </w:abstractNum>
  <w:abstractNum w:abstractNumId="290">
    <w:nsid w:val="C56F860"/>
    <w:multiLevelType w:val="hybridMultilevel"/>
    <w:lvl w:ilvl="0">
      <w:lvlJc w:val="left"/>
      <w:lvlText w:val="•"/>
      <w:numFmt w:val="bullet"/>
      <w:start w:val="1"/>
    </w:lvl>
  </w:abstractNum>
  <w:abstractNum w:abstractNumId="291">
    <w:nsid w:val="64D17722"/>
    <w:multiLevelType w:val="hybridMultilevel"/>
    <w:lvl w:ilvl="0">
      <w:lvlJc w:val="left"/>
      <w:lvlText w:val="(%1)"/>
      <w:numFmt w:val="lowerRoman"/>
      <w:start w:val="1"/>
    </w:lvl>
  </w:abstractNum>
  <w:abstractNum w:abstractNumId="292">
    <w:nsid w:val="7924CA0A"/>
    <w:multiLevelType w:val="hybridMultilevel"/>
    <w:lvl w:ilvl="0">
      <w:lvlJc w:val="left"/>
      <w:lvlText w:val="•"/>
      <w:numFmt w:val="bullet"/>
      <w:start w:val="1"/>
    </w:lvl>
  </w:abstractNum>
  <w:abstractNum w:abstractNumId="293">
    <w:nsid w:val="CFD4EA7"/>
    <w:multiLevelType w:val="hybridMultilevel"/>
    <w:lvl w:ilvl="0">
      <w:lvlJc w:val="left"/>
      <w:lvlText w:val="%1."/>
      <w:numFmt w:val="upperLetter"/>
      <w:start w:val="6"/>
    </w:lvl>
  </w:abstractNum>
  <w:abstractNum w:abstractNumId="294">
    <w:nsid w:val="232FCF4D"/>
    <w:multiLevelType w:val="hybridMultilevel"/>
    <w:lvl w:ilvl="0">
      <w:lvlJc w:val="left"/>
      <w:lvlText w:val="%1."/>
      <w:numFmt w:val="upperLetter"/>
      <w:start w:val="7"/>
    </w:lvl>
  </w:abstractNum>
  <w:abstractNum w:abstractNumId="295">
    <w:nsid w:val="1EA21031"/>
    <w:multiLevelType w:val="hybridMultilevel"/>
    <w:lvl w:ilvl="0">
      <w:lvlJc w:val="left"/>
      <w:lvlText w:val="%1."/>
      <w:numFmt w:val="upperLetter"/>
      <w:start w:val="8"/>
    </w:lvl>
  </w:abstractNum>
  <w:abstractNum w:abstractNumId="296">
    <w:nsid w:val="67A5A6B5"/>
    <w:multiLevelType w:val="hybridMultilevel"/>
    <w:lvl w:ilvl="0">
      <w:lvlJc w:val="left"/>
      <w:lvlText w:val="%1."/>
      <w:numFmt w:val="upperLetter"/>
      <w:start w:val="9"/>
    </w:lvl>
  </w:abstractNum>
  <w:abstractNum w:abstractNumId="297">
    <w:nsid w:val="C2A5C5B"/>
    <w:multiLevelType w:val="hybridMultilevel"/>
    <w:lvl w:ilvl="0">
      <w:lvlJc w:val="left"/>
      <w:lvlText w:val="%1."/>
      <w:numFmt w:val="upperLetter"/>
      <w:start w:val="1"/>
    </w:lvl>
  </w:abstractNum>
  <w:abstractNum w:abstractNumId="298">
    <w:nsid w:val="5F94DC03"/>
    <w:multiLevelType w:val="hybridMultilevel"/>
    <w:lvl w:ilvl="0">
      <w:lvlJc w:val="left"/>
      <w:lvlText w:val="%1."/>
      <w:numFmt w:val="upperLetter"/>
      <w:start w:val="2"/>
    </w:lvl>
  </w:abstractNum>
  <w:abstractNum w:abstractNumId="299">
    <w:nsid w:val="237BBCA0"/>
    <w:multiLevelType w:val="hybridMultilevel"/>
    <w:lvl w:ilvl="0">
      <w:lvlJc w:val="left"/>
      <w:lvlText w:val="%1."/>
      <w:numFmt w:val="upperLetter"/>
      <w:start w:val="3"/>
    </w:lvl>
  </w:abstractNum>
  <w:abstractNum w:abstractNumId="300">
    <w:nsid w:val="162EB70D"/>
    <w:multiLevelType w:val="hybridMultilevel"/>
    <w:lvl w:ilvl="0">
      <w:lvlJc w:val="left"/>
      <w:lvlText w:val="%1."/>
      <w:numFmt w:val="upperLetter"/>
      <w:start w:val="4"/>
    </w:lvl>
  </w:abstractNum>
  <w:abstractNum w:abstractNumId="301">
    <w:nsid w:val="78070222"/>
    <w:multiLevelType w:val="hybridMultilevel"/>
    <w:lvl w:ilvl="0">
      <w:lvlJc w:val="left"/>
      <w:lvlText w:val="•"/>
      <w:numFmt w:val="bullet"/>
      <w:start w:val="1"/>
    </w:lvl>
  </w:abstractNum>
  <w:abstractNum w:abstractNumId="302">
    <w:nsid w:val="6163ED0D"/>
    <w:multiLevelType w:val="hybridMultilevel"/>
    <w:lvl w:ilvl="0">
      <w:lvlJc w:val="left"/>
      <w:lvlText w:val="•"/>
      <w:numFmt w:val="bullet"/>
      <w:start w:val="1"/>
    </w:lvl>
  </w:abstractNum>
  <w:abstractNum w:abstractNumId="303">
    <w:nsid w:val="C600E47"/>
    <w:multiLevelType w:val="hybridMultilevel"/>
    <w:lvl w:ilvl="0">
      <w:lvlJc w:val="left"/>
      <w:lvlText w:val="•"/>
      <w:numFmt w:val="bullet"/>
      <w:start w:val="1"/>
    </w:lvl>
  </w:abstractNum>
  <w:abstractNum w:abstractNumId="304">
    <w:nsid w:val="7D94F75D"/>
    <w:multiLevelType w:val="hybridMultilevel"/>
    <w:lvl w:ilvl="0">
      <w:lvlJc w:val="left"/>
      <w:lvlText w:val="•"/>
      <w:numFmt w:val="bullet"/>
      <w:start w:val="1"/>
    </w:lvl>
  </w:abstractNum>
  <w:abstractNum w:abstractNumId="305">
    <w:nsid w:val="6C31E7CD"/>
    <w:multiLevelType w:val="hybridMultilevel"/>
    <w:lvl w:ilvl="0">
      <w:lvlJc w:val="left"/>
      <w:lvlText w:val="•"/>
      <w:numFmt w:val="bullet"/>
      <w:start w:val="1"/>
    </w:lvl>
  </w:abstractNum>
  <w:abstractNum w:abstractNumId="306">
    <w:nsid w:val="2BB7929B"/>
    <w:multiLevelType w:val="hybridMultilevel"/>
    <w:lvl w:ilvl="0">
      <w:lvlJc w:val="left"/>
      <w:lvlText w:val="*"/>
      <w:numFmt w:val="bullet"/>
      <w:start w:val="1"/>
    </w:lvl>
  </w:abstractNum>
  <w:abstractNum w:abstractNumId="307">
    <w:nsid w:val="58A2A487"/>
    <w:multiLevelType w:val="hybridMultilevel"/>
    <w:lvl w:ilvl="0">
      <w:lvlJc w:val="left"/>
      <w:lvlText w:val="1"/>
      <w:numFmt w:val="bullet"/>
      <w:start w:val="1"/>
    </w:lvl>
  </w:abstractNum>
  <w:abstractNum w:abstractNumId="308">
    <w:nsid w:val="3A6F0E78"/>
    <w:multiLevelType w:val="hybridMultilevel"/>
    <w:lvl w:ilvl="0">
      <w:lvlJc w:val="left"/>
      <w:lvlText w:val="•"/>
      <w:numFmt w:val="bullet"/>
      <w:start w:val="1"/>
    </w:lvl>
  </w:abstractNum>
  <w:abstractNum w:abstractNumId="309">
    <w:nsid w:val="379A5B56"/>
    <w:multiLevelType w:val="hybridMultilevel"/>
    <w:lvl w:ilvl="0">
      <w:lvlJc w:val="left"/>
      <w:lvlText w:val="2"/>
      <w:numFmt w:val="bullet"/>
      <w:start w:val="1"/>
    </w:lvl>
  </w:abstractNum>
  <w:abstractNum w:abstractNumId="310">
    <w:nsid w:val="53B735D5"/>
    <w:multiLevelType w:val="hybridMultilevel"/>
    <w:lvl w:ilvl="0">
      <w:lvlJc w:val="left"/>
      <w:lvlText w:val="•"/>
      <w:numFmt w:val="bullet"/>
      <w:start w:val="1"/>
    </w:lvl>
  </w:abstractNum>
  <w:abstractNum w:abstractNumId="311">
    <w:nsid w:val="29784870"/>
    <w:multiLevelType w:val="hybridMultilevel"/>
    <w:lvl w:ilvl="0">
      <w:lvlJc w:val="left"/>
      <w:lvlText w:val="•"/>
      <w:numFmt w:val="bullet"/>
      <w:start w:val="1"/>
    </w:lvl>
  </w:abstractNum>
  <w:abstractNum w:abstractNumId="312">
    <w:nsid w:val="4CDCED4C"/>
    <w:multiLevelType w:val="hybridMultilevel"/>
    <w:lvl w:ilvl="0">
      <w:lvlJc w:val="left"/>
      <w:lvlText w:val="•"/>
      <w:numFmt w:val="bullet"/>
      <w:start w:val="1"/>
    </w:lvl>
  </w:abstractNum>
  <w:abstractNum w:abstractNumId="313">
    <w:nsid w:val="10A30D9C"/>
    <w:multiLevelType w:val="hybridMultilevel"/>
    <w:lvl w:ilvl="0">
      <w:lvlJc w:val="left"/>
      <w:lvlText w:val="•"/>
      <w:numFmt w:val="bullet"/>
      <w:start w:val="1"/>
    </w:lvl>
  </w:abstractNum>
  <w:abstractNum w:abstractNumId="314">
    <w:nsid w:val="A66E486"/>
    <w:multiLevelType w:val="hybridMultilevel"/>
    <w:lvl w:ilvl="0">
      <w:lvlJc w:val="left"/>
      <w:lvlText w:val="•"/>
      <w:numFmt w:val="bullet"/>
      <w:start w:val="1"/>
    </w:lvl>
    <w:lvl w:ilvl="1">
      <w:lvlJc w:val="left"/>
      <w:lvlText w:val="•"/>
      <w:numFmt w:val="bullet"/>
      <w:start w:val="1"/>
    </w:lvl>
  </w:abstractNum>
  <w:abstractNum w:abstractNumId="315">
    <w:nsid w:val="306235EA"/>
    <w:multiLevelType w:val="hybridMultilevel"/>
    <w:lvl w:ilvl="0">
      <w:lvlJc w:val="left"/>
      <w:lvlText w:val="•"/>
      <w:numFmt w:val="bullet"/>
      <w:start w:val="1"/>
    </w:lvl>
  </w:abstractNum>
  <w:abstractNum w:abstractNumId="316">
    <w:nsid w:val="1187C70F"/>
    <w:multiLevelType w:val="hybridMultilevel"/>
    <w:lvl w:ilvl="0">
      <w:lvlJc w:val="left"/>
      <w:lvlText w:val="•"/>
      <w:numFmt w:val="bullet"/>
      <w:start w:val="1"/>
    </w:lvl>
  </w:abstractNum>
  <w:abstractNum w:abstractNumId="317">
    <w:nsid w:val="5476DE98"/>
    <w:multiLevelType w:val="hybridMultilevel"/>
    <w:lvl w:ilvl="0">
      <w:lvlJc w:val="left"/>
      <w:lvlText w:val="•"/>
      <w:numFmt w:val="bullet"/>
      <w:start w:val="1"/>
    </w:lvl>
  </w:abstractNum>
  <w:abstractNum w:abstractNumId="318">
    <w:nsid w:val="EA697F2"/>
    <w:multiLevelType w:val="hybridMultilevel"/>
    <w:lvl w:ilvl="0">
      <w:lvlJc w:val="left"/>
      <w:lvlText w:val="•"/>
      <w:numFmt w:val="bullet"/>
      <w:start w:val="1"/>
    </w:lvl>
  </w:abstractNum>
  <w:abstractNum w:abstractNumId="319">
    <w:nsid w:val="70BA39EB"/>
    <w:multiLevelType w:val="hybridMultilevel"/>
    <w:lvl w:ilvl="0">
      <w:lvlJc w:val="left"/>
      <w:lvlText w:val="3"/>
      <w:numFmt w:val="bullet"/>
      <w:start w:val="1"/>
    </w:lvl>
  </w:abstractNum>
  <w:abstractNum w:abstractNumId="320">
    <w:nsid w:val="4A8DB59C"/>
    <w:multiLevelType w:val="hybridMultilevel"/>
    <w:lvl w:ilvl="0">
      <w:lvlJc w:val="left"/>
      <w:lvlText w:val="4"/>
      <w:numFmt w:val="bullet"/>
      <w:start w:val="1"/>
    </w:lvl>
  </w:abstractNum>
  <w:abstractNum w:abstractNumId="321">
    <w:nsid w:val="1AFD9053"/>
    <w:multiLevelType w:val="hybridMultilevel"/>
    <w:lvl w:ilvl="0">
      <w:lvlJc w:val="left"/>
      <w:lvlText w:val="5"/>
      <w:numFmt w:val="bullet"/>
      <w:start w:val="1"/>
    </w:lvl>
  </w:abstractNum>
  <w:abstractNum w:abstractNumId="322">
    <w:nsid w:val="558BB10D"/>
    <w:multiLevelType w:val="hybridMultilevel"/>
    <w:lvl w:ilvl="0">
      <w:lvlJc w:val="left"/>
      <w:lvlText w:val="6"/>
      <w:numFmt w:val="bullet"/>
      <w:start w:val="1"/>
    </w:lvl>
  </w:abstractNum>
  <w:abstractNum w:abstractNumId="323">
    <w:nsid w:val="43B27FA7"/>
    <w:multiLevelType w:val="hybridMultilevel"/>
    <w:lvl w:ilvl="0">
      <w:lvlJc w:val="left"/>
      <w:lvlText w:val="7"/>
      <w:numFmt w:val="bullet"/>
      <w:start w:val="1"/>
    </w:lvl>
  </w:abstractNum>
  <w:abstractNum w:abstractNumId="324">
    <w:nsid w:val="27FADEFA"/>
    <w:multiLevelType w:val="hybridMultilevel"/>
    <w:lvl w:ilvl="0">
      <w:lvlJc w:val="left"/>
      <w:lvlText w:val="8"/>
      <w:numFmt w:val="bullet"/>
      <w:start w:val="1"/>
    </w:lvl>
  </w:abstractNum>
  <w:abstractNum w:abstractNumId="325">
    <w:nsid w:val="78BB805A"/>
    <w:multiLevelType w:val="hybridMultilevel"/>
    <w:lvl w:ilvl="0">
      <w:lvlJc w:val="left"/>
      <w:lvlText w:val="9"/>
      <w:numFmt w:val="bullet"/>
      <w:start w:val="1"/>
    </w:lvl>
  </w:abstractNum>
  <w:abstractNum w:abstractNumId="326">
    <w:nsid w:val="62548FD8"/>
    <w:multiLevelType w:val="hybridMultilevel"/>
    <w:lvl w:ilvl="0">
      <w:lvlJc w:val="left"/>
      <w:lvlText w:val="%1"/>
      <w:numFmt w:val="decimal"/>
      <w:start w:val="16"/>
    </w:lvl>
  </w:abstractNum>
  <w:abstractNum w:abstractNumId="327">
    <w:nsid w:val="FA085B0"/>
    <w:multiLevelType w:val="hybridMultilevel"/>
    <w:lvl w:ilvl="0">
      <w:lvlJc w:val="left"/>
      <w:lvlText w:val="%1."/>
      <w:numFmt w:val="upperLetter"/>
      <w:start w:val="9"/>
    </w:lvl>
  </w:abstractNum>
  <w:abstractNum w:abstractNumId="328">
    <w:nsid w:val="4E5DCB5"/>
    <w:multiLevelType w:val="hybridMultilevel"/>
    <w:lvl w:ilvl="0">
      <w:lvlJc w:val="left"/>
      <w:lvlText w:val="(%1)"/>
      <w:numFmt w:val="decimal"/>
      <w:start w:val="1"/>
    </w:lvl>
  </w:abstractNum>
  <w:abstractNum w:abstractNumId="329">
    <w:nsid w:val="41E96BDB"/>
    <w:multiLevelType w:val="hybridMultilevel"/>
    <w:lvl w:ilvl="0">
      <w:lvlJc w:val="left"/>
      <w:lvlText w:val="(%1)"/>
      <w:numFmt w:val="decimal"/>
      <w:start w:val="1"/>
    </w:lvl>
  </w:abstractNum>
  <w:abstractNum w:abstractNumId="330">
    <w:nsid w:val="331C4250"/>
    <w:multiLevelType w:val="hybridMultilevel"/>
    <w:lvl w:ilvl="0">
      <w:lvlJc w:val="left"/>
      <w:lvlText w:val="%1."/>
      <w:numFmt w:val="upperLetter"/>
      <w:start w:val="35"/>
    </w:lvl>
  </w:abstractNum>
  <w:abstractNum w:abstractNumId="331">
    <w:nsid w:val="1B1493C2"/>
    <w:multiLevelType w:val="hybridMultilevel"/>
    <w:lvl w:ilvl="0">
      <w:lvlJc w:val="left"/>
      <w:lvlText w:val="(%1)"/>
      <w:numFmt w:val="decimal"/>
      <w:start w:val="1"/>
    </w:lvl>
  </w:abstractNum>
  <w:abstractNum w:abstractNumId="332">
    <w:nsid w:val="39F06DFD"/>
    <w:multiLevelType w:val="hybridMultilevel"/>
    <w:lvl w:ilvl="0">
      <w:lvlJc w:val="left"/>
      <w:lvlText w:val="(%1)"/>
      <w:numFmt w:val="decimal"/>
      <w:start w:val="5"/>
    </w:lvl>
    <w:lvl w:ilvl="1">
      <w:lvlJc w:val="left"/>
      <w:lvlText w:val="(%2)"/>
      <w:numFmt w:val="lowerLetter"/>
      <w:start w:val="1"/>
    </w:lvl>
  </w:abstractNum>
  <w:abstractNum w:abstractNumId="333">
    <w:nsid w:val="14802F5D"/>
    <w:multiLevelType w:val="hybridMultilevel"/>
    <w:lvl w:ilvl="0">
      <w:lvlJc w:val="left"/>
      <w:lvlText w:val="(%1)"/>
      <w:numFmt w:val="lowerLetter"/>
      <w:start w:val="5"/>
    </w:lvl>
  </w:abstractNum>
  <w:abstractNum w:abstractNumId="334">
    <w:nsid w:val="2774A209"/>
    <w:multiLevelType w:val="hybridMultilevel"/>
    <w:lvl w:ilvl="0">
      <w:lvlJc w:val="left"/>
      <w:lvlText w:val="(%1)"/>
      <w:numFmt w:val="decimal"/>
      <w:start w:val="6"/>
    </w:lvl>
  </w:abstractNum>
  <w:abstractNum w:abstractNumId="335">
    <w:nsid w:val="3785655A"/>
    <w:multiLevelType w:val="hybridMultilevel"/>
    <w:lvl w:ilvl="0">
      <w:lvlJc w:val="left"/>
      <w:lvlText w:val="%1"/>
      <w:numFmt w:val="upperLetter"/>
      <w:start w:val="1"/>
    </w:lvl>
    <w:lvl w:ilvl="1">
      <w:lvlJc w:val="left"/>
      <w:lvlText w:val="(%2)"/>
      <w:numFmt w:val="decimal"/>
      <w:start w:val="8"/>
    </w:lvl>
  </w:abstractNum>
  <w:abstractNum w:abstractNumId="336">
    <w:nsid w:val="B2172A"/>
    <w:multiLevelType w:val="hybridMultilevel"/>
    <w:lvl w:ilvl="0">
      <w:lvlJc w:val="left"/>
      <w:lvlText w:val="%1."/>
      <w:numFmt w:val="upperLetter"/>
      <w:start w:val="61"/>
    </w:lvl>
    <w:lvl w:ilvl="1">
      <w:lvlJc w:val="left"/>
      <w:lvlText w:val="%2"/>
      <w:numFmt w:val="decimal"/>
      <w:start w:val="1"/>
    </w:lvl>
  </w:abstractNum>
  <w:abstractNum w:abstractNumId="337">
    <w:nsid w:val="532C34A5"/>
    <w:multiLevelType w:val="hybridMultilevel"/>
    <w:lvl w:ilvl="0">
      <w:lvlJc w:val="left"/>
      <w:lvlText w:val="(%1)"/>
      <w:numFmt w:val="decimal"/>
      <w:start w:val="3"/>
    </w:lvl>
  </w:abstractNum>
  <w:abstractNum w:abstractNumId="338">
    <w:nsid w:val="102809E2"/>
    <w:multiLevelType w:val="hybridMultilevel"/>
    <w:lvl w:ilvl="0">
      <w:lvlJc w:val="left"/>
      <w:lvlText w:val="(%1)"/>
      <w:numFmt w:val="decimal"/>
      <w:start w:val="1"/>
    </w:lvl>
  </w:abstractNum>
  <w:abstractNum w:abstractNumId="339">
    <w:nsid w:val="3B2125A3"/>
    <w:multiLevelType w:val="hybridMultilevel"/>
    <w:lvl w:ilvl="0">
      <w:lvlJc w:val="left"/>
      <w:lvlText w:val="%1"/>
      <w:numFmt w:val="upperLetter"/>
      <w:start w:val="1"/>
    </w:lvl>
    <w:lvl w:ilvl="1">
      <w:lvlJc w:val="left"/>
      <w:lvlText w:val="(%2)"/>
      <w:numFmt w:val="decimal"/>
      <w:start w:val="1"/>
    </w:lvl>
  </w:abstractNum>
  <w:abstractNum w:abstractNumId="340">
    <w:nsid w:val="AC68FFB"/>
    <w:multiLevelType w:val="hybridMultilevel"/>
    <w:lvl w:ilvl="0">
      <w:lvlJc w:val="left"/>
      <w:lvlText w:val="%1."/>
      <w:numFmt w:val="upperLetter"/>
      <w:start w:val="22"/>
    </w:lvl>
    <w:lvl w:ilvl="1">
      <w:lvlJc w:val="left"/>
      <w:lvlText w:val="%2"/>
      <w:numFmt w:val="decimal"/>
      <w:start w:val="1"/>
    </w:lvl>
  </w:abstractNum>
  <w:abstractNum w:abstractNumId="341">
    <w:nsid w:val="63DF3FB7"/>
    <w:multiLevelType w:val="hybridMultilevel"/>
    <w:lvl w:ilvl="0">
      <w:lvlJc w:val="left"/>
      <w:lvlText w:val="(%1)"/>
      <w:numFmt w:val="decimal"/>
      <w:start w:val="1"/>
    </w:lvl>
  </w:abstractNum>
  <w:abstractNum w:abstractNumId="342">
    <w:nsid w:val="64996E13"/>
    <w:multiLevelType w:val="hybridMultilevel"/>
    <w:lvl w:ilvl="0">
      <w:lvlJc w:val="left"/>
      <w:lvlText w:val="(%1)"/>
      <w:numFmt w:val="decimal"/>
      <w:start w:val="2"/>
    </w:lvl>
  </w:abstractNum>
  <w:abstractNum w:abstractNumId="343">
    <w:nsid w:val="57A37D47"/>
    <w:multiLevelType w:val="hybridMultilevel"/>
    <w:lvl w:ilvl="0">
      <w:lvlJc w:val="left"/>
      <w:lvlText w:val="(%1)"/>
      <w:numFmt w:val="decimal"/>
      <w:start w:val="1"/>
    </w:lvl>
  </w:abstractNum>
  <w:abstractNum w:abstractNumId="344">
    <w:nsid w:val="74824D54"/>
    <w:multiLevelType w:val="hybridMultilevel"/>
    <w:lvl w:ilvl="0">
      <w:lvlJc w:val="left"/>
      <w:lvlText w:val="(%1)"/>
      <w:numFmt w:val="decimal"/>
      <w:start w:val="1"/>
    </w:lvl>
  </w:abstractNum>
  <w:abstractNum w:abstractNumId="345">
    <w:nsid w:val="6F00529A"/>
    <w:multiLevelType w:val="hybridMultilevel"/>
    <w:lvl w:ilvl="0">
      <w:lvlJc w:val="left"/>
      <w:lvlText w:val="(%1)"/>
      <w:numFmt w:val="decimal"/>
      <w:start w:val="4"/>
    </w:lvl>
  </w:abstractNum>
  <w:abstractNum w:abstractNumId="346">
    <w:nsid w:val="805B331"/>
    <w:multiLevelType w:val="hybridMultilevel"/>
    <w:lvl w:ilvl="0">
      <w:lvlJc w:val="left"/>
      <w:lvlText w:val="(%1)"/>
      <w:numFmt w:val="decimal"/>
      <w:start w:val="1"/>
    </w:lvl>
  </w:abstractNum>
  <w:abstractNum w:abstractNumId="347">
    <w:nsid w:val="60A1463"/>
    <w:multiLevelType w:val="hybridMultilevel"/>
    <w:lvl w:ilvl="0">
      <w:lvlJc w:val="left"/>
      <w:lvlText w:val="(%1)"/>
      <w:numFmt w:val="decimal"/>
      <w:start w:val="1"/>
    </w:lvl>
  </w:abstractNum>
  <w:abstractNum w:abstractNumId="348">
    <w:nsid w:val="43773132"/>
    <w:multiLevelType w:val="hybridMultilevel"/>
    <w:lvl w:ilvl="0">
      <w:lvlJc w:val="left"/>
      <w:lvlText w:val="(%1)"/>
      <w:numFmt w:val="decimal"/>
      <w:start w:val="1"/>
    </w:lvl>
  </w:abstractNum>
  <w:abstractNum w:abstractNumId="349">
    <w:nsid w:val="16AC4B23"/>
    <w:multiLevelType w:val="hybridMultilevel"/>
    <w:lvl w:ilvl="0">
      <w:lvlJc w:val="left"/>
      <w:lvlText w:val="(%1)"/>
      <w:numFmt w:val="decimal"/>
      <w:start w:val="1"/>
    </w:lvl>
  </w:abstractNum>
  <w:abstractNum w:abstractNumId="350">
    <w:nsid w:val="76C44E4E"/>
    <w:multiLevelType w:val="hybridMultilevel"/>
    <w:lvl w:ilvl="0">
      <w:lvlJc w:val="left"/>
      <w:lvlText w:val="(%1)"/>
      <w:numFmt w:val="decimal"/>
      <w:start w:val="1"/>
    </w:lvl>
  </w:abstractNum>
  <w:abstractNum w:abstractNumId="351">
    <w:nsid w:val="E04E6CE"/>
    <w:multiLevelType w:val="hybridMultilevel"/>
    <w:lvl w:ilvl="0">
      <w:lvlJc w:val="left"/>
      <w:lvlText w:val="(%1)"/>
      <w:numFmt w:val="lowerRoman"/>
      <w:start w:val="1"/>
    </w:lvl>
  </w:abstractNum>
  <w:abstractNum w:abstractNumId="352">
    <w:nsid w:val="31A9DB76"/>
    <w:multiLevelType w:val="hybridMultilevel"/>
    <w:lvl w:ilvl="0">
      <w:lvlJc w:val="left"/>
      <w:lvlText w:val="%1."/>
      <w:numFmt w:val="lowerLetter"/>
      <w:start w:val="1"/>
    </w:lvl>
  </w:abstractNum>
  <w:abstractNum w:abstractNumId="353">
    <w:nsid w:val="4C4FFF5B"/>
    <w:multiLevelType w:val="hybridMultilevel"/>
    <w:lvl w:ilvl="0">
      <w:lvlJc w:val="left"/>
      <w:lvlText w:val="%1."/>
      <w:numFmt w:val="decimal"/>
      <w:start w:val="2"/>
    </w:lvl>
  </w:abstractNum>
  <w:abstractNum w:abstractNumId="354">
    <w:nsid w:val="51B76675"/>
    <w:multiLevelType w:val="hybridMultilevel"/>
    <w:lvl w:ilvl="0">
      <w:lvlJc w:val="left"/>
      <w:lvlText w:val="%1."/>
      <w:numFmt w:val="decimal"/>
      <w:start w:val="1"/>
    </w:lvl>
    <w:lvl w:ilvl="1">
      <w:lvlJc w:val="left"/>
      <w:lvlText w:val="%2."/>
      <w:numFmt w:val="lowerLetter"/>
      <w:start w:val="1"/>
    </w:lvl>
  </w:abstractNum>
  <w:abstractNum w:abstractNumId="355">
    <w:nsid w:val="59A4BA71"/>
    <w:multiLevelType w:val="hybridMultilevel"/>
    <w:lvl w:ilvl="0">
      <w:lvlJc w:val="left"/>
      <w:lvlText w:val="%1"/>
      <w:numFmt w:val="decimal"/>
      <w:start w:val="1"/>
    </w:lvl>
    <w:lvl w:ilvl="1">
      <w:lvlJc w:val="left"/>
      <w:lvlText w:val="%2."/>
      <w:numFmt w:val="lowerLetter"/>
      <w:start w:val="4"/>
    </w:lvl>
  </w:abstractNum>
  <w:abstractNum w:abstractNumId="356">
    <w:nsid w:val="450B7FB6"/>
    <w:multiLevelType w:val="hybridMultilevel"/>
    <w:lvl w:ilvl="0">
      <w:lvlJc w:val="left"/>
      <w:lvlText w:val="%1."/>
      <w:numFmt w:val="decimal"/>
      <w:start w:val="2"/>
    </w:lvl>
    <w:lvl w:ilvl="1">
      <w:lvlJc w:val="left"/>
      <w:lvlText w:val="%2"/>
      <w:numFmt w:val="lowerLetter"/>
      <w:start w:val="1"/>
    </w:lvl>
  </w:abstractNum>
  <w:abstractNum w:abstractNumId="357">
    <w:nsid w:val="340BF64D"/>
    <w:multiLevelType w:val="hybridMultilevel"/>
    <w:lvl w:ilvl="0">
      <w:lvlJc w:val="left"/>
      <w:lvlText w:val="%1."/>
      <w:numFmt w:val="decimal"/>
      <w:start w:val="4"/>
    </w:lvl>
  </w:abstractNum>
  <w:abstractNum w:abstractNumId="358">
    <w:nsid w:val="69454021"/>
    <w:multiLevelType w:val="hybridMultilevel"/>
    <w:lvl w:ilvl="0">
      <w:lvlJc w:val="left"/>
      <w:lvlText w:val="%1."/>
      <w:numFmt w:val="decimal"/>
      <w:start w:val="6"/>
    </w:lvl>
    <w:lvl w:ilvl="1">
      <w:lvlJc w:val="left"/>
      <w:lvlText w:val="%2."/>
      <w:numFmt w:val="lowerLetter"/>
      <w:start w:val="1"/>
    </w:lvl>
  </w:abstractNum>
  <w:abstractNum w:abstractNumId="359">
    <w:nsid w:val="49F15C6B"/>
    <w:multiLevelType w:val="hybridMultilevel"/>
    <w:lvl w:ilvl="0">
      <w:lvlJc w:val="left"/>
      <w:lvlText w:val="%1"/>
      <w:numFmt w:val="decimal"/>
      <w:start w:val="1"/>
    </w:lvl>
    <w:lvl w:ilvl="1">
      <w:lvlJc w:val="left"/>
      <w:lvlText w:val="%2."/>
      <w:numFmt w:val="lowerLetter"/>
      <w:start w:val="2"/>
    </w:lvl>
  </w:abstractNum>
  <w:abstractNum w:abstractNumId="360">
    <w:nsid w:val="75F56228"/>
    <w:multiLevelType w:val="hybridMultilevel"/>
    <w:lvl w:ilvl="0">
      <w:lvlJc w:val="left"/>
      <w:lvlText w:val="%1."/>
      <w:numFmt w:val="decimal"/>
      <w:start w:val="7"/>
    </w:lvl>
    <w:lvl w:ilvl="1">
      <w:lvlJc w:val="left"/>
      <w:lvlText w:val="%2."/>
      <w:numFmt w:val="lowerLetter"/>
      <w:start w:val="1"/>
    </w:lvl>
  </w:abstractNum>
  <w:abstractNum w:abstractNumId="361">
    <w:nsid w:val="1C618271"/>
    <w:multiLevelType w:val="hybridMultilevel"/>
    <w:lvl w:ilvl="0">
      <w:lvlJc w:val="left"/>
      <w:lvlText w:val="(%1)"/>
      <w:numFmt w:val="upperLetter"/>
      <w:start w:val="1"/>
    </w:lvl>
  </w:abstractNum>
  <w:abstractNum w:abstractNumId="362">
    <w:nsid w:val="6505F02E"/>
    <w:multiLevelType w:val="hybridMultilevel"/>
    <w:lvl w:ilvl="0">
      <w:lvlJc w:val="left"/>
      <w:lvlText w:val="(%1)"/>
      <w:numFmt w:val="upperLetter"/>
      <w:start w:val="7"/>
    </w:lvl>
  </w:abstractNum>
  <w:abstractNum w:abstractNumId="363">
    <w:nsid w:val="2FE5D025"/>
    <w:multiLevelType w:val="hybridMultilevel"/>
    <w:lvl w:ilvl="0">
      <w:lvlJc w:val="left"/>
      <w:lvlText w:val="(%1)"/>
      <w:numFmt w:val="lowerLetter"/>
      <w:start w:val="1"/>
    </w:lvl>
  </w:abstractNum>
  <w:abstractNum w:abstractNumId="364">
    <w:nsid w:val="30E1B1CF"/>
    <w:multiLevelType w:val="hybridMultilevel"/>
    <w:lvl w:ilvl="0">
      <w:lvlJc w:val="left"/>
      <w:lvlText w:val="(%1)"/>
      <w:numFmt w:val="lowerLetter"/>
      <w:start w:val="2"/>
    </w:lvl>
  </w:abstractNum>
  <w:abstractNum w:abstractNumId="365">
    <w:nsid w:val="C7A9237"/>
    <w:multiLevelType w:val="hybridMultilevel"/>
    <w:lvl w:ilvl="0">
      <w:lvlJc w:val="left"/>
      <w:lvlText w:val="(%1)"/>
      <w:numFmt w:val="lowerLetter"/>
      <w:start w:val="3"/>
    </w:lvl>
  </w:abstractNum>
  <w:abstractNum w:abstractNumId="366">
    <w:nsid w:val="676B3580"/>
    <w:multiLevelType w:val="hybridMultilevel"/>
    <w:lvl w:ilvl="0">
      <w:lvlJc w:val="left"/>
      <w:lvlText w:val="(%1)"/>
      <w:numFmt w:val="lowerLetter"/>
      <w:start w:val="1"/>
    </w:lvl>
  </w:abstractNum>
  <w:abstractNum w:abstractNumId="367">
    <w:nsid w:val="3193C8F9"/>
    <w:multiLevelType w:val="hybridMultilevel"/>
    <w:lvl w:ilvl="0">
      <w:lvlJc w:val="left"/>
      <w:lvlText w:val="(%1)"/>
      <w:numFmt w:val="lowerLetter"/>
      <w:start w:val="1"/>
    </w:lvl>
  </w:abstractNum>
  <w:abstractNum w:abstractNumId="368">
    <w:nsid w:val="5FA6C6DC"/>
    <w:multiLevelType w:val="hybridMultilevel"/>
    <w:lvl w:ilvl="0">
      <w:lvlJc w:val="left"/>
      <w:lvlText w:val="(%1)"/>
      <w:numFmt w:val="lowerRoman"/>
      <w:start w:val="1"/>
    </w:lvl>
  </w:abstractNum>
  <w:abstractNum w:abstractNumId="369">
    <w:nsid w:val="77933F62"/>
    <w:multiLevelType w:val="hybridMultilevel"/>
    <w:lvl w:ilvl="0">
      <w:lvlJc w:val="left"/>
      <w:lvlText w:val="(%1)"/>
      <w:numFmt w:val="lowerLetter"/>
      <w:start w:val="1"/>
    </w:lvl>
  </w:abstractNum>
  <w:abstractNum w:abstractNumId="370">
    <w:nsid w:val="6CB4EE9C"/>
    <w:multiLevelType w:val="hybridMultilevel"/>
    <w:lvl w:ilvl="0">
      <w:lvlJc w:val="left"/>
      <w:lvlText w:val="(%1)"/>
      <w:numFmt w:val="lowerLetter"/>
      <w:start w:val="8"/>
    </w:lvl>
  </w:abstractNum>
  <w:abstractNum w:abstractNumId="371">
    <w:nsid w:val="6A6D56D7"/>
    <w:multiLevelType w:val="hybridMultilevel"/>
    <w:lvl w:ilvl="0">
      <w:lvlJc w:val="left"/>
      <w:lvlText w:val="(%1)"/>
      <w:numFmt w:val="lowerLetter"/>
      <w:start w:val="1"/>
    </w:lvl>
  </w:abstractNum>
  <w:abstractNum w:abstractNumId="372">
    <w:nsid w:val="5B727F19"/>
    <w:multiLevelType w:val="hybridMultilevel"/>
    <w:lvl w:ilvl="0">
      <w:lvlJc w:val="left"/>
      <w:lvlText w:val="(%1)"/>
      <w:numFmt w:val="lowerLetter"/>
      <w:start w:val="1"/>
    </w:lvl>
  </w:abstractNum>
  <w:abstractNum w:abstractNumId="373">
    <w:nsid w:val="514E5CB0"/>
    <w:multiLevelType w:val="hybridMultilevel"/>
    <w:lvl w:ilvl="0">
      <w:lvlJc w:val="left"/>
      <w:lvlText w:val="(%1)"/>
      <w:numFmt w:val="lowerLetter"/>
      <w:start w:val="3"/>
    </w:lvl>
  </w:abstractNum>
  <w:abstractNum w:abstractNumId="374">
    <w:nsid w:val="4210D41E"/>
    <w:multiLevelType w:val="hybridMultilevel"/>
    <w:lvl w:ilvl="0">
      <w:lvlJc w:val="left"/>
      <w:lvlText w:val="(%1)"/>
      <w:numFmt w:val="lowerLetter"/>
      <w:start w:val="1"/>
    </w:lvl>
  </w:abstractNum>
  <w:abstractNum w:abstractNumId="375">
    <w:nsid w:val="4FF4CC6D"/>
    <w:multiLevelType w:val="hybridMultilevel"/>
    <w:lvl w:ilvl="0">
      <w:lvlJc w:val="left"/>
      <w:lvlText w:val="(%1)"/>
      <w:numFmt w:val="lowerLetter"/>
      <w:start w:val="6"/>
    </w:lvl>
  </w:abstractNum>
  <w:abstractNum w:abstractNumId="376">
    <w:nsid w:val="404EAF4A"/>
    <w:multiLevelType w:val="hybridMultilevel"/>
    <w:lvl w:ilvl="0">
      <w:lvlJc w:val="left"/>
      <w:lvlText w:val="(%1)"/>
      <w:numFmt w:val="lowerLetter"/>
      <w:start w:val="11"/>
    </w:lvl>
  </w:abstractNum>
  <w:abstractNum w:abstractNumId="377">
    <w:nsid w:val="4A16874F"/>
    <w:multiLevelType w:val="hybridMultilevel"/>
    <w:lvl w:ilvl="0">
      <w:lvlJc w:val="left"/>
      <w:lvlText w:val="(%1)"/>
      <w:numFmt w:val="lowerLetter"/>
      <w:start w:val="1"/>
    </w:lvl>
  </w:abstractNum>
  <w:abstractNum w:abstractNumId="378">
    <w:nsid w:val="55FEE0D1"/>
    <w:multiLevelType w:val="hybridMultilevel"/>
    <w:lvl w:ilvl="0">
      <w:lvlJc w:val="left"/>
      <w:lvlText w:val="H"/>
      <w:numFmt w:val="bullet"/>
      <w:start w:val="1"/>
    </w:lvl>
  </w:abstractNum>
  <w:abstractNum w:abstractNumId="379">
    <w:nsid w:val="3C5E07C"/>
    <w:multiLevelType w:val="hybridMultilevel"/>
    <w:lvl w:ilvl="0">
      <w:lvlJc w:val="left"/>
      <w:lvlText w:val="(%1)"/>
      <w:numFmt w:val="lowerLetter"/>
      <w:start w:val="1"/>
    </w:lvl>
  </w:abstractNum>
  <w:abstractNum w:abstractNumId="380">
    <w:nsid w:val="60C2D273"/>
    <w:multiLevelType w:val="hybridMultilevel"/>
    <w:lvl w:ilvl="0">
      <w:lvlJc w:val="left"/>
      <w:lvlText w:val="(%1)"/>
      <w:numFmt w:val="lowerLetter"/>
      <w:start w:val="4"/>
    </w:lvl>
  </w:abstractNum>
  <w:abstractNum w:abstractNumId="381">
    <w:nsid w:val="4CC32F1F"/>
    <w:multiLevelType w:val="hybridMultilevel"/>
    <w:lvl w:ilvl="0">
      <w:lvlJc w:val="left"/>
      <w:lvlText w:val="(%1)"/>
      <w:numFmt w:val="lowerLetter"/>
      <w:start w:val="1"/>
    </w:lvl>
  </w:abstractNum>
  <w:abstractNum w:abstractNumId="382">
    <w:nsid w:val="11CAC74A"/>
    <w:multiLevelType w:val="hybridMultilevel"/>
    <w:lvl w:ilvl="0">
      <w:lvlJc w:val="left"/>
      <w:lvlText w:val="(%1)"/>
      <w:numFmt w:val="lowerLetter"/>
      <w:start w:val="1"/>
    </w:lvl>
  </w:abstractNum>
  <w:abstractNum w:abstractNumId="383">
    <w:nsid w:val="126CADE9"/>
    <w:multiLevelType w:val="hybridMultilevel"/>
    <w:lvl w:ilvl="0">
      <w:lvlJc w:val="left"/>
      <w:lvlText w:val="(%1)"/>
      <w:numFmt w:val="lowerLetter"/>
      <w:start w:val="1"/>
    </w:lvl>
    <w:lvl w:ilvl="1">
      <w:lvlJc w:val="left"/>
      <w:lvlText w:val="(%2)"/>
      <w:numFmt w:val="lowerRoman"/>
      <w:start w:val="1"/>
    </w:lvl>
  </w:abstractNum>
  <w:abstractNum w:abstractNumId="384">
    <w:nsid w:val="19132E7B"/>
    <w:multiLevelType w:val="hybridMultilevel"/>
    <w:lvl w:ilvl="0">
      <w:lvlJc w:val="left"/>
      <w:lvlText w:val="(%1)"/>
      <w:numFmt w:val="lowerLetter"/>
      <w:start w:val="5"/>
    </w:lvl>
  </w:abstractNum>
  <w:abstractNum w:abstractNumId="385">
    <w:nsid w:val="63822DC0"/>
    <w:multiLevelType w:val="hybridMultilevel"/>
    <w:lvl w:ilvl="0">
      <w:lvlJc w:val="left"/>
      <w:lvlText w:val="(%1)"/>
      <w:numFmt w:val="lowerLetter"/>
      <w:start w:val="1"/>
    </w:lvl>
  </w:abstractNum>
  <w:abstractNum w:abstractNumId="386">
    <w:nsid w:val="6C11685A"/>
    <w:multiLevelType w:val="hybridMultilevel"/>
    <w:lvl w:ilvl="0">
      <w:lvlJc w:val="left"/>
      <w:lvlText w:val="(%1)"/>
      <w:numFmt w:val="lowerLetter"/>
      <w:start w:val="1"/>
    </w:lvl>
  </w:abstractNum>
  <w:abstractNum w:abstractNumId="387">
    <w:nsid w:val="5E1EAE31"/>
    <w:multiLevelType w:val="hybridMultilevel"/>
    <w:lvl w:ilvl="0">
      <w:lvlJc w:val="left"/>
      <w:lvlText w:val="(%1)"/>
      <w:numFmt w:val="lowerLetter"/>
      <w:start w:val="1"/>
    </w:lvl>
  </w:abstractNum>
  <w:abstractNum w:abstractNumId="388">
    <w:nsid w:val="178E240D"/>
    <w:multiLevelType w:val="hybridMultilevel"/>
    <w:lvl w:ilvl="0">
      <w:lvlJc w:val="left"/>
      <w:lvlText w:val="(%1)"/>
      <w:numFmt w:val="lowerLetter"/>
      <w:start w:val="2"/>
    </w:lvl>
  </w:abstractNum>
  <w:abstractNum w:abstractNumId="389">
    <w:nsid w:val="5556A87B"/>
    <w:multiLevelType w:val="hybridMultilevel"/>
    <w:lvl w:ilvl="0">
      <w:lvlJc w:val="left"/>
      <w:lvlText w:val="(%1)"/>
      <w:numFmt w:val="lowerLetter"/>
      <w:start w:val="3"/>
    </w:lvl>
  </w:abstractNum>
  <w:abstractNum w:abstractNumId="390">
    <w:nsid w:val="28100A9C"/>
    <w:multiLevelType w:val="hybridMultilevel"/>
    <w:lvl w:ilvl="0">
      <w:lvlJc w:val="left"/>
      <w:lvlText w:val="(%1)"/>
      <w:numFmt w:val="lowerLetter"/>
      <w:start w:val="1"/>
    </w:lvl>
    <w:lvl w:ilvl="1">
      <w:lvlJc w:val="left"/>
      <w:lvlText w:val="(%2)"/>
      <w:numFmt w:val="lowerRoman"/>
      <w:start w:val="1"/>
    </w:lvl>
  </w:abstractNum>
  <w:abstractNum w:abstractNumId="391">
    <w:nsid w:val="D838636"/>
    <w:multiLevelType w:val="hybridMultilevel"/>
    <w:lvl w:ilvl="0">
      <w:lvlJc w:val="left"/>
      <w:lvlText w:val="(%1)"/>
      <w:numFmt w:val="lowerLetter"/>
      <w:start w:val="2"/>
    </w:lvl>
    <w:lvl w:ilvl="1">
      <w:lvlJc w:val="left"/>
      <w:lvlText w:val="(%2)"/>
      <w:numFmt w:val="lowerRoman"/>
      <w:start w:val="1"/>
    </w:lvl>
  </w:abstractNum>
  <w:abstractNum w:abstractNumId="392">
    <w:nsid w:val="71B82AED"/>
    <w:multiLevelType w:val="hybridMultilevel"/>
    <w:lvl w:ilvl="0">
      <w:lvlJc w:val="left"/>
      <w:lvlText w:val="(%1)"/>
      <w:numFmt w:val="lowerLetter"/>
      <w:start w:val="1"/>
    </w:lvl>
  </w:abstractNum>
  <w:abstractNum w:abstractNumId="393">
    <w:nsid w:val="D15FACA"/>
    <w:multiLevelType w:val="hybridMultilevel"/>
    <w:lvl w:ilvl="0">
      <w:lvlJc w:val="left"/>
      <w:lvlText w:val="(%1)"/>
      <w:numFmt w:val="lowerLetter"/>
      <w:start w:val="3"/>
    </w:lvl>
  </w:abstractNum>
  <w:abstractNum w:abstractNumId="394">
    <w:nsid w:val="3D69565B"/>
    <w:multiLevelType w:val="hybridMultilevel"/>
    <w:lvl w:ilvl="0">
      <w:lvlJc w:val="left"/>
      <w:lvlText w:val="(%1)"/>
      <w:numFmt w:val="lowerLetter"/>
      <w:start w:val="1"/>
    </w:lvl>
  </w:abstractNum>
  <w:abstractNum w:abstractNumId="395">
    <w:nsid w:val="2299DCBC"/>
    <w:multiLevelType w:val="hybridMultilevel"/>
    <w:lvl w:ilvl="0">
      <w:lvlJc w:val="left"/>
      <w:lvlText w:val="(%1)"/>
      <w:numFmt w:val="lowerLetter"/>
      <w:start w:val="1"/>
    </w:lvl>
  </w:abstractNum>
  <w:abstractNum w:abstractNumId="396">
    <w:nsid w:val="19908D02"/>
    <w:multiLevelType w:val="hybridMultilevel"/>
    <w:lvl w:ilvl="0">
      <w:lvlJc w:val="left"/>
      <w:lvlText w:val="(%1)"/>
      <w:numFmt w:val="lowerRoman"/>
      <w:start w:val="1"/>
    </w:lvl>
  </w:abstractNum>
  <w:abstractNum w:abstractNumId="397">
    <w:nsid w:val="24D48BDB"/>
    <w:multiLevelType w:val="hybridMultilevel"/>
    <w:lvl w:ilvl="0">
      <w:lvlJc w:val="left"/>
      <w:lvlText w:val="(%1)"/>
      <w:numFmt w:val="lowerLetter"/>
      <w:start w:val="2"/>
    </w:lvl>
  </w:abstractNum>
  <w:abstractNum w:abstractNumId="398">
    <w:nsid w:val="542DA5B5"/>
    <w:multiLevelType w:val="hybridMultilevel"/>
    <w:lvl w:ilvl="0">
      <w:lvlJc w:val="left"/>
      <w:lvlText w:val="%1"/>
      <w:numFmt w:val="lowerLetter"/>
      <w:start w:val="1"/>
    </w:lvl>
    <w:lvl w:ilvl="1">
      <w:lvlJc w:val="left"/>
      <w:lvlText w:val="(%2)"/>
      <w:numFmt w:val="lowerRoman"/>
      <w:start w:val="1"/>
    </w:lvl>
  </w:abstractNum>
  <w:abstractNum w:abstractNumId="399">
    <w:nsid w:val="793753DE"/>
    <w:multiLevelType w:val="hybridMultilevel"/>
    <w:lvl w:ilvl="0">
      <w:lvlJc w:val="left"/>
      <w:lvlText w:val="(%1)"/>
      <w:numFmt w:val="lowerLetter"/>
      <w:start w:val="2"/>
    </w:lvl>
    <w:lvl w:ilvl="1">
      <w:lvlJc w:val="left"/>
      <w:lvlText w:val="%2"/>
      <w:numFmt w:val="lowerRoman"/>
      <w:start w:val="1"/>
    </w:lvl>
  </w:abstractNum>
  <w:abstractNum w:abstractNumId="400">
    <w:nsid w:val="1C67CB3D"/>
    <w:multiLevelType w:val="hybridMultilevel"/>
    <w:lvl w:ilvl="0">
      <w:lvlJc w:val="left"/>
      <w:lvlText w:val="(%1)"/>
      <w:numFmt w:val="lowerLetter"/>
      <w:start w:val="1"/>
    </w:lvl>
  </w:abstractNum>
  <w:abstractNum w:abstractNumId="401">
    <w:nsid w:val="40E29452"/>
    <w:multiLevelType w:val="hybridMultilevel"/>
    <w:lvl w:ilvl="0">
      <w:lvlJc w:val="left"/>
      <w:lvlText w:val="(%1)"/>
      <w:numFmt w:val="lowerLetter"/>
      <w:start w:val="1"/>
    </w:lvl>
  </w:abstractNum>
  <w:abstractNum w:abstractNumId="402">
    <w:nsid w:val="63A4AAB6"/>
    <w:multiLevelType w:val="hybridMultilevel"/>
    <w:lvl w:ilvl="0">
      <w:lvlJc w:val="left"/>
      <w:lvlText w:val="a"/>
      <w:numFmt w:val="bullet"/>
      <w:start w:val="1"/>
    </w:lvl>
  </w:abstractNum>
  <w:abstractNum w:abstractNumId="403">
    <w:nsid w:val="77DA4A57"/>
    <w:multiLevelType w:val="hybridMultilevel"/>
    <w:lvl w:ilvl="0">
      <w:lvlJc w:val="left"/>
      <w:lvlText w:val="(%1)"/>
      <w:numFmt w:val="lowerLetter"/>
      <w:start w:val="1"/>
    </w:lvl>
  </w:abstractNum>
  <w:abstractNum w:abstractNumId="404">
    <w:nsid w:val="1230F102"/>
    <w:multiLevelType w:val="hybridMultilevel"/>
    <w:lvl w:ilvl="0">
      <w:lvlJc w:val="left"/>
      <w:lvlText w:val="(%1)"/>
      <w:numFmt w:val="lowerLetter"/>
      <w:start w:val="3"/>
    </w:lvl>
  </w:abstractNum>
  <w:abstractNum w:abstractNumId="405">
    <w:nsid w:val="25B57ED4"/>
    <w:multiLevelType w:val="hybridMultilevel"/>
    <w:lvl w:ilvl="0">
      <w:lvlJc w:val="left"/>
      <w:lvlText w:val="(%1)"/>
      <w:numFmt w:val="lowerLetter"/>
      <w:start w:val="1"/>
    </w:lvl>
  </w:abstractNum>
  <w:abstractNum w:abstractNumId="406">
    <w:nsid w:val="47CF16C4"/>
    <w:multiLevelType w:val="hybridMultilevel"/>
    <w:lvl w:ilvl="0">
      <w:lvlJc w:val="left"/>
      <w:lvlText w:val="(%1)"/>
      <w:numFmt w:val="lowerLetter"/>
      <w:start w:val="1"/>
    </w:lvl>
  </w:abstractNum>
  <w:abstractNum w:abstractNumId="407">
    <w:nsid w:val="527FA04C"/>
    <w:multiLevelType w:val="hybridMultilevel"/>
    <w:lvl w:ilvl="0">
      <w:lvlJc w:val="left"/>
      <w:lvlText w:val="(%1)"/>
      <w:numFmt w:val="lowerLetter"/>
      <w:start w:val="1"/>
    </w:lvl>
  </w:abstractNum>
  <w:abstractNum w:abstractNumId="408">
    <w:nsid w:val="6FCC0624"/>
    <w:multiLevelType w:val="hybridMultilevel"/>
    <w:lvl w:ilvl="0">
      <w:lvlJc w:val="left"/>
      <w:lvlText w:val="(%1)"/>
      <w:numFmt w:val="lowerLetter"/>
      <w:start w:val="1"/>
    </w:lvl>
  </w:abstractNum>
  <w:abstractNum w:abstractNumId="409">
    <w:nsid w:val="1DCDF795"/>
    <w:multiLevelType w:val="hybridMultilevel"/>
    <w:lvl w:ilvl="0">
      <w:lvlJc w:val="left"/>
      <w:lvlText w:val="(%1)"/>
      <w:numFmt w:val="lowerLetter"/>
      <w:start w:val="1"/>
    </w:lvl>
  </w:abstractNum>
  <w:abstractNum w:abstractNumId="410">
    <w:nsid w:val="564580C8"/>
    <w:multiLevelType w:val="hybridMultilevel"/>
    <w:lvl w:ilvl="0">
      <w:lvlJc w:val="left"/>
      <w:lvlText w:val="(%1)"/>
      <w:numFmt w:val="lowerRoman"/>
      <w:start w:val="1"/>
    </w:lvl>
  </w:abstractNum>
  <w:abstractNum w:abstractNumId="411">
    <w:nsid w:val="508ED897"/>
    <w:multiLevelType w:val="hybridMultilevel"/>
    <w:lvl w:ilvl="0">
      <w:lvlJc w:val="left"/>
      <w:lvlText w:val="%1"/>
      <w:numFmt w:val="lowerLetter"/>
      <w:start w:val="1"/>
    </w:lvl>
    <w:lvl w:ilvl="1">
      <w:lvlJc w:val="left"/>
      <w:lvlText w:val="(%2)"/>
      <w:numFmt w:val="lowerLetter"/>
      <w:start w:val="61"/>
    </w:lvl>
  </w:abstractNum>
  <w:abstractNum w:abstractNumId="412">
    <w:nsid w:val="6A9126B5"/>
    <w:multiLevelType w:val="hybridMultilevel"/>
    <w:lvl w:ilvl="0">
      <w:lvlJc w:val="left"/>
      <w:lvlText w:val="(%1)"/>
      <w:numFmt w:val="lowerLetter"/>
      <w:start w:val="4"/>
    </w:lvl>
    <w:lvl w:ilvl="1">
      <w:lvlJc w:val="left"/>
      <w:lvlText w:val="%2"/>
      <w:numFmt w:val="lowerLetter"/>
      <w:start w:val="1"/>
    </w:lvl>
  </w:abstractNum>
  <w:abstractNum w:abstractNumId="413">
    <w:nsid w:val="68104812"/>
    <w:multiLevelType w:val="hybridMultilevel"/>
    <w:lvl w:ilvl="0">
      <w:lvlJc w:val="left"/>
      <w:lvlText w:val="(%1)"/>
      <w:numFmt w:val="lowerLetter"/>
      <w:start w:val="6"/>
    </w:lvl>
  </w:abstractNum>
  <w:abstractNum w:abstractNumId="414">
    <w:nsid w:val="62FB8680"/>
    <w:multiLevelType w:val="hybridMultilevel"/>
    <w:lvl w:ilvl="0">
      <w:lvlJc w:val="left"/>
      <w:lvlText w:val="(%1)"/>
      <w:numFmt w:val="lowerLetter"/>
      <w:start w:val="1"/>
    </w:lvl>
  </w:abstractNum>
  <w:abstractNum w:abstractNumId="415">
    <w:nsid w:val="3A45530"/>
    <w:multiLevelType w:val="hybridMultilevel"/>
    <w:lvl w:ilvl="0">
      <w:lvlJc w:val="left"/>
      <w:lvlText w:val="(%1)"/>
      <w:numFmt w:val="lowerLetter"/>
      <w:start w:val="3"/>
    </w:lvl>
  </w:abstractNum>
  <w:abstractNum w:abstractNumId="416">
    <w:nsid w:val="4B9275D2"/>
    <w:multiLevelType w:val="hybridMultilevel"/>
    <w:lvl w:ilvl="0">
      <w:lvlJc w:val="left"/>
      <w:lvlText w:val="(%1)"/>
      <w:numFmt w:val="lowerLetter"/>
      <w:start w:val="1"/>
    </w:lvl>
  </w:abstractNum>
  <w:abstractNum w:abstractNumId="417">
    <w:nsid w:val="4F0CEEDB"/>
    <w:multiLevelType w:val="hybridMultilevel"/>
    <w:lvl w:ilvl="0">
      <w:lvlJc w:val="left"/>
      <w:lvlText w:val="(%1)"/>
      <w:numFmt w:val="lowerLetter"/>
      <w:start w:val="1"/>
    </w:lvl>
    <w:lvl w:ilvl="1">
      <w:lvlJc w:val="left"/>
      <w:lvlText w:val="(%2)"/>
      <w:numFmt w:val="lowerRoman"/>
      <w:start w:val="1"/>
    </w:lvl>
  </w:abstractNum>
  <w:abstractNum w:abstractNumId="418">
    <w:nsid w:val="61C30361"/>
    <w:multiLevelType w:val="hybridMultilevel"/>
    <w:lvl w:ilvl="0">
      <w:lvlJc w:val="left"/>
      <w:lvlText w:val="(%1)"/>
      <w:numFmt w:val="lowerLetter"/>
      <w:start w:val="3"/>
    </w:lvl>
  </w:abstractNum>
  <w:abstractNum w:abstractNumId="419">
    <w:nsid w:val="632099E0"/>
    <w:multiLevelType w:val="hybridMultilevel"/>
    <w:lvl w:ilvl="0">
      <w:lvlJc w:val="left"/>
      <w:lvlText w:val="(%1)"/>
      <w:numFmt w:val="lowerLetter"/>
      <w:start w:val="1"/>
    </w:lvl>
  </w:abstractNum>
  <w:abstractNum w:abstractNumId="420">
    <w:nsid w:val="24639756"/>
    <w:multiLevelType w:val="hybridMultilevel"/>
    <w:lvl w:ilvl="0">
      <w:lvlJc w:val="left"/>
      <w:lvlText w:val="(%1)"/>
      <w:numFmt w:val="lowerRoman"/>
      <w:start w:val="1"/>
    </w:lvl>
  </w:abstractNum>
  <w:abstractNum w:abstractNumId="421">
    <w:nsid w:val="9D30DFD"/>
    <w:multiLevelType w:val="hybridMultilevel"/>
    <w:lvl w:ilvl="0">
      <w:lvlJc w:val="left"/>
      <w:lvlText w:val="(%1)"/>
      <w:numFmt w:val="lowerLetter"/>
      <w:start w:val="3"/>
    </w:lvl>
    <w:lvl w:ilvl="1">
      <w:lvlJc w:val="left"/>
      <w:lvlText w:val="(%2)"/>
      <w:numFmt w:val="lowerRoman"/>
      <w:start w:val="1"/>
    </w:lvl>
  </w:abstractNum>
  <w:abstractNum w:abstractNumId="422">
    <w:nsid w:val="70A42016"/>
    <w:multiLevelType w:val="hybridMultilevel"/>
    <w:lvl w:ilvl="0">
      <w:lvlJc w:val="left"/>
      <w:lvlText w:val="(%1)"/>
      <w:numFmt w:val="lowerLetter"/>
      <w:start w:val="4"/>
    </w:lvl>
  </w:abstractNum>
  <w:abstractNum w:abstractNumId="423">
    <w:nsid w:val="161BC243"/>
    <w:multiLevelType w:val="hybridMultilevel"/>
    <w:lvl w:ilvl="0">
      <w:lvlJc w:val="left"/>
      <w:lvlText w:val="%1"/>
      <w:numFmt w:val="lowerLetter"/>
      <w:start w:val="1"/>
    </w:lvl>
    <w:lvl w:ilvl="1">
      <w:lvlJc w:val="left"/>
      <w:lvlText w:val="(%2)"/>
      <w:numFmt w:val="lowerRoman"/>
      <w:start w:val="1"/>
    </w:lvl>
  </w:abstractNum>
  <w:abstractNum w:abstractNumId="424">
    <w:nsid w:val="16E908C8"/>
    <w:multiLevelType w:val="hybridMultilevel"/>
    <w:lvl w:ilvl="0">
      <w:lvlJc w:val="left"/>
      <w:lvlText w:val="(%1)"/>
      <w:numFmt w:val="lowerLetter"/>
      <w:start w:val="6"/>
    </w:lvl>
    <w:lvl w:ilvl="1">
      <w:lvlJc w:val="left"/>
      <w:lvlText w:val="%2"/>
      <w:numFmt w:val="lowerRoman"/>
      <w:start w:val="1"/>
    </w:lvl>
  </w:abstractNum>
  <w:abstractNum w:abstractNumId="425">
    <w:nsid w:val="2E0D7671"/>
    <w:multiLevelType w:val="hybridMultilevel"/>
    <w:lvl w:ilvl="0">
      <w:lvlJc w:val="left"/>
      <w:lvlText w:val="(%1)"/>
      <w:numFmt w:val="lowerLetter"/>
      <w:start w:val="7"/>
    </w:lvl>
  </w:abstractNum>
  <w:abstractNum w:abstractNumId="426">
    <w:nsid w:val="38B59EFF"/>
    <w:multiLevelType w:val="hybridMultilevel"/>
    <w:lvl w:ilvl="0">
      <w:lvlJc w:val="left"/>
      <w:lvlText w:val="(%1)"/>
      <w:numFmt w:val="lowerLetter"/>
      <w:start w:val="1"/>
    </w:lvl>
  </w:abstractNum>
  <w:abstractNum w:abstractNumId="427">
    <w:nsid w:val="307995CA"/>
    <w:multiLevelType w:val="hybridMultilevel"/>
    <w:lvl w:ilvl="0">
      <w:lvlJc w:val="left"/>
      <w:lvlText w:val="(%1)"/>
      <w:numFmt w:val="lowerLetter"/>
      <w:start w:val="3"/>
    </w:lvl>
  </w:abstractNum>
  <w:abstractNum w:abstractNumId="428">
    <w:nsid w:val="52E2024D"/>
    <w:multiLevelType w:val="hybridMultilevel"/>
    <w:lvl w:ilvl="0">
      <w:lvlJc w:val="left"/>
      <w:lvlText w:val="(%1)"/>
      <w:numFmt w:val="lowerLetter"/>
      <w:start w:val="1"/>
    </w:lvl>
  </w:abstractNum>
  <w:abstractNum w:abstractNumId="429">
    <w:nsid w:val="CE344B5"/>
    <w:multiLevelType w:val="hybridMultilevel"/>
    <w:lvl w:ilvl="0">
      <w:lvlJc w:val="left"/>
      <w:lvlText w:val="(%1)"/>
      <w:numFmt w:val="lowerLetter"/>
      <w:start w:val="1"/>
    </w:lvl>
  </w:abstractNum>
  <w:abstractNum w:abstractNumId="430">
    <w:nsid w:val="29B0E9A8"/>
    <w:multiLevelType w:val="hybridMultilevel"/>
    <w:lvl w:ilvl="0">
      <w:lvlJc w:val="left"/>
      <w:lvlText w:val="(%1)"/>
      <w:numFmt w:val="lowerLetter"/>
      <w:start w:val="1"/>
    </w:lvl>
  </w:abstractNum>
  <w:abstractNum w:abstractNumId="431">
    <w:nsid w:val="6F49CD8A"/>
    <w:multiLevelType w:val="hybridMultilevel"/>
    <w:lvl w:ilvl="0">
      <w:lvlJc w:val="left"/>
      <w:lvlText w:val="(%1)"/>
      <w:numFmt w:val="lowerLetter"/>
      <w:start w:val="1"/>
    </w:lvl>
  </w:abstractNum>
  <w:abstractNum w:abstractNumId="432">
    <w:nsid w:val="4DC5D907"/>
    <w:multiLevelType w:val="hybridMultilevel"/>
    <w:lvl w:ilvl="0">
      <w:lvlJc w:val="left"/>
      <w:lvlText w:val="(%1)"/>
      <w:numFmt w:val="lowerLetter"/>
      <w:start w:val="6"/>
    </w:lvl>
  </w:abstractNum>
  <w:abstractNum w:abstractNumId="433">
    <w:nsid w:val="D55945E"/>
    <w:multiLevelType w:val="hybridMultilevel"/>
    <w:lvl w:ilvl="0">
      <w:lvlJc w:val="left"/>
      <w:lvlText w:val="(%1)"/>
      <w:numFmt w:val="lowerLetter"/>
      <w:start w:val="1"/>
    </w:lvl>
  </w:abstractNum>
  <w:abstractNum w:abstractNumId="434">
    <w:nsid w:val="672417E1"/>
    <w:multiLevelType w:val="hybridMultilevel"/>
    <w:lvl w:ilvl="0">
      <w:lvlJc w:val="left"/>
      <w:lvlText w:val="(%1)"/>
      <w:numFmt w:val="lowerLetter"/>
      <w:start w:val="1"/>
    </w:lvl>
    <w:lvl w:ilvl="1">
      <w:lvlJc w:val="left"/>
      <w:lvlText w:val="(%2)"/>
      <w:numFmt w:val="lowerRoman"/>
      <w:start w:val="1"/>
    </w:lvl>
  </w:abstractNum>
  <w:abstractNum w:abstractNumId="435">
    <w:nsid w:val="5FF6CA09"/>
    <w:multiLevelType w:val="hybridMultilevel"/>
    <w:lvl w:ilvl="0">
      <w:lvlJc w:val="left"/>
      <w:lvlText w:val="%1"/>
      <w:numFmt w:val="lowerLetter"/>
      <w:start w:val="1"/>
    </w:lvl>
    <w:lvl w:ilvl="1">
      <w:lvlJc w:val="left"/>
      <w:lvlText w:val="(%2)"/>
      <w:numFmt w:val="lowerLetter"/>
      <w:start w:val="35"/>
    </w:lvl>
  </w:abstractNum>
  <w:abstractNum w:abstractNumId="436">
    <w:nsid w:val="330B1333"/>
    <w:multiLevelType w:val="hybridMultilevel"/>
    <w:lvl w:ilvl="0">
      <w:lvlJc w:val="left"/>
      <w:lvlText w:val="(%1)"/>
      <w:numFmt w:val="lowerLetter"/>
      <w:start w:val="10"/>
    </w:lvl>
    <w:lvl w:ilvl="1">
      <w:lvlJc w:val="left"/>
      <w:lvlText w:val="%2"/>
      <w:numFmt w:val="lowerLetter"/>
      <w:start w:val="1"/>
    </w:lvl>
  </w:abstractNum>
  <w:abstractNum w:abstractNumId="437">
    <w:nsid w:val="2EF32EA6"/>
    <w:multiLevelType w:val="hybridMultilevel"/>
    <w:lvl w:ilvl="0">
      <w:lvlJc w:val="left"/>
      <w:lvlText w:val="%1"/>
      <w:numFmt w:val="lowerLetter"/>
      <w:start w:val="1"/>
    </w:lvl>
    <w:lvl w:ilvl="1">
      <w:lvlJc w:val="left"/>
      <w:lvlText w:val="(%2)"/>
      <w:numFmt w:val="lowerRoman"/>
      <w:start w:val="1"/>
    </w:lvl>
  </w:abstractNum>
  <w:abstractNum w:abstractNumId="438">
    <w:nsid w:val="32766A55"/>
    <w:multiLevelType w:val="hybridMultilevel"/>
    <w:lvl w:ilvl="0">
      <w:lvlJc w:val="left"/>
      <w:lvlText w:val="(%1)"/>
      <w:numFmt w:val="lowerLetter"/>
      <w:start w:val="13"/>
    </w:lvl>
    <w:lvl w:ilvl="1">
      <w:lvlJc w:val="left"/>
      <w:lvlText w:val="%2"/>
      <w:numFmt w:val="lowerRoman"/>
      <w:start w:val="1"/>
    </w:lvl>
  </w:abstractNum>
  <w:abstractNum w:abstractNumId="439">
    <w:nsid w:val="22D71957"/>
    <w:multiLevelType w:val="hybridMultilevel"/>
    <w:lvl w:ilvl="0">
      <w:lvlJc w:val="left"/>
      <w:lvlText w:val="(%1)"/>
      <w:numFmt w:val="lowerLetter"/>
      <w:start w:val="1"/>
    </w:lvl>
  </w:abstractNum>
  <w:abstractNum w:abstractNumId="440">
    <w:nsid w:val="4CC1263B"/>
    <w:multiLevelType w:val="hybridMultilevel"/>
    <w:lvl w:ilvl="0">
      <w:lvlJc w:val="left"/>
      <w:lvlText w:val="(%1)"/>
      <w:numFmt w:val="lowerRoman"/>
      <w:start w:val="1"/>
    </w:lvl>
  </w:abstractNum>
  <w:abstractNum w:abstractNumId="441">
    <w:nsid w:val="8BBEB1D"/>
    <w:multiLevelType w:val="hybridMultilevel"/>
    <w:lvl w:ilvl="0">
      <w:lvlJc w:val="left"/>
      <w:lvlText w:val="(%1)"/>
      <w:numFmt w:val="lowerLetter"/>
      <w:start w:val="1"/>
    </w:lvl>
  </w:abstractNum>
  <w:abstractNum w:abstractNumId="442">
    <w:nsid w:val="7365F1E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4"/>
    </w:lvl>
  </w:abstractNum>
  <w:abstractNum w:abstractNumId="443">
    <w:nsid w:val="37524CF0"/>
    <w:multiLevelType w:val="hybridMultilevel"/>
    <w:lvl w:ilvl="0">
      <w:lvlJc w:val="left"/>
      <w:lvlText w:val="(%1)"/>
      <w:numFmt w:val="lowerLetter"/>
      <w:start w:val="7"/>
    </w:lvl>
  </w:abstractNum>
  <w:abstractNum w:abstractNumId="444">
    <w:nsid w:val="70CC332F"/>
    <w:multiLevelType w:val="hybridMultilevel"/>
    <w:lvl w:ilvl="0">
      <w:lvlJc w:val="left"/>
      <w:lvlText w:val="(%1)"/>
      <w:numFmt w:val="lowerLetter"/>
      <w:start w:val="1"/>
    </w:lvl>
  </w:abstractNum>
  <w:abstractNum w:abstractNumId="445">
    <w:nsid w:val="5661786E"/>
    <w:multiLevelType w:val="hybridMultilevel"/>
    <w:lvl w:ilvl="0">
      <w:lvlJc w:val="left"/>
      <w:lvlText w:val="(%1)"/>
      <w:numFmt w:val="lowerLetter"/>
      <w:start w:val="3"/>
    </w:lvl>
  </w:abstractNum>
  <w:abstractNum w:abstractNumId="446">
    <w:nsid w:val="3AF6A220"/>
    <w:multiLevelType w:val="hybridMultilevel"/>
    <w:lvl w:ilvl="0">
      <w:lvlJc w:val="left"/>
      <w:lvlText w:val="(%1)"/>
      <w:numFmt w:val="lowerLetter"/>
      <w:start w:val="5"/>
    </w:lvl>
  </w:abstractNum>
  <w:abstractNum w:abstractNumId="447">
    <w:nsid w:val="3C5EA902"/>
    <w:multiLevelType w:val="hybridMultilevel"/>
    <w:lvl w:ilvl="0">
      <w:lvlJc w:val="left"/>
      <w:lvlText w:val="(%1)"/>
      <w:numFmt w:val="lowerRoman"/>
      <w:start w:val="2"/>
    </w:lvl>
  </w:abstractNum>
  <w:abstractNum w:abstractNumId="448">
    <w:nsid w:val="256E6749"/>
    <w:multiLevelType w:val="hybridMultilevel"/>
    <w:lvl w:ilvl="0">
      <w:lvlJc w:val="left"/>
      <w:lvlText w:val="(%1)"/>
      <w:numFmt w:val="lowerLetter"/>
      <w:start w:val="6"/>
    </w:lvl>
  </w:abstractNum>
  <w:abstractNum w:abstractNumId="449">
    <w:nsid w:val="1CB9A581"/>
    <w:multiLevelType w:val="hybridMultilevel"/>
    <w:lvl w:ilvl="0">
      <w:lvlJc w:val="left"/>
      <w:lvlText w:val="(%1)"/>
      <w:numFmt w:val="lowerLetter"/>
      <w:start w:val="1"/>
    </w:lvl>
  </w:abstractNum>
  <w:abstractNum w:abstractNumId="450">
    <w:nsid w:val="1F7F42E2"/>
    <w:multiLevelType w:val="hybridMultilevel"/>
    <w:lvl w:ilvl="0">
      <w:lvlJc w:val="left"/>
      <w:lvlText w:val="(%1)"/>
      <w:numFmt w:val="lowerLetter"/>
      <w:start w:val="1"/>
    </w:lvl>
    <w:lvl w:ilvl="1">
      <w:lvlJc w:val="left"/>
      <w:lvlText w:val="a"/>
      <w:numFmt w:val="bullet"/>
      <w:start w:val="1"/>
    </w:lvl>
  </w:abstractNum>
  <w:abstractNum w:abstractNumId="451">
    <w:nsid w:val="49D1FEA0"/>
    <w:multiLevelType w:val="hybridMultilevel"/>
    <w:lvl w:ilvl="0">
      <w:lvlJc w:val="left"/>
      <w:lvlText w:val="(%1)"/>
      <w:numFmt w:val="lowerLetter"/>
      <w:start w:val="1"/>
    </w:lvl>
  </w:abstractNum>
  <w:abstractNum w:abstractNumId="452">
    <w:nsid w:val="268CB37F"/>
    <w:multiLevelType w:val="hybridMultilevel"/>
    <w:lvl w:ilvl="0">
      <w:lvlJc w:val="left"/>
      <w:lvlText w:val="(%1)"/>
      <w:numFmt w:val="lowerLetter"/>
      <w:start w:val="1"/>
    </w:lvl>
  </w:abstractNum>
  <w:abstractNum w:abstractNumId="453">
    <w:nsid w:val="102362F8"/>
    <w:multiLevelType w:val="hybridMultilevel"/>
    <w:lvl w:ilvl="0">
      <w:lvlJc w:val="left"/>
      <w:lvlText w:val="(%1)"/>
      <w:numFmt w:val="lowerLetter"/>
      <w:start w:val="1"/>
    </w:lvl>
  </w:abstractNum>
  <w:abstractNum w:abstractNumId="454">
    <w:nsid w:val="5FEDC0E3"/>
    <w:multiLevelType w:val="hybridMultilevel"/>
    <w:lvl w:ilvl="0">
      <w:lvlJc w:val="left"/>
      <w:lvlText w:val="(%1)"/>
      <w:numFmt w:val="lowerLetter"/>
      <w:start w:val="3"/>
    </w:lvl>
  </w:abstractNum>
  <w:abstractNum w:abstractNumId="455">
    <w:nsid w:val="3D75BC47"/>
    <w:multiLevelType w:val="hybridMultilevel"/>
    <w:lvl w:ilvl="0">
      <w:lvlJc w:val="left"/>
      <w:lvlText w:val="(%1)"/>
      <w:numFmt w:val="lowerLetter"/>
      <w:start w:val="4"/>
    </w:lvl>
  </w:abstractNum>
  <w:abstractNum w:abstractNumId="456">
    <w:nsid w:val="3E30D969"/>
    <w:multiLevelType w:val="hybridMultilevel"/>
    <w:lvl w:ilvl="0">
      <w:lvlJc w:val="left"/>
      <w:lvlText w:val="(%1)"/>
      <w:numFmt w:val="lowerLetter"/>
      <w:start w:val="1"/>
    </w:lvl>
  </w:abstractNum>
  <w:abstractNum w:abstractNumId="457">
    <w:nsid w:val="18A35FE3"/>
    <w:multiLevelType w:val="hybridMultilevel"/>
    <w:lvl w:ilvl="0">
      <w:lvlJc w:val="left"/>
      <w:lvlText w:val="(%1)"/>
      <w:numFmt w:val="lowerLetter"/>
      <w:start w:val="2"/>
    </w:lvl>
  </w:abstractNum>
  <w:abstractNum w:abstractNumId="458">
    <w:nsid w:val="6DEF5211"/>
    <w:multiLevelType w:val="hybridMultilevel"/>
    <w:lvl w:ilvl="0">
      <w:lvlJc w:val="left"/>
      <w:lvlText w:val="%1."/>
      <w:numFmt w:val="decimal"/>
      <w:start w:val="1"/>
    </w:lvl>
  </w:abstractNum>
  <w:abstractNum w:abstractNumId="459">
    <w:nsid w:val="1112DBB6"/>
    <w:multiLevelType w:val="hybridMultilevel"/>
    <w:lvl w:ilvl="0">
      <w:lvlJc w:val="left"/>
      <w:lvlText w:val="%1."/>
      <w:numFmt w:val="decimal"/>
      <w:start w:val="4"/>
    </w:lvl>
    <w:lvl w:ilvl="1">
      <w:lvlJc w:val="left"/>
      <w:lvlText w:val="(%2)"/>
      <w:numFmt w:val="lowerLetter"/>
      <w:start w:val="1"/>
    </w:lvl>
  </w:abstractNum>
  <w:abstractNum w:abstractNumId="460">
    <w:nsid w:val="2586A498"/>
    <w:multiLevelType w:val="hybridMultilevel"/>
    <w:lvl w:ilvl="0">
      <w:lvlJc w:val="left"/>
      <w:lvlText w:val="(%1)"/>
      <w:numFmt w:val="lowerRoman"/>
      <w:start w:val="1"/>
    </w:lvl>
  </w:abstractNum>
  <w:abstractNum w:abstractNumId="461">
    <w:nsid w:val="17A03BB9"/>
    <w:multiLevelType w:val="hybridMultilevel"/>
    <w:lvl w:ilvl="0">
      <w:lvlJc w:val="left"/>
      <w:lvlText w:val="%1."/>
      <w:numFmt w:val="decimal"/>
      <w:start w:val="6"/>
    </w:lvl>
    <w:lvl w:ilvl="1">
      <w:lvlJc w:val="left"/>
      <w:lvlText w:val="(%2)"/>
      <w:numFmt w:val="lowerLetter"/>
      <w:start w:val="1"/>
    </w:lvl>
  </w:abstractNum>
  <w:abstractNum w:abstractNumId="462">
    <w:nsid w:val="5CA941"/>
    <w:multiLevelType w:val="hybridMultilevel"/>
    <w:lvl w:ilvl="0">
      <w:lvlJc w:val="left"/>
      <w:lvlText w:val="(%1)"/>
      <w:numFmt w:val="lowerLetter"/>
      <w:start w:val="2"/>
    </w:lvl>
    <w:lvl w:ilvl="1">
      <w:lvlJc w:val="left"/>
      <w:lvlText w:val="(%2)"/>
      <w:numFmt w:val="lowerRoman"/>
      <w:start w:val="1"/>
    </w:lvl>
  </w:abstractNum>
  <w:abstractNum w:abstractNumId="463">
    <w:nsid w:val="734C7D9F"/>
    <w:multiLevelType w:val="hybridMultilevel"/>
    <w:lvl w:ilvl="0">
      <w:lvlJc w:val="left"/>
      <w:lvlText w:val="%1."/>
      <w:numFmt w:val="decimal"/>
      <w:start w:val="8"/>
    </w:lvl>
    <w:lvl w:ilvl="1">
      <w:lvlJc w:val="left"/>
      <w:lvlText w:val="%2."/>
      <w:numFmt w:val="decimal"/>
      <w:start w:val="9"/>
    </w:lvl>
  </w:abstractNum>
  <w:abstractNum w:abstractNumId="464">
    <w:nsid w:val="24F5D018"/>
    <w:multiLevelType w:val="hybridMultilevel"/>
    <w:lvl w:ilvl="0">
      <w:lvlJc w:val="left"/>
      <w:lvlText w:val="%1."/>
      <w:numFmt w:val="decimal"/>
      <w:start w:val="11"/>
    </w:lvl>
  </w:abstractNum>
  <w:abstractNum w:abstractNumId="465">
    <w:nsid w:val="6780C122"/>
    <w:multiLevelType w:val="hybridMultilevel"/>
    <w:lvl w:ilvl="0">
      <w:lvlJc w:val="left"/>
      <w:lvlText w:val="(%1)"/>
      <w:numFmt w:val="lowerLetter"/>
      <w:start w:val="1"/>
    </w:lvl>
  </w:abstractNum>
  <w:abstractNum w:abstractNumId="466">
    <w:nsid w:val="53434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5)"/>
      <w:numFmt w:val="upperLetter"/>
      <w:start w:val="3"/>
    </w:lvl>
  </w:abstractNum>
  <w:abstractNum w:abstractNumId="467">
    <w:nsid w:val="5800E34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468">
    <w:nsid w:val="1673EFC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469">
    <w:nsid w:val="5B9B1FD"/>
    <w:multiLevelType w:val="hybridMultilevel"/>
    <w:lvl w:ilvl="0">
      <w:lvlJc w:val="left"/>
      <w:lvlText w:val="(%1)"/>
      <w:numFmt w:val="lowerLetter"/>
      <w:start w:val="4"/>
    </w:lvl>
  </w:abstractNum>
  <w:abstractNum w:abstractNumId="470">
    <w:nsid w:val="7AD7FCA2"/>
    <w:multiLevelType w:val="hybridMultilevel"/>
    <w:lvl w:ilvl="0">
      <w:lvlJc w:val="left"/>
      <w:lvlText w:val="%1."/>
      <w:numFmt w:val="decimal"/>
      <w:start w:val="14"/>
    </w:lvl>
  </w:abstractNum>
  <w:abstractNum w:abstractNumId="471">
    <w:nsid w:val="6335160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72">
    <w:nsid w:val="E759D1A"/>
    <w:multiLevelType w:val="hybridMultilevel"/>
    <w:lvl w:ilvl="0">
      <w:lvlJc w:val="left"/>
      <w:lvlText w:val="(%1)"/>
      <w:numFmt w:val="lowerRoman"/>
      <w:start w:val="1"/>
    </w:lvl>
  </w:abstractNum>
  <w:abstractNum w:abstractNumId="473">
    <w:nsid w:val="6E3DEE90"/>
    <w:multiLevelType w:val="hybridMultilevel"/>
    <w:lvl w:ilvl="0">
      <w:lvlJc w:val="left"/>
      <w:lvlText w:val="(%1)"/>
      <w:numFmt w:val="lowerRoman"/>
      <w:start w:val="2"/>
    </w:lvl>
  </w:abstractNum>
  <w:abstractNum w:abstractNumId="474">
    <w:nsid w:val="1A8762F4"/>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75">
    <w:nsid w:val="7F41D049"/>
    <w:multiLevelType w:val="hybridMultilevel"/>
    <w:lvl w:ilvl="0">
      <w:lvlJc w:val="left"/>
      <w:lvlText w:val="(%1)"/>
      <w:numFmt w:val="decimal"/>
      <w:start w:val="7"/>
    </w:lvl>
  </w:abstractNum>
  <w:abstractNum w:abstractNumId="476">
    <w:nsid w:val="449F66FE"/>
    <w:multiLevelType w:val="hybridMultilevel"/>
    <w:lvl w:ilvl="0">
      <w:lvlJc w:val="left"/>
      <w:lvlText w:val="%1."/>
      <w:numFmt w:val="decimal"/>
      <w:start w:val="17"/>
    </w:lvl>
    <w:lvl w:ilvl="1">
      <w:lvlJc w:val="left"/>
      <w:lvlText w:val="(%2)"/>
      <w:numFmt w:val="lowerLetter"/>
      <w:start w:val="1"/>
    </w:lvl>
  </w:abstractNum>
  <w:abstractNum w:abstractNumId="477">
    <w:nsid w:val="557E051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78">
    <w:nsid w:val="3BA0794B"/>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479">
    <w:nsid w:val="6A0DCE48"/>
    <w:multiLevelType w:val="hybridMultilevel"/>
    <w:lvl w:ilvl="0">
      <w:lvlJc w:val="left"/>
      <w:lvlText w:val="(%1)"/>
      <w:numFmt w:val="lowerRoman"/>
      <w:start w:val="3"/>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480">
    <w:nsid w:val="7237AA96"/>
    <w:multiLevelType w:val="hybridMultilevel"/>
    <w:lvl w:ilvl="0">
      <w:lvlJc w:val="left"/>
      <w:lvlText w:val="%1"/>
      <w:numFmt w:val="lowerRoman"/>
      <w:start w:val="1"/>
    </w:lvl>
    <w:lvl w:ilvl="1">
      <w:lvlJc w:val="left"/>
      <w:lvlText w:val="%2"/>
      <w:numFmt w:val="decimal"/>
      <w:start w:val="1"/>
    </w:lvl>
    <w:lvl w:ilvl="2">
      <w:lvlJc w:val="left"/>
      <w:lvlText w:val="(%3)"/>
      <w:numFmt w:val="decimal"/>
      <w:start w:val="2"/>
    </w:lvl>
    <w:lvl w:ilvl="3">
      <w:lvlJc w:val="left"/>
      <w:lvlText w:val="%4"/>
      <w:numFmt w:val="lowerRoman"/>
      <w:start w:val="1"/>
    </w:lvl>
  </w:abstractNum>
  <w:abstractNum w:abstractNumId="481">
    <w:nsid w:val="5B1FBC2D"/>
    <w:multiLevelType w:val="hybridMultilevel"/>
    <w:lvl w:ilvl="0">
      <w:lvlJc w:val="left"/>
      <w:lvlText w:val="(%1)"/>
      <w:numFmt w:val="lowerRoman"/>
      <w:start w:val="7"/>
    </w:lvl>
    <w:lvl w:ilvl="1">
      <w:lvlJc w:val="left"/>
      <w:lvlText w:val="%2"/>
      <w:numFmt w:val="decimal"/>
      <w:start w:val="1"/>
    </w:lvl>
    <w:lvl w:ilvl="2">
      <w:lvlJc w:val="left"/>
      <w:lvlText w:val="%3"/>
      <w:numFmt w:val="decimal"/>
      <w:start w:val="1"/>
    </w:lvl>
    <w:lvl w:ilvl="3">
      <w:lvlJc w:val="left"/>
      <w:lvlText w:val="(%4)"/>
      <w:numFmt w:val="lowerRoman"/>
      <w:start w:val="13"/>
    </w:lvl>
  </w:abstractNum>
  <w:abstractNum w:abstractNumId="482">
    <w:nsid w:val="33DFCCE8"/>
    <w:multiLevelType w:val="hybridMultilevel"/>
    <w:lvl w:ilvl="0">
      <w:lvlJc w:val="left"/>
      <w:lvlText w:val="%1."/>
      <w:numFmt w:val="decimal"/>
      <w:start w:val="24"/>
    </w:lvl>
  </w:abstractNum>
  <w:abstractNum w:abstractNumId="483">
    <w:nsid w:val="18C45E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4">
    <w:nsid w:val="6B431F25"/>
    <w:multiLevelType w:val="hybridMultilevel"/>
    <w:lvl w:ilvl="0">
      <w:lvlJc w:val="left"/>
      <w:lvlText w:val="(%1)"/>
      <w:numFmt w:val="lowerLetter"/>
      <w:start w:val="2"/>
    </w:lvl>
  </w:abstractNum>
  <w:abstractNum w:abstractNumId="485">
    <w:nsid w:val="13CD8DCB"/>
    <w:multiLevelType w:val="hybridMultilevel"/>
    <w:lvl w:ilvl="0">
      <w:lvlJc w:val="left"/>
      <w:lvlText w:val="(%1)"/>
      <w:numFmt w:val="lowerRoman"/>
      <w:start w:val="1"/>
    </w:lvl>
  </w:abstractNum>
  <w:abstractNum w:abstractNumId="486">
    <w:nsid w:val="563A1A5C"/>
    <w:multiLevelType w:val="hybridMultilevel"/>
    <w:lvl w:ilvl="0">
      <w:lvlJc w:val="left"/>
      <w:lvlText w:val="%1"/>
      <w:numFmt w:val="lowerLetter"/>
      <w:start w:val="1"/>
    </w:lvl>
    <w:lvl w:ilvl="1">
      <w:lvlJc w:val="left"/>
      <w:lvlText w:val="(%2)"/>
      <w:numFmt w:val="lowerRoman"/>
      <w:start w:val="2"/>
    </w:lvl>
  </w:abstractNum>
  <w:abstractNum w:abstractNumId="487">
    <w:nsid w:val="2973F88F"/>
    <w:multiLevelType w:val="hybridMultilevel"/>
    <w:lvl w:ilvl="0">
      <w:lvlJc w:val="left"/>
      <w:lvlText w:val="(%1)"/>
      <w:numFmt w:val="lowerLetter"/>
      <w:start w:val="4"/>
    </w:lvl>
    <w:lvl w:ilvl="1">
      <w:lvlJc w:val="left"/>
      <w:lvlText w:val="%2"/>
      <w:numFmt w:val="lowerRoman"/>
      <w:start w:val="1"/>
    </w:lvl>
  </w:abstractNum>
  <w:abstractNum w:abstractNumId="488">
    <w:nsid w:val="2C70EDAE"/>
    <w:multiLevelType w:val="hybridMultilevel"/>
    <w:lvl w:ilvl="0">
      <w:lvlJc w:val="left"/>
      <w:lvlText w:val="(%1)"/>
      <w:numFmt w:val="lowerRoman"/>
      <w:start w:val="1"/>
    </w:lvl>
  </w:abstractNum>
  <w:abstractNum w:abstractNumId="489">
    <w:nsid w:val="44296C6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90">
    <w:nsid w:val="3A86D44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91">
    <w:nsid w:val="51F7924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92">
    <w:nsid w:val="5BC9A827"/>
    <w:multiLevelType w:val="hybridMultilevel"/>
    <w:lvl w:ilvl="0">
      <w:lvlJc w:val="left"/>
      <w:lvlText w:val="%1."/>
      <w:numFmt w:val="decimal"/>
      <w:start w:val="4"/>
    </w:lvl>
  </w:abstractNum>
  <w:abstractNum w:abstractNumId="493">
    <w:nsid w:val="3AE37D86"/>
    <w:multiLevelType w:val="hybridMultilevel"/>
    <w:lvl w:ilvl="0">
      <w:lvlJc w:val="left"/>
      <w:lvlText w:val="(%1)"/>
      <w:numFmt w:val="lowerLetter"/>
      <w:start w:val="1"/>
    </w:lvl>
  </w:abstractNum>
  <w:abstractNum w:abstractNumId="494">
    <w:nsid w:val="45440FE5"/>
    <w:multiLevelType w:val="hybridMultilevel"/>
    <w:lvl w:ilvl="0">
      <w:lvlJc w:val="left"/>
      <w:lvlText w:val="(%1)"/>
      <w:numFmt w:val="lowerLetter"/>
      <w:start w:val="2"/>
    </w:lvl>
    <w:lvl w:ilvl="1">
      <w:lvlJc w:val="left"/>
      <w:lvlText w:val="(%2)"/>
      <w:numFmt w:val="lowerRoman"/>
      <w:start w:val="1"/>
    </w:lvl>
  </w:abstractNum>
  <w:abstractNum w:abstractNumId="495">
    <w:nsid w:val="BF783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96">
    <w:nsid w:val="22643EA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97">
    <w:nsid w:val="1887578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98">
    <w:nsid w:val="58C05B8A"/>
    <w:multiLevelType w:val="hybridMultilevel"/>
    <w:lvl w:ilvl="0">
      <w:lvlJc w:val="left"/>
      <w:lvlText w:val="%1."/>
      <w:numFmt w:val="decimal"/>
      <w:start w:val="1"/>
    </w:lvl>
  </w:abstractNum>
  <w:abstractNum w:abstractNumId="499">
    <w:nsid w:val="38D82E71"/>
    <w:multiLevelType w:val="hybridMultilevel"/>
    <w:lvl w:ilvl="0">
      <w:lvlJc w:val="left"/>
      <w:lvlText w:val="%1)"/>
      <w:numFmt w:val="decimal"/>
      <w:start w:val="1"/>
    </w:lvl>
    <w:lvl w:ilvl="1">
      <w:lvlJc w:val="left"/>
      <w:lvlText w:val="●"/>
      <w:numFmt w:val="bullet"/>
      <w:start w:val="1"/>
    </w:lvl>
  </w:abstractNum>
  <w:abstractNum w:abstractNumId="500">
    <w:nsid w:val="1E41098A"/>
    <w:multiLevelType w:val="hybridMultilevel"/>
    <w:lvl w:ilvl="0">
      <w:lvlJc w:val="left"/>
      <w:lvlText w:val="%1."/>
      <w:numFmt w:val="decimal"/>
      <w:start w:val="1"/>
    </w:lvl>
  </w:abstractNum>
  <w:abstractNum w:abstractNumId="501">
    <w:nsid w:val="5398582C"/>
    <w:multiLevelType w:val="hybridMultilevel"/>
    <w:lvl w:ilvl="0">
      <w:lvlJc w:val="left"/>
      <w:lvlText w:val="%1."/>
      <w:numFmt w:val="decimal"/>
      <w:start w:val="2"/>
    </w:lvl>
  </w:abstractNum>
  <w:abstractNum w:abstractNumId="502">
    <w:nsid w:val="1C0D4475"/>
    <w:multiLevelType w:val="hybridMultilevel"/>
    <w:lvl w:ilvl="0">
      <w:lvlJc w:val="left"/>
      <w:lvlText w:val="%1."/>
      <w:numFmt w:val="decimal"/>
      <w:start w:val="3"/>
    </w:lvl>
  </w:abstractNum>
  <w:abstractNum w:abstractNumId="503">
    <w:nsid w:val="2CB6A6A4"/>
    <w:multiLevelType w:val="hybridMultilevel"/>
    <w:lvl w:ilvl="0">
      <w:lvlJc w:val="left"/>
      <w:lvlText w:val="%1."/>
      <w:numFmt w:val="decimal"/>
      <w:start w:val="5"/>
    </w:lvl>
  </w:abstractNum>
  <w:abstractNum w:abstractNumId="504">
    <w:nsid w:val="41D646BC"/>
    <w:multiLevelType w:val="hybridMultilevel"/>
    <w:lvl w:ilvl="0">
      <w:lvlJc w:val="left"/>
      <w:lvlText w:val="[***]"/>
      <w:numFmt w:val="bullet"/>
      <w:start w:val="1"/>
    </w:lvl>
  </w:abstractNum>
  <w:abstractNum w:abstractNumId="505">
    <w:nsid w:val="3694A76A"/>
    <w:multiLevelType w:val="hybridMultilevel"/>
    <w:lvl w:ilvl="0">
      <w:lvlJc w:val="left"/>
      <w:lvlText w:val="[***]"/>
      <w:numFmt w:val="bullet"/>
      <w:start w:val="1"/>
    </w:lvl>
  </w:abstractNum>
  <w:abstractNum w:abstractNumId="506">
    <w:nsid w:val="2BF876EE"/>
    <w:multiLevelType w:val="hybridMultilevel"/>
    <w:lvl w:ilvl="0">
      <w:lvlJc w:val="left"/>
      <w:lvlText w:val="%1."/>
      <w:numFmt w:val="decimal"/>
      <w:start w:val="1"/>
    </w:lvl>
    <w:lvl w:ilvl="1">
      <w:lvlJc w:val="left"/>
      <w:lvlText w:val="(%2)"/>
      <w:numFmt w:val="lowerLetter"/>
      <w:start w:val="1"/>
    </w:lvl>
  </w:abstractNum>
  <w:abstractNum w:abstractNumId="507">
    <w:nsid w:val="675ADBA"/>
    <w:multiLevelType w:val="hybridMultilevel"/>
    <w:lvl w:ilvl="0">
      <w:lvlJc w:val="left"/>
      <w:lvlText w:val="%1."/>
      <w:numFmt w:val="decimal"/>
      <w:start w:val="1"/>
    </w:lvl>
    <w:lvl w:ilvl="1">
      <w:lvlJc w:val="left"/>
      <w:lvlText w:val="(%2)"/>
      <w:numFmt w:val="lowerLetter"/>
      <w:start w:val="1"/>
    </w:lvl>
  </w:abstractNum>
  <w:abstractNum w:abstractNumId="508">
    <w:nsid w:val="C12AC7F"/>
    <w:multiLevelType w:val="hybridMultilevel"/>
    <w:lvl w:ilvl="0">
      <w:lvlJc w:val="left"/>
      <w:lvlText w:val="%1."/>
      <w:numFmt w:val="decimal"/>
      <w:start w:val="1"/>
    </w:lvl>
  </w:abstractNum>
  <w:abstractNum w:abstractNumId="509">
    <w:nsid w:val="6798F03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jpe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69" Type="http://schemas.openxmlformats.org/officeDocument/2006/relationships/image" Target="media/image423.png"/><Relationship Id="rId470" Type="http://schemas.openxmlformats.org/officeDocument/2006/relationships/image" Target="media/image424.png"/><Relationship Id="rId471" Type="http://schemas.openxmlformats.org/officeDocument/2006/relationships/image" Target="media/image425.png"/><Relationship Id="rId472"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477" Type="http://schemas.openxmlformats.org/officeDocument/2006/relationships/image" Target="media/image431.png"/><Relationship Id="rId478" Type="http://schemas.openxmlformats.org/officeDocument/2006/relationships/image" Target="media/image432.png"/><Relationship Id="rId479"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png"/><Relationship Id="rId482"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85" Type="http://schemas.openxmlformats.org/officeDocument/2006/relationships/image" Target="media/image439.png"/><Relationship Id="rId486" Type="http://schemas.openxmlformats.org/officeDocument/2006/relationships/image" Target="media/image440.png"/><Relationship Id="rId487" Type="http://schemas.openxmlformats.org/officeDocument/2006/relationships/image" Target="media/image441.png"/><Relationship Id="rId488" Type="http://schemas.openxmlformats.org/officeDocument/2006/relationships/image" Target="media/image442.png"/><Relationship Id="rId489" Type="http://schemas.openxmlformats.org/officeDocument/2006/relationships/image" Target="media/image443.png"/><Relationship Id="rId490" Type="http://schemas.openxmlformats.org/officeDocument/2006/relationships/image" Target="media/image444.png"/><Relationship Id="rId491" Type="http://schemas.openxmlformats.org/officeDocument/2006/relationships/image" Target="media/image445.png"/><Relationship Id="rId492" Type="http://schemas.openxmlformats.org/officeDocument/2006/relationships/image" Target="media/image446.png"/><Relationship Id="rId493" Type="http://schemas.openxmlformats.org/officeDocument/2006/relationships/image" Target="media/image447.png"/><Relationship Id="rId494" Type="http://schemas.openxmlformats.org/officeDocument/2006/relationships/image" Target="media/image448.png"/><Relationship Id="rId495" Type="http://schemas.openxmlformats.org/officeDocument/2006/relationships/image" Target="media/image449.png"/><Relationship Id="rId496" Type="http://schemas.openxmlformats.org/officeDocument/2006/relationships/image" Target="media/image450.png"/><Relationship Id="rId497" Type="http://schemas.openxmlformats.org/officeDocument/2006/relationships/image" Target="media/image451.png"/><Relationship Id="rId498" Type="http://schemas.openxmlformats.org/officeDocument/2006/relationships/image" Target="media/image452.png"/><Relationship Id="rId499" Type="http://schemas.openxmlformats.org/officeDocument/2006/relationships/image" Target="media/image453.png"/><Relationship Id="rId500" Type="http://schemas.openxmlformats.org/officeDocument/2006/relationships/image" Target="media/image454.png"/><Relationship Id="rId501" Type="http://schemas.openxmlformats.org/officeDocument/2006/relationships/image" Target="media/image455.png"/><Relationship Id="rId502" Type="http://schemas.openxmlformats.org/officeDocument/2006/relationships/image" Target="media/image456.png"/><Relationship Id="rId503" Type="http://schemas.openxmlformats.org/officeDocument/2006/relationships/image" Target="media/image457.png"/><Relationship Id="rId504" Type="http://schemas.openxmlformats.org/officeDocument/2006/relationships/image" Target="media/image458.png"/><Relationship Id="rId505" Type="http://schemas.openxmlformats.org/officeDocument/2006/relationships/image" Target="media/image459.png"/><Relationship Id="rId506" Type="http://schemas.openxmlformats.org/officeDocument/2006/relationships/image" Target="media/image460.png"/><Relationship Id="rId507"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1" Type="http://schemas.openxmlformats.org/officeDocument/2006/relationships/image" Target="media/image465.png"/><Relationship Id="rId512" Type="http://schemas.openxmlformats.org/officeDocument/2006/relationships/image" Target="media/image466.png"/><Relationship Id="rId513" Type="http://schemas.openxmlformats.org/officeDocument/2006/relationships/image" Target="media/image467.png"/><Relationship Id="rId514" Type="http://schemas.openxmlformats.org/officeDocument/2006/relationships/image" Target="media/image468.png"/><Relationship Id="rId515" Type="http://schemas.openxmlformats.org/officeDocument/2006/relationships/image" Target="media/image469.png"/><Relationship Id="rId516" Type="http://schemas.openxmlformats.org/officeDocument/2006/relationships/image" Target="media/image470.png"/><Relationship Id="rId517" Type="http://schemas.openxmlformats.org/officeDocument/2006/relationships/image" Target="media/image471.png"/><Relationship Id="rId518" Type="http://schemas.openxmlformats.org/officeDocument/2006/relationships/image" Target="media/image472.png"/><Relationship Id="rId519" Type="http://schemas.openxmlformats.org/officeDocument/2006/relationships/image" Target="media/image473.png"/><Relationship Id="rId520" Type="http://schemas.openxmlformats.org/officeDocument/2006/relationships/image" Target="media/image474.png"/><Relationship Id="rId521" Type="http://schemas.openxmlformats.org/officeDocument/2006/relationships/image" Target="media/image475.png"/><Relationship Id="rId522" Type="http://schemas.openxmlformats.org/officeDocument/2006/relationships/image" Target="media/image476.png"/><Relationship Id="rId523" Type="http://schemas.openxmlformats.org/officeDocument/2006/relationships/image" Target="media/image477.png"/><Relationship Id="rId524" Type="http://schemas.openxmlformats.org/officeDocument/2006/relationships/image" Target="media/image478.png"/><Relationship Id="rId525" Type="http://schemas.openxmlformats.org/officeDocument/2006/relationships/image" Target="media/image479.png"/><Relationship Id="rId526" Type="http://schemas.openxmlformats.org/officeDocument/2006/relationships/image" Target="media/image480.png"/><Relationship Id="rId527" Type="http://schemas.openxmlformats.org/officeDocument/2006/relationships/image" Target="media/image481.png"/><Relationship Id="rId528" Type="http://schemas.openxmlformats.org/officeDocument/2006/relationships/image" Target="media/image482.png"/><Relationship Id="rId529" Type="http://schemas.openxmlformats.org/officeDocument/2006/relationships/image" Target="media/image483.png"/><Relationship Id="rId530" Type="http://schemas.openxmlformats.org/officeDocument/2006/relationships/image" Target="media/image484.png"/><Relationship Id="rId531" Type="http://schemas.openxmlformats.org/officeDocument/2006/relationships/image" Target="media/image485.png"/><Relationship Id="rId532" Type="http://schemas.openxmlformats.org/officeDocument/2006/relationships/image" Target="media/image486.png"/><Relationship Id="rId533" Type="http://schemas.openxmlformats.org/officeDocument/2006/relationships/image" Target="media/image487.png"/><Relationship Id="rId534" Type="http://schemas.openxmlformats.org/officeDocument/2006/relationships/image" Target="media/image488.png"/><Relationship Id="rId535" Type="http://schemas.openxmlformats.org/officeDocument/2006/relationships/image" Target="media/image489.png"/><Relationship Id="rId536" Type="http://schemas.openxmlformats.org/officeDocument/2006/relationships/image" Target="media/image490.png"/><Relationship Id="rId537" Type="http://schemas.openxmlformats.org/officeDocument/2006/relationships/image" Target="media/image491.png"/><Relationship Id="rId538" Type="http://schemas.openxmlformats.org/officeDocument/2006/relationships/image" Target="media/image492.png"/><Relationship Id="rId539" Type="http://schemas.openxmlformats.org/officeDocument/2006/relationships/image" Target="media/image493.png"/><Relationship Id="rId540" Type="http://schemas.openxmlformats.org/officeDocument/2006/relationships/image" Target="media/image494.png"/><Relationship Id="rId541" Type="http://schemas.openxmlformats.org/officeDocument/2006/relationships/image" Target="media/image495.png"/><Relationship Id="rId542" Type="http://schemas.openxmlformats.org/officeDocument/2006/relationships/image" Target="media/image496.png"/><Relationship Id="rId543" Type="http://schemas.openxmlformats.org/officeDocument/2006/relationships/image" Target="media/image497.png"/><Relationship Id="rId544" Type="http://schemas.openxmlformats.org/officeDocument/2006/relationships/image" Target="media/image498.png"/><Relationship Id="rId545" Type="http://schemas.openxmlformats.org/officeDocument/2006/relationships/image" Target="media/image499.png"/><Relationship Id="rId546" Type="http://schemas.openxmlformats.org/officeDocument/2006/relationships/image" Target="media/image500.png"/><Relationship Id="rId547" Type="http://schemas.openxmlformats.org/officeDocument/2006/relationships/image" Target="media/image501.png"/><Relationship Id="rId548" Type="http://schemas.openxmlformats.org/officeDocument/2006/relationships/image" Target="media/image502.png"/><Relationship Id="rId549" Type="http://schemas.openxmlformats.org/officeDocument/2006/relationships/image" Target="media/image503.png"/><Relationship Id="rId550" Type="http://schemas.openxmlformats.org/officeDocument/2006/relationships/image" Target="media/image504.png"/><Relationship Id="rId551" Type="http://schemas.openxmlformats.org/officeDocument/2006/relationships/image" Target="media/image505.png"/><Relationship Id="rId552" Type="http://schemas.openxmlformats.org/officeDocument/2006/relationships/image" Target="media/image506.png"/><Relationship Id="rId553" Type="http://schemas.openxmlformats.org/officeDocument/2006/relationships/image" Target="media/image507.png"/><Relationship Id="rId554" Type="http://schemas.openxmlformats.org/officeDocument/2006/relationships/image" Target="media/image508.png"/><Relationship Id="rId555" Type="http://schemas.openxmlformats.org/officeDocument/2006/relationships/image" Target="media/image509.png"/><Relationship Id="rId556" Type="http://schemas.openxmlformats.org/officeDocument/2006/relationships/image" Target="media/image510.png"/><Relationship Id="rId557" Type="http://schemas.openxmlformats.org/officeDocument/2006/relationships/image" Target="media/image511.png"/><Relationship Id="rId558" Type="http://schemas.openxmlformats.org/officeDocument/2006/relationships/image" Target="media/image512.png"/><Relationship Id="rId559" Type="http://schemas.openxmlformats.org/officeDocument/2006/relationships/image" Target="media/image513.png"/><Relationship Id="rId560" Type="http://schemas.openxmlformats.org/officeDocument/2006/relationships/image" Target="media/image514.png"/><Relationship Id="rId561" Type="http://schemas.openxmlformats.org/officeDocument/2006/relationships/image" Target="media/image515.png"/><Relationship Id="rId562" Type="http://schemas.openxmlformats.org/officeDocument/2006/relationships/image" Target="media/image516.png"/><Relationship Id="rId563" Type="http://schemas.openxmlformats.org/officeDocument/2006/relationships/image" Target="media/image517.png"/><Relationship Id="rId564" Type="http://schemas.openxmlformats.org/officeDocument/2006/relationships/image" Target="media/image518.png"/><Relationship Id="rId565" Type="http://schemas.openxmlformats.org/officeDocument/2006/relationships/image" Target="media/image519.png"/><Relationship Id="rId566" Type="http://schemas.openxmlformats.org/officeDocument/2006/relationships/image" Target="media/image520.png"/><Relationship Id="rId567" Type="http://schemas.openxmlformats.org/officeDocument/2006/relationships/image" Target="media/image521.png"/><Relationship Id="rId568" Type="http://schemas.openxmlformats.org/officeDocument/2006/relationships/image" Target="media/image522.png"/><Relationship Id="rId569" Type="http://schemas.openxmlformats.org/officeDocument/2006/relationships/image" Target="media/image523.png"/><Relationship Id="rId570" Type="http://schemas.openxmlformats.org/officeDocument/2006/relationships/image" Target="media/image524.png"/><Relationship Id="rId571" Type="http://schemas.openxmlformats.org/officeDocument/2006/relationships/image" Target="media/image525.png"/><Relationship Id="rId348" Type="http://schemas.openxmlformats.org/officeDocument/2006/relationships/hyperlink" Target="http://www.sec.gov/Archives/edgar/data/1201935/000101915519000234/biontechdep.htm" TargetMode="External"/><Relationship Id="rId349" Type="http://schemas.openxmlformats.org/officeDocument/2006/relationships/hyperlink" Target="http://www.sec.gov/Archives/edgar/data/1776985/000119312519241112/d635330dex42.htm" TargetMode="External"/><Relationship Id="rId350" Type="http://schemas.openxmlformats.org/officeDocument/2006/relationships/hyperlink" Target="http://www.sec.gov/Archives/edgar/data/0001776985/000119312519241112/d635330dex101.htm" TargetMode="External"/><Relationship Id="rId351" Type="http://schemas.openxmlformats.org/officeDocument/2006/relationships/hyperlink" Target="http://www.sec.gov/Archives/edgar/data/0001776985/000119312519241112/d635330dex102.htm" TargetMode="External"/><Relationship Id="rId352" Type="http://schemas.openxmlformats.org/officeDocument/2006/relationships/hyperlink" Target="http://www.sec.gov/Archives/edgar/data/0001776985/000119312519241112/d635330dex103.htm" TargetMode="External"/><Relationship Id="rId353" Type="http://schemas.openxmlformats.org/officeDocument/2006/relationships/hyperlink" Target="http://www.sec.gov/Archives/edgar/data/0001776985/000119312519241112/d635330dex104.htm" TargetMode="External"/><Relationship Id="rId354" Type="http://schemas.openxmlformats.org/officeDocument/2006/relationships/hyperlink" Target="http://www.sec.gov/Archives/edgar/data/0001776985/000119312519241112/d635330dex105.htm" TargetMode="External"/><Relationship Id="rId357" Type="http://schemas.openxmlformats.org/officeDocument/2006/relationships/hyperlink" Target="http://www.sec.gov/Archives/edgar/data/0001776985/000119312519241112/d635330dex106.htm" TargetMode="External"/><Relationship Id="rId358" Type="http://schemas.openxmlformats.org/officeDocument/2006/relationships/hyperlink" Target="http://www.sec.gov/Archives/edgar/data/0001776985/000119312519241112/d635330dex107.htm" TargetMode="External"/><Relationship Id="rId359" Type="http://schemas.openxmlformats.org/officeDocument/2006/relationships/hyperlink" Target="http://www.sec.gov/Archives/edgar/data/0001776985/000119312519241112/d635330dex108.htm" TargetMode="External"/><Relationship Id="rId360" Type="http://schemas.openxmlformats.org/officeDocument/2006/relationships/hyperlink" Target="http://www.sec.gov/Archives/edgar/data/0001776985/000119312519241112/d635330dex109.htm" TargetMode="External"/><Relationship Id="rId361" Type="http://schemas.openxmlformats.org/officeDocument/2006/relationships/hyperlink" Target="http://www.sec.gov/Archives/edgar/data/0001776985/000119312519241112/d635330dex1010.htm" TargetMode="External"/><Relationship Id="rId362" Type="http://schemas.openxmlformats.org/officeDocument/2006/relationships/hyperlink" Target="http://www.sec.gov/Archives/edgar/data/0001776985/000119312519241112/d635330dex1011.htm" TargetMode="External"/><Relationship Id="rId363" Type="http://schemas.openxmlformats.org/officeDocument/2006/relationships/hyperlink" Target="http://www.sec.gov/Archives/edgar/data/0001776985/000119312519241112/d635330dex1012.htm" TargetMode="External"/><Relationship Id="rId364" Type="http://schemas.openxmlformats.org/officeDocument/2006/relationships/hyperlink" Target="http://www.sec.gov/Archives/edgar/data/0001776985/000119312519241112/d635330dex1013.htm" TargetMode="External"/><Relationship Id="rId365" Type="http://schemas.openxmlformats.org/officeDocument/2006/relationships/hyperlink" Target="http://www.sec.gov/Archives/edgar/data/0001776985/000119312519241112/d635330dex1014.htm" TargetMode="External"/><Relationship Id="rId366" Type="http://schemas.openxmlformats.org/officeDocument/2006/relationships/hyperlink" Target="http://www.sec.gov/Archives/edgar/data/1776985/000119312519241112/d635330dex1015.htm" TargetMode="External"/><Relationship Id="rId367" Type="http://schemas.openxmlformats.org/officeDocument/2006/relationships/hyperlink" Target="http://www.sec.gov/Archives/edgar/data/1776985/000119312519241112/d635330dex1016.htm" TargetMode="External"/><Relationship Id="rId370" Type="http://schemas.openxmlformats.org/officeDocument/2006/relationships/hyperlink" Target="http://www.sec.gov/Archives/edgar/data/1776985/000119312519241112/d635330dex1017.htm" TargetMode="External"/><Relationship Id="rId371" Type="http://schemas.openxmlformats.org/officeDocument/2006/relationships/hyperlink" Target="http://www.sec.gov/Archives/edgar/data/1776985/000119312519241112/d635330dex1018.htm" TargetMode="External"/><Relationship Id="rId372" Type="http://schemas.openxmlformats.org/officeDocument/2006/relationships/hyperlink" Target="http://www.sec.gov/Archives/edgar/data/1776985/000119312519241112/d635330dex1019.htm" TargetMode="External"/><Relationship Id="rId373" Type="http://schemas.openxmlformats.org/officeDocument/2006/relationships/hyperlink" Target="http://www.sec.gov/Archives/edgar/data/1776985/000119312519241112/d635330dex1021.htm" TargetMode="External"/><Relationship Id="rId374" Type="http://schemas.openxmlformats.org/officeDocument/2006/relationships/hyperlink" Target="http://www.sec.gov/Archives/edgar/data/1776985/000119312519241112/d635330dex1022.htm" TargetMode="External"/><Relationship Id="rId375" Type="http://schemas.openxmlformats.org/officeDocument/2006/relationships/hyperlink" Target="http://www.sec.gov/Archives/edgar/data/1776985/000119312519241112/d635330dex1023.htm" TargetMode="External"/><Relationship Id="rId376" Type="http://schemas.openxmlformats.org/officeDocument/2006/relationships/hyperlink" Target="http://www.sec.gov/Archives/edgar/data/1776985/000119312519241112/d635330dex1024.htm" TargetMode="External"/><Relationship Id="rId377" Type="http://schemas.openxmlformats.org/officeDocument/2006/relationships/hyperlink" Target="http://www.sec.gov/Archives/edgar/data/1776985/000119312519241112/d635330dex1025.htm" TargetMode="External"/><Relationship Id="rId378" Type="http://schemas.openxmlformats.org/officeDocument/2006/relationships/hyperlink" Target="http://www.sec.gov/Archives/edgar/data/1776985/000119312519241112/d635330dex1026.htm" TargetMode="External"/><Relationship Id="rId379" Type="http://schemas.openxmlformats.org/officeDocument/2006/relationships/hyperlink" Target="http://www.sec.gov/Archives/edgar/data/1776985/000119312519241112/d635330dex1027.htm" TargetMode="External"/><Relationship Id="rId380" Type="http://schemas.openxmlformats.org/officeDocument/2006/relationships/hyperlink" Target="http://www.sec.gov/Archives/edgar/data/1776985/000119312519241112/d635330dex1028.htm" TargetMode="External"/><Relationship Id="rId381" Type="http://schemas.openxmlformats.org/officeDocument/2006/relationships/hyperlink" Target="http://www.sec.gov/Archives/edgar/data/1776985/000119312519241112/d635330dex1029.htm" TargetMode="External"/><Relationship Id="rId384" Type="http://schemas.openxmlformats.org/officeDocument/2006/relationships/hyperlink" Target="http://www.sec.gov/Archives/edgar/data/1776985/000119312519241112/d635330dex1030.htm" TargetMode="External"/><Relationship Id="rId385" Type="http://schemas.openxmlformats.org/officeDocument/2006/relationships/hyperlink" Target="http://www.sec.gov/Archives/edgar/data/1776985/000119312519241112/d635330dex1031.htm" TargetMode="External"/><Relationship Id="rId386" Type="http://schemas.openxmlformats.org/officeDocument/2006/relationships/hyperlink" Target="http://www.sec.gov/Archives/edgar/data/1776985/000119312519241112/d635330dex1032.htm" TargetMode="External"/><Relationship Id="rId387" Type="http://schemas.openxmlformats.org/officeDocument/2006/relationships/hyperlink" Target="http://www.sec.gov/Archives/edgar/data/1776985/000119312519241112/d635330dex1033.htm" TargetMode="External"/><Relationship Id="rId388" Type="http://schemas.openxmlformats.org/officeDocument/2006/relationships/hyperlink" Target="http://www.sec.gov/Archives/edgar/data/1776985/000119312519241112/d635330dex1034.htm" TargetMode="External"/><Relationship Id="rId389" Type="http://schemas.openxmlformats.org/officeDocument/2006/relationships/hyperlink" Target="http://www.sec.gov/Archives/edgar/data/1776985/000119312519241112/d635330dex1035.htm" TargetMode="External"/><Relationship Id="rId390" Type="http://schemas.openxmlformats.org/officeDocument/2006/relationships/hyperlink" Target="http://www.sec.gov/Archives/edgar/data/1776985/000119312519241112/d635330dex1036.htm" TargetMode="External"/><Relationship Id="rId391" Type="http://schemas.openxmlformats.org/officeDocument/2006/relationships/hyperlink" Target="http://www.sec.gov/Archives/edgar/data/1776985/000119312519241112/d635330dex1037.htm" TargetMode="External"/><Relationship Id="rId392" Type="http://schemas.openxmlformats.org/officeDocument/2006/relationships/hyperlink" Target="http://www.sec.gov/Archives/edgar/data/1776985/000119312519252726/d635330dex10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2020-03-31T23:22:48Z</dcterms:created>
  <dcterms:modified xsi:type="dcterms:W3CDTF">2020-03-31T23:22:48Z</dcterms:modified>
</cp:coreProperties>
</file>