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40"/>
        <w:jc w:val="both"/>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5"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40" w:after="283"/>
        <w:jc w:val="center"/>
        <w:rPr>
          <w:rFonts w:ascii="Arial;sans-serif" w:hAnsi="Arial;sans-serif"/>
          <w:b/>
          <w:color w:val="000000"/>
          <w:sz w:val="28"/>
        </w:rPr>
      </w:pPr>
      <w:r>
        <w:rPr>
          <w:rFonts w:ascii="Arial;sans-serif" w:hAnsi="Arial;sans-serif"/>
          <w:b/>
          <w:color w:val="000000"/>
          <w:sz w:val="28"/>
        </w:rPr>
        <w:t>UNITED STATES</w:t>
      </w:r>
    </w:p>
    <w:p>
      <w:pPr>
        <w:pStyle w:val="TextBody"/>
        <w:bidi w:val="0"/>
        <w:spacing w:lineRule="auto" w:line="288" w:before="120" w:after="283"/>
        <w:ind w:left="0" w:right="0" w:firstLine="720"/>
        <w:jc w:val="center"/>
        <w:rPr>
          <w:rFonts w:ascii="Arial;sans-serif" w:hAnsi="Arial;sans-serif"/>
          <w:b/>
          <w:color w:val="000000"/>
          <w:sz w:val="28"/>
        </w:rPr>
      </w:pPr>
      <w:r>
        <w:rPr>
          <w:rFonts w:ascii="Arial;sans-serif" w:hAnsi="Arial;sans-serif"/>
          <w:b/>
          <w:color w:val="000000"/>
          <w:sz w:val="28"/>
        </w:rPr>
        <w:t>SECURITIES AND EXCHANGE COMMISSION</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Washington, D.C. 20549</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4" w:space="0" w:color="000000"/>
            </w:tcBorders>
            <w:tcMar>
              <w:top w:w="0" w:type="dxa"/>
              <w:left w:w="0" w:type="dxa"/>
              <w:right w:w="0" w:type="dxa"/>
            </w:tcMar>
            <w:vAlign w:val="center"/>
          </w:tcPr>
          <w:p>
            <w:pPr>
              <w:pStyle w:val="TableContents"/>
              <w:bidi w:val="0"/>
              <w:spacing w:before="0" w:after="240"/>
              <w:jc w:val="both"/>
              <w:rPr/>
            </w:pPr>
            <w:r>
              <w:rPr/>
            </w:r>
          </w:p>
        </w:tc>
      </w:tr>
    </w:tbl>
    <w:p>
      <w:pPr>
        <w:pStyle w:val="TextBody"/>
        <w:bidi w:val="0"/>
        <w:spacing w:lineRule="auto" w:line="288" w:before="60" w:after="283"/>
        <w:jc w:val="center"/>
        <w:rPr>
          <w:rFonts w:ascii="Arial;sans-serif" w:hAnsi="Arial;sans-serif"/>
          <w:b/>
          <w:color w:val="000000"/>
          <w:sz w:val="30"/>
        </w:rPr>
      </w:pPr>
      <w:r>
        <w:rPr>
          <w:rFonts w:ascii="Arial;sans-serif" w:hAnsi="Arial;sans-serif"/>
          <w:b/>
          <w:color w:val="000000"/>
          <w:sz w:val="30"/>
        </w:rPr>
        <w:t>FORM 20-F/A</w:t>
      </w:r>
    </w:p>
    <w:p>
      <w:pPr>
        <w:pStyle w:val="TextBody"/>
        <w:bidi w:val="0"/>
        <w:spacing w:lineRule="atLeast" w:line="260" w:before="0" w:after="240"/>
        <w:jc w:val="center"/>
        <w:rPr>
          <w:rFonts w:ascii="Arial;sans-serif" w:hAnsi="Arial;sans-serif"/>
          <w:b w:val="false"/>
          <w:color w:val="000000"/>
          <w:sz w:val="20"/>
        </w:rPr>
      </w:pPr>
      <w:r>
        <w:rPr>
          <w:rFonts w:ascii="Arial;sans-serif" w:hAnsi="Arial;sans-serif"/>
          <w:b w:val="false"/>
          <w:color w:val="000000"/>
          <w:sz w:val="20"/>
        </w:rPr>
        <w:t>(Amendment No. 1)</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4" w:space="0" w:color="000000"/>
            </w:tcBorders>
            <w:tcMar>
              <w:top w:w="0" w:type="dxa"/>
              <w:left w:w="0" w:type="dxa"/>
              <w:right w:w="0" w:type="dxa"/>
            </w:tcMar>
            <w:vAlign w:val="center"/>
          </w:tcPr>
          <w:p>
            <w:pPr>
              <w:pStyle w:val="TableContents"/>
              <w:bidi w:val="0"/>
              <w:spacing w:before="0" w:after="0"/>
              <w:jc w:val="center"/>
              <w:rPr/>
            </w:pPr>
            <w:r>
              <w:rPr/>
            </w:r>
          </w:p>
        </w:tc>
      </w:tr>
    </w:tbl>
    <w:p>
      <w:pPr>
        <w:pStyle w:val="TextBody"/>
        <w:bidi w:val="0"/>
        <w:spacing w:before="60" w:after="283"/>
        <w:jc w:val="left"/>
        <w:rPr/>
      </w:pPr>
      <w:r>
        <w:rPr/>
      </w:r>
    </w:p>
    <w:p>
      <w:pPr>
        <w:pStyle w:val="TextBody"/>
        <w:bidi w:val="0"/>
        <w:spacing w:lineRule="auto" w:line="288" w:before="0" w:after="0"/>
        <w:ind w:left="0" w:right="0" w:hanging="284"/>
        <w:jc w:val="left"/>
        <w:rPr>
          <w:color w:val="000000"/>
        </w:rPr>
      </w:pPr>
      <w:r>
        <w:rPr>
          <w:color w:val="000000"/>
        </w:rPr>
        <w:t>☐    </w:t>
      </w:r>
      <w:r>
        <w:rPr>
          <w:rFonts w:ascii="Arial;sans-serif" w:hAnsi="Arial;sans-serif"/>
          <w:b/>
          <w:color w:val="000000"/>
          <w:sz w:val="18"/>
        </w:rPr>
        <w:t xml:space="preserve">REGISTRATION STATEMENT PURSUANT TO SECTION 12(b) OR (g) OF THE SECURITIES EXCHANGE ACT </w:t>
        <w:br/>
        <w:t>OF 1934</w:t>
      </w:r>
    </w:p>
    <w:p>
      <w:pPr>
        <w:pStyle w:val="TextBody"/>
        <w:bidi w:val="0"/>
        <w:spacing w:lineRule="auto" w:line="288" w:before="60" w:after="283"/>
        <w:jc w:val="center"/>
        <w:rPr>
          <w:rFonts w:ascii="Arial;sans-serif" w:hAnsi="Arial;sans-serif"/>
          <w:b/>
          <w:color w:val="000000"/>
          <w:sz w:val="16"/>
        </w:rPr>
      </w:pPr>
      <w:r>
        <w:rPr>
          <w:rFonts w:ascii="Arial;sans-serif" w:hAnsi="Arial;sans-serif"/>
          <w:b/>
          <w:color w:val="000000"/>
          <w:sz w:val="16"/>
        </w:rPr>
        <w:t>OR</w:t>
      </w:r>
    </w:p>
    <w:p>
      <w:pPr>
        <w:pStyle w:val="TextBody"/>
        <w:bidi w:val="0"/>
        <w:spacing w:lineRule="auto" w:line="288" w:before="60" w:after="283"/>
        <w:ind w:left="0" w:right="0" w:hanging="490"/>
        <w:jc w:val="left"/>
        <w:rPr>
          <w:color w:val="000000"/>
        </w:rPr>
      </w:pPr>
      <w:r>
        <w:rPr>
          <w:color w:val="000000"/>
        </w:rPr>
        <w:t>☒    </w:t>
      </w:r>
      <w:r>
        <w:rPr>
          <w:rFonts w:ascii="Arial;sans-serif" w:hAnsi="Arial;sans-serif"/>
          <w:b/>
          <w:color w:val="000000"/>
          <w:sz w:val="18"/>
        </w:rPr>
        <w:t>ANNUAL REPORT PURSUANT TO SECTION 13 OR 15(d) OF THE SECURITIES EXCHANGE ACT OF 1934</w:t>
      </w:r>
    </w:p>
    <w:p>
      <w:pPr>
        <w:pStyle w:val="TextBody"/>
        <w:bidi w:val="0"/>
        <w:spacing w:lineRule="auto" w:line="288" w:before="60" w:after="283"/>
        <w:jc w:val="center"/>
        <w:rPr>
          <w:rFonts w:ascii="Arial;sans-serif" w:hAnsi="Arial;sans-serif"/>
          <w:b/>
          <w:color w:val="000000"/>
          <w:sz w:val="16"/>
        </w:rPr>
      </w:pPr>
      <w:r>
        <w:rPr>
          <w:rFonts w:ascii="Arial;sans-serif" w:hAnsi="Arial;sans-serif"/>
          <w:b/>
          <w:color w:val="000000"/>
          <w:sz w:val="16"/>
        </w:rPr>
        <w:t>For the fiscal year ended December 31, 2025</w:t>
      </w:r>
    </w:p>
    <w:p>
      <w:pPr>
        <w:pStyle w:val="TextBody"/>
        <w:bidi w:val="0"/>
        <w:spacing w:lineRule="auto" w:line="288" w:before="60" w:after="283"/>
        <w:jc w:val="center"/>
        <w:rPr>
          <w:rFonts w:ascii="Arial;sans-serif" w:hAnsi="Arial;sans-serif"/>
          <w:b/>
          <w:color w:val="000000"/>
          <w:sz w:val="16"/>
        </w:rPr>
      </w:pPr>
      <w:r>
        <w:rPr>
          <w:rFonts w:ascii="Arial;sans-serif" w:hAnsi="Arial;sans-serif"/>
          <w:b/>
          <w:color w:val="000000"/>
          <w:sz w:val="16"/>
        </w:rPr>
        <w:t>OR</w:t>
      </w:r>
    </w:p>
    <w:p>
      <w:pPr>
        <w:pStyle w:val="TextBody"/>
        <w:bidi w:val="0"/>
        <w:spacing w:lineRule="auto" w:line="288" w:before="60" w:after="283"/>
        <w:ind w:left="0" w:right="0" w:hanging="490"/>
        <w:jc w:val="left"/>
        <w:rPr>
          <w:color w:val="000000"/>
        </w:rPr>
      </w:pPr>
      <w:r>
        <w:rPr>
          <w:color w:val="000000"/>
        </w:rPr>
        <w:t>☐    </w:t>
      </w:r>
      <w:r>
        <w:rPr>
          <w:rFonts w:ascii="Arial;sans-serif" w:hAnsi="Arial;sans-serif"/>
          <w:b/>
          <w:color w:val="000000"/>
          <w:sz w:val="18"/>
        </w:rPr>
        <w:t>TRANSITION REPORT PURSUANT TO SECTION 13 OR 15(d) OF THE SECURITIES EXCHANGE ACT OF 1934</w:t>
      </w:r>
    </w:p>
    <w:p>
      <w:pPr>
        <w:pStyle w:val="TextBody"/>
        <w:bidi w:val="0"/>
        <w:spacing w:lineRule="auto" w:line="288" w:before="60" w:after="283"/>
        <w:jc w:val="center"/>
        <w:rPr>
          <w:rFonts w:ascii="Arial;sans-serif" w:hAnsi="Arial;sans-serif"/>
          <w:b/>
          <w:color w:val="000000"/>
          <w:sz w:val="16"/>
        </w:rPr>
      </w:pPr>
      <w:r>
        <w:rPr>
          <w:rFonts w:ascii="Arial;sans-serif" w:hAnsi="Arial;sans-serif"/>
          <w:b/>
          <w:color w:val="000000"/>
          <w:sz w:val="16"/>
        </w:rPr>
        <w:t>OR</w:t>
      </w:r>
    </w:p>
    <w:p>
      <w:pPr>
        <w:pStyle w:val="TextBody"/>
        <w:bidi w:val="0"/>
        <w:spacing w:lineRule="auto" w:line="288" w:before="60" w:after="283"/>
        <w:ind w:left="0" w:right="0" w:hanging="490"/>
        <w:jc w:val="left"/>
        <w:rPr>
          <w:color w:val="000000"/>
        </w:rPr>
      </w:pPr>
      <w:r>
        <w:rPr>
          <w:color w:val="000000"/>
        </w:rPr>
        <w:t>☐    </w:t>
      </w:r>
      <w:r>
        <w:rPr>
          <w:rFonts w:ascii="Arial;sans-serif" w:hAnsi="Arial;sans-serif"/>
          <w:b/>
          <w:color w:val="000000"/>
          <w:sz w:val="18"/>
        </w:rPr>
        <w:t>SHELL COMPANY REPORT PURSUANT TO SECTION 13 OR 15(d) OF THE SECURITIES EXCHANGE ACT OF 1934</w:t>
      </w:r>
    </w:p>
    <w:p>
      <w:pPr>
        <w:pStyle w:val="TextBody"/>
        <w:bidi w:val="0"/>
        <w:spacing w:lineRule="auto" w:line="288" w:before="60" w:after="283"/>
        <w:jc w:val="center"/>
        <w:rPr>
          <w:rFonts w:ascii="Arial;sans-serif" w:hAnsi="Arial;sans-serif"/>
          <w:b/>
          <w:color w:val="000000"/>
          <w:sz w:val="16"/>
        </w:rPr>
      </w:pPr>
      <w:r>
        <w:rPr>
          <w:rFonts w:ascii="Arial;sans-serif" w:hAnsi="Arial;sans-serif"/>
          <w:b/>
          <w:color w:val="000000"/>
          <w:sz w:val="16"/>
        </w:rPr>
        <w:t>Commission file number: 001-39081</w:t>
      </w:r>
    </w:p>
    <w:p>
      <w:pPr>
        <w:pStyle w:val="TextBody"/>
        <w:bidi w:val="0"/>
        <w:spacing w:lineRule="auto" w:line="288" w:before="60" w:after="283"/>
        <w:jc w:val="center"/>
        <w:rPr>
          <w:rFonts w:ascii="Arial;sans-serif" w:hAnsi="Arial;sans-serif"/>
          <w:b/>
          <w:color w:val="000000"/>
          <w:sz w:val="36"/>
        </w:rPr>
      </w:pPr>
      <w:r>
        <w:rPr>
          <w:rFonts w:ascii="Arial;sans-serif" w:hAnsi="Arial;sans-serif"/>
          <w:b/>
          <w:color w:val="000000"/>
          <w:sz w:val="36"/>
        </w:rPr>
        <w:t>BioNTech SE</w:t>
      </w:r>
    </w:p>
    <w:p>
      <w:pPr>
        <w:pStyle w:val="TextBody"/>
        <w:bidi w:val="0"/>
        <w:spacing w:lineRule="auto" w:line="288" w:before="0" w:after="0"/>
        <w:jc w:val="center"/>
        <w:rPr>
          <w:rFonts w:ascii="Arial;sans-serif" w:hAnsi="Arial;sans-serif"/>
          <w:b/>
          <w:color w:val="000000"/>
          <w:sz w:val="16"/>
        </w:rPr>
      </w:pPr>
      <w:r>
        <w:rPr>
          <w:rFonts w:ascii="Arial;sans-serif" w:hAnsi="Arial;sans-serif"/>
          <w:b/>
          <w:color w:val="000000"/>
          <w:sz w:val="16"/>
        </w:rPr>
        <w:t>(Exact name of Registrant as specified in its charter)</w:t>
      </w:r>
    </w:p>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000000"/>
          <w:sz w:val="16"/>
        </w:rPr>
      </w:pPr>
      <w:r>
        <w:rPr>
          <w:rFonts w:ascii="Arial;sans-serif" w:hAnsi="Arial;sans-serif"/>
          <w:b/>
          <w:color w:val="000000"/>
          <w:sz w:val="16"/>
        </w:rPr>
        <w:t>Federal Republic of Germany</w:t>
      </w:r>
    </w:p>
    <w:p>
      <w:pPr>
        <w:pStyle w:val="TextBody"/>
        <w:bidi w:val="0"/>
        <w:spacing w:lineRule="auto" w:line="288" w:before="0" w:after="0"/>
        <w:jc w:val="center"/>
        <w:rPr>
          <w:rFonts w:ascii="Arial;sans-serif" w:hAnsi="Arial;sans-serif"/>
          <w:b/>
          <w:color w:val="000000"/>
          <w:sz w:val="16"/>
        </w:rPr>
      </w:pPr>
      <w:r>
        <w:rPr>
          <w:rFonts w:ascii="Arial;sans-serif" w:hAnsi="Arial;sans-serif"/>
          <w:b/>
          <w:color w:val="000000"/>
          <w:sz w:val="16"/>
        </w:rPr>
        <w:t>(Jurisdiction of incorporation or organization)</w:t>
      </w:r>
    </w:p>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000000"/>
          <w:sz w:val="16"/>
        </w:rPr>
      </w:pPr>
      <w:r>
        <w:rPr>
          <w:rFonts w:ascii="Arial;sans-serif" w:hAnsi="Arial;sans-serif"/>
          <w:b/>
          <w:color w:val="000000"/>
          <w:sz w:val="16"/>
        </w:rPr>
        <w:t>An der Goldgrube 12</w:t>
      </w:r>
    </w:p>
    <w:p>
      <w:pPr>
        <w:pStyle w:val="TextBody"/>
        <w:bidi w:val="0"/>
        <w:spacing w:lineRule="auto" w:line="288" w:before="0" w:after="0"/>
        <w:jc w:val="center"/>
        <w:rPr>
          <w:rFonts w:ascii="Arial;sans-serif" w:hAnsi="Arial;sans-serif"/>
          <w:b/>
          <w:color w:val="000000"/>
          <w:sz w:val="16"/>
        </w:rPr>
      </w:pPr>
      <w:r>
        <w:rPr>
          <w:rFonts w:ascii="Arial;sans-serif" w:hAnsi="Arial;sans-serif"/>
          <w:b/>
          <w:color w:val="000000"/>
          <w:sz w:val="16"/>
        </w:rPr>
        <w:t>D-55131 Mainz</w:t>
      </w:r>
    </w:p>
    <w:p>
      <w:pPr>
        <w:pStyle w:val="TextBody"/>
        <w:bidi w:val="0"/>
        <w:spacing w:lineRule="auto" w:line="288" w:before="0" w:after="0"/>
        <w:jc w:val="center"/>
        <w:rPr>
          <w:rFonts w:ascii="Arial;sans-serif" w:hAnsi="Arial;sans-serif"/>
          <w:b/>
          <w:color w:val="000000"/>
          <w:sz w:val="16"/>
        </w:rPr>
      </w:pPr>
      <w:r>
        <w:rPr>
          <w:rFonts w:ascii="Arial;sans-serif" w:hAnsi="Arial;sans-serif"/>
          <w:b/>
          <w:color w:val="000000"/>
          <w:sz w:val="16"/>
        </w:rPr>
        <w:t>Germany</w:t>
      </w:r>
    </w:p>
    <w:p>
      <w:pPr>
        <w:pStyle w:val="TextBody"/>
        <w:bidi w:val="0"/>
        <w:spacing w:lineRule="auto" w:line="288" w:before="0" w:after="0"/>
        <w:jc w:val="center"/>
        <w:rPr>
          <w:rFonts w:ascii="Arial;sans-serif" w:hAnsi="Arial;sans-serif"/>
          <w:b/>
          <w:color w:val="000000"/>
          <w:sz w:val="16"/>
        </w:rPr>
      </w:pPr>
      <w:r>
        <w:rPr>
          <w:rFonts w:ascii="Arial;sans-serif" w:hAnsi="Arial;sans-serif"/>
          <w:b/>
          <w:color w:val="000000"/>
          <w:sz w:val="16"/>
        </w:rPr>
        <w:t>(Address of principal executive offices)</w:t>
      </w:r>
    </w:p>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000000"/>
          <w:sz w:val="16"/>
        </w:rPr>
      </w:pPr>
      <w:r>
        <w:rPr>
          <w:rFonts w:ascii="Arial;sans-serif" w:hAnsi="Arial;sans-serif"/>
          <w:b/>
          <w:color w:val="000000"/>
          <w:sz w:val="16"/>
        </w:rPr>
        <w:t>Prof. Ugur Sahin, M.D.</w:t>
      </w:r>
    </w:p>
    <w:p>
      <w:pPr>
        <w:pStyle w:val="TextBody"/>
        <w:bidi w:val="0"/>
        <w:spacing w:lineRule="auto" w:line="288" w:before="0" w:after="0"/>
        <w:jc w:val="center"/>
        <w:rPr>
          <w:rFonts w:ascii="Arial;sans-serif" w:hAnsi="Arial;sans-serif"/>
          <w:b/>
          <w:color w:val="000000"/>
          <w:sz w:val="16"/>
        </w:rPr>
      </w:pPr>
      <w:r>
        <w:rPr>
          <w:rFonts w:ascii="Arial;sans-serif" w:hAnsi="Arial;sans-serif"/>
          <w:b/>
          <w:color w:val="000000"/>
          <w:sz w:val="16"/>
        </w:rPr>
        <w:t>c/o BioNTech SE</w:t>
      </w:r>
    </w:p>
    <w:p>
      <w:pPr>
        <w:pStyle w:val="TextBody"/>
        <w:bidi w:val="0"/>
        <w:spacing w:lineRule="auto" w:line="288" w:before="0" w:after="0"/>
        <w:jc w:val="center"/>
        <w:rPr/>
      </w:pPr>
      <w:r>
        <w:rPr>
          <w:rFonts w:ascii="Arial;sans-serif" w:hAnsi="Arial;sans-serif"/>
          <w:b/>
          <w:color w:val="000000"/>
          <w:sz w:val="16"/>
        </w:rPr>
        <w:t>An der Goldgrube 12</w:t>
      </w:r>
      <w:r>
        <w:rPr>
          <w:color w:val="000000"/>
        </w:rPr>
        <w:t xml:space="preserve"> </w:t>
      </w:r>
    </w:p>
    <w:p>
      <w:pPr>
        <w:pStyle w:val="TextBody"/>
        <w:bidi w:val="0"/>
        <w:spacing w:lineRule="auto" w:line="288" w:before="0" w:after="0"/>
        <w:jc w:val="center"/>
        <w:rPr>
          <w:rFonts w:ascii="Arial;sans-serif" w:hAnsi="Arial;sans-serif"/>
          <w:b/>
          <w:color w:val="000000"/>
          <w:sz w:val="16"/>
        </w:rPr>
      </w:pPr>
      <w:r>
        <w:rPr>
          <w:rFonts w:ascii="Arial;sans-serif" w:hAnsi="Arial;sans-serif"/>
          <w:b/>
          <w:color w:val="000000"/>
          <w:sz w:val="16"/>
        </w:rPr>
        <w:t>D-55131 Mainz</w:t>
      </w:r>
    </w:p>
    <w:p>
      <w:pPr>
        <w:pStyle w:val="TextBody"/>
        <w:bidi w:val="0"/>
        <w:spacing w:lineRule="auto" w:line="288" w:before="0" w:after="0"/>
        <w:jc w:val="center"/>
        <w:rPr>
          <w:rFonts w:ascii="Arial;sans-serif" w:hAnsi="Arial;sans-serif"/>
          <w:b/>
          <w:color w:val="000000"/>
          <w:sz w:val="16"/>
        </w:rPr>
      </w:pPr>
      <w:r>
        <w:rPr>
          <w:rFonts w:ascii="Arial;sans-serif" w:hAnsi="Arial;sans-serif"/>
          <w:b/>
          <w:color w:val="000000"/>
          <w:sz w:val="16"/>
        </w:rPr>
        <w:t>Germany</w:t>
      </w:r>
    </w:p>
    <w:p>
      <w:pPr>
        <w:pStyle w:val="TextBody"/>
        <w:bidi w:val="0"/>
        <w:spacing w:lineRule="auto" w:line="288" w:before="0" w:after="0"/>
        <w:jc w:val="center"/>
        <w:rPr>
          <w:rFonts w:ascii="Arial;sans-serif" w:hAnsi="Arial;sans-serif"/>
          <w:b/>
          <w:color w:val="000000"/>
          <w:sz w:val="16"/>
        </w:rPr>
      </w:pPr>
      <w:r>
        <w:rPr>
          <w:rFonts w:ascii="Arial;sans-serif" w:hAnsi="Arial;sans-serif"/>
          <w:b/>
          <w:color w:val="000000"/>
          <w:sz w:val="16"/>
        </w:rPr>
        <w:t>+49 6131-9084-0 (Tel), +49 6131 9084-390 (Fax), info@biontech.de (E-mail)</w:t>
      </w:r>
    </w:p>
    <w:p>
      <w:pPr>
        <w:pStyle w:val="TextBody"/>
        <w:bidi w:val="0"/>
        <w:spacing w:lineRule="auto" w:line="288" w:before="0" w:after="0"/>
        <w:jc w:val="center"/>
        <w:rPr>
          <w:rFonts w:ascii="Arial;sans-serif" w:hAnsi="Arial;sans-serif"/>
          <w:b/>
          <w:color w:val="000000"/>
          <w:sz w:val="16"/>
        </w:rPr>
      </w:pPr>
      <w:r>
        <w:rPr>
          <w:rFonts w:ascii="Arial;sans-serif" w:hAnsi="Arial;sans-serif"/>
          <w:b/>
          <w:color w:val="000000"/>
          <w:sz w:val="16"/>
        </w:rPr>
        <w:t>(Name, Telephone, E-mail and/or Facsimile number and Address of Company Contact Person)</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4" w:space="0" w:color="000000"/>
            </w:tcBorders>
            <w:tcMar>
              <w:top w:w="0" w:type="dxa"/>
              <w:left w:w="0" w:type="dxa"/>
              <w:right w:w="0" w:type="dxa"/>
            </w:tcMar>
            <w:vAlign w:val="center"/>
          </w:tcPr>
          <w:p>
            <w:pPr>
              <w:pStyle w:val="TableContents"/>
              <w:bidi w:val="0"/>
              <w:spacing w:before="0" w:after="0"/>
              <w:jc w:val="center"/>
              <w:rPr/>
            </w:pPr>
            <w:r>
              <w:rPr/>
            </w:r>
          </w:p>
        </w:tc>
      </w:tr>
    </w:tbl>
    <w:p>
      <w:pPr>
        <w:pStyle w:val="TextBody"/>
        <w:bidi w:val="0"/>
        <w:spacing w:lineRule="auto" w:line="288" w:before="60" w:after="60"/>
        <w:jc w:val="left"/>
        <w:rPr>
          <w:rFonts w:ascii="Arial;sans-serif" w:hAnsi="Arial;sans-serif"/>
          <w:b/>
          <w:color w:val="000000"/>
          <w:sz w:val="16"/>
        </w:rPr>
      </w:pPr>
      <w:r>
        <w:rPr>
          <w:rFonts w:ascii="Arial;sans-serif" w:hAnsi="Arial;sans-serif"/>
          <w:b/>
          <w:color w:val="000000"/>
          <w:sz w:val="16"/>
        </w:rPr>
        <w:t>Securities registered or to be registered, pursuant to Section 12(b) of the Act</w:t>
      </w:r>
    </w:p>
    <w:tbl>
      <w:tblPr>
        <w:tblW w:w="10205" w:type="dxa"/>
        <w:jc w:val="left"/>
        <w:tblInd w:w="0" w:type="dxa"/>
        <w:tblLayout w:type="fixed"/>
        <w:tblCellMar>
          <w:top w:w="28" w:type="dxa"/>
          <w:left w:w="28" w:type="dxa"/>
          <w:bottom w:w="28" w:type="dxa"/>
          <w:right w:w="28" w:type="dxa"/>
        </w:tblCellMar>
      </w:tblPr>
      <w:tblGrid>
        <w:gridCol w:w="2075"/>
        <w:gridCol w:w="1794"/>
        <w:gridCol w:w="1769"/>
        <w:gridCol w:w="109"/>
        <w:gridCol w:w="109"/>
        <w:gridCol w:w="109"/>
        <w:gridCol w:w="292"/>
        <w:gridCol w:w="292"/>
        <w:gridCol w:w="294"/>
        <w:gridCol w:w="109"/>
        <w:gridCol w:w="109"/>
        <w:gridCol w:w="109"/>
        <w:gridCol w:w="887"/>
        <w:gridCol w:w="887"/>
        <w:gridCol w:w="1261"/>
      </w:tblGrid>
      <w:tr>
        <w:trPr/>
        <w:tc>
          <w:tcPr>
            <w:tcW w:w="2075" w:type="dxa"/>
            <w:tcBorders/>
            <w:vAlign w:val="center"/>
          </w:tcPr>
          <w:p>
            <w:pPr>
              <w:pStyle w:val="TableContents"/>
              <w:bidi w:val="0"/>
              <w:spacing w:before="0" w:after="283"/>
              <w:jc w:val="left"/>
              <w:rPr>
                <w:sz w:val="4"/>
                <w:szCs w:val="4"/>
              </w:rPr>
            </w:pPr>
            <w:r>
              <w:rPr>
                <w:sz w:val="4"/>
                <w:szCs w:val="4"/>
              </w:rPr>
            </w:r>
          </w:p>
        </w:tc>
        <w:tc>
          <w:tcPr>
            <w:tcW w:w="1794" w:type="dxa"/>
            <w:tcBorders/>
            <w:vAlign w:val="center"/>
          </w:tcPr>
          <w:p>
            <w:pPr>
              <w:pStyle w:val="TableContents"/>
              <w:bidi w:val="0"/>
              <w:spacing w:before="0" w:after="283"/>
              <w:jc w:val="left"/>
              <w:rPr>
                <w:sz w:val="4"/>
                <w:szCs w:val="4"/>
              </w:rPr>
            </w:pPr>
            <w:r>
              <w:rPr>
                <w:sz w:val="4"/>
                <w:szCs w:val="4"/>
              </w:rPr>
            </w:r>
          </w:p>
        </w:tc>
        <w:tc>
          <w:tcPr>
            <w:tcW w:w="17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r>
      <w:tr>
        <w:trPr/>
        <w:tc>
          <w:tcPr>
            <w:tcW w:w="5638" w:type="dxa"/>
            <w:gridSpan w:val="3"/>
            <w:tcBorders/>
            <w:tcMar>
              <w:top w:w="0" w:type="dxa"/>
              <w:left w:w="0" w:type="dxa"/>
              <w:bottom w:w="0" w:type="dxa"/>
              <w:right w:w="0" w:type="dxa"/>
            </w:tcMar>
            <w:vAlign w:val="center"/>
          </w:tcPr>
          <w:p>
            <w:pPr>
              <w:pStyle w:val="TableContents"/>
              <w:bidi w:val="0"/>
              <w:spacing w:lineRule="auto" w:line="319" w:before="0" w:after="2"/>
              <w:jc w:val="center"/>
              <w:rPr>
                <w:rFonts w:ascii="Arial;sans-serif" w:hAnsi="Arial;sans-serif"/>
                <w:b/>
                <w:color w:val="000000"/>
                <w:sz w:val="16"/>
              </w:rPr>
            </w:pPr>
            <w:r>
              <w:rPr>
                <w:rFonts w:ascii="Arial;sans-serif" w:hAnsi="Arial;sans-serif"/>
                <w:b/>
                <w:color w:val="000000"/>
                <w:sz w:val="16"/>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3"/>
            <w:tcBorders/>
            <w:tcMar>
              <w:top w:w="0" w:type="dxa"/>
              <w:left w:w="0" w:type="dxa"/>
              <w:bottom w:w="0" w:type="dxa"/>
              <w:right w:w="0" w:type="dxa"/>
            </w:tcMar>
            <w:vAlign w:val="center"/>
          </w:tcPr>
          <w:p>
            <w:pPr>
              <w:pStyle w:val="TableContents"/>
              <w:bidi w:val="0"/>
              <w:spacing w:lineRule="auto" w:line="249" w:before="0" w:after="0"/>
              <w:jc w:val="center"/>
              <w:rPr>
                <w:rFonts w:ascii="Arial;sans-serif" w:hAnsi="Arial;sans-serif"/>
                <w:b/>
                <w:color w:val="000000"/>
                <w:sz w:val="16"/>
              </w:rPr>
            </w:pPr>
            <w:r>
              <w:rPr>
                <w:rFonts w:ascii="Arial;sans-serif" w:hAnsi="Arial;sans-serif"/>
                <w:b/>
                <w:color w:val="000000"/>
                <w:sz w:val="16"/>
              </w:rPr>
              <w:t>Trading</w:t>
            </w:r>
          </w:p>
          <w:p>
            <w:pPr>
              <w:pStyle w:val="TableContents"/>
              <w:bidi w:val="0"/>
              <w:spacing w:lineRule="auto" w:line="249" w:before="0" w:after="0"/>
              <w:jc w:val="center"/>
              <w:rPr>
                <w:rFonts w:ascii="Arial;sans-serif" w:hAnsi="Arial;sans-serif"/>
                <w:b/>
                <w:color w:val="000000"/>
                <w:sz w:val="16"/>
              </w:rPr>
            </w:pPr>
            <w:r>
              <w:rPr>
                <w:rFonts w:ascii="Arial;sans-serif" w:hAnsi="Arial;sans-serif"/>
                <w:b/>
                <w:color w:val="000000"/>
                <w:sz w:val="16"/>
              </w:rPr>
              <w:t>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5" w:type="dxa"/>
            <w:gridSpan w:val="3"/>
            <w:tcBorders/>
            <w:tcMar>
              <w:top w:w="0" w:type="dxa"/>
              <w:left w:w="0" w:type="dxa"/>
              <w:bottom w:w="0" w:type="dxa"/>
              <w:right w:w="0" w:type="dxa"/>
            </w:tcMar>
            <w:vAlign w:val="center"/>
          </w:tcPr>
          <w:p>
            <w:pPr>
              <w:pStyle w:val="TableContents"/>
              <w:bidi w:val="0"/>
              <w:spacing w:lineRule="auto" w:line="319" w:before="0" w:after="2"/>
              <w:jc w:val="center"/>
              <w:rPr>
                <w:rFonts w:ascii="Arial;sans-serif" w:hAnsi="Arial;sans-serif"/>
                <w:b/>
                <w:color w:val="000000"/>
                <w:sz w:val="16"/>
              </w:rPr>
            </w:pPr>
            <w:r>
              <w:rPr>
                <w:rFonts w:ascii="Arial;sans-serif" w:hAnsi="Arial;sans-serif"/>
                <w:b/>
                <w:color w:val="000000"/>
                <w:sz w:val="16"/>
              </w:rPr>
              <w:t>Name of each exchange on which registered</w:t>
            </w:r>
          </w:p>
        </w:tc>
      </w:tr>
      <w:tr>
        <w:trPr/>
        <w:tc>
          <w:tcPr>
            <w:tcW w:w="5638"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19" w:before="0" w:after="2"/>
              <w:jc w:val="left"/>
              <w:rPr>
                <w:rFonts w:ascii="Arial;sans-serif" w:hAnsi="Arial;sans-serif"/>
                <w:b w:val="false"/>
                <w:color w:val="000000"/>
                <w:sz w:val="16"/>
              </w:rPr>
            </w:pPr>
            <w:r>
              <w:rPr>
                <w:rFonts w:ascii="Arial;sans-serif" w:hAnsi="Arial;sans-serif"/>
                <w:b w:val="false"/>
                <w:color w:val="000000"/>
                <w:sz w:val="16"/>
              </w:rPr>
              <w:t>American Depositary Shares, each Representing one ordinary share</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19" w:before="0" w:after="2"/>
              <w:jc w:val="center"/>
              <w:rPr>
                <w:rFonts w:ascii="Arial;sans-serif" w:hAnsi="Arial;sans-serif"/>
                <w:b w:val="false"/>
                <w:color w:val="000000"/>
                <w:sz w:val="16"/>
              </w:rPr>
            </w:pPr>
            <w:r>
              <w:rPr>
                <w:rFonts w:ascii="Arial;sans-serif" w:hAnsi="Arial;sans-serif"/>
                <w:b w:val="false"/>
                <w:color w:val="000000"/>
                <w:sz w:val="16"/>
              </w:rPr>
              <w:t>BNTX</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19" w:before="0" w:after="2"/>
              <w:jc w:val="center"/>
              <w:rPr>
                <w:rFonts w:ascii="Arial;sans-serif" w:hAnsi="Arial;sans-serif"/>
                <w:b w:val="false"/>
                <w:color w:val="000000"/>
                <w:sz w:val="16"/>
              </w:rPr>
            </w:pPr>
            <w:r>
              <w:rPr>
                <w:rFonts w:ascii="Arial;sans-serif" w:hAnsi="Arial;sans-serif"/>
                <w:b w:val="false"/>
                <w:color w:val="000000"/>
                <w:sz w:val="16"/>
              </w:rPr>
              <w:t>The Nasdaq Stock Market LLC</w:t>
            </w:r>
          </w:p>
        </w:tc>
      </w:tr>
      <w:tr>
        <w:trPr/>
        <w:tc>
          <w:tcPr>
            <w:tcW w:w="5638"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319" w:before="0" w:after="2"/>
              <w:jc w:val="left"/>
              <w:rPr>
                <w:rFonts w:ascii="Arial;sans-serif" w:hAnsi="Arial;sans-serif"/>
                <w:b w:val="false"/>
                <w:color w:val="000000"/>
                <w:sz w:val="16"/>
              </w:rPr>
            </w:pPr>
            <w:r>
              <w:rPr>
                <w:rFonts w:ascii="Arial;sans-serif" w:hAnsi="Arial;sans-serif"/>
                <w:b w:val="false"/>
                <w:color w:val="000000"/>
                <w:sz w:val="16"/>
              </w:rPr>
              <w:t>Ordinary shares, no par value, with a notional amount attributable to each ordinary share of €1*</w:t>
            </w:r>
          </w:p>
        </w:tc>
        <w:tc>
          <w:tcPr>
            <w:tcW w:w="327"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78"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319" w:before="0" w:after="2"/>
              <w:jc w:val="center"/>
              <w:rPr>
                <w:color w:val="000000"/>
              </w:rPr>
            </w:pPr>
            <w:r>
              <w:rPr>
                <w:color w:val="000000"/>
              </w:rPr>
              <w:t>—</w:t>
            </w:r>
          </w:p>
        </w:tc>
        <w:tc>
          <w:tcPr>
            <w:tcW w:w="327"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035"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319" w:before="0" w:after="2"/>
              <w:jc w:val="center"/>
              <w:rPr>
                <w:rFonts w:ascii="Arial;sans-serif" w:hAnsi="Arial;sans-serif"/>
                <w:b w:val="false"/>
                <w:color w:val="000000"/>
                <w:sz w:val="16"/>
              </w:rPr>
            </w:pPr>
            <w:r>
              <w:rPr>
                <w:rFonts w:ascii="Arial;sans-serif" w:hAnsi="Arial;sans-serif"/>
                <w:b w:val="false"/>
                <w:color w:val="000000"/>
                <w:sz w:val="16"/>
              </w:rPr>
              <w:t>The Nasdaq Stock Market LLC*</w:t>
            </w:r>
          </w:p>
        </w:tc>
      </w:tr>
    </w:tbl>
    <w:p>
      <w:pPr>
        <w:pStyle w:val="TextBody"/>
        <w:bidi w:val="0"/>
        <w:spacing w:lineRule="auto" w:line="288" w:before="60" w:after="60"/>
        <w:jc w:val="left"/>
        <w:rPr/>
      </w:pPr>
      <w:r>
        <w:rPr>
          <w:rFonts w:ascii="Arial;sans-serif" w:hAnsi="Arial;sans-serif"/>
          <w:b w:val="false"/>
          <w:color w:val="000000"/>
          <w:sz w:val="16"/>
        </w:rPr>
        <w:t xml:space="preserve">Securities registered or to be registered pursuant to Section 12(g) of the Act: </w:t>
      </w:r>
      <w:r>
        <w:rPr>
          <w:rFonts w:ascii="Arial;sans-serif" w:hAnsi="Arial;sans-serif"/>
          <w:b/>
          <w:color w:val="000000"/>
          <w:sz w:val="16"/>
        </w:rPr>
        <w:t>None</w:t>
      </w:r>
    </w:p>
    <w:p>
      <w:pPr>
        <w:pStyle w:val="TextBody"/>
        <w:bidi w:val="0"/>
        <w:spacing w:lineRule="auto" w:line="288" w:before="60" w:after="60"/>
        <w:jc w:val="left"/>
        <w:rPr/>
      </w:pPr>
      <w:r>
        <w:rPr>
          <w:rFonts w:ascii="Arial;sans-serif" w:hAnsi="Arial;sans-serif"/>
          <w:b w:val="false"/>
          <w:color w:val="000000"/>
          <w:sz w:val="16"/>
        </w:rPr>
        <w:t xml:space="preserve">Securities for which there is a reporting obligation pursuant to Section 15(d) of the Act: </w:t>
      </w:r>
      <w:r>
        <w:rPr>
          <w:rFonts w:ascii="Arial;sans-serif" w:hAnsi="Arial;sans-serif"/>
          <w:b/>
          <w:color w:val="000000"/>
          <w:sz w:val="16"/>
        </w:rPr>
        <w:t>None</w:t>
      </w:r>
    </w:p>
    <w:p>
      <w:pPr>
        <w:pStyle w:val="TextBody"/>
        <w:bidi w:val="0"/>
        <w:spacing w:lineRule="auto" w:line="288" w:before="60" w:after="60"/>
        <w:jc w:val="left"/>
        <w:rPr>
          <w:rFonts w:ascii="Arial;sans-serif" w:hAnsi="Arial;sans-serif"/>
          <w:b w:val="false"/>
          <w:color w:val="000000"/>
          <w:sz w:val="16"/>
        </w:rPr>
      </w:pPr>
      <w:r>
        <w:rPr>
          <w:rFonts w:ascii="Arial;sans-serif" w:hAnsi="Arial;sans-serif"/>
          <w:b w:val="false"/>
          <w:color w:val="000000"/>
          <w:sz w:val="16"/>
        </w:rPr>
        <w:t>Indicate the number of outstanding shares of each of the issuer’s classes of capital stock or common stock as of the close of business covered by the annual report.</w:t>
      </w:r>
    </w:p>
    <w:p>
      <w:pPr>
        <w:pStyle w:val="TextBody"/>
        <w:bidi w:val="0"/>
        <w:spacing w:lineRule="auto" w:line="288" w:before="60" w:after="60"/>
        <w:jc w:val="left"/>
        <w:rPr>
          <w:rFonts w:ascii="Arial;sans-serif" w:hAnsi="Arial;sans-serif"/>
          <w:b w:val="false"/>
          <w:color w:val="000000"/>
          <w:sz w:val="16"/>
        </w:rPr>
      </w:pPr>
      <w:r>
        <w:rPr>
          <w:rFonts w:ascii="Arial;sans-serif" w:hAnsi="Arial;sans-serif"/>
          <w:b w:val="false"/>
          <w:color w:val="000000"/>
          <w:sz w:val="16"/>
        </w:rPr>
        <w:t>Ordinary shares, no par value, with a notional amount attributable to each share of €1 outstanding up until March 27, 2026, the most recent practicable date, no par value: 252,884,261</w:t>
      </w:r>
    </w:p>
    <w:p>
      <w:pPr>
        <w:pStyle w:val="TextBody"/>
        <w:bidi w:val="0"/>
        <w:spacing w:lineRule="auto" w:line="288" w:before="60" w:after="60"/>
        <w:jc w:val="left"/>
        <w:rPr>
          <w:rFonts w:ascii="Arial;sans-serif" w:hAnsi="Arial;sans-serif"/>
          <w:b w:val="false"/>
          <w:color w:val="000000"/>
          <w:sz w:val="16"/>
        </w:rPr>
      </w:pPr>
      <w:r>
        <w:rPr>
          <w:rFonts w:ascii="Arial;sans-serif" w:hAnsi="Arial;sans-serif"/>
          <w:b w:val="false"/>
          <w:color w:val="000000"/>
          <w:sz w:val="16"/>
        </w:rPr>
        <w:t>Indicate by check mark if the registrant is a well-known seasoned issuer, as defined in Rule 405 of the Securities Act.    Yes  ☒    No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both"/>
                        <w:rPr/>
                      </w:pPr>
                      <w:r>
                        <w:rPr/>
                      </w:r>
                    </w:p>
                  </w:txbxContent>
                </v:textbox>
                <w10:wrap type="none"/>
              </v:rect>
            </w:pict>
          </mc:Fallback>
        </mc:AlternateContent>
      </w:r>
    </w:p>
    <w:p>
      <w:pPr>
        <w:pStyle w:val="TextBody"/>
        <w:bidi w:val="0"/>
        <w:spacing w:before="0" w:after="240"/>
        <w:jc w:val="both"/>
        <w:rPr/>
      </w:pPr>
      <w:r>
        <w:rPr/>
      </w:r>
    </w:p>
    <w:p>
      <w:pPr>
        <w:pStyle w:val="TextBody"/>
        <w:bidi w:val="0"/>
        <w:spacing w:lineRule="auto" w:line="288" w:before="60" w:after="60"/>
        <w:jc w:val="left"/>
        <w:rPr>
          <w:rFonts w:ascii="Arial;sans-serif" w:hAnsi="Arial;sans-serif"/>
          <w:b w:val="false"/>
          <w:color w:val="000000"/>
          <w:sz w:val="16"/>
        </w:rPr>
      </w:pPr>
      <w:r>
        <w:rPr>
          <w:rFonts w:ascii="Arial;sans-serif" w:hAnsi="Arial;sans-serif"/>
          <w:b w:val="false"/>
          <w:color w:val="000000"/>
          <w:sz w:val="16"/>
        </w:rPr>
        <w:t>If this report is an annual or transition report, indicate by check mark if the registrant is not required to file reports pursuant to Section 13 or 15(d) of the Securities Exchange Act of 1934.    Yes  ☐    No  ☒</w:t>
      </w:r>
    </w:p>
    <w:p>
      <w:pPr>
        <w:pStyle w:val="TextBody"/>
        <w:bidi w:val="0"/>
        <w:spacing w:lineRule="auto" w:line="288" w:before="60" w:after="60"/>
        <w:jc w:val="left"/>
        <w:rPr>
          <w:rFonts w:ascii="Arial;sans-serif" w:hAnsi="Arial;sans-serif"/>
          <w:b w:val="false"/>
          <w:color w:val="000000"/>
          <w:sz w:val="16"/>
        </w:rPr>
      </w:pPr>
      <w:r>
        <w:rPr>
          <w:rFonts w:ascii="Arial;sans-serif" w:hAnsi="Arial;sans-serif"/>
          <w:b w:val="false"/>
          <w:color w:val="000000"/>
          <w:sz w:val="16"/>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w:t>
      </w:r>
    </w:p>
    <w:p>
      <w:pPr>
        <w:pStyle w:val="TextBody"/>
        <w:bidi w:val="0"/>
        <w:spacing w:lineRule="auto" w:line="288" w:before="60" w:after="60"/>
        <w:jc w:val="left"/>
        <w:rPr>
          <w:rFonts w:ascii="Arial;sans-serif" w:hAnsi="Arial;sans-serif"/>
          <w:b w:val="false"/>
          <w:color w:val="000000"/>
          <w:sz w:val="16"/>
        </w:rPr>
      </w:pPr>
      <w:r>
        <w:rPr>
          <w:rFonts w:ascii="Arial;sans-serif" w:hAnsi="Arial;sans-serif"/>
          <w:b w:val="false"/>
          <w:color w:val="000000"/>
          <w:sz w:val="16"/>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   No  ☐</w:t>
      </w:r>
    </w:p>
    <w:p>
      <w:pPr>
        <w:pStyle w:val="TextBody"/>
        <w:bidi w:val="0"/>
        <w:spacing w:lineRule="auto" w:line="288" w:before="60" w:after="60"/>
        <w:jc w:val="left"/>
        <w:rPr>
          <w:rFonts w:ascii="Arial;sans-serif" w:hAnsi="Arial;sans-serif"/>
          <w:b w:val="false"/>
          <w:color w:val="000000"/>
          <w:sz w:val="16"/>
        </w:rPr>
      </w:pPr>
      <w:r>
        <w:rPr>
          <w:rFonts w:ascii="Arial;sans-serif" w:hAnsi="Arial;sans-serif"/>
          <w:b w:val="false"/>
          <w:color w:val="000000"/>
          <w:sz w:val="16"/>
        </w:rPr>
        <w:t>Indicate by check mark whether the registrant is a large accelerated filer, an accelerated filer, a non-accelerated filer, or an emerging growth company. See the definitions of “large accelerated filer,” “accelerated filer,” and “emerging growth company” in Rule 12b-2 of the Exchange Act.</w:t>
      </w:r>
    </w:p>
    <w:tbl>
      <w:tblPr>
        <w:tblW w:w="8040" w:type="dxa"/>
        <w:jc w:val="left"/>
        <w:tblInd w:w="0" w:type="dxa"/>
        <w:tblLayout w:type="fixed"/>
        <w:tblCellMar>
          <w:top w:w="28" w:type="dxa"/>
          <w:left w:w="28" w:type="dxa"/>
          <w:bottom w:w="28" w:type="dxa"/>
          <w:right w:w="28" w:type="dxa"/>
        </w:tblCellMar>
      </w:tblPr>
      <w:tblGrid>
        <w:gridCol w:w="629"/>
        <w:gridCol w:w="554"/>
        <w:gridCol w:w="556"/>
        <w:gridCol w:w="109"/>
        <w:gridCol w:w="109"/>
        <w:gridCol w:w="109"/>
        <w:gridCol w:w="424"/>
        <w:gridCol w:w="424"/>
        <w:gridCol w:w="426"/>
        <w:gridCol w:w="109"/>
        <w:gridCol w:w="109"/>
        <w:gridCol w:w="109"/>
        <w:gridCol w:w="539"/>
        <w:gridCol w:w="539"/>
        <w:gridCol w:w="541"/>
        <w:gridCol w:w="109"/>
        <w:gridCol w:w="109"/>
        <w:gridCol w:w="109"/>
        <w:gridCol w:w="684"/>
        <w:gridCol w:w="684"/>
        <w:gridCol w:w="687"/>
        <w:gridCol w:w="109"/>
        <w:gridCol w:w="109"/>
        <w:gridCol w:w="154"/>
      </w:tblGrid>
      <w:tr>
        <w:trPr/>
        <w:tc>
          <w:tcPr>
            <w:tcW w:w="629"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39" w:type="dxa"/>
            <w:gridSpan w:val="3"/>
            <w:tcBorders/>
            <w:tcMar>
              <w:top w:w="0" w:type="dxa"/>
              <w:left w:w="0" w:type="dxa"/>
              <w:bottom w:w="0" w:type="dxa"/>
              <w:right w:w="0" w:type="dxa"/>
            </w:tcMar>
            <w:vAlign w:val="center"/>
          </w:tcPr>
          <w:p>
            <w:pPr>
              <w:pStyle w:val="TableContents"/>
              <w:bidi w:val="0"/>
              <w:spacing w:lineRule="auto" w:line="319" w:before="0" w:after="2"/>
              <w:jc w:val="left"/>
              <w:rPr>
                <w:rFonts w:ascii="Arial;sans-serif" w:hAnsi="Arial;sans-serif"/>
                <w:b w:val="false"/>
                <w:color w:val="000000"/>
                <w:sz w:val="16"/>
              </w:rPr>
            </w:pPr>
            <w:r>
              <w:rPr>
                <w:rFonts w:ascii="Arial;sans-serif" w:hAnsi="Arial;sans-serif"/>
                <w:b w:val="false"/>
                <w:color w:val="000000"/>
                <w:sz w:val="16"/>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319" w:before="0" w:after="2"/>
              <w:jc w:val="left"/>
              <w:rPr>
                <w:color w:val="000000"/>
              </w:rPr>
            </w:pPr>
            <w:r>
              <w:rPr>
                <w:color w:val="000000"/>
              </w:rPr>
              <w:t>☒</w:t>
            </w:r>
          </w:p>
        </w:tc>
        <w:tc>
          <w:tcPr>
            <w:tcW w:w="1274" w:type="dxa"/>
            <w:gridSpan w:val="3"/>
            <w:tcBorders/>
            <w:tcMar>
              <w:top w:w="0" w:type="dxa"/>
              <w:left w:w="0" w:type="dxa"/>
              <w:bottom w:w="0" w:type="dxa"/>
              <w:right w:w="0" w:type="dxa"/>
            </w:tcMar>
            <w:vAlign w:val="center"/>
          </w:tcPr>
          <w:p>
            <w:pPr>
              <w:pStyle w:val="TableContents"/>
              <w:bidi w:val="0"/>
              <w:spacing w:lineRule="auto" w:line="319" w:before="0" w:after="2"/>
              <w:jc w:val="left"/>
              <w:rPr>
                <w:rFonts w:ascii="Arial;sans-serif" w:hAnsi="Arial;sans-serif"/>
                <w:b w:val="false"/>
                <w:color w:val="000000"/>
                <w:sz w:val="16"/>
              </w:rPr>
            </w:pPr>
            <w:r>
              <w:rPr>
                <w:rFonts w:ascii="Arial;sans-serif" w:hAnsi="Arial;sans-serif"/>
                <w:b w:val="false"/>
                <w:color w:val="000000"/>
                <w:sz w:val="16"/>
              </w:rPr>
              <w:t>Accelerated filer</w:t>
            </w:r>
          </w:p>
        </w:tc>
        <w:tc>
          <w:tcPr>
            <w:tcW w:w="327" w:type="dxa"/>
            <w:gridSpan w:val="3"/>
            <w:tcBorders/>
            <w:tcMar>
              <w:top w:w="0" w:type="dxa"/>
              <w:left w:w="0" w:type="dxa"/>
              <w:bottom w:w="0" w:type="dxa"/>
              <w:right w:w="0" w:type="dxa"/>
            </w:tcMar>
            <w:vAlign w:val="center"/>
          </w:tcPr>
          <w:p>
            <w:pPr>
              <w:pStyle w:val="TableContents"/>
              <w:bidi w:val="0"/>
              <w:spacing w:lineRule="auto" w:line="319" w:before="0" w:after="2"/>
              <w:jc w:val="left"/>
              <w:rPr>
                <w:color w:val="000000"/>
              </w:rPr>
            </w:pPr>
            <w:r>
              <w:rPr>
                <w:color w:val="000000"/>
              </w:rPr>
              <w:t>☐</w:t>
            </w:r>
          </w:p>
        </w:tc>
        <w:tc>
          <w:tcPr>
            <w:tcW w:w="1619" w:type="dxa"/>
            <w:gridSpan w:val="3"/>
            <w:tcBorders/>
            <w:tcMar>
              <w:top w:w="0" w:type="dxa"/>
              <w:left w:w="0" w:type="dxa"/>
              <w:bottom w:w="0" w:type="dxa"/>
              <w:right w:w="0" w:type="dxa"/>
            </w:tcMar>
            <w:vAlign w:val="center"/>
          </w:tcPr>
          <w:p>
            <w:pPr>
              <w:pStyle w:val="TableContents"/>
              <w:bidi w:val="0"/>
              <w:spacing w:lineRule="auto" w:line="319" w:before="0" w:after="2"/>
              <w:jc w:val="left"/>
              <w:rPr>
                <w:rFonts w:ascii="Arial;sans-serif" w:hAnsi="Arial;sans-serif"/>
                <w:b w:val="false"/>
                <w:color w:val="000000"/>
                <w:sz w:val="16"/>
              </w:rPr>
            </w:pPr>
            <w:r>
              <w:rPr>
                <w:rFonts w:ascii="Arial;sans-serif" w:hAnsi="Arial;sans-serif"/>
                <w:b w:val="false"/>
                <w:color w:val="000000"/>
                <w:sz w:val="16"/>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319" w:before="0" w:after="2"/>
              <w:jc w:val="left"/>
              <w:rPr>
                <w:color w:val="000000"/>
              </w:rPr>
            </w:pPr>
            <w:r>
              <w:rPr>
                <w:color w:val="000000"/>
              </w:rPr>
              <w:t>☐</w:t>
            </w:r>
          </w:p>
        </w:tc>
        <w:tc>
          <w:tcPr>
            <w:tcW w:w="2055" w:type="dxa"/>
            <w:gridSpan w:val="3"/>
            <w:tcBorders/>
            <w:tcMar>
              <w:top w:w="0" w:type="dxa"/>
              <w:left w:w="0" w:type="dxa"/>
              <w:bottom w:w="0" w:type="dxa"/>
              <w:right w:w="0" w:type="dxa"/>
            </w:tcMar>
            <w:vAlign w:val="center"/>
          </w:tcPr>
          <w:p>
            <w:pPr>
              <w:pStyle w:val="TableContents"/>
              <w:bidi w:val="0"/>
              <w:spacing w:lineRule="auto" w:line="319" w:before="0" w:after="2"/>
              <w:jc w:val="left"/>
              <w:rPr>
                <w:rFonts w:ascii="Arial;sans-serif" w:hAnsi="Arial;sans-serif"/>
                <w:b w:val="false"/>
                <w:color w:val="000000"/>
                <w:sz w:val="16"/>
              </w:rPr>
            </w:pPr>
            <w:r>
              <w:rPr>
                <w:rFonts w:ascii="Arial;sans-serif" w:hAnsi="Arial;sans-serif"/>
                <w:b w:val="false"/>
                <w:color w:val="000000"/>
                <w:sz w:val="16"/>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319" w:before="0" w:after="2"/>
              <w:jc w:val="left"/>
              <w:rPr>
                <w:color w:val="000000"/>
              </w:rPr>
            </w:pPr>
            <w:r>
              <w:rPr>
                <w:color w:val="000000"/>
              </w:rPr>
              <w:t>☐</w:t>
            </w:r>
          </w:p>
        </w:tc>
      </w:tr>
    </w:tbl>
    <w:p>
      <w:pPr>
        <w:pStyle w:val="TextBody"/>
        <w:bidi w:val="0"/>
        <w:spacing w:lineRule="auto" w:line="288" w:before="60" w:after="60"/>
        <w:jc w:val="left"/>
        <w:rPr>
          <w:rFonts w:ascii="Arial;sans-serif" w:hAnsi="Arial;sans-serif"/>
          <w:b w:val="false"/>
          <w:color w:val="000000"/>
          <w:sz w:val="16"/>
        </w:rPr>
      </w:pPr>
      <w:r>
        <w:rPr>
          <w:rFonts w:ascii="Arial;sans-serif" w:hAnsi="Arial;sans-serif"/>
          <w:b w:val="false"/>
          <w:color w:val="000000"/>
          <w:sz w:val="16"/>
        </w:rPr>
        <w:t>If an emerging growth company that prepares its financial statements in accordance with U.S. GAAP, indicate by check mark if the registrant has elected not to use the extended transition period for complying with any new or revised financial accounting standards † provided pursuant to Section 13(a) of the Exchange Act.  ☐</w:t>
      </w:r>
    </w:p>
    <w:p>
      <w:pPr>
        <w:pStyle w:val="TextBody"/>
        <w:bidi w:val="0"/>
        <w:spacing w:lineRule="auto" w:line="288" w:before="60" w:after="60"/>
        <w:jc w:val="left"/>
        <w:rPr>
          <w:rFonts w:ascii="Arial;sans-serif" w:hAnsi="Arial;sans-serif"/>
          <w:b w:val="false"/>
          <w:color w:val="000000"/>
          <w:sz w:val="16"/>
        </w:rPr>
      </w:pPr>
      <w:r>
        <w:rPr>
          <w:rFonts w:ascii="Arial;sans-serif" w:hAnsi="Arial;sans-serif"/>
          <w:b w:val="false"/>
          <w:color w:val="000000"/>
          <w:sz w:val="16"/>
        </w:rPr>
        <w:t>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p>
    <w:p>
      <w:pPr>
        <w:pStyle w:val="TextBody"/>
        <w:bidi w:val="0"/>
        <w:spacing w:lineRule="auto" w:line="288" w:before="60" w:after="60"/>
        <w:jc w:val="both"/>
        <w:rPr>
          <w:rFonts w:ascii="Arial;sans-serif" w:hAnsi="Arial;sans-serif"/>
          <w:b w:val="false"/>
          <w:color w:val="000000"/>
          <w:sz w:val="16"/>
        </w:rPr>
      </w:pPr>
      <w:r>
        <w:rPr>
          <w:rFonts w:ascii="Arial;sans-serif" w:hAnsi="Arial;sans-serif"/>
          <w:b w:val="false"/>
          <w:color w:val="000000"/>
          <w:sz w:val="16"/>
        </w:rPr>
        <w:t>If securities are registered pursuant to Section 12(b) of the Act, indicate by check mark whether the financial statements of the registrant included in the filing reflect the correction of an error to previously issued financial statements. ☐</w:t>
      </w:r>
    </w:p>
    <w:p>
      <w:pPr>
        <w:pStyle w:val="TextBody"/>
        <w:bidi w:val="0"/>
        <w:spacing w:lineRule="auto" w:line="288" w:before="60" w:after="60"/>
        <w:jc w:val="left"/>
        <w:rPr>
          <w:rFonts w:ascii="Arial;sans-serif" w:hAnsi="Arial;sans-serif"/>
          <w:b w:val="false"/>
          <w:color w:val="000000"/>
          <w:sz w:val="16"/>
        </w:rPr>
      </w:pPr>
      <w:r>
        <w:rPr>
          <w:rFonts w:ascii="Arial;sans-serif" w:hAnsi="Arial;sans-serif"/>
          <w:b w:val="false"/>
          <w:color w:val="000000"/>
          <w:sz w:val="16"/>
        </w:rPr>
        <w:t>Indicate by check mark whether any of those error corrections are restatements that required a recovery analysis of incentive-based compensation received by any of the registrant’s executive officers during the relevant recovery period pursuant to §240.10D-1(b). ☐</w:t>
      </w:r>
    </w:p>
    <w:p>
      <w:pPr>
        <w:pStyle w:val="TextBody"/>
        <w:bidi w:val="0"/>
        <w:spacing w:lineRule="auto" w:line="288" w:before="60" w:after="60"/>
        <w:jc w:val="left"/>
        <w:rPr>
          <w:rFonts w:ascii="Arial;sans-serif" w:hAnsi="Arial;sans-serif"/>
          <w:b w:val="false"/>
          <w:color w:val="000000"/>
          <w:sz w:val="16"/>
        </w:rPr>
      </w:pPr>
      <w:r>
        <w:rPr>
          <w:rFonts w:ascii="Arial;sans-serif" w:hAnsi="Arial;sans-serif"/>
          <w:b w:val="false"/>
          <w:color w:val="000000"/>
          <w:sz w:val="16"/>
        </w:rPr>
        <w:t>Indicate by check mark which basis of accounting the registrant has used to prepare the financial statements included in this filing:</w:t>
      </w:r>
    </w:p>
    <w:tbl>
      <w:tblPr>
        <w:tblW w:w="10205" w:type="dxa"/>
        <w:jc w:val="left"/>
        <w:tblInd w:w="0" w:type="dxa"/>
        <w:tblLayout w:type="fixed"/>
        <w:tblCellMar>
          <w:top w:w="28" w:type="dxa"/>
          <w:left w:w="28" w:type="dxa"/>
          <w:bottom w:w="28" w:type="dxa"/>
          <w:right w:w="28" w:type="dxa"/>
        </w:tblCellMar>
      </w:tblPr>
      <w:tblGrid>
        <w:gridCol w:w="424"/>
        <w:gridCol w:w="373"/>
        <w:gridCol w:w="374"/>
        <w:gridCol w:w="109"/>
        <w:gridCol w:w="109"/>
        <w:gridCol w:w="109"/>
        <w:gridCol w:w="2520"/>
        <w:gridCol w:w="2520"/>
        <w:gridCol w:w="2528"/>
        <w:gridCol w:w="109"/>
        <w:gridCol w:w="109"/>
        <w:gridCol w:w="109"/>
        <w:gridCol w:w="237"/>
        <w:gridCol w:w="237"/>
        <w:gridCol w:w="338"/>
      </w:tblGrid>
      <w:tr>
        <w:trPr/>
        <w:tc>
          <w:tcPr>
            <w:tcW w:w="424"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20" w:type="dxa"/>
            <w:tcBorders/>
            <w:vAlign w:val="center"/>
          </w:tcPr>
          <w:p>
            <w:pPr>
              <w:pStyle w:val="TableContents"/>
              <w:bidi w:val="0"/>
              <w:spacing w:before="0" w:after="283"/>
              <w:jc w:val="left"/>
              <w:rPr>
                <w:sz w:val="4"/>
                <w:szCs w:val="4"/>
              </w:rPr>
            </w:pPr>
            <w:r>
              <w:rPr>
                <w:sz w:val="4"/>
                <w:szCs w:val="4"/>
              </w:rPr>
            </w:r>
          </w:p>
        </w:tc>
        <w:tc>
          <w:tcPr>
            <w:tcW w:w="2520" w:type="dxa"/>
            <w:tcBorders/>
            <w:vAlign w:val="center"/>
          </w:tcPr>
          <w:p>
            <w:pPr>
              <w:pStyle w:val="TableContents"/>
              <w:bidi w:val="0"/>
              <w:spacing w:before="0" w:after="283"/>
              <w:jc w:val="left"/>
              <w:rPr>
                <w:sz w:val="4"/>
                <w:szCs w:val="4"/>
              </w:rPr>
            </w:pPr>
            <w:r>
              <w:rPr>
                <w:sz w:val="4"/>
                <w:szCs w:val="4"/>
              </w:rPr>
            </w:r>
          </w:p>
        </w:tc>
        <w:tc>
          <w:tcPr>
            <w:tcW w:w="25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lineRule="auto" w:line="249" w:before="0" w:after="0"/>
              <w:jc w:val="center"/>
              <w:rPr>
                <w:rFonts w:ascii="Arial;sans-serif" w:hAnsi="Arial;sans-serif"/>
                <w:b w:val="false"/>
                <w:color w:val="000000"/>
                <w:sz w:val="16"/>
              </w:rPr>
            </w:pPr>
            <w:r>
              <w:rPr>
                <w:rFonts w:ascii="Arial;sans-serif" w:hAnsi="Arial;sans-serif"/>
                <w:b w:val="false"/>
                <w:color w:val="000000"/>
                <w:sz w:val="16"/>
              </w:rPr>
              <w:t>U.S. GAAP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8" w:type="dxa"/>
            <w:gridSpan w:val="3"/>
            <w:tcBorders/>
            <w:tcMar>
              <w:top w:w="0" w:type="dxa"/>
              <w:left w:w="0" w:type="dxa"/>
              <w:bottom w:w="0" w:type="dxa"/>
              <w:right w:w="0" w:type="dxa"/>
            </w:tcMar>
            <w:vAlign w:val="center"/>
          </w:tcPr>
          <w:p>
            <w:pPr>
              <w:pStyle w:val="TableContents"/>
              <w:bidi w:val="0"/>
              <w:spacing w:lineRule="auto" w:line="319" w:before="0" w:after="2"/>
              <w:jc w:val="center"/>
              <w:rPr>
                <w:rFonts w:ascii="Arial;sans-serif" w:hAnsi="Arial;sans-serif"/>
                <w:b w:val="false"/>
                <w:color w:val="000000"/>
                <w:sz w:val="16"/>
              </w:rPr>
            </w:pPr>
            <w:r>
              <w:rPr>
                <w:rFonts w:ascii="Arial;sans-serif" w:hAnsi="Arial;sans-serif"/>
                <w:b w:val="false"/>
                <w:color w:val="000000"/>
                <w:sz w:val="16"/>
              </w:rPr>
              <w:t>International Financial Reporting Standards as issued by the International Accounting Standards Board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tcMar>
              <w:top w:w="0" w:type="dxa"/>
              <w:left w:w="0" w:type="dxa"/>
              <w:bottom w:w="0" w:type="dxa"/>
              <w:right w:w="0" w:type="dxa"/>
            </w:tcMar>
            <w:vAlign w:val="center"/>
          </w:tcPr>
          <w:p>
            <w:pPr>
              <w:pStyle w:val="TableContents"/>
              <w:bidi w:val="0"/>
              <w:spacing w:lineRule="auto" w:line="249" w:before="0" w:after="0"/>
              <w:jc w:val="center"/>
              <w:rPr>
                <w:rFonts w:ascii="Arial;sans-serif" w:hAnsi="Arial;sans-serif"/>
                <w:b w:val="false"/>
                <w:color w:val="000000"/>
                <w:sz w:val="16"/>
              </w:rPr>
            </w:pPr>
            <w:r>
              <w:rPr>
                <w:rFonts w:ascii="Arial;sans-serif" w:hAnsi="Arial;sans-serif"/>
                <w:b w:val="false"/>
                <w:color w:val="000000"/>
                <w:sz w:val="16"/>
              </w:rPr>
              <w:t>Other  ☐</w:t>
            </w:r>
          </w:p>
        </w:tc>
      </w:tr>
    </w:tbl>
    <w:p>
      <w:pPr>
        <w:pStyle w:val="TextBody"/>
        <w:bidi w:val="0"/>
        <w:spacing w:lineRule="auto" w:line="288" w:before="60" w:after="60"/>
        <w:jc w:val="both"/>
        <w:rPr>
          <w:rFonts w:ascii="Arial;sans-serif" w:hAnsi="Arial;sans-serif"/>
          <w:b w:val="false"/>
          <w:color w:val="000000"/>
          <w:sz w:val="16"/>
        </w:rPr>
      </w:pPr>
      <w:r>
        <w:rPr>
          <w:rFonts w:ascii="Arial;sans-serif" w:hAnsi="Arial;sans-serif"/>
          <w:b w:val="false"/>
          <w:color w:val="000000"/>
          <w:sz w:val="16"/>
        </w:rPr>
        <w:t>If “Other” has been checked in response to the previous question indicate by check mark which financial statement item the registrant has elected to follow.    Item 17  ☐    Item 18  ☐</w:t>
      </w:r>
    </w:p>
    <w:p>
      <w:pPr>
        <w:pStyle w:val="TextBody"/>
        <w:bidi w:val="0"/>
        <w:spacing w:lineRule="auto" w:line="288" w:before="60" w:after="60"/>
        <w:jc w:val="left"/>
        <w:rPr>
          <w:rFonts w:ascii="Arial;sans-serif" w:hAnsi="Arial;sans-serif"/>
          <w:b w:val="false"/>
          <w:color w:val="000000"/>
          <w:sz w:val="16"/>
        </w:rPr>
      </w:pPr>
      <w:r>
        <w:rPr>
          <w:rFonts w:ascii="Arial;sans-serif" w:hAnsi="Arial;sans-serif"/>
          <w:b w:val="false"/>
          <w:color w:val="000000"/>
          <w:sz w:val="16"/>
        </w:rPr>
        <w:t xml:space="preserve">If this is an annual report, indicate by check mark whether the registrant is a shell company (as defined in Rule 12b-2 of the Exchange Act). </w:t>
      </w:r>
    </w:p>
    <w:p>
      <w:pPr>
        <w:pStyle w:val="TextBody"/>
        <w:bidi w:val="0"/>
        <w:spacing w:lineRule="auto" w:line="288" w:before="60" w:after="60"/>
        <w:jc w:val="left"/>
        <w:rPr>
          <w:color w:val="000000"/>
        </w:rPr>
      </w:pPr>
      <w:r>
        <w:rPr>
          <w:color w:val="000000"/>
        </w:rPr>
        <w:t>   </w:t>
      </w:r>
      <w:r>
        <w:rPr>
          <w:rFonts w:ascii="Arial;sans-serif" w:hAnsi="Arial;sans-serif"/>
          <w:b w:val="false"/>
          <w:color w:val="000000"/>
          <w:sz w:val="16"/>
        </w:rPr>
        <w:t>Yes  ☐    No  ☒</w:t>
      </w:r>
    </w:p>
    <w:p>
      <w:pPr>
        <w:pStyle w:val="TextBody"/>
        <w:bidi w:val="0"/>
        <w:spacing w:lineRule="auto" w:line="288" w:before="60" w:after="60"/>
        <w:jc w:val="left"/>
        <w:rPr>
          <w:rFonts w:ascii="Arial;sans-serif" w:hAnsi="Arial;sans-serif"/>
          <w:b w:val="false"/>
          <w:color w:val="000000"/>
          <w:sz w:val="14"/>
        </w:rPr>
      </w:pPr>
      <w:r>
        <w:rPr>
          <w:rFonts w:ascii="Arial;sans-serif" w:hAnsi="Arial;sans-serif"/>
          <w:b w:val="false"/>
          <w:color w:val="000000"/>
          <w:sz w:val="14"/>
        </w:rPr>
        <w:t>* Listed not for trading or quotation purposes, but only in connection with the registration of American Depositary Shares representing such ordinary shares pursuant to the requirements of the Securities and Exchange Commission. The American Depositary Shares are registered under the Securities Act of 1933, as amended, pursuant to a separate registration statement on Form F-6 (File No. 333-233898).</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5"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both"/>
                        <w:rPr/>
                      </w:pPr>
                      <w:r>
                        <w:rPr/>
                      </w:r>
                    </w:p>
                  </w:txbxContent>
                </v:textbox>
                <w10:wrap type="none"/>
              </v:rect>
            </w:pict>
          </mc:Fallback>
        </mc:AlternateContent>
      </w:r>
    </w:p>
    <w:p>
      <w:pPr>
        <w:pStyle w:val="TextBody"/>
        <w:bidi w:val="0"/>
        <w:spacing w:before="0" w:after="240"/>
        <w:jc w:val="both"/>
        <w:rPr/>
      </w:pPr>
      <w:r>
        <w:rPr/>
      </w:r>
    </w:p>
    <w:p>
      <w:pPr>
        <w:pStyle w:val="TextBody"/>
        <w:bidi w:val="0"/>
        <w:spacing w:lineRule="auto" w:line="288" w:before="240" w:after="1120"/>
        <w:jc w:val="left"/>
        <w:rPr>
          <w:rFonts w:ascii="Arial;sans-serif" w:hAnsi="Arial;sans-serif"/>
          <w:b/>
          <w:color w:val="005A64"/>
          <w:sz w:val="40"/>
        </w:rPr>
      </w:pPr>
      <w:r>
        <w:rPr>
          <w:rFonts w:ascii="Arial;sans-serif" w:hAnsi="Arial;sans-serif"/>
          <w:b/>
          <w:color w:val="005A64"/>
          <w:sz w:val="40"/>
        </w:rPr>
        <w:t>EXPLANATORY NOTE</w:t>
      </w:r>
    </w:p>
    <w:p>
      <w:pPr>
        <w:pStyle w:val="TextBody"/>
        <w:bidi w:val="0"/>
        <w:spacing w:lineRule="atLeast" w:line="260" w:before="0" w:after="240"/>
        <w:jc w:val="both"/>
        <w:rPr>
          <w:rFonts w:ascii="Arial;sans-serif" w:hAnsi="Arial;sans-serif"/>
          <w:b w:val="false"/>
          <w:color w:val="000000"/>
          <w:sz w:val="20"/>
        </w:rPr>
      </w:pPr>
      <w:r>
        <w:rPr>
          <w:rFonts w:ascii="Arial;sans-serif" w:hAnsi="Arial;sans-serif"/>
          <w:b w:val="false"/>
          <w:color w:val="000000"/>
          <w:sz w:val="20"/>
        </w:rPr>
        <w:t xml:space="preserve">This Amendment No. 1 on Form 20-F/A (the “Amendment”) amends the Annual Report on Form 20-F for the year ended December 31, 2025 of BioNTech SE (the “Company”), as originally filed with the U.S. Securities and Exchange Commission (the “SEC”) on March 10, 2026 (the “Original Filing”). </w:t>
      </w:r>
    </w:p>
    <w:p>
      <w:pPr>
        <w:pStyle w:val="TextBody"/>
        <w:bidi w:val="0"/>
        <w:spacing w:lineRule="atLeast" w:line="260" w:before="0" w:after="240"/>
        <w:jc w:val="both"/>
        <w:rPr>
          <w:rFonts w:ascii="Arial;sans-serif" w:hAnsi="Arial;sans-serif"/>
          <w:b w:val="false"/>
          <w:color w:val="000000"/>
          <w:sz w:val="20"/>
        </w:rPr>
      </w:pPr>
      <w:r>
        <w:rPr>
          <w:rFonts w:ascii="Arial;sans-serif" w:hAnsi="Arial;sans-serif"/>
          <w:b w:val="false"/>
          <w:color w:val="000000"/>
          <w:sz w:val="20"/>
        </w:rPr>
        <w:t>This Amendment is being filed solely to correct a typographical error in the Original Filing in which an incorrect date of the opinions of EY GmbH &amp; Co. KG Wirtschaftsprüfungsgesellschaft (PCAOB ID: 1251) was inadvertently included on pages F-7 and F-9. The updated opinions are included in this Amendment with the date corrected from March 10, 2025 to March 10, 2026. The Exhibit 15.1 that was filed with the Original Filing is not affected by this update.</w:t>
      </w:r>
    </w:p>
    <w:p>
      <w:pPr>
        <w:pStyle w:val="TextBody"/>
        <w:bidi w:val="0"/>
        <w:spacing w:lineRule="atLeast" w:line="260" w:before="0" w:after="240"/>
        <w:jc w:val="both"/>
        <w:rPr>
          <w:rFonts w:ascii="Arial;sans-serif" w:hAnsi="Arial;sans-serif"/>
          <w:b w:val="false"/>
          <w:color w:val="000000"/>
          <w:sz w:val="20"/>
        </w:rPr>
      </w:pPr>
      <w:r>
        <w:rPr>
          <w:rFonts w:ascii="Arial;sans-serif" w:hAnsi="Arial;sans-serif"/>
          <w:b w:val="false"/>
          <w:color w:val="000000"/>
          <w:sz w:val="20"/>
        </w:rPr>
        <w:t>Pursuant to Rule 12b-15 under the Securities Exchange Act of 1934, as amended, this Amendment No. 1 also includes, as Exhibits 12.1 and 12.2, the certifications of the Principal Executive Officer and Principal Financial Officer of the Company pursuant to Section 302 of the Sarbanes-Oxley Act of 2002, and, as Exhibits 13.1 and 13.2, the certifications of the Chief Executive Officer and the Chief Financial Officer of the Company pursuant to Section 906 of the Sarbanes-Oxley Act of 2002.</w:t>
      </w:r>
    </w:p>
    <w:p>
      <w:pPr>
        <w:pStyle w:val="TextBody"/>
        <w:bidi w:val="0"/>
        <w:spacing w:lineRule="atLeast" w:line="260" w:before="0" w:after="240"/>
        <w:jc w:val="both"/>
        <w:rPr>
          <w:rFonts w:ascii="Arial;sans-serif" w:hAnsi="Arial;sans-serif"/>
          <w:b w:val="false"/>
          <w:color w:val="000000"/>
          <w:sz w:val="20"/>
        </w:rPr>
      </w:pPr>
      <w:r>
        <w:rPr>
          <w:rFonts w:ascii="Arial;sans-serif" w:hAnsi="Arial;sans-serif"/>
          <w:b w:val="false"/>
          <w:color w:val="000000"/>
          <w:sz w:val="20"/>
        </w:rPr>
        <w:t>Except as described above, and to update the most recent practicable share count on the cover page of this Amendment, no changes have been made to the Original Filing, and this Amendment does not modify, amend or update the financial or other information contained in the Original Filing. This Amendment does not reflect any events that have occurred on or after the Original Filing date.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both"/>
                        <w:rPr/>
                      </w:pPr>
                      <w:r>
                        <w:rPr/>
                      </w:r>
                    </w:p>
                  </w:txbxContent>
                </v:textbox>
                <w10:wrap type="none"/>
              </v:rect>
            </w:pict>
          </mc:Fallback>
        </mc:AlternateContent>
      </w:r>
    </w:p>
    <w:p>
      <w:pPr>
        <w:pStyle w:val="TextBody"/>
        <w:bidi w:val="0"/>
        <w:spacing w:before="0" w:after="240"/>
        <w:jc w:val="both"/>
        <w:rPr/>
      </w:pPr>
      <w:r>
        <w:rPr/>
      </w:r>
    </w:p>
    <w:p>
      <w:pPr>
        <w:pStyle w:val="TextBody"/>
        <w:bidi w:val="0"/>
        <w:spacing w:lineRule="auto" w:line="288" w:before="0" w:after="0"/>
        <w:jc w:val="left"/>
        <w:rPr>
          <w:rFonts w:ascii="Arial;sans-serif" w:hAnsi="Arial;sans-serif"/>
          <w:b/>
          <w:color w:val="005A64"/>
          <w:sz w:val="40"/>
        </w:rPr>
      </w:pPr>
      <w:r>
        <w:rPr>
          <w:rFonts w:ascii="Arial;sans-serif" w:hAnsi="Arial;sans-serif"/>
          <w:b/>
          <w:color w:val="005A64"/>
          <w:sz w:val="40"/>
        </w:rPr>
        <w:t>Item 19. Exhibits</w:t>
      </w:r>
    </w:p>
    <w:tbl>
      <w:tblPr>
        <w:tblW w:w="10205" w:type="dxa"/>
        <w:jc w:val="left"/>
        <w:tblInd w:w="0" w:type="dxa"/>
        <w:tblLayout w:type="fixed"/>
        <w:tblCellMar>
          <w:top w:w="28" w:type="dxa"/>
          <w:left w:w="28" w:type="dxa"/>
          <w:bottom w:w="28" w:type="dxa"/>
          <w:right w:w="28" w:type="dxa"/>
        </w:tblCellMar>
      </w:tblPr>
      <w:tblGrid>
        <w:gridCol w:w="277"/>
        <w:gridCol w:w="244"/>
        <w:gridCol w:w="245"/>
        <w:gridCol w:w="109"/>
        <w:gridCol w:w="109"/>
        <w:gridCol w:w="109"/>
        <w:gridCol w:w="2663"/>
        <w:gridCol w:w="2663"/>
        <w:gridCol w:w="3786"/>
      </w:tblGrid>
      <w:tr>
        <w:trPr/>
        <w:tc>
          <w:tcPr>
            <w:tcW w:w="277"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3" w:type="dxa"/>
            <w:tcBorders/>
            <w:vAlign w:val="center"/>
          </w:tcPr>
          <w:p>
            <w:pPr>
              <w:pStyle w:val="TableContents"/>
              <w:bidi w:val="0"/>
              <w:spacing w:before="0" w:after="283"/>
              <w:jc w:val="left"/>
              <w:rPr>
                <w:sz w:val="4"/>
                <w:szCs w:val="4"/>
              </w:rPr>
            </w:pPr>
            <w:r>
              <w:rPr>
                <w:sz w:val="4"/>
                <w:szCs w:val="4"/>
              </w:rPr>
            </w:r>
          </w:p>
        </w:tc>
        <w:tc>
          <w:tcPr>
            <w:tcW w:w="2663" w:type="dxa"/>
            <w:tcBorders/>
            <w:vAlign w:val="center"/>
          </w:tcPr>
          <w:p>
            <w:pPr>
              <w:pStyle w:val="TableContents"/>
              <w:bidi w:val="0"/>
              <w:spacing w:before="0" w:after="283"/>
              <w:jc w:val="left"/>
              <w:rPr>
                <w:sz w:val="4"/>
                <w:szCs w:val="4"/>
              </w:rPr>
            </w:pPr>
            <w:r>
              <w:rPr>
                <w:sz w:val="4"/>
                <w:szCs w:val="4"/>
              </w:rPr>
            </w:r>
          </w:p>
        </w:tc>
        <w:tc>
          <w:tcPr>
            <w:tcW w:w="3786" w:type="dxa"/>
            <w:tcBorders/>
            <w:vAlign w:val="center"/>
          </w:tcPr>
          <w:p>
            <w:pPr>
              <w:pStyle w:val="TableContents"/>
              <w:bidi w:val="0"/>
              <w:spacing w:before="0" w:after="283"/>
              <w:jc w:val="left"/>
              <w:rPr>
                <w:sz w:val="4"/>
                <w:szCs w:val="4"/>
              </w:rPr>
            </w:pPr>
            <w:r>
              <w:rPr>
                <w:sz w:val="4"/>
                <w:szCs w:val="4"/>
              </w:rPr>
            </w:r>
          </w:p>
        </w:tc>
      </w:tr>
      <w:tr>
        <w:trPr/>
        <w:tc>
          <w:tcPr>
            <w:tcW w:w="766" w:type="dxa"/>
            <w:gridSpan w:val="3"/>
            <w:tcBorders>
              <w:top w:val="single" w:sz="16" w:space="0" w:color="BECE33"/>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BECE33"/>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2" w:type="dxa"/>
            <w:gridSpan w:val="3"/>
            <w:tcBorders>
              <w:top w:val="single" w:sz="16" w:space="0" w:color="BECE33"/>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color w:val="005A64"/>
                <w:sz w:val="16"/>
              </w:rPr>
            </w:pPr>
            <w:r>
              <w:rPr>
                <w:rFonts w:ascii="Arial;sans-serif" w:hAnsi="Arial;sans-serif"/>
                <w:b/>
                <w:color w:val="005A64"/>
                <w:sz w:val="16"/>
              </w:rPr>
              <w:t>Exhibit</w:t>
            </w:r>
          </w:p>
          <w:p>
            <w:pPr>
              <w:pStyle w:val="TableContents"/>
              <w:bidi w:val="0"/>
              <w:spacing w:lineRule="auto" w:line="288" w:before="0" w:after="0"/>
              <w:jc w:val="left"/>
              <w:rPr>
                <w:rFonts w:ascii="Arial;sans-serif" w:hAnsi="Arial;sans-serif"/>
                <w:b/>
                <w:color w:val="005A64"/>
                <w:sz w:val="16"/>
              </w:rPr>
            </w:pPr>
            <w:r>
              <w:rPr>
                <w:rFonts w:ascii="Arial;sans-serif" w:hAnsi="Arial;sans-serif"/>
                <w:b/>
                <w:color w:val="005A64"/>
                <w:sz w:val="16"/>
              </w:rPr>
              <w:t>Number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5A64"/>
                <w:sz w:val="16"/>
              </w:rPr>
            </w:pPr>
            <w:r>
              <w:rPr>
                <w:rFonts w:ascii="Arial;sans-serif" w:hAnsi="Arial;sans-serif"/>
                <w:b/>
                <w:color w:val="005A64"/>
                <w:sz w:val="16"/>
              </w:rPr>
              <w:t>Description</w:t>
            </w:r>
          </w:p>
        </w:tc>
      </w:tr>
      <w:tr>
        <w:trPr/>
        <w:tc>
          <w:tcPr>
            <w:tcW w:w="766" w:type="dxa"/>
            <w:gridSpan w:val="3"/>
            <w:tcBorders>
              <w:top w:val="single" w:sz="8" w:space="0" w:color="005A64"/>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2" w:type="dxa"/>
            <w:gridSpan w:val="3"/>
            <w:tcBorders>
              <w:top w:val="single" w:sz="8" w:space="0" w:color="005A64"/>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 w:type="dxa"/>
            <w:gridSpan w:val="3"/>
            <w:tcBorders>
              <w:top w:val="single" w:sz="2" w:space="0" w:color="7FACB1"/>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5A64"/>
                <w:sz w:val="16"/>
              </w:rPr>
            </w:pPr>
            <w:r>
              <w:rPr>
                <w:rFonts w:ascii="Arial;sans-serif" w:hAnsi="Arial;sans-serif"/>
                <w:b w:val="false"/>
                <w:color w:val="005A64"/>
                <w:sz w:val="16"/>
              </w:rPr>
              <w:t>12.1*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2"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288" w:before="0" w:after="0"/>
              <w:jc w:val="left"/>
              <w:rPr/>
            </w:pPr>
            <w:hyperlink w:anchor="exhibit121certification-us.htm">
              <w:r>
                <w:rPr>
                  <w:rStyle w:val="InternetLink"/>
                  <w:rFonts w:ascii="Arial;sans-serif" w:hAnsi="Arial;sans-serif"/>
                  <w:b w:val="false"/>
                  <w:color w:val="005A64"/>
                  <w:sz w:val="16"/>
                </w:rPr>
                <w:t>Certification of Principal Executive Officer Pursuant to Rules 13a-14(a) and 15d-14(a) under the Securities Exchange Act of 1934, as Adopted Pursuant to Section 302 of the Sarbanes-Oxley Act of 2002</w:t>
              </w:r>
            </w:hyperlink>
          </w:p>
        </w:tc>
      </w:tr>
      <w:tr>
        <w:trPr/>
        <w:tc>
          <w:tcPr>
            <w:tcW w:w="766" w:type="dxa"/>
            <w:gridSpan w:val="3"/>
            <w:tcBorders>
              <w:top w:val="single" w:sz="2" w:space="0" w:color="7FACB1"/>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5A64"/>
                <w:sz w:val="16"/>
              </w:rPr>
            </w:pPr>
            <w:r>
              <w:rPr>
                <w:rFonts w:ascii="Arial;sans-serif" w:hAnsi="Arial;sans-serif"/>
                <w:b w:val="false"/>
                <w:color w:val="005A64"/>
                <w:sz w:val="16"/>
              </w:rPr>
              <w:t>12.2*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2"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288" w:before="0" w:after="0"/>
              <w:jc w:val="left"/>
              <w:rPr/>
            </w:pPr>
            <w:hyperlink w:anchor="exhibit122certification-rz.htm">
              <w:r>
                <w:rPr>
                  <w:rStyle w:val="InternetLink"/>
                  <w:rFonts w:ascii="Arial;sans-serif" w:hAnsi="Arial;sans-serif"/>
                  <w:b w:val="false"/>
                  <w:color w:val="005A64"/>
                  <w:sz w:val="16"/>
                </w:rPr>
                <w:t>Certification of Principal Financial Officer Pursuant to Rules 13a-14(a) and 15d-14(a) under the Securities Exchange Act of 1934, as Adopted Pursuant to Section 302 of the Sarbanes-Oxley Act of 2002</w:t>
              </w:r>
            </w:hyperlink>
          </w:p>
        </w:tc>
      </w:tr>
      <w:tr>
        <w:trPr/>
        <w:tc>
          <w:tcPr>
            <w:tcW w:w="766" w:type="dxa"/>
            <w:gridSpan w:val="3"/>
            <w:tcBorders>
              <w:top w:val="single" w:sz="2" w:space="0" w:color="7FACB1"/>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5A64"/>
                <w:sz w:val="16"/>
              </w:rPr>
            </w:pPr>
            <w:r>
              <w:rPr>
                <w:rFonts w:ascii="Arial;sans-serif" w:hAnsi="Arial;sans-serif"/>
                <w:b w:val="false"/>
                <w:color w:val="005A64"/>
                <w:sz w:val="16"/>
              </w:rPr>
              <w:t>13.1*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2"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288" w:before="0" w:after="0"/>
              <w:jc w:val="left"/>
              <w:rPr/>
            </w:pPr>
            <w:hyperlink w:anchor="exhibit131certification-us.htm">
              <w:r>
                <w:rPr>
                  <w:rStyle w:val="InternetLink"/>
                  <w:rFonts w:ascii="Arial;sans-serif" w:hAnsi="Arial;sans-serif"/>
                  <w:b w:val="false"/>
                  <w:color w:val="005A64"/>
                  <w:sz w:val="16"/>
                </w:rPr>
                <w:t>Certification of Principal Executive Officer Pursuant to 18 U.S.C. Section 1350, as Adopted Pursuant to Section 906 of the Sarbanes-Oxley Act of 2002</w:t>
              </w:r>
            </w:hyperlink>
          </w:p>
        </w:tc>
      </w:tr>
      <w:tr>
        <w:trPr/>
        <w:tc>
          <w:tcPr>
            <w:tcW w:w="766" w:type="dxa"/>
            <w:gridSpan w:val="3"/>
            <w:tcBorders>
              <w:top w:val="single" w:sz="2" w:space="0" w:color="7FACB1"/>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5A64"/>
                <w:sz w:val="16"/>
              </w:rPr>
            </w:pPr>
            <w:r>
              <w:rPr>
                <w:rFonts w:ascii="Arial;sans-serif" w:hAnsi="Arial;sans-serif"/>
                <w:b w:val="false"/>
                <w:color w:val="005A64"/>
                <w:sz w:val="16"/>
              </w:rPr>
              <w:t>13.2*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2"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288" w:before="0" w:after="0"/>
              <w:jc w:val="left"/>
              <w:rPr/>
            </w:pPr>
            <w:hyperlink w:anchor="exhibit132certification-rz.htm">
              <w:r>
                <w:rPr>
                  <w:rStyle w:val="InternetLink"/>
                  <w:rFonts w:ascii="Arial;sans-serif" w:hAnsi="Arial;sans-serif"/>
                  <w:b w:val="false"/>
                  <w:color w:val="005A64"/>
                  <w:sz w:val="16"/>
                </w:rPr>
                <w:t>Certification of Principal Financial Officer Pursuant to 18 U.S.C. Section 1350, as Adopted Pursuant to Section 906 of the Sarbanes-Oxley Act of 2002</w:t>
              </w:r>
            </w:hyperlink>
          </w:p>
        </w:tc>
      </w:tr>
      <w:tr>
        <w:trPr/>
        <w:tc>
          <w:tcPr>
            <w:tcW w:w="766" w:type="dxa"/>
            <w:gridSpan w:val="3"/>
            <w:tcBorders>
              <w:top w:val="single" w:sz="2" w:space="0" w:color="7FACB1"/>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5A64"/>
                <w:sz w:val="16"/>
              </w:rPr>
            </w:pPr>
            <w:r>
              <w:rPr>
                <w:rFonts w:ascii="Arial;sans-serif" w:hAnsi="Arial;sans-serif"/>
                <w:b w:val="false"/>
                <w:color w:val="005A64"/>
                <w:sz w:val="16"/>
              </w:rPr>
              <w:t>101.INS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2" w:type="dxa"/>
            <w:gridSpan w:val="3"/>
            <w:tcBorders>
              <w:top w:val="single" w:sz="2" w:space="0" w:color="7FACB1"/>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5A64"/>
                <w:sz w:val="16"/>
              </w:rPr>
            </w:pPr>
            <w:r>
              <w:rPr>
                <w:rFonts w:ascii="Arial;sans-serif" w:hAnsi="Arial;sans-serif"/>
                <w:b w:val="false"/>
                <w:color w:val="005A64"/>
                <w:sz w:val="16"/>
              </w:rPr>
              <w:t>XBRL Instance Document</w:t>
            </w:r>
          </w:p>
        </w:tc>
      </w:tr>
      <w:tr>
        <w:trPr/>
        <w:tc>
          <w:tcPr>
            <w:tcW w:w="766" w:type="dxa"/>
            <w:gridSpan w:val="3"/>
            <w:tcBorders>
              <w:top w:val="single" w:sz="2" w:space="0" w:color="7FACB1"/>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5A64"/>
                <w:sz w:val="16"/>
              </w:rPr>
            </w:pPr>
            <w:r>
              <w:rPr>
                <w:rFonts w:ascii="Arial;sans-serif" w:hAnsi="Arial;sans-serif"/>
                <w:b w:val="false"/>
                <w:color w:val="005A64"/>
                <w:sz w:val="16"/>
              </w:rPr>
              <w:t>101.SCH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2" w:type="dxa"/>
            <w:gridSpan w:val="3"/>
            <w:tcBorders>
              <w:top w:val="single" w:sz="2" w:space="0" w:color="7FACB1"/>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5A64"/>
                <w:sz w:val="16"/>
              </w:rPr>
            </w:pPr>
            <w:r>
              <w:rPr>
                <w:rFonts w:ascii="Arial;sans-serif" w:hAnsi="Arial;sans-serif"/>
                <w:b w:val="false"/>
                <w:color w:val="005A64"/>
                <w:sz w:val="16"/>
              </w:rPr>
              <w:t>XBRL Taxonomy Extension Schema Document</w:t>
            </w:r>
          </w:p>
        </w:tc>
      </w:tr>
      <w:tr>
        <w:trPr/>
        <w:tc>
          <w:tcPr>
            <w:tcW w:w="766" w:type="dxa"/>
            <w:gridSpan w:val="3"/>
            <w:tcBorders>
              <w:top w:val="single" w:sz="2" w:space="0" w:color="7FACB1"/>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5A64"/>
                <w:sz w:val="16"/>
              </w:rPr>
            </w:pPr>
            <w:r>
              <w:rPr>
                <w:rFonts w:ascii="Arial;sans-serif" w:hAnsi="Arial;sans-serif"/>
                <w:b w:val="false"/>
                <w:color w:val="005A64"/>
                <w:sz w:val="16"/>
              </w:rPr>
              <w:t>101.DEF</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2" w:type="dxa"/>
            <w:gridSpan w:val="3"/>
            <w:tcBorders>
              <w:top w:val="single" w:sz="2" w:space="0" w:color="7FACB1"/>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5A64"/>
                <w:sz w:val="16"/>
              </w:rPr>
            </w:pPr>
            <w:r>
              <w:rPr>
                <w:rFonts w:ascii="Arial;sans-serif" w:hAnsi="Arial;sans-serif"/>
                <w:b w:val="false"/>
                <w:color w:val="005A64"/>
                <w:sz w:val="16"/>
              </w:rPr>
              <w:t>XBRL Taxonomy Extension Definition Linkbase Document</w:t>
            </w:r>
          </w:p>
        </w:tc>
      </w:tr>
      <w:tr>
        <w:trPr/>
        <w:tc>
          <w:tcPr>
            <w:tcW w:w="766" w:type="dxa"/>
            <w:gridSpan w:val="3"/>
            <w:tcBorders>
              <w:top w:val="single" w:sz="2" w:space="0" w:color="7FACB1"/>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5A64"/>
                <w:sz w:val="16"/>
              </w:rPr>
            </w:pPr>
            <w:r>
              <w:rPr>
                <w:rFonts w:ascii="Arial;sans-serif" w:hAnsi="Arial;sans-serif"/>
                <w:b w:val="false"/>
                <w:color w:val="005A64"/>
                <w:sz w:val="16"/>
              </w:rPr>
              <w:t>101.LAB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2" w:type="dxa"/>
            <w:gridSpan w:val="3"/>
            <w:tcBorders>
              <w:top w:val="single" w:sz="2" w:space="0" w:color="7FACB1"/>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5A64"/>
                <w:sz w:val="16"/>
              </w:rPr>
            </w:pPr>
            <w:r>
              <w:rPr>
                <w:rFonts w:ascii="Arial;sans-serif" w:hAnsi="Arial;sans-serif"/>
                <w:b w:val="false"/>
                <w:color w:val="005A64"/>
                <w:sz w:val="16"/>
              </w:rPr>
              <w:t>XBRL Taxonomy Extension Label Linkbase Document</w:t>
            </w:r>
          </w:p>
        </w:tc>
      </w:tr>
      <w:tr>
        <w:trPr/>
        <w:tc>
          <w:tcPr>
            <w:tcW w:w="766" w:type="dxa"/>
            <w:gridSpan w:val="3"/>
            <w:tcBorders>
              <w:top w:val="single" w:sz="2" w:space="0" w:color="7FACB1"/>
              <w:bottom w:val="single" w:sz="8" w:space="0" w:color="005A64"/>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5A64"/>
                <w:sz w:val="16"/>
              </w:rPr>
            </w:pPr>
            <w:r>
              <w:rPr>
                <w:rFonts w:ascii="Arial;sans-serif" w:hAnsi="Arial;sans-serif"/>
                <w:b w:val="false"/>
                <w:color w:val="005A64"/>
                <w:sz w:val="16"/>
              </w:rPr>
              <w:t>101.PRE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2" w:type="dxa"/>
            <w:gridSpan w:val="3"/>
            <w:tcBorders>
              <w:top w:val="single" w:sz="2" w:space="0" w:color="7FACB1"/>
              <w:bottom w:val="single" w:sz="8" w:space="0" w:color="005A64"/>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5A64"/>
                <w:sz w:val="16"/>
              </w:rPr>
            </w:pPr>
            <w:r>
              <w:rPr>
                <w:rFonts w:ascii="Arial;sans-serif" w:hAnsi="Arial;sans-serif"/>
                <w:b w:val="false"/>
                <w:color w:val="005A64"/>
                <w:sz w:val="16"/>
              </w:rPr>
              <w:t>XBRL Taxonomy Extension Presentation Linkbase Document</w:t>
            </w:r>
          </w:p>
        </w:tc>
      </w:tr>
    </w:tbl>
    <w:p>
      <w:pPr>
        <w:pStyle w:val="TextBody"/>
        <w:bidi w:val="0"/>
        <w:spacing w:lineRule="auto" w:line="276" w:before="0" w:after="60"/>
        <w:ind w:left="0" w:right="0" w:hanging="300"/>
        <w:jc w:val="both"/>
        <w:rPr/>
      </w:pPr>
      <w:r>
        <w:rPr>
          <w:rFonts w:ascii="Arial;sans-serif" w:hAnsi="Arial;sans-serif"/>
          <w:b w:val="false"/>
          <w:color w:val="000000"/>
          <w:sz w:val="18"/>
        </w:rPr>
        <w:t>*    </w:t>
      </w:r>
      <w:r>
        <w:rPr>
          <w:rFonts w:ascii="Arial;sans-serif" w:hAnsi="Arial;sans-serif"/>
          <w:b w:val="false"/>
          <w:color w:val="000000"/>
          <w:sz w:val="20"/>
        </w:rPr>
        <w:t>Filed herewith.</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both"/>
                        <w:rPr/>
                      </w:pPr>
                      <w:r>
                        <w:rPr/>
                      </w:r>
                    </w:p>
                  </w:txbxContent>
                </v:textbox>
                <w10:wrap type="none"/>
              </v:rect>
            </w:pict>
          </mc:Fallback>
        </mc:AlternateContent>
      </w:r>
    </w:p>
    <w:p>
      <w:pPr>
        <w:pStyle w:val="TextBody"/>
        <w:bidi w:val="0"/>
        <w:spacing w:before="0" w:after="240"/>
        <w:jc w:val="both"/>
        <w:rPr/>
      </w:pPr>
      <w:r>
        <w:rPr/>
      </w:r>
    </w:p>
    <w:p>
      <w:pPr>
        <w:pStyle w:val="TextBody"/>
        <w:bidi w:val="0"/>
        <w:spacing w:lineRule="auto" w:line="288" w:before="240" w:after="1120"/>
        <w:jc w:val="left"/>
        <w:rPr>
          <w:rFonts w:ascii="Arial;sans-serif" w:hAnsi="Arial;sans-serif"/>
          <w:b/>
          <w:color w:val="005A64"/>
          <w:sz w:val="40"/>
        </w:rPr>
      </w:pPr>
      <w:r>
        <w:rPr>
          <w:rFonts w:ascii="Arial;sans-serif" w:hAnsi="Arial;sans-serif"/>
          <w:b/>
          <w:color w:val="005A64"/>
          <w:sz w:val="40"/>
        </w:rPr>
        <w:t>REPORT OF INDEPENDENT REGISTERED PUBLIC ACCOUNTING FIRM</w:t>
      </w:r>
    </w:p>
    <w:p>
      <w:pPr>
        <w:pStyle w:val="TextBody"/>
        <w:bidi w:val="0"/>
        <w:spacing w:lineRule="atLeast" w:line="260" w:before="0" w:after="240"/>
        <w:jc w:val="both"/>
        <w:rPr>
          <w:rFonts w:ascii="Arial;sans-serif" w:hAnsi="Arial;sans-serif"/>
          <w:b w:val="false"/>
          <w:color w:val="000000"/>
          <w:sz w:val="20"/>
        </w:rPr>
      </w:pPr>
      <w:r>
        <w:rPr>
          <w:rFonts w:ascii="Arial;sans-serif" w:hAnsi="Arial;sans-serif"/>
          <w:b w:val="false"/>
          <w:color w:val="000000"/>
          <w:sz w:val="20"/>
        </w:rPr>
        <w:t>To the Shareholders and Supervisory Board of BioNTech SE.</w:t>
      </w:r>
    </w:p>
    <w:p>
      <w:pPr>
        <w:pStyle w:val="TextBody"/>
        <w:bidi w:val="0"/>
        <w:spacing w:lineRule="auto" w:line="288" w:before="240" w:after="160"/>
        <w:jc w:val="left"/>
        <w:rPr>
          <w:rFonts w:ascii="Arial;sans-serif" w:hAnsi="Arial;sans-serif"/>
          <w:b/>
          <w:color w:val="005A64"/>
          <w:sz w:val="28"/>
        </w:rPr>
      </w:pPr>
      <w:r>
        <w:rPr>
          <w:rFonts w:ascii="Arial;sans-serif" w:hAnsi="Arial;sans-serif"/>
          <w:b/>
          <w:color w:val="005A64"/>
          <w:sz w:val="28"/>
        </w:rPr>
        <w:t>Opinion on the Financial Statements</w:t>
      </w:r>
    </w:p>
    <w:p>
      <w:pPr>
        <w:pStyle w:val="TextBody"/>
        <w:bidi w:val="0"/>
        <w:spacing w:lineRule="atLeast" w:line="260" w:before="0" w:after="240"/>
        <w:jc w:val="both"/>
        <w:rPr>
          <w:rFonts w:ascii="Arial;sans-serif" w:hAnsi="Arial;sans-serif"/>
          <w:b w:val="false"/>
          <w:color w:val="000000"/>
          <w:sz w:val="20"/>
        </w:rPr>
      </w:pPr>
      <w:r>
        <w:rPr>
          <w:rFonts w:ascii="Arial;sans-serif" w:hAnsi="Arial;sans-serif"/>
          <w:b w:val="false"/>
          <w:color w:val="000000"/>
          <w:sz w:val="20"/>
        </w:rPr>
        <w:t>We have audited the accompanying consolidated statements of financial position of BioNTech SE (the Company) as of December 31, 2025 and 2024, the related consolidated statements of profit or loss, comprehensive income, changes in stockholders’ equity and cash flows for each of the three years in the period ended December 31, 2025, and the related notes (collectively referred to as the “consolidated financial statements”). In our opinion, the consolidated financial statements present fairly, in all material respects, the financial position of the Company at December 31, 2025 and 2024, and the results of its operations and its cash flows for each of the three years in the period ended December 31, 2025, in conformity with International Financial Reporting Standards (IFRS) as issued by the International Accounting Standard Board and in conformity with IFRS as adopted by the European Union.</w:t>
      </w:r>
    </w:p>
    <w:p>
      <w:pPr>
        <w:pStyle w:val="TextBody"/>
        <w:bidi w:val="0"/>
        <w:spacing w:lineRule="atLeast" w:line="260" w:before="0" w:after="240"/>
        <w:jc w:val="both"/>
        <w:rPr>
          <w:rFonts w:ascii="Arial;sans-serif" w:hAnsi="Arial;sans-serif"/>
          <w:b w:val="false"/>
          <w:color w:val="000000"/>
          <w:sz w:val="20"/>
        </w:rPr>
      </w:pPr>
      <w:r>
        <w:rPr>
          <w:rFonts w:ascii="Arial;sans-serif" w:hAnsi="Arial;sans-serif"/>
          <w:b w:val="false"/>
          <w:color w:val="000000"/>
          <w:sz w:val="20"/>
        </w:rPr>
        <w:t>We also have audited, in accordance with the standards of the Public Company Accounting Oversight Board (United States) (PCAOB), the Company's internal control over financial reporting as of December 31, 2025, based on criteria established in Internal Control-Integrated Framework issued by the Committee of Sponsoring Organizations of the Treadway Commission (2013 framework), and our report dated March 10, 2026, expressed an unqualified opinion thereon.</w:t>
      </w:r>
    </w:p>
    <w:p>
      <w:pPr>
        <w:pStyle w:val="TextBody"/>
        <w:bidi w:val="0"/>
        <w:spacing w:lineRule="auto" w:line="288" w:before="240" w:after="160"/>
        <w:jc w:val="left"/>
        <w:rPr>
          <w:rFonts w:ascii="Arial;sans-serif" w:hAnsi="Arial;sans-serif"/>
          <w:b/>
          <w:color w:val="005A64"/>
          <w:sz w:val="28"/>
        </w:rPr>
      </w:pPr>
      <w:r>
        <w:rPr>
          <w:rFonts w:ascii="Arial;sans-serif" w:hAnsi="Arial;sans-serif"/>
          <w:b/>
          <w:color w:val="005A64"/>
          <w:sz w:val="28"/>
        </w:rPr>
        <w:t>Basis for Opinion</w:t>
      </w:r>
    </w:p>
    <w:p>
      <w:pPr>
        <w:pStyle w:val="TextBody"/>
        <w:bidi w:val="0"/>
        <w:spacing w:lineRule="atLeast" w:line="260" w:before="0" w:after="240"/>
        <w:jc w:val="both"/>
        <w:rPr>
          <w:rFonts w:ascii="Arial;sans-serif" w:hAnsi="Arial;sans-serif"/>
          <w:b w:val="false"/>
          <w:color w:val="000000"/>
          <w:sz w:val="20"/>
        </w:rPr>
      </w:pPr>
      <w:r>
        <w:rPr>
          <w:rFonts w:ascii="Arial;sans-serif" w:hAnsi="Arial;sans-serif"/>
          <w:b w:val="false"/>
          <w:color w:val="000000"/>
          <w:sz w:val="20"/>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pStyle w:val="TextBody"/>
        <w:bidi w:val="0"/>
        <w:spacing w:lineRule="atLeast" w:line="260" w:before="0" w:after="240"/>
        <w:jc w:val="both"/>
        <w:rPr>
          <w:rFonts w:ascii="Arial;sans-serif" w:hAnsi="Arial;sans-serif"/>
          <w:b w:val="false"/>
          <w:color w:val="000000"/>
          <w:sz w:val="20"/>
        </w:rPr>
      </w:pPr>
      <w:r>
        <w:rPr>
          <w:rFonts w:ascii="Arial;sans-serif" w:hAnsi="Arial;sans-serif"/>
          <w:b w:val="false"/>
          <w:color w:val="000000"/>
          <w:sz w:val="20"/>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pStyle w:val="TextBody"/>
        <w:bidi w:val="0"/>
        <w:spacing w:lineRule="auto" w:line="288" w:before="240" w:after="160"/>
        <w:jc w:val="left"/>
        <w:rPr>
          <w:rFonts w:ascii="Arial;sans-serif" w:hAnsi="Arial;sans-serif"/>
          <w:b/>
          <w:color w:val="005A64"/>
          <w:sz w:val="28"/>
        </w:rPr>
      </w:pPr>
      <w:r>
        <w:rPr>
          <w:rFonts w:ascii="Arial;sans-serif" w:hAnsi="Arial;sans-serif"/>
          <w:b/>
          <w:color w:val="005A64"/>
          <w:sz w:val="28"/>
        </w:rPr>
        <w:t>Critical Audit Matters</w:t>
      </w:r>
    </w:p>
    <w:p>
      <w:pPr>
        <w:pStyle w:val="TextBody"/>
        <w:bidi w:val="0"/>
        <w:spacing w:lineRule="atLeast" w:line="260" w:before="0" w:after="240"/>
        <w:jc w:val="both"/>
        <w:rPr>
          <w:rFonts w:ascii="Arial;sans-serif" w:hAnsi="Arial;sans-serif"/>
          <w:b w:val="false"/>
          <w:color w:val="000000"/>
          <w:sz w:val="20"/>
        </w:rPr>
      </w:pPr>
      <w:r>
        <w:rPr>
          <w:rFonts w:ascii="Arial;sans-serif" w:hAnsi="Arial;sans-serif"/>
          <w:b w:val="false"/>
          <w:color w:val="000000"/>
          <w:sz w:val="20"/>
        </w:rPr>
        <w:t xml:space="preserve">The critical audit matters communicated below are matters arising from the current period audit of the financial statements that were communicated or required to be communicated to the audit committee and that: (1) relate to accounts or disclosures that are material to the financial statements and (2) involved our especially challenging, subjective, or complex judgments. The communication of critical audit matters does not alter in any way our opinion on the consolidated financial statements, taken as a whole, and we are not, by communicating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5"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both"/>
                        <w:rPr/>
                      </w:pPr>
                      <w:r>
                        <w:rPr/>
                      </w:r>
                    </w:p>
                  </w:txbxContent>
                </v:textbox>
                <w10:wrap type="none"/>
              </v:rect>
            </w:pict>
          </mc:Fallback>
        </mc:AlternateContent>
      </w:r>
    </w:p>
    <w:p>
      <w:pPr>
        <w:pStyle w:val="TextBody"/>
        <w:bidi w:val="0"/>
        <w:spacing w:before="0" w:after="240"/>
        <w:jc w:val="both"/>
        <w:rPr/>
      </w:pPr>
      <w:r>
        <w:rPr/>
      </w:r>
    </w:p>
    <w:p>
      <w:pPr>
        <w:pStyle w:val="TextBody"/>
        <w:bidi w:val="0"/>
        <w:spacing w:lineRule="atLeast" w:line="260" w:before="0" w:after="240"/>
        <w:jc w:val="both"/>
        <w:rPr>
          <w:rFonts w:ascii="Arial;sans-serif" w:hAnsi="Arial;sans-serif"/>
          <w:b w:val="false"/>
          <w:color w:val="000000"/>
          <w:sz w:val="20"/>
        </w:rPr>
      </w:pPr>
      <w:r>
        <w:rPr>
          <w:rFonts w:ascii="Arial;sans-serif" w:hAnsi="Arial;sans-serif"/>
          <w:b w:val="false"/>
          <w:color w:val="000000"/>
          <w:sz w:val="20"/>
        </w:rPr>
        <w:t>the critical audit matters below, providing separate opinions on the critical audit matters or on the accounts or disclosures to which they relate.</w:t>
      </w:r>
    </w:p>
    <w:tbl>
      <w:tblPr>
        <w:tblW w:w="10205" w:type="dxa"/>
        <w:jc w:val="left"/>
        <w:tblInd w:w="0" w:type="dxa"/>
        <w:tblLayout w:type="fixed"/>
        <w:tblCellMar>
          <w:top w:w="28" w:type="dxa"/>
          <w:left w:w="28" w:type="dxa"/>
          <w:bottom w:w="28" w:type="dxa"/>
          <w:right w:w="28" w:type="dxa"/>
        </w:tblCellMar>
      </w:tblPr>
      <w:tblGrid>
        <w:gridCol w:w="482"/>
        <w:gridCol w:w="424"/>
        <w:gridCol w:w="425"/>
        <w:gridCol w:w="2624"/>
        <w:gridCol w:w="2583"/>
        <w:gridCol w:w="3667"/>
      </w:tblGrid>
      <w:tr>
        <w:trPr/>
        <w:tc>
          <w:tcPr>
            <w:tcW w:w="482"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2624" w:type="dxa"/>
            <w:tcBorders/>
            <w:vAlign w:val="center"/>
          </w:tcPr>
          <w:p>
            <w:pPr>
              <w:pStyle w:val="TableContents"/>
              <w:bidi w:val="0"/>
              <w:spacing w:before="0" w:after="283"/>
              <w:jc w:val="left"/>
              <w:rPr>
                <w:sz w:val="4"/>
                <w:szCs w:val="4"/>
              </w:rPr>
            </w:pPr>
            <w:r>
              <w:rPr>
                <w:sz w:val="4"/>
                <w:szCs w:val="4"/>
              </w:rPr>
            </w:r>
          </w:p>
        </w:tc>
        <w:tc>
          <w:tcPr>
            <w:tcW w:w="2583" w:type="dxa"/>
            <w:tcBorders/>
            <w:vAlign w:val="center"/>
          </w:tcPr>
          <w:p>
            <w:pPr>
              <w:pStyle w:val="TableContents"/>
              <w:bidi w:val="0"/>
              <w:spacing w:before="0" w:after="283"/>
              <w:jc w:val="left"/>
              <w:rPr>
                <w:sz w:val="4"/>
                <w:szCs w:val="4"/>
              </w:rPr>
            </w:pPr>
            <w:r>
              <w:rPr>
                <w:sz w:val="4"/>
                <w:szCs w:val="4"/>
              </w:rPr>
            </w:r>
          </w:p>
        </w:tc>
        <w:tc>
          <w:tcPr>
            <w:tcW w:w="3667" w:type="dxa"/>
            <w:tcBorders/>
            <w:vAlign w:val="center"/>
          </w:tcPr>
          <w:p>
            <w:pPr>
              <w:pStyle w:val="TableContents"/>
              <w:bidi w:val="0"/>
              <w:spacing w:before="0" w:after="283"/>
              <w:jc w:val="left"/>
              <w:rPr>
                <w:sz w:val="4"/>
                <w:szCs w:val="4"/>
              </w:rPr>
            </w:pPr>
            <w:r>
              <w:rPr>
                <w:sz w:val="4"/>
                <w:szCs w:val="4"/>
              </w:rPr>
            </w:r>
          </w:p>
        </w:tc>
      </w:tr>
      <w:tr>
        <w:trPr/>
        <w:tc>
          <w:tcPr>
            <w:tcW w:w="13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4" w:type="dxa"/>
            <w:gridSpan w:val="3"/>
            <w:tcBorders/>
            <w:tcMar>
              <w:top w:w="0" w:type="dxa"/>
              <w:left w:w="0" w:type="dxa"/>
              <w:bottom w:w="0" w:type="dxa"/>
              <w:right w:w="0" w:type="dxa"/>
            </w:tcMar>
            <w:vAlign w:val="center"/>
          </w:tcPr>
          <w:p>
            <w:pPr>
              <w:pStyle w:val="TableContents"/>
              <w:bidi w:val="0"/>
              <w:spacing w:lineRule="auto" w:line="319" w:before="0" w:after="2"/>
              <w:jc w:val="both"/>
              <w:rPr>
                <w:rFonts w:ascii="Arial;sans-serif" w:hAnsi="Arial;sans-serif"/>
                <w:b/>
                <w:i/>
                <w:color w:val="000000"/>
                <w:sz w:val="20"/>
              </w:rPr>
            </w:pPr>
            <w:r>
              <w:rPr>
                <w:rFonts w:ascii="Arial;sans-serif" w:hAnsi="Arial;sans-serif"/>
                <w:b/>
                <w:i/>
                <w:color w:val="000000"/>
                <w:sz w:val="20"/>
              </w:rPr>
              <w:t xml:space="preserve">Revenue recognition from collaboration partner’s COVID-19 vaccine sales </w:t>
            </w:r>
          </w:p>
        </w:tc>
      </w:tr>
      <w:tr>
        <w:trPr/>
        <w:tc>
          <w:tcPr>
            <w:tcW w:w="1331" w:type="dxa"/>
            <w:gridSpan w:val="3"/>
            <w:tcBorders/>
            <w:tcMar>
              <w:top w:w="0" w:type="dxa"/>
              <w:left w:w="0" w:type="dxa"/>
              <w:bottom w:w="0" w:type="dxa"/>
              <w:right w:w="0" w:type="dxa"/>
            </w:tcMar>
            <w:vAlign w:val="center"/>
          </w:tcPr>
          <w:p>
            <w:pPr>
              <w:pStyle w:val="TableContents"/>
              <w:bidi w:val="0"/>
              <w:spacing w:lineRule="auto" w:line="319" w:before="0" w:after="2"/>
              <w:jc w:val="left"/>
              <w:rPr>
                <w:color w:val="000000"/>
              </w:rPr>
            </w:pPr>
            <w:r>
              <w:rPr>
                <w:color w:val="000000"/>
              </w:rPr>
              <w:t> </w:t>
            </w:r>
          </w:p>
        </w:tc>
        <w:tc>
          <w:tcPr>
            <w:tcW w:w="8874" w:type="dxa"/>
            <w:gridSpan w:val="3"/>
            <w:tcBorders/>
            <w:tcMar>
              <w:top w:w="0" w:type="dxa"/>
              <w:left w:w="0" w:type="dxa"/>
              <w:bottom w:w="0" w:type="dxa"/>
              <w:right w:w="0" w:type="dxa"/>
            </w:tcMar>
            <w:vAlign w:val="center"/>
          </w:tcPr>
          <w:p>
            <w:pPr>
              <w:pStyle w:val="TableContents"/>
              <w:bidi w:val="0"/>
              <w:spacing w:lineRule="auto" w:line="319" w:before="0" w:after="2"/>
              <w:jc w:val="both"/>
              <w:rPr>
                <w:color w:val="000000"/>
              </w:rPr>
            </w:pPr>
            <w:r>
              <w:rPr>
                <w:color w:val="000000"/>
              </w:rPr>
              <w:t> </w:t>
            </w:r>
          </w:p>
        </w:tc>
      </w:tr>
      <w:tr>
        <w:trPr/>
        <w:tc>
          <w:tcPr>
            <w:tcW w:w="1331" w:type="dxa"/>
            <w:gridSpan w:val="3"/>
            <w:tcBorders/>
            <w:tcMar>
              <w:top w:w="0" w:type="dxa"/>
              <w:left w:w="0" w:type="dxa"/>
              <w:bottom w:w="0" w:type="dxa"/>
              <w:right w:w="0" w:type="dxa"/>
            </w:tcMar>
            <w:vAlign w:val="center"/>
          </w:tcPr>
          <w:p>
            <w:pPr>
              <w:pStyle w:val="TableContents"/>
              <w:bidi w:val="0"/>
              <w:spacing w:lineRule="atLeast" w:line="260" w:before="0" w:after="0"/>
              <w:jc w:val="left"/>
              <w:rPr>
                <w:rFonts w:ascii="Arial;sans-serif" w:hAnsi="Arial;sans-serif"/>
                <w:b w:val="false"/>
                <w:i/>
                <w:color w:val="000000"/>
                <w:sz w:val="20"/>
              </w:rPr>
            </w:pPr>
            <w:r>
              <w:rPr>
                <w:rFonts w:ascii="Arial;sans-serif" w:hAnsi="Arial;sans-serif"/>
                <w:b w:val="false"/>
                <w:i/>
                <w:color w:val="000000"/>
                <w:sz w:val="20"/>
              </w:rPr>
              <w:t>Description of the Matter</w:t>
            </w:r>
          </w:p>
        </w:tc>
        <w:tc>
          <w:tcPr>
            <w:tcW w:w="8874" w:type="dxa"/>
            <w:gridSpan w:val="3"/>
            <w:tcBorders/>
            <w:tcMar>
              <w:top w:w="0" w:type="dxa"/>
              <w:left w:w="0" w:type="dxa"/>
              <w:bottom w:w="0" w:type="dxa"/>
              <w:right w:w="0" w:type="dxa"/>
            </w:tcMar>
            <w:vAlign w:val="center"/>
          </w:tcPr>
          <w:p>
            <w:pPr>
              <w:pStyle w:val="TableContents"/>
              <w:bidi w:val="0"/>
              <w:spacing w:lineRule="atLeast" w:line="260" w:before="0" w:after="2"/>
              <w:jc w:val="both"/>
              <w:rPr>
                <w:rFonts w:ascii="Arial;sans-serif" w:hAnsi="Arial;sans-serif"/>
                <w:b w:val="false"/>
                <w:color w:val="000000"/>
                <w:sz w:val="20"/>
              </w:rPr>
            </w:pPr>
            <w:r>
              <w:rPr>
                <w:rFonts w:ascii="Arial;sans-serif" w:hAnsi="Arial;sans-serif"/>
                <w:b w:val="false"/>
                <w:color w:val="000000"/>
                <w:sz w:val="20"/>
              </w:rPr>
              <w:t>As described in more detail in Note 6 to the consolidated financial statements, the Company recognized revenues associated with COVID-19 vaccine sales of €2.0 billion, mainly comprising the Company’s share of its collaboration partner´s gross profit. The Company was contractually eligible to receive a share of the collaboration partner’s gross profit from vaccine sales in the collaboration partner’s territories. Such gross profit share was recognized as collaboration revenue. In order to determine the gross profit share, the Company used certain information from the collaboration partner, including vaccine sales outside of the United States and associated production costs, some of which was based on preliminary data shared by the partner and might differ once final data is available.</w:t>
            </w:r>
          </w:p>
          <w:p>
            <w:pPr>
              <w:pStyle w:val="TableContents"/>
              <w:bidi w:val="0"/>
              <w:spacing w:before="0" w:after="2"/>
              <w:jc w:val="both"/>
              <w:rPr/>
            </w:pPr>
            <w:r>
              <w:rPr/>
            </w:r>
          </w:p>
          <w:p>
            <w:pPr>
              <w:pStyle w:val="TableContents"/>
              <w:bidi w:val="0"/>
              <w:spacing w:lineRule="atLeast" w:line="260" w:before="0" w:after="2"/>
              <w:jc w:val="both"/>
              <w:rPr>
                <w:rFonts w:ascii="Arial;sans-serif" w:hAnsi="Arial;sans-serif"/>
                <w:b w:val="false"/>
                <w:color w:val="000000"/>
                <w:sz w:val="20"/>
              </w:rPr>
            </w:pPr>
            <w:r>
              <w:rPr>
                <w:rFonts w:ascii="Arial;sans-serif" w:hAnsi="Arial;sans-serif"/>
                <w:b w:val="false"/>
                <w:color w:val="000000"/>
                <w:sz w:val="20"/>
              </w:rPr>
              <w:t xml:space="preserve">Auditing revenue recognition specific to the gross profit share was complex due to the significant estimation uncertainty in inputs to the calculation. Specifically, the collaboration partner’s vaccine sales outside of the United States and associated manufacturing and shipping costs are partially estimated for the last month in the period based on historical information and could change based on the actual vaccine sales and costs incurred. </w:t>
            </w:r>
          </w:p>
          <w:p>
            <w:pPr>
              <w:pStyle w:val="TableContents"/>
              <w:bidi w:val="0"/>
              <w:spacing w:before="0" w:after="2"/>
              <w:jc w:val="both"/>
              <w:rPr/>
            </w:pPr>
            <w:r>
              <w:rPr/>
            </w:r>
          </w:p>
        </w:tc>
      </w:tr>
      <w:tr>
        <w:trPr/>
        <w:tc>
          <w:tcPr>
            <w:tcW w:w="1331" w:type="dxa"/>
            <w:gridSpan w:val="3"/>
            <w:tcBorders/>
            <w:tcMar>
              <w:top w:w="0" w:type="dxa"/>
              <w:left w:w="0" w:type="dxa"/>
              <w:bottom w:w="0" w:type="dxa"/>
              <w:right w:w="0" w:type="dxa"/>
            </w:tcMar>
            <w:vAlign w:val="center"/>
          </w:tcPr>
          <w:p>
            <w:pPr>
              <w:pStyle w:val="TableContents"/>
              <w:bidi w:val="0"/>
              <w:spacing w:lineRule="atLeast" w:line="260" w:before="0" w:after="0"/>
              <w:jc w:val="left"/>
              <w:rPr>
                <w:rFonts w:ascii="Arial;sans-serif" w:hAnsi="Arial;sans-serif"/>
                <w:b w:val="false"/>
                <w:i/>
                <w:color w:val="000000"/>
                <w:sz w:val="20"/>
              </w:rPr>
            </w:pPr>
            <w:r>
              <w:rPr>
                <w:rFonts w:ascii="Arial;sans-serif" w:hAnsi="Arial;sans-serif"/>
                <w:b w:val="false"/>
                <w:i/>
                <w:color w:val="000000"/>
                <w:sz w:val="20"/>
              </w:rPr>
              <w:t>How We Addressed the Matter in Our Audit</w:t>
            </w:r>
          </w:p>
        </w:tc>
        <w:tc>
          <w:tcPr>
            <w:tcW w:w="8874" w:type="dxa"/>
            <w:gridSpan w:val="3"/>
            <w:tcBorders/>
            <w:tcMar>
              <w:top w:w="0" w:type="dxa"/>
              <w:left w:w="0" w:type="dxa"/>
              <w:bottom w:w="0" w:type="dxa"/>
              <w:right w:w="0" w:type="dxa"/>
            </w:tcMar>
            <w:vAlign w:val="center"/>
          </w:tcPr>
          <w:p>
            <w:pPr>
              <w:pStyle w:val="TableContents"/>
              <w:bidi w:val="0"/>
              <w:spacing w:lineRule="atLeast" w:line="260" w:before="120" w:after="283"/>
              <w:jc w:val="both"/>
              <w:rPr>
                <w:rFonts w:ascii="Arial;sans-serif" w:hAnsi="Arial;sans-serif"/>
                <w:b w:val="false"/>
                <w:color w:val="000000"/>
                <w:sz w:val="20"/>
              </w:rPr>
            </w:pPr>
            <w:r>
              <w:rPr>
                <w:rFonts w:ascii="Arial;sans-serif" w:hAnsi="Arial;sans-serif"/>
                <w:b w:val="false"/>
                <w:color w:val="000000"/>
                <w:sz w:val="20"/>
              </w:rPr>
              <w:t xml:space="preserve">We obtained an understanding, evaluated the design and tested the operating effectiveness of the Company’s controls related to revenue recognition from the collaboration partner’s vaccine sales outside of the United States. For example, we tested controls over management’s review of the significant assumptions used to determine the gross profit share the Company is eligible to receive. </w:t>
            </w:r>
          </w:p>
          <w:p>
            <w:pPr>
              <w:pStyle w:val="TableContents"/>
              <w:bidi w:val="0"/>
              <w:spacing w:before="0" w:after="2"/>
              <w:jc w:val="both"/>
              <w:rPr/>
            </w:pPr>
            <w:r>
              <w:rPr/>
            </w:r>
          </w:p>
          <w:p>
            <w:pPr>
              <w:pStyle w:val="TableContents"/>
              <w:bidi w:val="0"/>
              <w:spacing w:lineRule="atLeast" w:line="260" w:before="0" w:after="2"/>
              <w:jc w:val="both"/>
              <w:rPr>
                <w:rFonts w:ascii="Arial;sans-serif" w:hAnsi="Arial;sans-serif"/>
                <w:b w:val="false"/>
                <w:color w:val="000000"/>
                <w:sz w:val="20"/>
              </w:rPr>
            </w:pPr>
            <w:r>
              <w:rPr>
                <w:rFonts w:ascii="Arial;sans-serif" w:hAnsi="Arial;sans-serif"/>
                <w:b w:val="false"/>
                <w:color w:val="000000"/>
                <w:sz w:val="20"/>
              </w:rPr>
              <w:t>Our audit procedures included, among others, reading the contract with the collaboration partner to understand key terms and obtaining an understanding of management’s methodology and assumptions used to calculate the estimated gross profit share. We performed a hindsight analysis to assess management’s accuracy in estimating the collaboration partner’s vaccine sales outside of the United States and manufacturing and shipping costs. We obtained a confirmation directly from the collaboration partner regarding vaccine sales and cost inputs used to estimate the profit share and tested the completeness and accuracy of the Company’s gross profit share calculation. We performed a sensitivity analysis of the significant assumptions to evaluate the change in the gross profit share resulting from changing the assumptions, as well as an analysis of previous estimation compared to the actual payments obtained to date. We evaluated the Company’s related disclosures in the consolidated financial statements.</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6"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both"/>
                        <w:rPr/>
                      </w:pPr>
                      <w:r>
                        <w:rPr/>
                      </w:r>
                    </w:p>
                  </w:txbxContent>
                </v:textbox>
                <w10:wrap type="none"/>
              </v:rect>
            </w:pict>
          </mc:Fallback>
        </mc:AlternateContent>
      </w:r>
    </w:p>
    <w:p>
      <w:pPr>
        <w:pStyle w:val="TextBody"/>
        <w:bidi w:val="0"/>
        <w:spacing w:before="0" w:after="240"/>
        <w:jc w:val="both"/>
        <w:rPr/>
      </w:pPr>
      <w:r>
        <w:rPr/>
      </w:r>
    </w:p>
    <w:tbl>
      <w:tblPr>
        <w:tblW w:w="10205" w:type="dxa"/>
        <w:jc w:val="left"/>
        <w:tblInd w:w="0" w:type="dxa"/>
        <w:tblLayout w:type="fixed"/>
        <w:tblCellMar>
          <w:top w:w="28" w:type="dxa"/>
          <w:left w:w="28" w:type="dxa"/>
          <w:bottom w:w="28" w:type="dxa"/>
          <w:right w:w="28" w:type="dxa"/>
        </w:tblCellMar>
      </w:tblPr>
      <w:tblGrid>
        <w:gridCol w:w="498"/>
        <w:gridCol w:w="438"/>
        <w:gridCol w:w="439"/>
        <w:gridCol w:w="2668"/>
        <w:gridCol w:w="2546"/>
        <w:gridCol w:w="3616"/>
      </w:tblGrid>
      <w:tr>
        <w:trPr/>
        <w:tc>
          <w:tcPr>
            <w:tcW w:w="498"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2668" w:type="dxa"/>
            <w:tcBorders/>
            <w:vAlign w:val="center"/>
          </w:tcPr>
          <w:p>
            <w:pPr>
              <w:pStyle w:val="TableContents"/>
              <w:bidi w:val="0"/>
              <w:spacing w:before="0" w:after="283"/>
              <w:jc w:val="left"/>
              <w:rPr>
                <w:sz w:val="4"/>
                <w:szCs w:val="4"/>
              </w:rPr>
            </w:pPr>
            <w:r>
              <w:rPr>
                <w:sz w:val="4"/>
                <w:szCs w:val="4"/>
              </w:rPr>
            </w:r>
          </w:p>
        </w:tc>
        <w:tc>
          <w:tcPr>
            <w:tcW w:w="2546" w:type="dxa"/>
            <w:tcBorders/>
            <w:vAlign w:val="center"/>
          </w:tcPr>
          <w:p>
            <w:pPr>
              <w:pStyle w:val="TableContents"/>
              <w:bidi w:val="0"/>
              <w:spacing w:before="0" w:after="283"/>
              <w:jc w:val="left"/>
              <w:rPr>
                <w:sz w:val="4"/>
                <w:szCs w:val="4"/>
              </w:rPr>
            </w:pPr>
            <w:r>
              <w:rPr>
                <w:sz w:val="4"/>
                <w:szCs w:val="4"/>
              </w:rPr>
            </w:r>
          </w:p>
        </w:tc>
        <w:tc>
          <w:tcPr>
            <w:tcW w:w="3616" w:type="dxa"/>
            <w:tcBorders/>
            <w:vAlign w:val="center"/>
          </w:tcPr>
          <w:p>
            <w:pPr>
              <w:pStyle w:val="TableContents"/>
              <w:bidi w:val="0"/>
              <w:spacing w:before="0" w:after="283"/>
              <w:jc w:val="left"/>
              <w:rPr>
                <w:sz w:val="4"/>
                <w:szCs w:val="4"/>
              </w:rPr>
            </w:pPr>
            <w:r>
              <w:rPr>
                <w:sz w:val="4"/>
                <w:szCs w:val="4"/>
              </w:rPr>
            </w:r>
          </w:p>
        </w:tc>
      </w:tr>
      <w:tr>
        <w:trPr/>
        <w:tc>
          <w:tcPr>
            <w:tcW w:w="1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0" w:type="dxa"/>
            <w:gridSpan w:val="3"/>
            <w:tcBorders/>
            <w:tcMar>
              <w:top w:w="0" w:type="dxa"/>
              <w:left w:w="0" w:type="dxa"/>
              <w:bottom w:w="0" w:type="dxa"/>
              <w:right w:w="0" w:type="dxa"/>
            </w:tcMar>
            <w:vAlign w:val="center"/>
          </w:tcPr>
          <w:p>
            <w:pPr>
              <w:pStyle w:val="TableContents"/>
              <w:bidi w:val="0"/>
              <w:spacing w:lineRule="auto" w:line="319" w:before="0" w:after="2"/>
              <w:jc w:val="both"/>
              <w:rPr>
                <w:rFonts w:ascii="Arial;sans-serif" w:hAnsi="Arial;sans-serif"/>
                <w:b/>
                <w:i/>
                <w:color w:val="000000"/>
                <w:sz w:val="20"/>
              </w:rPr>
            </w:pPr>
            <w:r>
              <w:rPr>
                <w:rFonts w:ascii="Arial;sans-serif" w:hAnsi="Arial;sans-serif"/>
                <w:b/>
                <w:i/>
                <w:color w:val="000000"/>
                <w:sz w:val="20"/>
              </w:rPr>
              <w:t>Revenue recognition from out-licensing to collaboration partner</w:t>
            </w:r>
          </w:p>
        </w:tc>
      </w:tr>
      <w:tr>
        <w:trPr/>
        <w:tc>
          <w:tcPr>
            <w:tcW w:w="1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75" w:type="dxa"/>
            <w:gridSpan w:val="3"/>
            <w:tcBorders/>
            <w:tcMar>
              <w:top w:w="0" w:type="dxa"/>
              <w:left w:w="0" w:type="dxa"/>
              <w:bottom w:w="0" w:type="dxa"/>
              <w:right w:w="0" w:type="dxa"/>
            </w:tcMar>
            <w:vAlign w:val="center"/>
          </w:tcPr>
          <w:p>
            <w:pPr>
              <w:pStyle w:val="TableContents"/>
              <w:bidi w:val="0"/>
              <w:spacing w:lineRule="atLeast" w:line="260" w:before="0" w:after="0"/>
              <w:jc w:val="left"/>
              <w:rPr>
                <w:rFonts w:ascii="Arial;sans-serif" w:hAnsi="Arial;sans-serif"/>
                <w:b w:val="false"/>
                <w:i/>
                <w:color w:val="000000"/>
                <w:sz w:val="20"/>
              </w:rPr>
            </w:pPr>
            <w:r>
              <w:rPr>
                <w:rFonts w:ascii="Arial;sans-serif" w:hAnsi="Arial;sans-serif"/>
                <w:b w:val="false"/>
                <w:i/>
                <w:color w:val="000000"/>
                <w:sz w:val="20"/>
              </w:rPr>
              <w:t>Description of the Matter</w:t>
            </w:r>
          </w:p>
        </w:tc>
        <w:tc>
          <w:tcPr>
            <w:tcW w:w="8830" w:type="dxa"/>
            <w:gridSpan w:val="3"/>
            <w:tcBorders/>
            <w:tcMar>
              <w:top w:w="0" w:type="dxa"/>
              <w:left w:w="0" w:type="dxa"/>
              <w:bottom w:w="0" w:type="dxa"/>
              <w:right w:w="0" w:type="dxa"/>
            </w:tcMar>
            <w:vAlign w:val="center"/>
          </w:tcPr>
          <w:p>
            <w:pPr>
              <w:pStyle w:val="TableContents"/>
              <w:bidi w:val="0"/>
              <w:spacing w:lineRule="atLeast" w:line="260" w:before="0" w:after="0"/>
              <w:jc w:val="both"/>
              <w:rPr>
                <w:rFonts w:ascii="Arial;sans-serif" w:hAnsi="Arial;sans-serif"/>
                <w:b w:val="false"/>
                <w:color w:val="000000"/>
                <w:sz w:val="20"/>
              </w:rPr>
            </w:pPr>
            <w:r>
              <w:rPr>
                <w:rFonts w:ascii="Arial;sans-serif" w:hAnsi="Arial;sans-serif"/>
                <w:b w:val="false"/>
                <w:color w:val="000000"/>
                <w:sz w:val="20"/>
              </w:rPr>
              <w:t xml:space="preserve">The Company recorded €0.6 billion in revenues from a collaboration agreement with Bristol-Myers Squibb (the BMS Collaboration Agreement) for the year ended December 31, 2025. As discussed in Note 6 to the consolidated financial statements, the terms of the BMS Collaboration Agreement include a license for the Company’s intellectual property. Amounts received under such arrangement include a non-refundable upfront payment, non-contingent anniversary payments and other contingent payments for the achievement of certain development, regulatory and commercial milestones. Based on the terms of the contract, the Company identified material rights relating to options to cancel the contract. Each material right is recognized as revenue at the point in time the collaboration partner makes use of its option or when such right expires. </w:t>
            </w:r>
          </w:p>
          <w:p>
            <w:pPr>
              <w:pStyle w:val="TableContents"/>
              <w:bidi w:val="0"/>
              <w:spacing w:before="0" w:after="2"/>
              <w:jc w:val="both"/>
              <w:rPr/>
            </w:pPr>
            <w:r>
              <w:rPr/>
            </w:r>
          </w:p>
          <w:p>
            <w:pPr>
              <w:pStyle w:val="TableContents"/>
              <w:bidi w:val="0"/>
              <w:spacing w:lineRule="atLeast" w:line="260" w:before="0" w:after="2"/>
              <w:jc w:val="both"/>
              <w:rPr>
                <w:rFonts w:ascii="Arial;sans-serif" w:hAnsi="Arial;sans-serif"/>
                <w:b w:val="false"/>
                <w:color w:val="000000"/>
                <w:sz w:val="20"/>
              </w:rPr>
            </w:pPr>
            <w:r>
              <w:rPr>
                <w:rFonts w:ascii="Arial;sans-serif" w:hAnsi="Arial;sans-serif"/>
                <w:b w:val="false"/>
                <w:color w:val="000000"/>
                <w:sz w:val="20"/>
              </w:rPr>
              <w:t xml:space="preserve">Auditing the Company's revenue recognition for the BMS Collaboration Agreement was complex because it required significant judgement in determining the nature of the license and the appropriate timing of revenue recognition, including assessing whether the license is distinct from the development activities, how consideration should be allocated to performance obligations, and when material rights associated with cancellation options should be recognized as revenue. These judgements had a significant impact on the amount and timing of revenue recognized. </w:t>
            </w:r>
          </w:p>
          <w:p>
            <w:pPr>
              <w:pStyle w:val="TableContents"/>
              <w:bidi w:val="0"/>
              <w:spacing w:before="0" w:after="2"/>
              <w:jc w:val="both"/>
              <w:rPr/>
            </w:pPr>
            <w:r>
              <w:rPr/>
            </w:r>
          </w:p>
        </w:tc>
      </w:tr>
      <w:tr>
        <w:trPr/>
        <w:tc>
          <w:tcPr>
            <w:tcW w:w="1375" w:type="dxa"/>
            <w:gridSpan w:val="3"/>
            <w:tcBorders/>
            <w:tcMar>
              <w:top w:w="0" w:type="dxa"/>
              <w:left w:w="0" w:type="dxa"/>
              <w:bottom w:w="0" w:type="dxa"/>
              <w:right w:w="0" w:type="dxa"/>
            </w:tcMar>
            <w:vAlign w:val="center"/>
          </w:tcPr>
          <w:p>
            <w:pPr>
              <w:pStyle w:val="TableContents"/>
              <w:bidi w:val="0"/>
              <w:spacing w:lineRule="atLeast" w:line="260" w:before="0" w:after="0"/>
              <w:jc w:val="left"/>
              <w:rPr>
                <w:rFonts w:ascii="Arial;sans-serif" w:hAnsi="Arial;sans-serif"/>
                <w:b w:val="false"/>
                <w:i/>
                <w:color w:val="000000"/>
                <w:sz w:val="20"/>
              </w:rPr>
            </w:pPr>
            <w:r>
              <w:rPr>
                <w:rFonts w:ascii="Arial;sans-serif" w:hAnsi="Arial;sans-serif"/>
                <w:b w:val="false"/>
                <w:i/>
                <w:color w:val="000000"/>
                <w:sz w:val="20"/>
              </w:rPr>
              <w:t>How We Addressed the Matter in Our Audit</w:t>
            </w:r>
          </w:p>
        </w:tc>
        <w:tc>
          <w:tcPr>
            <w:tcW w:w="8830" w:type="dxa"/>
            <w:gridSpan w:val="3"/>
            <w:tcBorders/>
            <w:tcMar>
              <w:top w:w="0" w:type="dxa"/>
              <w:left w:w="0" w:type="dxa"/>
              <w:bottom w:w="0" w:type="dxa"/>
              <w:right w:w="0" w:type="dxa"/>
            </w:tcMar>
            <w:vAlign w:val="center"/>
          </w:tcPr>
          <w:p>
            <w:pPr>
              <w:pStyle w:val="TableContents"/>
              <w:bidi w:val="0"/>
              <w:spacing w:lineRule="atLeast" w:line="260" w:before="0" w:after="0"/>
              <w:jc w:val="both"/>
              <w:rPr>
                <w:rFonts w:ascii="Arial;sans-serif" w:hAnsi="Arial;sans-serif"/>
                <w:b w:val="false"/>
                <w:color w:val="000000"/>
                <w:sz w:val="20"/>
              </w:rPr>
            </w:pPr>
            <w:r>
              <w:rPr>
                <w:rFonts w:ascii="Arial;sans-serif" w:hAnsi="Arial;sans-serif"/>
                <w:b w:val="false"/>
                <w:color w:val="000000"/>
                <w:sz w:val="20"/>
              </w:rPr>
              <w:t>We obtained an understanding, evaluated the design and tested the operating effectiveness of controls over the Company’s process for revenue recognition from the collaboration partner, including controls assessing the accounting treatment of the BMS Collaboration Agreement.</w:t>
            </w:r>
          </w:p>
          <w:p>
            <w:pPr>
              <w:pStyle w:val="TableContents"/>
              <w:bidi w:val="0"/>
              <w:spacing w:before="0" w:after="2"/>
              <w:jc w:val="both"/>
              <w:rPr/>
            </w:pPr>
            <w:r>
              <w:rPr/>
            </w:r>
          </w:p>
          <w:p>
            <w:pPr>
              <w:pStyle w:val="TableContents"/>
              <w:bidi w:val="0"/>
              <w:spacing w:lineRule="atLeast" w:line="260" w:before="0" w:after="2"/>
              <w:jc w:val="both"/>
              <w:rPr>
                <w:rFonts w:ascii="Arial;sans-serif" w:hAnsi="Arial;sans-serif"/>
                <w:b w:val="false"/>
                <w:color w:val="000000"/>
                <w:sz w:val="20"/>
              </w:rPr>
            </w:pPr>
            <w:r>
              <w:rPr>
                <w:rFonts w:ascii="Arial;sans-serif" w:hAnsi="Arial;sans-serif"/>
                <w:b w:val="false"/>
                <w:color w:val="000000"/>
                <w:sz w:val="20"/>
              </w:rPr>
              <w:t>Our audit procedures included, among others, reading the relevant contracts related to the BMS Collaboration Agreement to understand key terms and purpose and design of the collaboration arrangement, evaluating management’s application of IFRS 15 to determine the timing of revenue recognition, including the treatment of the license and the allocation of consideration to material rights. We assessed the reasonableness of management’s judgments by comparing the underlying inputs and analyses of those judgements to the terms of the BMS Collaboration Agreement, relevant accounting guidance and the Company’s historical practices for collaboration arrangements. We also evaluated the Company’s related disclosures in the consolidated financial statements.</w:t>
            </w:r>
          </w:p>
          <w:p>
            <w:pPr>
              <w:pStyle w:val="TableContents"/>
              <w:bidi w:val="0"/>
              <w:spacing w:before="0" w:after="2"/>
              <w:jc w:val="both"/>
              <w:rPr/>
            </w:pPr>
            <w:r>
              <w:rPr/>
            </w:r>
          </w:p>
        </w:tc>
      </w:tr>
      <w:tr>
        <w:trPr/>
        <w:tc>
          <w:tcPr>
            <w:tcW w:w="1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7" name="Frame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both"/>
                        <w:rPr/>
                      </w:pPr>
                      <w:r>
                        <w:rPr/>
                      </w:r>
                    </w:p>
                  </w:txbxContent>
                </v:textbox>
                <w10:wrap type="none"/>
              </v:rect>
            </w:pict>
          </mc:Fallback>
        </mc:AlternateContent>
      </w:r>
    </w:p>
    <w:p>
      <w:pPr>
        <w:pStyle w:val="TextBody"/>
        <w:bidi w:val="0"/>
        <w:spacing w:before="0" w:after="240"/>
        <w:jc w:val="both"/>
        <w:rPr/>
      </w:pPr>
      <w:r>
        <w:rPr/>
      </w:r>
    </w:p>
    <w:tbl>
      <w:tblPr>
        <w:tblW w:w="10205" w:type="dxa"/>
        <w:jc w:val="left"/>
        <w:tblInd w:w="0" w:type="dxa"/>
        <w:tblLayout w:type="fixed"/>
        <w:tblCellMar>
          <w:top w:w="28" w:type="dxa"/>
          <w:left w:w="28" w:type="dxa"/>
          <w:bottom w:w="28" w:type="dxa"/>
          <w:right w:w="28" w:type="dxa"/>
        </w:tblCellMar>
      </w:tblPr>
      <w:tblGrid>
        <w:gridCol w:w="503"/>
        <w:gridCol w:w="442"/>
        <w:gridCol w:w="444"/>
        <w:gridCol w:w="2597"/>
        <w:gridCol w:w="2570"/>
        <w:gridCol w:w="3649"/>
      </w:tblGrid>
      <w:tr>
        <w:trPr/>
        <w:tc>
          <w:tcPr>
            <w:tcW w:w="503"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2597" w:type="dxa"/>
            <w:tcBorders/>
            <w:vAlign w:val="center"/>
          </w:tcPr>
          <w:p>
            <w:pPr>
              <w:pStyle w:val="TableContents"/>
              <w:bidi w:val="0"/>
              <w:spacing w:before="0" w:after="283"/>
              <w:jc w:val="left"/>
              <w:rPr>
                <w:sz w:val="4"/>
                <w:szCs w:val="4"/>
              </w:rPr>
            </w:pPr>
            <w:r>
              <w:rPr>
                <w:sz w:val="4"/>
                <w:szCs w:val="4"/>
              </w:rPr>
            </w:r>
          </w:p>
        </w:tc>
        <w:tc>
          <w:tcPr>
            <w:tcW w:w="2570" w:type="dxa"/>
            <w:tcBorders/>
            <w:vAlign w:val="center"/>
          </w:tcPr>
          <w:p>
            <w:pPr>
              <w:pStyle w:val="TableContents"/>
              <w:bidi w:val="0"/>
              <w:spacing w:before="0" w:after="283"/>
              <w:jc w:val="left"/>
              <w:rPr>
                <w:sz w:val="4"/>
                <w:szCs w:val="4"/>
              </w:rPr>
            </w:pPr>
            <w:r>
              <w:rPr>
                <w:sz w:val="4"/>
                <w:szCs w:val="4"/>
              </w:rPr>
            </w:r>
          </w:p>
        </w:tc>
        <w:tc>
          <w:tcPr>
            <w:tcW w:w="3649" w:type="dxa"/>
            <w:tcBorders/>
            <w:vAlign w:val="center"/>
          </w:tcPr>
          <w:p>
            <w:pPr>
              <w:pStyle w:val="TableContents"/>
              <w:bidi w:val="0"/>
              <w:spacing w:before="0" w:after="283"/>
              <w:jc w:val="left"/>
              <w:rPr>
                <w:sz w:val="4"/>
                <w:szCs w:val="4"/>
              </w:rPr>
            </w:pPr>
            <w:r>
              <w:rPr>
                <w:sz w:val="4"/>
                <w:szCs w:val="4"/>
              </w:rPr>
            </w:r>
          </w:p>
        </w:tc>
      </w:tr>
      <w:tr>
        <w:trPr/>
        <w:tc>
          <w:tcPr>
            <w:tcW w:w="13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6" w:type="dxa"/>
            <w:gridSpan w:val="3"/>
            <w:tcBorders/>
            <w:tcMar>
              <w:top w:w="0" w:type="dxa"/>
              <w:left w:w="0" w:type="dxa"/>
              <w:bottom w:w="0" w:type="dxa"/>
              <w:right w:w="0" w:type="dxa"/>
            </w:tcMar>
            <w:vAlign w:val="center"/>
          </w:tcPr>
          <w:p>
            <w:pPr>
              <w:pStyle w:val="TableContents"/>
              <w:bidi w:val="0"/>
              <w:spacing w:lineRule="auto" w:line="319" w:before="0" w:after="2"/>
              <w:jc w:val="both"/>
              <w:rPr>
                <w:rFonts w:ascii="Arial;sans-serif" w:hAnsi="Arial;sans-serif"/>
                <w:b/>
                <w:i/>
                <w:color w:val="000000"/>
                <w:sz w:val="20"/>
              </w:rPr>
            </w:pPr>
            <w:r>
              <w:rPr>
                <w:rFonts w:ascii="Arial;sans-serif" w:hAnsi="Arial;sans-serif"/>
                <w:b/>
                <w:i/>
                <w:color w:val="000000"/>
                <w:sz w:val="20"/>
              </w:rPr>
              <w:t>Claims and legal contingencies</w:t>
            </w:r>
          </w:p>
        </w:tc>
      </w:tr>
      <w:tr>
        <w:trPr/>
        <w:tc>
          <w:tcPr>
            <w:tcW w:w="13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9" w:type="dxa"/>
            <w:gridSpan w:val="3"/>
            <w:tcBorders/>
            <w:tcMar>
              <w:top w:w="0" w:type="dxa"/>
              <w:left w:w="0" w:type="dxa"/>
              <w:bottom w:w="0" w:type="dxa"/>
              <w:right w:w="0" w:type="dxa"/>
            </w:tcMar>
            <w:vAlign w:val="center"/>
          </w:tcPr>
          <w:p>
            <w:pPr>
              <w:pStyle w:val="TableContents"/>
              <w:bidi w:val="0"/>
              <w:spacing w:lineRule="atLeast" w:line="260" w:before="0" w:after="0"/>
              <w:jc w:val="left"/>
              <w:rPr>
                <w:rFonts w:ascii="Arial;sans-serif" w:hAnsi="Arial;sans-serif"/>
                <w:b w:val="false"/>
                <w:i/>
                <w:color w:val="000000"/>
                <w:sz w:val="20"/>
              </w:rPr>
            </w:pPr>
            <w:r>
              <w:rPr>
                <w:rFonts w:ascii="Arial;sans-serif" w:hAnsi="Arial;sans-serif"/>
                <w:b w:val="false"/>
                <w:i/>
                <w:color w:val="000000"/>
                <w:sz w:val="20"/>
              </w:rPr>
              <w:t>Description of the Matter</w:t>
            </w:r>
          </w:p>
        </w:tc>
        <w:tc>
          <w:tcPr>
            <w:tcW w:w="8816" w:type="dxa"/>
            <w:gridSpan w:val="3"/>
            <w:tcBorders/>
            <w:tcMar>
              <w:top w:w="0" w:type="dxa"/>
              <w:left w:w="0" w:type="dxa"/>
              <w:bottom w:w="0" w:type="dxa"/>
              <w:right w:w="0" w:type="dxa"/>
            </w:tcMar>
            <w:vAlign w:val="center"/>
          </w:tcPr>
          <w:p>
            <w:pPr>
              <w:pStyle w:val="TableContents"/>
              <w:bidi w:val="0"/>
              <w:spacing w:lineRule="atLeast" w:line="260" w:before="0" w:after="0"/>
              <w:jc w:val="both"/>
              <w:rPr>
                <w:rFonts w:ascii="Arial;sans-serif" w:hAnsi="Arial;sans-serif"/>
                <w:b w:val="false"/>
                <w:color w:val="000000"/>
                <w:sz w:val="20"/>
              </w:rPr>
            </w:pPr>
            <w:r>
              <w:rPr>
                <w:rFonts w:ascii="Arial;sans-serif" w:hAnsi="Arial;sans-serif"/>
                <w:b w:val="false"/>
                <w:color w:val="000000"/>
                <w:sz w:val="20"/>
              </w:rPr>
              <w:t xml:space="preserve">As described in more detail in Note 18 to the consolidated financial statements, the Company is involved in various claims and litigation specifically related to patent infringements matters. The Company, assisted by their internal and external legal counsel, assesses the need to record a provision or disclose a contingency on a case-by-case basis considering the underlying facts of each matter. The Company discloses contingent liabilities in circumstances where a cash outflow is probable, but management is unable to make a reasonable estimate of the expected financial effect that will result from ultimate resolution of the proceeding, or a cash outflow is reasonably possible. A provision is recorded when a cash outflow is deemed probable and reasonably estimable. </w:t>
            </w:r>
          </w:p>
          <w:p>
            <w:pPr>
              <w:pStyle w:val="TableContents"/>
              <w:bidi w:val="0"/>
              <w:spacing w:before="0" w:after="2"/>
              <w:jc w:val="both"/>
              <w:rPr/>
            </w:pPr>
            <w:r>
              <w:rPr/>
            </w:r>
          </w:p>
          <w:p>
            <w:pPr>
              <w:pStyle w:val="TableContents"/>
              <w:bidi w:val="0"/>
              <w:spacing w:lineRule="atLeast" w:line="260" w:before="0" w:after="2"/>
              <w:jc w:val="both"/>
              <w:rPr>
                <w:rFonts w:ascii="Arial;sans-serif" w:hAnsi="Arial;sans-serif"/>
                <w:b w:val="false"/>
                <w:color w:val="000000"/>
                <w:sz w:val="20"/>
              </w:rPr>
            </w:pPr>
            <w:r>
              <w:rPr>
                <w:rFonts w:ascii="Arial;sans-serif" w:hAnsi="Arial;sans-serif"/>
                <w:b w:val="false"/>
                <w:color w:val="000000"/>
                <w:sz w:val="20"/>
              </w:rPr>
              <w:t>Auditing management's determination of whether a loss of such patent liability matters is probable and reasonably estimable, reasonably possible or remote, and the related disclosures, is highly subjective and requires significant judgement.</w:t>
            </w:r>
          </w:p>
          <w:p>
            <w:pPr>
              <w:pStyle w:val="TableContents"/>
              <w:bidi w:val="0"/>
              <w:spacing w:before="0" w:after="2"/>
              <w:jc w:val="both"/>
              <w:rPr/>
            </w:pPr>
            <w:r>
              <w:rPr/>
            </w:r>
          </w:p>
        </w:tc>
      </w:tr>
      <w:tr>
        <w:trPr/>
        <w:tc>
          <w:tcPr>
            <w:tcW w:w="1389" w:type="dxa"/>
            <w:gridSpan w:val="3"/>
            <w:tcBorders/>
            <w:tcMar>
              <w:top w:w="0" w:type="dxa"/>
              <w:left w:w="0" w:type="dxa"/>
              <w:bottom w:w="0" w:type="dxa"/>
              <w:right w:w="0" w:type="dxa"/>
            </w:tcMar>
            <w:vAlign w:val="center"/>
          </w:tcPr>
          <w:p>
            <w:pPr>
              <w:pStyle w:val="TableContents"/>
              <w:bidi w:val="0"/>
              <w:spacing w:lineRule="atLeast" w:line="260" w:before="0" w:after="0"/>
              <w:jc w:val="left"/>
              <w:rPr>
                <w:rFonts w:ascii="Arial;sans-serif" w:hAnsi="Arial;sans-serif"/>
                <w:b w:val="false"/>
                <w:i/>
                <w:color w:val="000000"/>
                <w:sz w:val="20"/>
              </w:rPr>
            </w:pPr>
            <w:r>
              <w:rPr>
                <w:rFonts w:ascii="Arial;sans-serif" w:hAnsi="Arial;sans-serif"/>
                <w:b w:val="false"/>
                <w:i/>
                <w:color w:val="000000"/>
                <w:sz w:val="20"/>
              </w:rPr>
              <w:t>How We Addressed the Matter in Our Audit</w:t>
            </w:r>
          </w:p>
        </w:tc>
        <w:tc>
          <w:tcPr>
            <w:tcW w:w="8816" w:type="dxa"/>
            <w:gridSpan w:val="3"/>
            <w:tcBorders/>
            <w:tcMar>
              <w:top w:w="0" w:type="dxa"/>
              <w:left w:w="0" w:type="dxa"/>
              <w:bottom w:w="0" w:type="dxa"/>
              <w:right w:w="0" w:type="dxa"/>
            </w:tcMar>
            <w:vAlign w:val="center"/>
          </w:tcPr>
          <w:p>
            <w:pPr>
              <w:pStyle w:val="TableContents"/>
              <w:bidi w:val="0"/>
              <w:spacing w:lineRule="atLeast" w:line="260" w:before="0" w:after="0"/>
              <w:jc w:val="both"/>
              <w:rPr>
                <w:rFonts w:ascii="Arial;sans-serif" w:hAnsi="Arial;sans-serif"/>
                <w:b w:val="false"/>
                <w:color w:val="000000"/>
                <w:sz w:val="20"/>
              </w:rPr>
            </w:pPr>
            <w:r>
              <w:rPr>
                <w:rFonts w:ascii="Arial;sans-serif" w:hAnsi="Arial;sans-serif"/>
                <w:b w:val="false"/>
                <w:color w:val="000000"/>
                <w:sz w:val="20"/>
              </w:rPr>
              <w:t>We obtained an understanding, evaluated the design and tested the operating effectiveness of the Company’s controls in assessing the completeness, valuation, presentation and disclosures with respect to such claims and legal proceedings. For example, this included testing controls related to the Company’s process for identification, recognition, measurement and disclosure of claims and legal contingencies.</w:t>
            </w:r>
          </w:p>
          <w:p>
            <w:pPr>
              <w:pStyle w:val="TableContents"/>
              <w:bidi w:val="0"/>
              <w:spacing w:before="0" w:after="2"/>
              <w:jc w:val="both"/>
              <w:rPr/>
            </w:pPr>
            <w:r>
              <w:rPr/>
            </w:r>
          </w:p>
          <w:p>
            <w:pPr>
              <w:pStyle w:val="TableContents"/>
              <w:bidi w:val="0"/>
              <w:spacing w:lineRule="atLeast" w:line="260" w:before="0" w:after="2"/>
              <w:jc w:val="both"/>
              <w:rPr>
                <w:rFonts w:ascii="Arial;sans-serif" w:hAnsi="Arial;sans-serif"/>
                <w:b w:val="false"/>
                <w:color w:val="000000"/>
                <w:sz w:val="20"/>
              </w:rPr>
            </w:pPr>
            <w:r>
              <w:rPr>
                <w:rFonts w:ascii="Arial;sans-serif" w:hAnsi="Arial;sans-serif"/>
                <w:b w:val="false"/>
                <w:color w:val="000000"/>
                <w:sz w:val="20"/>
              </w:rPr>
              <w:t>Our substantive procedures included, among others, assessing the completeness of the claims and legal proceedings subject to evaluation by the Company and the determination of the probability of their outcomes through review of presentations for board meetings and inspection of letters addressing the matters from both internal and external legal counsel. Further, we held discussions with internal counsel to confirm our understanding of the allegations, reviewed legal expenses incurred, evaluated resolutions of claims concluded against management’s historical assessments and obtained written representations from executives of the Company confirming the completeness and accuracy of the information provided. We evaluated the adequacy of the Company’s disclosures in relation to these matters.</w:t>
            </w:r>
          </w:p>
          <w:p>
            <w:pPr>
              <w:pStyle w:val="TableContents"/>
              <w:bidi w:val="0"/>
              <w:spacing w:before="0" w:after="2"/>
              <w:jc w:val="both"/>
              <w:rPr/>
            </w:pPr>
            <w:r>
              <w:rPr/>
            </w:r>
          </w:p>
        </w:tc>
      </w:tr>
      <w:tr>
        <w:trPr/>
        <w:tc>
          <w:tcPr>
            <w:tcW w:w="13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75260"/>
                <wp:effectExtent l="0" t="0" r="0" b="0"/>
                <wp:wrapNone/>
                <wp:docPr id="8" name="Frame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both"/>
                        <w:rPr/>
                      </w:pPr>
                      <w:r>
                        <w:rPr/>
                      </w:r>
                    </w:p>
                  </w:txbxContent>
                </v:textbox>
                <w10:wrap type="none"/>
              </v:rect>
            </w:pict>
          </mc:Fallback>
        </mc:AlternateContent>
      </w:r>
    </w:p>
    <w:p>
      <w:pPr>
        <w:pStyle w:val="TextBody"/>
        <w:bidi w:val="0"/>
        <w:spacing w:before="0" w:after="240"/>
        <w:jc w:val="both"/>
        <w:rPr/>
      </w:pPr>
      <w:r>
        <w:rPr/>
      </w:r>
    </w:p>
    <w:tbl>
      <w:tblPr>
        <w:tblW w:w="10205" w:type="dxa"/>
        <w:jc w:val="left"/>
        <w:tblInd w:w="0" w:type="dxa"/>
        <w:tblLayout w:type="fixed"/>
        <w:tblCellMar>
          <w:top w:w="28" w:type="dxa"/>
          <w:left w:w="28" w:type="dxa"/>
          <w:bottom w:w="28" w:type="dxa"/>
          <w:right w:w="28" w:type="dxa"/>
        </w:tblCellMar>
      </w:tblPr>
      <w:tblGrid>
        <w:gridCol w:w="480"/>
        <w:gridCol w:w="422"/>
        <w:gridCol w:w="423"/>
        <w:gridCol w:w="2654"/>
        <w:gridCol w:w="2572"/>
        <w:gridCol w:w="3654"/>
      </w:tblGrid>
      <w:tr>
        <w:trPr/>
        <w:tc>
          <w:tcPr>
            <w:tcW w:w="480"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2654" w:type="dxa"/>
            <w:tcBorders/>
            <w:vAlign w:val="center"/>
          </w:tcPr>
          <w:p>
            <w:pPr>
              <w:pStyle w:val="TableContents"/>
              <w:bidi w:val="0"/>
              <w:spacing w:before="0" w:after="283"/>
              <w:jc w:val="left"/>
              <w:rPr>
                <w:sz w:val="4"/>
                <w:szCs w:val="4"/>
              </w:rPr>
            </w:pPr>
            <w:r>
              <w:rPr>
                <w:sz w:val="4"/>
                <w:szCs w:val="4"/>
              </w:rPr>
            </w:r>
          </w:p>
        </w:tc>
        <w:tc>
          <w:tcPr>
            <w:tcW w:w="2572" w:type="dxa"/>
            <w:tcBorders/>
            <w:vAlign w:val="center"/>
          </w:tcPr>
          <w:p>
            <w:pPr>
              <w:pStyle w:val="TableContents"/>
              <w:bidi w:val="0"/>
              <w:spacing w:before="0" w:after="283"/>
              <w:jc w:val="left"/>
              <w:rPr>
                <w:sz w:val="4"/>
                <w:szCs w:val="4"/>
              </w:rPr>
            </w:pPr>
            <w:r>
              <w:rPr>
                <w:sz w:val="4"/>
                <w:szCs w:val="4"/>
              </w:rPr>
            </w:r>
          </w:p>
        </w:tc>
        <w:tc>
          <w:tcPr>
            <w:tcW w:w="3654" w:type="dxa"/>
            <w:tcBorders/>
            <w:vAlign w:val="center"/>
          </w:tcPr>
          <w:p>
            <w:pPr>
              <w:pStyle w:val="TableContents"/>
              <w:bidi w:val="0"/>
              <w:spacing w:before="0" w:after="283"/>
              <w:jc w:val="left"/>
              <w:rPr>
                <w:sz w:val="4"/>
                <w:szCs w:val="4"/>
              </w:rPr>
            </w:pPr>
            <w:r>
              <w:rPr>
                <w:sz w:val="4"/>
                <w:szCs w:val="4"/>
              </w:rPr>
            </w:r>
          </w:p>
        </w:tc>
      </w:tr>
      <w:tr>
        <w:trPr/>
        <w:tc>
          <w:tcPr>
            <w:tcW w:w="13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0" w:type="dxa"/>
            <w:gridSpan w:val="3"/>
            <w:tcBorders/>
            <w:tcMar>
              <w:top w:w="0" w:type="dxa"/>
              <w:left w:w="0" w:type="dxa"/>
              <w:bottom w:w="0" w:type="dxa"/>
              <w:right w:w="0" w:type="dxa"/>
            </w:tcMar>
            <w:vAlign w:val="center"/>
          </w:tcPr>
          <w:p>
            <w:pPr>
              <w:pStyle w:val="TableContents"/>
              <w:bidi w:val="0"/>
              <w:spacing w:lineRule="atLeast" w:line="260" w:before="0" w:after="0"/>
              <w:jc w:val="both"/>
              <w:rPr>
                <w:rFonts w:ascii="Arial;sans-serif" w:hAnsi="Arial;sans-serif"/>
                <w:b/>
                <w:i/>
                <w:color w:val="000000"/>
                <w:sz w:val="20"/>
              </w:rPr>
            </w:pPr>
            <w:r>
              <w:rPr>
                <w:rFonts w:ascii="Arial;sans-serif" w:hAnsi="Arial;sans-serif"/>
                <w:b/>
                <w:i/>
                <w:color w:val="000000"/>
                <w:sz w:val="20"/>
              </w:rPr>
              <w:t>Acquisition of Biotheus – Accounting and Valuation of the Settlement of Pre-Existing Relationships and Valuation of Intangible Assets</w:t>
            </w:r>
          </w:p>
        </w:tc>
      </w:tr>
      <w:tr>
        <w:trPr/>
        <w:tc>
          <w:tcPr>
            <w:tcW w:w="13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5" w:type="dxa"/>
            <w:gridSpan w:val="3"/>
            <w:tcBorders/>
            <w:tcMar>
              <w:top w:w="0" w:type="dxa"/>
              <w:left w:w="0" w:type="dxa"/>
              <w:bottom w:w="0" w:type="dxa"/>
              <w:right w:w="0" w:type="dxa"/>
            </w:tcMar>
            <w:vAlign w:val="center"/>
          </w:tcPr>
          <w:p>
            <w:pPr>
              <w:pStyle w:val="TableContents"/>
              <w:bidi w:val="0"/>
              <w:spacing w:lineRule="atLeast" w:line="260" w:before="0" w:after="0"/>
              <w:jc w:val="left"/>
              <w:rPr>
                <w:rFonts w:ascii="Arial;sans-serif" w:hAnsi="Arial;sans-serif"/>
                <w:b w:val="false"/>
                <w:i/>
                <w:color w:val="000000"/>
                <w:sz w:val="20"/>
              </w:rPr>
            </w:pPr>
            <w:r>
              <w:rPr>
                <w:rFonts w:ascii="Arial;sans-serif" w:hAnsi="Arial;sans-serif"/>
                <w:b w:val="false"/>
                <w:i/>
                <w:color w:val="000000"/>
                <w:sz w:val="20"/>
              </w:rPr>
              <w:t>Description of the Matter</w:t>
            </w:r>
          </w:p>
        </w:tc>
        <w:tc>
          <w:tcPr>
            <w:tcW w:w="8880" w:type="dxa"/>
            <w:gridSpan w:val="3"/>
            <w:tcBorders/>
            <w:tcMar>
              <w:top w:w="0" w:type="dxa"/>
              <w:left w:w="0" w:type="dxa"/>
              <w:bottom w:w="0" w:type="dxa"/>
              <w:right w:w="0" w:type="dxa"/>
            </w:tcMar>
            <w:vAlign w:val="center"/>
          </w:tcPr>
          <w:p>
            <w:pPr>
              <w:pStyle w:val="TableContents"/>
              <w:bidi w:val="0"/>
              <w:spacing w:lineRule="atLeast" w:line="260" w:before="0" w:after="0"/>
              <w:jc w:val="both"/>
              <w:rPr>
                <w:rFonts w:ascii="Arial;sans-serif" w:hAnsi="Arial;sans-serif"/>
                <w:b w:val="false"/>
                <w:color w:val="000000"/>
                <w:sz w:val="20"/>
              </w:rPr>
            </w:pPr>
            <w:r>
              <w:rPr>
                <w:rFonts w:ascii="Arial;sans-serif" w:hAnsi="Arial;sans-serif"/>
                <w:b w:val="false"/>
                <w:color w:val="000000"/>
                <w:sz w:val="20"/>
              </w:rPr>
              <w:t xml:space="preserve">As described in Note 5 to the consolidated financial statements, in 2025 the Company completed its acquisitions of Biotheus for total consideration of €280.1 million (the Biotheus Acquisition). The acquisition was accounted for as business combination, and the Company recorded intangible assets, primarily consisting of in-process research and development, of €172.8 million. The Biotheus Acquisition also included the settlement of a pre-existing relationship of €567.3 million which has been accounted for outside of the business combination and purchase price allocation. </w:t>
            </w:r>
          </w:p>
          <w:p>
            <w:pPr>
              <w:pStyle w:val="TableContents"/>
              <w:bidi w:val="0"/>
              <w:spacing w:before="0" w:after="2"/>
              <w:jc w:val="both"/>
              <w:rPr/>
            </w:pPr>
            <w:r>
              <w:rPr/>
            </w:r>
          </w:p>
          <w:p>
            <w:pPr>
              <w:pStyle w:val="TableContents"/>
              <w:bidi w:val="0"/>
              <w:spacing w:lineRule="atLeast" w:line="260" w:before="0" w:after="2"/>
              <w:jc w:val="both"/>
              <w:rPr>
                <w:rFonts w:ascii="Arial;sans-serif" w:hAnsi="Arial;sans-serif"/>
                <w:b w:val="false"/>
                <w:color w:val="000000"/>
                <w:sz w:val="20"/>
              </w:rPr>
            </w:pPr>
            <w:r>
              <w:rPr>
                <w:rFonts w:ascii="Arial;sans-serif" w:hAnsi="Arial;sans-serif"/>
                <w:b w:val="false"/>
                <w:color w:val="000000"/>
                <w:sz w:val="20"/>
              </w:rPr>
              <w:t>Auditing management’s accounting for the Biotheus Acquisition was subjective and complex given the high degree of judgement and significant estimation uncertainty applied in determining the total consideration from the purchase price net of amounts attributable to the settlement of the pre existing relationship, as well as the fair value of the intangible assets acquired. The significant estimation uncertainty was primarily due to the sensitivity of the respective fair values of the intangible assets acquired and measurement of the pre-existing relationship to underlying assumptions, including estimated probabilities of successful development, revenue projections, and discount rates. These significant assumptions were forward-looking and could be affected by future market and economic conditions.</w:t>
            </w:r>
          </w:p>
          <w:p>
            <w:pPr>
              <w:pStyle w:val="TableContents"/>
              <w:bidi w:val="0"/>
              <w:spacing w:before="0" w:after="2"/>
              <w:jc w:val="both"/>
              <w:rPr/>
            </w:pPr>
            <w:r>
              <w:rPr/>
            </w:r>
          </w:p>
        </w:tc>
      </w:tr>
      <w:tr>
        <w:trPr/>
        <w:tc>
          <w:tcPr>
            <w:tcW w:w="1325" w:type="dxa"/>
            <w:gridSpan w:val="3"/>
            <w:tcBorders/>
            <w:tcMar>
              <w:top w:w="0" w:type="dxa"/>
              <w:left w:w="0" w:type="dxa"/>
              <w:bottom w:w="0" w:type="dxa"/>
              <w:right w:w="0" w:type="dxa"/>
            </w:tcMar>
            <w:vAlign w:val="center"/>
          </w:tcPr>
          <w:p>
            <w:pPr>
              <w:pStyle w:val="TableContents"/>
              <w:bidi w:val="0"/>
              <w:spacing w:lineRule="atLeast" w:line="260" w:before="0" w:after="0"/>
              <w:jc w:val="left"/>
              <w:rPr>
                <w:rFonts w:ascii="Arial;sans-serif" w:hAnsi="Arial;sans-serif"/>
                <w:b w:val="false"/>
                <w:i/>
                <w:color w:val="000000"/>
                <w:sz w:val="20"/>
              </w:rPr>
            </w:pPr>
            <w:r>
              <w:rPr>
                <w:rFonts w:ascii="Arial;sans-serif" w:hAnsi="Arial;sans-serif"/>
                <w:b w:val="false"/>
                <w:i/>
                <w:color w:val="000000"/>
                <w:sz w:val="20"/>
              </w:rPr>
              <w:t>How We Addressed the Matter in Our Audit</w:t>
            </w:r>
          </w:p>
        </w:tc>
        <w:tc>
          <w:tcPr>
            <w:tcW w:w="8880" w:type="dxa"/>
            <w:gridSpan w:val="3"/>
            <w:tcBorders/>
            <w:tcMar>
              <w:top w:w="0" w:type="dxa"/>
              <w:left w:w="0" w:type="dxa"/>
              <w:bottom w:w="0" w:type="dxa"/>
              <w:right w:w="0" w:type="dxa"/>
            </w:tcMar>
            <w:vAlign w:val="center"/>
          </w:tcPr>
          <w:p>
            <w:pPr>
              <w:pStyle w:val="TableContents"/>
              <w:bidi w:val="0"/>
              <w:spacing w:lineRule="atLeast" w:line="260" w:before="0" w:after="0"/>
              <w:jc w:val="both"/>
              <w:rPr>
                <w:rFonts w:ascii="Arial;sans-serif" w:hAnsi="Arial;sans-serif"/>
                <w:b w:val="false"/>
                <w:color w:val="000000"/>
                <w:sz w:val="20"/>
              </w:rPr>
            </w:pPr>
            <w:r>
              <w:rPr>
                <w:rFonts w:ascii="Arial;sans-serif" w:hAnsi="Arial;sans-serif"/>
                <w:b w:val="false"/>
                <w:color w:val="000000"/>
                <w:sz w:val="20"/>
              </w:rPr>
              <w:t>We obtained an understanding, evaluated the design and tested the operating effectiveness of controls over the Company’s business combination process including controls over the accounting conclusions reached and the development and approval of the significant assumptions used in the discounted cash-flow models to determine the valuation for the settlement of the pre-existing relationship and the intangible assets acquired.</w:t>
            </w:r>
          </w:p>
          <w:p>
            <w:pPr>
              <w:pStyle w:val="TableContents"/>
              <w:bidi w:val="0"/>
              <w:spacing w:before="0" w:after="2"/>
              <w:jc w:val="both"/>
              <w:rPr/>
            </w:pPr>
            <w:r>
              <w:rPr/>
            </w:r>
          </w:p>
          <w:p>
            <w:pPr>
              <w:pStyle w:val="TableContents"/>
              <w:bidi w:val="0"/>
              <w:spacing w:lineRule="atLeast" w:line="260" w:before="0" w:after="2"/>
              <w:jc w:val="both"/>
              <w:rPr>
                <w:rFonts w:ascii="Arial;sans-serif" w:hAnsi="Arial;sans-serif"/>
                <w:b w:val="false"/>
                <w:color w:val="000000"/>
                <w:sz w:val="20"/>
              </w:rPr>
            </w:pPr>
            <w:r>
              <w:rPr>
                <w:rFonts w:ascii="Arial;sans-serif" w:hAnsi="Arial;sans-serif"/>
                <w:b w:val="false"/>
                <w:color w:val="000000"/>
                <w:sz w:val="20"/>
              </w:rPr>
              <w:t>To audit the accounting for the Biotheus Acquisition, our procedures included, among others, assessing management’s documentation on the accounting treatment, reading the relevant purchase agreement and assessing the settlement of the identified pre-existing relationship. We evaluated the reasonableness of estimated probabilities of successful development and revenue projections by comparing them to observable industry and economic trends and standards, external data sources, and historical product trends, including those of similar products, where applicable. With the assistance of our valuation specialists, we evaluated the methodologies utilized by the Company and tested the discount rates by comparing to independently developed ranges and assessing underlying data against external sources. We also performed sensitivity analyses of the significant assumptions to evaluate the change in the fair values resulting from changes in the assumptions and assessed the adequacy of the Company’s disclosures.</w:t>
            </w:r>
          </w:p>
          <w:p>
            <w:pPr>
              <w:pStyle w:val="TableContents"/>
              <w:bidi w:val="0"/>
              <w:spacing w:before="0" w:after="2"/>
              <w:jc w:val="both"/>
              <w:rPr/>
            </w:pPr>
            <w:r>
              <w:rPr/>
            </w:r>
          </w:p>
        </w:tc>
      </w:tr>
      <w:tr>
        <w:trPr/>
        <w:tc>
          <w:tcPr>
            <w:tcW w:w="13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75260"/>
                <wp:effectExtent l="0" t="0" r="0" b="0"/>
                <wp:wrapNone/>
                <wp:docPr id="9" name="Frame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both"/>
                        <w:rPr/>
                      </w:pPr>
                      <w:r>
                        <w:rPr/>
                      </w:r>
                    </w:p>
                  </w:txbxContent>
                </v:textbox>
                <w10:wrap type="none"/>
              </v:rect>
            </w:pict>
          </mc:Fallback>
        </mc:AlternateContent>
      </w:r>
    </w:p>
    <w:p>
      <w:pPr>
        <w:pStyle w:val="TextBody"/>
        <w:bidi w:val="0"/>
        <w:spacing w:before="0" w:after="240"/>
        <w:jc w:val="both"/>
        <w:rPr/>
      </w:pPr>
      <w:r>
        <w:rPr/>
      </w:r>
    </w:p>
    <w:tbl>
      <w:tblPr>
        <w:tblW w:w="10205" w:type="dxa"/>
        <w:jc w:val="left"/>
        <w:tblInd w:w="0" w:type="dxa"/>
        <w:tblLayout w:type="fixed"/>
        <w:tblCellMar>
          <w:top w:w="28" w:type="dxa"/>
          <w:left w:w="28" w:type="dxa"/>
          <w:bottom w:w="28" w:type="dxa"/>
          <w:right w:w="28" w:type="dxa"/>
        </w:tblCellMar>
      </w:tblPr>
      <w:tblGrid>
        <w:gridCol w:w="499"/>
        <w:gridCol w:w="439"/>
        <w:gridCol w:w="440"/>
        <w:gridCol w:w="2773"/>
        <w:gridCol w:w="2504"/>
        <w:gridCol w:w="3550"/>
      </w:tblGrid>
      <w:tr>
        <w:trPr/>
        <w:tc>
          <w:tcPr>
            <w:tcW w:w="49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2773" w:type="dxa"/>
            <w:tcBorders/>
            <w:vAlign w:val="center"/>
          </w:tcPr>
          <w:p>
            <w:pPr>
              <w:pStyle w:val="TableContents"/>
              <w:bidi w:val="0"/>
              <w:spacing w:before="0" w:after="283"/>
              <w:jc w:val="left"/>
              <w:rPr>
                <w:sz w:val="4"/>
                <w:szCs w:val="4"/>
              </w:rPr>
            </w:pPr>
            <w:r>
              <w:rPr>
                <w:sz w:val="4"/>
                <w:szCs w:val="4"/>
              </w:rPr>
            </w:r>
          </w:p>
        </w:tc>
        <w:tc>
          <w:tcPr>
            <w:tcW w:w="2504" w:type="dxa"/>
            <w:tcBorders/>
            <w:vAlign w:val="center"/>
          </w:tcPr>
          <w:p>
            <w:pPr>
              <w:pStyle w:val="TableContents"/>
              <w:bidi w:val="0"/>
              <w:spacing w:before="0" w:after="283"/>
              <w:jc w:val="left"/>
              <w:rPr>
                <w:sz w:val="4"/>
                <w:szCs w:val="4"/>
              </w:rPr>
            </w:pPr>
            <w:r>
              <w:rPr>
                <w:sz w:val="4"/>
                <w:szCs w:val="4"/>
              </w:rPr>
            </w:r>
          </w:p>
        </w:tc>
        <w:tc>
          <w:tcPr>
            <w:tcW w:w="3550" w:type="dxa"/>
            <w:tcBorders/>
            <w:vAlign w:val="center"/>
          </w:tcPr>
          <w:p>
            <w:pPr>
              <w:pStyle w:val="TableContents"/>
              <w:bidi w:val="0"/>
              <w:spacing w:before="0" w:after="283"/>
              <w:jc w:val="left"/>
              <w:rPr>
                <w:sz w:val="4"/>
                <w:szCs w:val="4"/>
              </w:rPr>
            </w:pPr>
            <w:r>
              <w:rPr>
                <w:sz w:val="4"/>
                <w:szCs w:val="4"/>
              </w:rPr>
            </w:r>
          </w:p>
        </w:tc>
      </w:tr>
      <w:tr>
        <w:trPr/>
        <w:tc>
          <w:tcPr>
            <w:tcW w:w="1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7" w:type="dxa"/>
            <w:gridSpan w:val="3"/>
            <w:tcBorders/>
            <w:tcMar>
              <w:top w:w="0" w:type="dxa"/>
              <w:left w:w="0" w:type="dxa"/>
              <w:bottom w:w="0" w:type="dxa"/>
              <w:right w:w="0" w:type="dxa"/>
            </w:tcMar>
            <w:vAlign w:val="center"/>
          </w:tcPr>
          <w:p>
            <w:pPr>
              <w:pStyle w:val="TableContents"/>
              <w:bidi w:val="0"/>
              <w:spacing w:lineRule="atLeast" w:line="260" w:before="0" w:after="2"/>
              <w:jc w:val="both"/>
              <w:rPr>
                <w:rFonts w:ascii="Arial;sans-serif" w:hAnsi="Arial;sans-serif"/>
                <w:b/>
                <w:i/>
                <w:color w:val="000000"/>
                <w:sz w:val="20"/>
              </w:rPr>
            </w:pPr>
            <w:r>
              <w:rPr>
                <w:rFonts w:ascii="Arial;sans-serif" w:hAnsi="Arial;sans-serif"/>
                <w:b/>
                <w:i/>
                <w:color w:val="000000"/>
                <w:sz w:val="20"/>
              </w:rPr>
              <w:t>Acquisition of CureVac N.V. – Valuation of Intangible Assets</w:t>
            </w:r>
          </w:p>
        </w:tc>
      </w:tr>
      <w:tr>
        <w:trPr/>
        <w:tc>
          <w:tcPr>
            <w:tcW w:w="1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78" w:type="dxa"/>
            <w:gridSpan w:val="3"/>
            <w:tcBorders/>
            <w:tcMar>
              <w:top w:w="0" w:type="dxa"/>
              <w:left w:w="0" w:type="dxa"/>
              <w:bottom w:w="0" w:type="dxa"/>
              <w:right w:w="0" w:type="dxa"/>
            </w:tcMar>
            <w:vAlign w:val="center"/>
          </w:tcPr>
          <w:p>
            <w:pPr>
              <w:pStyle w:val="TableContents"/>
              <w:bidi w:val="0"/>
              <w:spacing w:lineRule="atLeast" w:line="260" w:before="0" w:after="2"/>
              <w:jc w:val="left"/>
              <w:rPr>
                <w:rFonts w:ascii="Arial;sans-serif" w:hAnsi="Arial;sans-serif"/>
                <w:b w:val="false"/>
                <w:i/>
                <w:color w:val="000000"/>
                <w:sz w:val="20"/>
              </w:rPr>
            </w:pPr>
            <w:r>
              <w:rPr>
                <w:rFonts w:ascii="Arial;sans-serif" w:hAnsi="Arial;sans-serif"/>
                <w:b w:val="false"/>
                <w:i/>
                <w:color w:val="000000"/>
                <w:sz w:val="20"/>
              </w:rPr>
              <w:t>Description of the Matter</w:t>
            </w:r>
          </w:p>
        </w:tc>
        <w:tc>
          <w:tcPr>
            <w:tcW w:w="8827" w:type="dxa"/>
            <w:gridSpan w:val="3"/>
            <w:tcBorders/>
            <w:tcMar>
              <w:top w:w="0" w:type="dxa"/>
              <w:left w:w="0" w:type="dxa"/>
              <w:bottom w:w="0" w:type="dxa"/>
              <w:right w:w="0" w:type="dxa"/>
            </w:tcMar>
            <w:vAlign w:val="center"/>
          </w:tcPr>
          <w:p>
            <w:pPr>
              <w:pStyle w:val="TableContents"/>
              <w:bidi w:val="0"/>
              <w:spacing w:lineRule="atLeast" w:line="260" w:before="0" w:after="0"/>
              <w:jc w:val="both"/>
              <w:rPr>
                <w:rFonts w:ascii="Arial;sans-serif" w:hAnsi="Arial;sans-serif"/>
                <w:b w:val="false"/>
                <w:color w:val="000000"/>
                <w:sz w:val="20"/>
              </w:rPr>
            </w:pPr>
            <w:r>
              <w:rPr>
                <w:rFonts w:ascii="Arial;sans-serif" w:hAnsi="Arial;sans-serif"/>
                <w:b w:val="false"/>
                <w:color w:val="000000"/>
                <w:sz w:val="20"/>
              </w:rPr>
              <w:t xml:space="preserve">As described in Note 5 to the consolidated financial statements, in 2025 the Company completed its acquisition of CureVac N.V. for total consideration of €400.1 million (“the CureVac Acquisition”). The CureVac Acquisition was accounted for as business combination, and the Company recorded intangible assets, primarily consisting of intellectual property rights, licenses and similar rights, of €240.3 million. </w:t>
            </w:r>
          </w:p>
          <w:p>
            <w:pPr>
              <w:pStyle w:val="TableContents"/>
              <w:bidi w:val="0"/>
              <w:spacing w:before="0" w:after="2"/>
              <w:jc w:val="both"/>
              <w:rPr/>
            </w:pPr>
            <w:r>
              <w:rPr/>
            </w:r>
          </w:p>
          <w:p>
            <w:pPr>
              <w:pStyle w:val="TableContents"/>
              <w:bidi w:val="0"/>
              <w:spacing w:lineRule="atLeast" w:line="260" w:before="0" w:after="2"/>
              <w:jc w:val="both"/>
              <w:rPr>
                <w:rFonts w:ascii="Arial;sans-serif" w:hAnsi="Arial;sans-serif"/>
                <w:b w:val="false"/>
                <w:color w:val="000000"/>
                <w:sz w:val="20"/>
              </w:rPr>
            </w:pPr>
            <w:r>
              <w:rPr>
                <w:rFonts w:ascii="Arial;sans-serif" w:hAnsi="Arial;sans-serif"/>
                <w:b w:val="false"/>
                <w:color w:val="000000"/>
                <w:sz w:val="20"/>
              </w:rPr>
              <w:t xml:space="preserve">Auditing the valuation of acquired intangible assets was complex due to the significant estimation uncertainty, primarily attributable to the sensitivity of fair values of the intangible assets to underlying assumptions, including estimated probabilities of successful development, revenue projections, and discount rates. These significant assumptions were forward-looking and could be affected by future market and economic conditions. </w:t>
            </w:r>
          </w:p>
          <w:p>
            <w:pPr>
              <w:pStyle w:val="TableContents"/>
              <w:bidi w:val="0"/>
              <w:spacing w:before="0" w:after="2"/>
              <w:jc w:val="both"/>
              <w:rPr/>
            </w:pPr>
            <w:r>
              <w:rPr/>
            </w:r>
          </w:p>
        </w:tc>
      </w:tr>
      <w:tr>
        <w:trPr/>
        <w:tc>
          <w:tcPr>
            <w:tcW w:w="1378" w:type="dxa"/>
            <w:gridSpan w:val="3"/>
            <w:tcBorders/>
            <w:tcMar>
              <w:top w:w="0" w:type="dxa"/>
              <w:left w:w="0" w:type="dxa"/>
              <w:bottom w:w="0" w:type="dxa"/>
              <w:right w:w="0" w:type="dxa"/>
            </w:tcMar>
            <w:vAlign w:val="center"/>
          </w:tcPr>
          <w:p>
            <w:pPr>
              <w:pStyle w:val="TableContents"/>
              <w:bidi w:val="0"/>
              <w:spacing w:lineRule="atLeast" w:line="260" w:before="0" w:after="2"/>
              <w:jc w:val="left"/>
              <w:rPr>
                <w:rFonts w:ascii="Arial;sans-serif" w:hAnsi="Arial;sans-serif"/>
                <w:b w:val="false"/>
                <w:i/>
                <w:color w:val="000000"/>
                <w:sz w:val="20"/>
              </w:rPr>
            </w:pPr>
            <w:r>
              <w:rPr>
                <w:rFonts w:ascii="Arial;sans-serif" w:hAnsi="Arial;sans-serif"/>
                <w:b w:val="false"/>
                <w:i/>
                <w:color w:val="000000"/>
                <w:sz w:val="20"/>
              </w:rPr>
              <w:t>How We Addressed the Matter in Our Audit</w:t>
            </w:r>
          </w:p>
        </w:tc>
        <w:tc>
          <w:tcPr>
            <w:tcW w:w="8827" w:type="dxa"/>
            <w:gridSpan w:val="3"/>
            <w:tcBorders/>
            <w:tcMar>
              <w:top w:w="0" w:type="dxa"/>
              <w:left w:w="0" w:type="dxa"/>
              <w:bottom w:w="0" w:type="dxa"/>
              <w:right w:w="0" w:type="dxa"/>
            </w:tcMar>
            <w:vAlign w:val="center"/>
          </w:tcPr>
          <w:p>
            <w:pPr>
              <w:pStyle w:val="TableContents"/>
              <w:bidi w:val="0"/>
              <w:spacing w:lineRule="atLeast" w:line="260" w:before="0" w:after="0"/>
              <w:jc w:val="both"/>
              <w:rPr>
                <w:rFonts w:ascii="Arial;sans-serif" w:hAnsi="Arial;sans-serif"/>
                <w:b w:val="false"/>
                <w:color w:val="000000"/>
                <w:sz w:val="20"/>
              </w:rPr>
            </w:pPr>
            <w:r>
              <w:rPr>
                <w:rFonts w:ascii="Arial;sans-serif" w:hAnsi="Arial;sans-serif"/>
                <w:b w:val="false"/>
                <w:color w:val="000000"/>
                <w:sz w:val="20"/>
              </w:rPr>
              <w:t>We obtained an understanding, evaluated the design and tested the operating effectiveness of controls over the Company’s business combination process including controls over the accounting conclusions reached and the development and approval of the significant assumptions used in the discounted cash-flow models to determine the valuation of the intangible assets acquired.</w:t>
            </w:r>
          </w:p>
          <w:p>
            <w:pPr>
              <w:pStyle w:val="TableContents"/>
              <w:bidi w:val="0"/>
              <w:spacing w:before="0" w:after="2"/>
              <w:jc w:val="both"/>
              <w:rPr/>
            </w:pPr>
            <w:r>
              <w:rPr/>
            </w:r>
          </w:p>
          <w:p>
            <w:pPr>
              <w:pStyle w:val="TableContents"/>
              <w:bidi w:val="0"/>
              <w:spacing w:lineRule="atLeast" w:line="260" w:before="0" w:after="2"/>
              <w:jc w:val="both"/>
              <w:rPr>
                <w:rFonts w:ascii="Arial;sans-serif" w:hAnsi="Arial;sans-serif"/>
                <w:b w:val="false"/>
                <w:color w:val="000000"/>
                <w:sz w:val="20"/>
              </w:rPr>
            </w:pPr>
            <w:r>
              <w:rPr>
                <w:rFonts w:ascii="Arial;sans-serif" w:hAnsi="Arial;sans-serif"/>
                <w:b w:val="false"/>
                <w:color w:val="000000"/>
                <w:sz w:val="20"/>
              </w:rPr>
              <w:t>To audit the valuation for acquired intangible, our procedures included, among others, assessing the reasonableness of estimated probabilities of successful development and revenue projections by comparing them to observable industry and economic trends and standards, external data sources, and historical product trends, including those of similar products, where applicable. With the assistance of our valuation specialists, we evaluated the methodologies utilized by the Company and tested the discount rates by comparing to independently developed ranges and assessing underlying data against external sources. We also performed sensitivity analyses of the significant assumptions to evaluate the change in the fair values resulting from changes in the assumptions and assessed the adequacy of the Company’s disclosures.</w:t>
            </w:r>
          </w:p>
          <w:p>
            <w:pPr>
              <w:pStyle w:val="TableContents"/>
              <w:bidi w:val="0"/>
              <w:spacing w:before="0" w:after="2"/>
              <w:jc w:val="both"/>
              <w:rPr/>
            </w:pPr>
            <w:r>
              <w:rPr/>
            </w:r>
          </w:p>
        </w:tc>
      </w:tr>
    </w:tbl>
    <w:p>
      <w:pPr>
        <w:pStyle w:val="TextBody"/>
        <w:bidi w:val="0"/>
        <w:spacing w:lineRule="atLeast" w:line="260" w:before="240" w:after="240"/>
        <w:jc w:val="both"/>
        <w:rPr>
          <w:rFonts w:ascii="Arial;sans-serif" w:hAnsi="Arial;sans-serif"/>
          <w:b w:val="false"/>
          <w:color w:val="000000"/>
          <w:sz w:val="20"/>
        </w:rPr>
      </w:pPr>
      <w:r>
        <w:rPr>
          <w:rFonts w:ascii="Arial;sans-serif" w:hAnsi="Arial;sans-serif"/>
          <w:b w:val="false"/>
          <w:color w:val="000000"/>
          <w:sz w:val="20"/>
        </w:rPr>
        <w:t>/s/ EY GmbH &amp; Co. KG Wirtschaftsprüfungsgesellschaft</w:t>
      </w:r>
    </w:p>
    <w:p>
      <w:pPr>
        <w:pStyle w:val="TextBody"/>
        <w:bidi w:val="0"/>
        <w:spacing w:lineRule="atLeast" w:line="260" w:before="0" w:after="240"/>
        <w:jc w:val="both"/>
        <w:rPr>
          <w:rFonts w:ascii="Arial;sans-serif" w:hAnsi="Arial;sans-serif"/>
          <w:b w:val="false"/>
          <w:color w:val="000000"/>
          <w:sz w:val="20"/>
        </w:rPr>
      </w:pPr>
      <w:r>
        <w:rPr>
          <w:rFonts w:ascii="Arial;sans-serif" w:hAnsi="Arial;sans-serif"/>
          <w:b w:val="false"/>
          <w:color w:val="000000"/>
          <w:sz w:val="20"/>
        </w:rPr>
        <w:t>We have served as the Company’s auditor since 2018</w:t>
      </w:r>
    </w:p>
    <w:p>
      <w:pPr>
        <w:pStyle w:val="TextBody"/>
        <w:bidi w:val="0"/>
        <w:spacing w:lineRule="atLeast" w:line="260" w:before="0" w:after="240"/>
        <w:jc w:val="both"/>
        <w:rPr>
          <w:rFonts w:ascii="Arial;sans-serif" w:hAnsi="Arial;sans-serif"/>
          <w:b w:val="false"/>
          <w:color w:val="000000"/>
          <w:sz w:val="20"/>
        </w:rPr>
      </w:pPr>
      <w:r>
        <w:rPr>
          <w:rFonts w:ascii="Arial;sans-serif" w:hAnsi="Arial;sans-serif"/>
          <w:b w:val="false"/>
          <w:color w:val="000000"/>
          <w:sz w:val="20"/>
        </w:rPr>
        <w:t>Cologne, Germany</w:t>
      </w:r>
    </w:p>
    <w:p>
      <w:pPr>
        <w:pStyle w:val="TextBody"/>
        <w:bidi w:val="0"/>
        <w:spacing w:lineRule="atLeast" w:line="260" w:before="0" w:after="240"/>
        <w:jc w:val="both"/>
        <w:rPr>
          <w:rFonts w:ascii="Arial;sans-serif" w:hAnsi="Arial;sans-serif"/>
          <w:b w:val="false"/>
          <w:color w:val="000000"/>
          <w:sz w:val="20"/>
        </w:rPr>
      </w:pPr>
      <w:r>
        <w:rPr>
          <w:rFonts w:ascii="Arial;sans-serif" w:hAnsi="Arial;sans-serif"/>
          <w:b w:val="false"/>
          <w:color w:val="000000"/>
          <w:sz w:val="20"/>
        </w:rPr>
        <w:t>March 10,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75260"/>
                <wp:effectExtent l="0" t="0" r="0" b="0"/>
                <wp:wrapNone/>
                <wp:docPr id="10" name="Frame1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both"/>
                        <w:rPr/>
                      </w:pPr>
                      <w:r>
                        <w:rPr/>
                      </w:r>
                    </w:p>
                  </w:txbxContent>
                </v:textbox>
                <w10:wrap type="none"/>
              </v:rect>
            </w:pict>
          </mc:Fallback>
        </mc:AlternateContent>
      </w:r>
    </w:p>
    <w:p>
      <w:pPr>
        <w:pStyle w:val="TextBody"/>
        <w:bidi w:val="0"/>
        <w:spacing w:before="0" w:after="240"/>
        <w:jc w:val="both"/>
        <w:rPr/>
      </w:pPr>
      <w:r>
        <w:rPr/>
      </w:r>
    </w:p>
    <w:p>
      <w:pPr>
        <w:pStyle w:val="TextBody"/>
        <w:bidi w:val="0"/>
        <w:spacing w:lineRule="auto" w:line="288" w:before="240" w:after="1120"/>
        <w:jc w:val="left"/>
        <w:rPr>
          <w:rFonts w:ascii="Arial;sans-serif" w:hAnsi="Arial;sans-serif"/>
          <w:b/>
          <w:color w:val="005A64"/>
          <w:sz w:val="40"/>
        </w:rPr>
      </w:pPr>
      <w:r>
        <w:rPr>
          <w:rFonts w:ascii="Arial;sans-serif" w:hAnsi="Arial;sans-serif"/>
          <w:b/>
          <w:color w:val="005A64"/>
          <w:sz w:val="40"/>
        </w:rPr>
        <w:t>REPORT OF INDEPENDENT REGISTERED PUBLIC ACCOUNTING FIRM</w:t>
      </w:r>
    </w:p>
    <w:p>
      <w:pPr>
        <w:pStyle w:val="TextBody"/>
        <w:bidi w:val="0"/>
        <w:spacing w:lineRule="atLeast" w:line="260" w:before="0" w:after="240"/>
        <w:jc w:val="both"/>
        <w:rPr>
          <w:rFonts w:ascii="Arial;sans-serif" w:hAnsi="Arial;sans-serif"/>
          <w:b w:val="false"/>
          <w:color w:val="000000"/>
          <w:sz w:val="20"/>
        </w:rPr>
      </w:pPr>
      <w:r>
        <w:rPr>
          <w:rFonts w:ascii="Arial;sans-serif" w:hAnsi="Arial;sans-serif"/>
          <w:b w:val="false"/>
          <w:color w:val="000000"/>
          <w:sz w:val="20"/>
        </w:rPr>
        <w:t>To the Shareholders and Supervisory Board of BioNTech SE.</w:t>
      </w:r>
    </w:p>
    <w:p>
      <w:pPr>
        <w:pStyle w:val="TextBody"/>
        <w:bidi w:val="0"/>
        <w:spacing w:lineRule="auto" w:line="288" w:before="240" w:after="160"/>
        <w:jc w:val="left"/>
        <w:rPr>
          <w:rFonts w:ascii="Arial;sans-serif" w:hAnsi="Arial;sans-serif"/>
          <w:b/>
          <w:color w:val="005A64"/>
          <w:sz w:val="28"/>
        </w:rPr>
      </w:pPr>
      <w:r>
        <w:rPr>
          <w:rFonts w:ascii="Arial;sans-serif" w:hAnsi="Arial;sans-serif"/>
          <w:b/>
          <w:color w:val="005A64"/>
          <w:sz w:val="28"/>
        </w:rPr>
        <w:t>Opinion on Internal Control Over Financial Reporting</w:t>
      </w:r>
    </w:p>
    <w:p>
      <w:pPr>
        <w:pStyle w:val="TextBody"/>
        <w:bidi w:val="0"/>
        <w:spacing w:lineRule="atLeast" w:line="260" w:before="0" w:after="240"/>
        <w:jc w:val="both"/>
        <w:rPr>
          <w:rFonts w:ascii="Arial;sans-serif" w:hAnsi="Arial;sans-serif"/>
          <w:b w:val="false"/>
          <w:color w:val="000000"/>
          <w:sz w:val="20"/>
        </w:rPr>
      </w:pPr>
      <w:r>
        <w:rPr>
          <w:rFonts w:ascii="Arial;sans-serif" w:hAnsi="Arial;sans-serif"/>
          <w:b w:val="false"/>
          <w:color w:val="000000"/>
          <w:sz w:val="20"/>
        </w:rPr>
        <w:t>We have audited BioNTech SE’s internal control over financial reporting as of December 31, 2025, based on criteria established in Internal Control—Integrated Framework issued by the Committee of Sponsoring Organizations of the Treadway Commission “(2013 framework),” (the COSO criteria). In our opinion, BioNTech SE (the Company) maintained, in all material respects, effective internal control over financial reporting as of December 31, 2025, based on the COSO criteria.</w:t>
      </w:r>
    </w:p>
    <w:p>
      <w:pPr>
        <w:pStyle w:val="TextBody"/>
        <w:bidi w:val="0"/>
        <w:spacing w:lineRule="atLeast" w:line="260" w:before="0" w:after="240"/>
        <w:jc w:val="both"/>
        <w:rPr>
          <w:rFonts w:ascii="Arial;sans-serif" w:hAnsi="Arial;sans-serif"/>
          <w:b w:val="false"/>
          <w:color w:val="000000"/>
          <w:sz w:val="20"/>
        </w:rPr>
      </w:pPr>
      <w:r>
        <w:rPr>
          <w:rFonts w:ascii="Arial;sans-serif" w:hAnsi="Arial;sans-serif"/>
          <w:b w:val="false"/>
          <w:color w:val="000000"/>
          <w:sz w:val="20"/>
        </w:rPr>
        <w:t>As indicated in the accompanying Management’s Annual Report on Internal Control over Financial Reporting, management’s assessment of and conclusion on the effectiveness of internal control over financial reporting did not include the internal controls of Biotheus Inc. and Curevac B.V., which are included in the 2025 consolidated financial statements of the Company and constituted approximately 6% of total assets as of December 31, 2025 and 0% of revenues for the year then ended. Our audit of internal control over financial reporting of the Company also did not include an evaluation of the internal control over financial reporting of Biotheus Inc. and Curevac B.V.</w:t>
      </w:r>
    </w:p>
    <w:p>
      <w:pPr>
        <w:pStyle w:val="TextBody"/>
        <w:bidi w:val="0"/>
        <w:spacing w:lineRule="atLeast" w:line="260" w:before="0" w:after="240"/>
        <w:jc w:val="both"/>
        <w:rPr>
          <w:rFonts w:ascii="Arial;sans-serif" w:hAnsi="Arial;sans-serif"/>
          <w:b w:val="false"/>
          <w:color w:val="000000"/>
          <w:sz w:val="20"/>
        </w:rPr>
      </w:pPr>
      <w:r>
        <w:rPr>
          <w:rFonts w:ascii="Arial;sans-serif" w:hAnsi="Arial;sans-serif"/>
          <w:b w:val="false"/>
          <w:color w:val="000000"/>
          <w:sz w:val="20"/>
        </w:rPr>
        <w:t xml:space="preserve">We also have audited, in accordance with the standards of the Public Company Accounting Oversight Board (United States) (PCAOB), the consolidated statements of financial position of the Company as of December 31, 2025 and 2024, the related consolidated statements of profit or loss, comprehensive income, changes in stockholders’ equity and cash flows for each of the three years in the period ended December 31, 2025, and the related notes and our report dated March 10, 2026 expressed an unqualified opinion thereon. </w:t>
      </w:r>
    </w:p>
    <w:p>
      <w:pPr>
        <w:pStyle w:val="TextBody"/>
        <w:bidi w:val="0"/>
        <w:spacing w:lineRule="auto" w:line="288" w:before="240" w:after="160"/>
        <w:jc w:val="left"/>
        <w:rPr>
          <w:rFonts w:ascii="Arial;sans-serif" w:hAnsi="Arial;sans-serif"/>
          <w:b/>
          <w:color w:val="005A64"/>
          <w:sz w:val="28"/>
        </w:rPr>
      </w:pPr>
      <w:r>
        <w:rPr>
          <w:rFonts w:ascii="Arial;sans-serif" w:hAnsi="Arial;sans-serif"/>
          <w:b/>
          <w:color w:val="005A64"/>
          <w:sz w:val="28"/>
        </w:rPr>
        <w:t>Basis for Opinion</w:t>
      </w:r>
    </w:p>
    <w:p>
      <w:pPr>
        <w:pStyle w:val="TextBody"/>
        <w:bidi w:val="0"/>
        <w:spacing w:lineRule="atLeast" w:line="260" w:before="0" w:after="240"/>
        <w:jc w:val="both"/>
        <w:rPr>
          <w:rFonts w:ascii="Arial;sans-serif" w:hAnsi="Arial;sans-serif"/>
          <w:b w:val="false"/>
          <w:color w:val="000000"/>
          <w:sz w:val="20"/>
        </w:rPr>
      </w:pPr>
      <w:r>
        <w:rPr>
          <w:rFonts w:ascii="Arial;sans-serif" w:hAnsi="Arial;sans-serif"/>
          <w:b w:val="false"/>
          <w:color w:val="000000"/>
          <w:sz w:val="20"/>
        </w:rPr>
        <w:t>The Company’s management is responsible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pStyle w:val="TextBody"/>
        <w:bidi w:val="0"/>
        <w:spacing w:lineRule="atLeast" w:line="260" w:before="0" w:after="240"/>
        <w:jc w:val="both"/>
        <w:rPr>
          <w:rFonts w:ascii="Arial;sans-serif" w:hAnsi="Arial;sans-serif"/>
          <w:b w:val="false"/>
          <w:color w:val="000000"/>
          <w:sz w:val="20"/>
        </w:rPr>
      </w:pPr>
      <w:r>
        <w:rPr>
          <w:rFonts w:ascii="Arial;sans-serif" w:hAnsi="Arial;sans-serif"/>
          <w:b w:val="false"/>
          <w:color w:val="000000"/>
          <w:sz w:val="20"/>
        </w:rPr>
        <w:t>We conducted our audit in accordance with the standards of the PCAOB. Those standards require that we plan and perform the audit to obtain reasonable assurance about whether effective internal control over financial reporting was maintained in all material respects.</w:t>
      </w:r>
    </w:p>
    <w:p>
      <w:pPr>
        <w:pStyle w:val="TextBody"/>
        <w:bidi w:val="0"/>
        <w:spacing w:lineRule="atLeast" w:line="260" w:before="0" w:after="240"/>
        <w:jc w:val="both"/>
        <w:rPr>
          <w:rFonts w:ascii="Arial;sans-serif" w:hAnsi="Arial;sans-serif"/>
          <w:b w:val="false"/>
          <w:color w:val="000000"/>
          <w:sz w:val="20"/>
        </w:rPr>
      </w:pPr>
      <w:r>
        <w:rPr>
          <w:rFonts w:ascii="Arial;sans-serif" w:hAnsi="Arial;sans-serif"/>
          <w:b w:val="false"/>
          <w:color w:val="000000"/>
          <w:sz w:val="20"/>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75260"/>
                <wp:effectExtent l="0" t="0" r="0" b="0"/>
                <wp:wrapNone/>
                <wp:docPr id="11" name="Frame1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both"/>
                        <w:rPr/>
                      </w:pPr>
                      <w:r>
                        <w:rPr/>
                      </w:r>
                    </w:p>
                  </w:txbxContent>
                </v:textbox>
                <w10:wrap type="none"/>
              </v:rect>
            </w:pict>
          </mc:Fallback>
        </mc:AlternateContent>
      </w:r>
    </w:p>
    <w:p>
      <w:pPr>
        <w:pStyle w:val="TextBody"/>
        <w:bidi w:val="0"/>
        <w:spacing w:before="0" w:after="240"/>
        <w:jc w:val="both"/>
        <w:rPr/>
      </w:pPr>
      <w:r>
        <w:rPr/>
      </w:r>
    </w:p>
    <w:p>
      <w:pPr>
        <w:pStyle w:val="TextBody"/>
        <w:bidi w:val="0"/>
        <w:spacing w:lineRule="auto" w:line="288" w:before="240" w:after="160"/>
        <w:jc w:val="left"/>
        <w:rPr>
          <w:rFonts w:ascii="Arial;sans-serif" w:hAnsi="Arial;sans-serif"/>
          <w:b/>
          <w:color w:val="005A64"/>
          <w:sz w:val="28"/>
        </w:rPr>
      </w:pPr>
      <w:r>
        <w:rPr>
          <w:rFonts w:ascii="Arial;sans-serif" w:hAnsi="Arial;sans-serif"/>
          <w:b/>
          <w:color w:val="005A64"/>
          <w:sz w:val="28"/>
        </w:rPr>
        <w:t>Definition and Limitations of Internal Control Over Financial Reporting</w:t>
      </w:r>
    </w:p>
    <w:p>
      <w:pPr>
        <w:pStyle w:val="TextBody"/>
        <w:bidi w:val="0"/>
        <w:spacing w:lineRule="atLeast" w:line="260" w:before="0" w:after="240"/>
        <w:jc w:val="both"/>
        <w:rPr>
          <w:rFonts w:ascii="Arial;sans-serif" w:hAnsi="Arial;sans-serif"/>
          <w:b w:val="false"/>
          <w:color w:val="000000"/>
          <w:sz w:val="20"/>
        </w:rPr>
      </w:pPr>
      <w:r>
        <w:rPr>
          <w:rFonts w:ascii="Arial;sans-serif" w:hAnsi="Arial;sans-serif"/>
          <w:b w:val="false"/>
          <w:color w:val="000000"/>
          <w:sz w:val="20"/>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pStyle w:val="TextBody"/>
        <w:bidi w:val="0"/>
        <w:spacing w:lineRule="atLeast" w:line="260" w:before="0" w:after="240"/>
        <w:jc w:val="both"/>
        <w:rPr>
          <w:rFonts w:ascii="Arial;sans-serif" w:hAnsi="Arial;sans-serif"/>
          <w:b w:val="false"/>
          <w:color w:val="000000"/>
          <w:sz w:val="20"/>
        </w:rPr>
      </w:pPr>
      <w:r>
        <w:rPr>
          <w:rFonts w:ascii="Arial;sans-serif" w:hAnsi="Arial;sans-serif"/>
          <w:b w:val="false"/>
          <w:color w:val="000000"/>
          <w:sz w:val="20"/>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pStyle w:val="TextBody"/>
        <w:bidi w:val="0"/>
        <w:spacing w:lineRule="atLeast" w:line="260" w:before="0" w:after="240"/>
        <w:jc w:val="both"/>
        <w:rPr>
          <w:rFonts w:ascii="Arial;sans-serif" w:hAnsi="Arial;sans-serif"/>
          <w:b w:val="false"/>
          <w:color w:val="000000"/>
          <w:sz w:val="20"/>
        </w:rPr>
      </w:pPr>
      <w:r>
        <w:rPr>
          <w:rFonts w:ascii="Arial;sans-serif" w:hAnsi="Arial;sans-serif"/>
          <w:b w:val="false"/>
          <w:color w:val="000000"/>
          <w:sz w:val="20"/>
        </w:rPr>
        <w:t>/s/ EY GmbH &amp; Co. KG Wirtschaftsprüfungsgesellschaft</w:t>
      </w:r>
    </w:p>
    <w:p>
      <w:pPr>
        <w:pStyle w:val="TextBody"/>
        <w:bidi w:val="0"/>
        <w:spacing w:lineRule="atLeast" w:line="260" w:before="0" w:after="240"/>
        <w:jc w:val="both"/>
        <w:rPr>
          <w:rFonts w:ascii="Arial;sans-serif" w:hAnsi="Arial;sans-serif"/>
          <w:b w:val="false"/>
          <w:color w:val="000000"/>
          <w:sz w:val="20"/>
        </w:rPr>
      </w:pPr>
      <w:r>
        <w:rPr>
          <w:rFonts w:ascii="Arial;sans-serif" w:hAnsi="Arial;sans-serif"/>
          <w:b w:val="false"/>
          <w:color w:val="000000"/>
          <w:sz w:val="20"/>
        </w:rPr>
        <w:t>Cologne, Germany</w:t>
      </w:r>
    </w:p>
    <w:p>
      <w:pPr>
        <w:pStyle w:val="TextBody"/>
        <w:bidi w:val="0"/>
        <w:spacing w:lineRule="atLeast" w:line="260" w:before="0" w:after="240"/>
        <w:jc w:val="both"/>
        <w:rPr>
          <w:rFonts w:ascii="Arial;sans-serif" w:hAnsi="Arial;sans-serif"/>
          <w:b w:val="false"/>
          <w:color w:val="000000"/>
          <w:sz w:val="20"/>
          <w:shd w:fill="FFFFFF" w:val="clear"/>
        </w:rPr>
      </w:pPr>
      <w:r>
        <w:rPr>
          <w:rFonts w:ascii="Arial;sans-serif" w:hAnsi="Arial;sans-serif"/>
          <w:b w:val="false"/>
          <w:color w:val="000000"/>
          <w:sz w:val="20"/>
          <w:shd w:fill="FFFFFF" w:val="clear"/>
        </w:rPr>
        <w:t>March 10,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75260"/>
                <wp:effectExtent l="0" t="0" r="0" b="0"/>
                <wp:wrapNone/>
                <wp:docPr id="12" name="Frame1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both"/>
                        <w:rPr/>
                      </w:pPr>
                      <w:r>
                        <w:rPr/>
                      </w:r>
                    </w:p>
                  </w:txbxContent>
                </v:textbox>
                <w10:wrap type="none"/>
              </v:rect>
            </w:pict>
          </mc:Fallback>
        </mc:AlternateContent>
      </w:r>
    </w:p>
    <w:p>
      <w:pPr>
        <w:pStyle w:val="TextBody"/>
        <w:bidi w:val="0"/>
        <w:spacing w:before="0" w:after="240"/>
        <w:jc w:val="both"/>
        <w:rPr/>
      </w:pPr>
      <w:r>
        <w:rPr/>
      </w:r>
    </w:p>
    <w:p>
      <w:pPr>
        <w:pStyle w:val="TextBody"/>
        <w:bidi w:val="0"/>
        <w:spacing w:lineRule="auto" w:line="288" w:before="240" w:after="1120"/>
        <w:jc w:val="left"/>
        <w:rPr>
          <w:rFonts w:ascii="Arial;sans-serif" w:hAnsi="Arial;sans-serif"/>
          <w:b/>
          <w:color w:val="005A64"/>
          <w:sz w:val="40"/>
        </w:rPr>
      </w:pPr>
      <w:r>
        <w:rPr>
          <w:rFonts w:ascii="Arial;sans-serif" w:hAnsi="Arial;sans-serif"/>
          <w:b/>
          <w:color w:val="005A64"/>
          <w:sz w:val="40"/>
        </w:rPr>
        <w:t>SIGNATURES</w:t>
      </w:r>
    </w:p>
    <w:p>
      <w:pPr>
        <w:pStyle w:val="TextBody"/>
        <w:bidi w:val="0"/>
        <w:spacing w:lineRule="atLeast" w:line="260" w:before="0" w:after="240"/>
        <w:jc w:val="both"/>
        <w:rPr>
          <w:rFonts w:ascii="Arial;sans-serif" w:hAnsi="Arial;sans-serif"/>
          <w:b w:val="false"/>
          <w:color w:val="000000"/>
          <w:sz w:val="20"/>
        </w:rPr>
      </w:pPr>
      <w:r>
        <w:rPr>
          <w:rFonts w:ascii="Arial;sans-serif" w:hAnsi="Arial;sans-serif"/>
          <w:b w:val="false"/>
          <w:color w:val="000000"/>
          <w:sz w:val="20"/>
        </w:rPr>
        <w:t xml:space="preserve">The Registrant hereby certifies that it meets all of the requirements for filing on Form 20-F/A and that it has duly caused and authorized the undersigned to sign this Annual Report on its behalf. </w:t>
      </w:r>
    </w:p>
    <w:tbl>
      <w:tblPr>
        <w:tblW w:w="5401" w:type="dxa"/>
        <w:jc w:val="left"/>
        <w:tblInd w:w="0" w:type="dxa"/>
        <w:tblLayout w:type="fixed"/>
        <w:tblCellMar>
          <w:top w:w="28" w:type="dxa"/>
          <w:left w:w="28" w:type="dxa"/>
          <w:bottom w:w="28" w:type="dxa"/>
          <w:right w:w="28" w:type="dxa"/>
        </w:tblCellMar>
      </w:tblPr>
      <w:tblGrid>
        <w:gridCol w:w="629"/>
        <w:gridCol w:w="552"/>
        <w:gridCol w:w="558"/>
        <w:gridCol w:w="109"/>
        <w:gridCol w:w="109"/>
        <w:gridCol w:w="109"/>
        <w:gridCol w:w="141"/>
        <w:gridCol w:w="141"/>
        <w:gridCol w:w="141"/>
        <w:gridCol w:w="809"/>
        <w:gridCol w:w="809"/>
        <w:gridCol w:w="812"/>
        <w:gridCol w:w="141"/>
        <w:gridCol w:w="141"/>
        <w:gridCol w:w="200"/>
      </w:tblGrid>
      <w:tr>
        <w:trPr/>
        <w:tc>
          <w:tcPr>
            <w:tcW w:w="629"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r>
      <w:tr>
        <w:trPr/>
        <w:tc>
          <w:tcPr>
            <w:tcW w:w="17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5" w:type="dxa"/>
            <w:gridSpan w:val="9"/>
            <w:tcBorders/>
            <w:shd w:fill="FFFFFF" w:val="clear"/>
            <w:tcMar>
              <w:top w:w="0" w:type="dxa"/>
              <w:left w:w="0" w:type="dxa"/>
              <w:bottom w:w="0" w:type="dxa"/>
              <w:right w:w="0" w:type="dxa"/>
            </w:tcMar>
            <w:vAlign w:val="center"/>
          </w:tcPr>
          <w:p>
            <w:pPr>
              <w:pStyle w:val="TableContents"/>
              <w:bidi w:val="0"/>
              <w:spacing w:lineRule="auto" w:line="319" w:before="0" w:after="2"/>
              <w:jc w:val="left"/>
              <w:rPr>
                <w:rFonts w:ascii="Arial;sans-serif" w:hAnsi="Arial;sans-serif"/>
                <w:b w:val="false"/>
                <w:color w:val="000000"/>
                <w:sz w:val="20"/>
              </w:rPr>
            </w:pPr>
            <w:r>
              <w:rPr>
                <w:rFonts w:ascii="Arial;sans-serif" w:hAnsi="Arial;sans-serif"/>
                <w:b w:val="false"/>
                <w:color w:val="000000"/>
                <w:sz w:val="20"/>
              </w:rPr>
              <w:t>BioNTech SE</w:t>
            </w:r>
          </w:p>
        </w:tc>
      </w:tr>
      <w:tr>
        <w:trPr/>
        <w:tc>
          <w:tcPr>
            <w:tcW w:w="17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9"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left"/>
              <w:rPr>
                <w:rFonts w:ascii="Arial;sans-serif" w:hAnsi="Arial;sans-serif"/>
                <w:b w:val="false"/>
                <w:color w:val="000000"/>
                <w:sz w:val="20"/>
              </w:rPr>
            </w:pPr>
            <w:r>
              <w:rPr>
                <w:rFonts w:ascii="Arial;sans-serif" w:hAnsi="Arial;sans-serif"/>
                <w:b w:val="false"/>
                <w:color w:val="000000"/>
                <w:sz w:val="20"/>
              </w:rPr>
              <w:t>Date: April 1,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left"/>
              <w:rPr>
                <w:rFonts w:ascii="Arial;sans-serif" w:hAnsi="Arial;sans-serif"/>
                <w:b w:val="false"/>
                <w:color w:val="000000"/>
                <w:sz w:val="20"/>
              </w:rPr>
            </w:pPr>
            <w:r>
              <w:rPr>
                <w:rFonts w:ascii="Arial;sans-serif" w:hAnsi="Arial;sans-serif"/>
                <w:b w:val="false"/>
                <w:color w:val="000000"/>
                <w:sz w:val="20"/>
              </w:rPr>
              <w:t>By:</w:t>
            </w:r>
          </w:p>
        </w:tc>
        <w:tc>
          <w:tcPr>
            <w:tcW w:w="2430"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/s/  Prof. Ugur Sahin, M.D.</w:t>
            </w:r>
          </w:p>
        </w:tc>
        <w:tc>
          <w:tcPr>
            <w:tcW w:w="4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0" w:type="dxa"/>
            <w:gridSpan w:val="3"/>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center"/>
              <w:rPr>
                <w:rFonts w:ascii="Arial;sans-serif" w:hAnsi="Arial;sans-serif"/>
                <w:b/>
                <w:color w:val="000000"/>
                <w:sz w:val="20"/>
              </w:rPr>
            </w:pPr>
            <w:r>
              <w:rPr>
                <w:rFonts w:ascii="Arial;sans-serif" w:hAnsi="Arial;sans-serif"/>
                <w:b/>
                <w:color w:val="000000"/>
                <w:sz w:val="20"/>
              </w:rPr>
              <w:t>Prof. Ugur Sahin, M.D.</w:t>
            </w:r>
          </w:p>
        </w:tc>
        <w:tc>
          <w:tcPr>
            <w:tcW w:w="4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0"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center"/>
              <w:rPr>
                <w:rFonts w:ascii="Arial;sans-serif" w:hAnsi="Arial;sans-serif"/>
                <w:b/>
                <w:color w:val="000000"/>
                <w:sz w:val="20"/>
              </w:rPr>
            </w:pPr>
            <w:r>
              <w:rPr>
                <w:rFonts w:ascii="Arial;sans-serif" w:hAnsi="Arial;sans-serif"/>
                <w:b/>
                <w:color w:val="000000"/>
                <w:sz w:val="20"/>
              </w:rPr>
              <w:t>Chief Executive Officer</w:t>
            </w:r>
          </w:p>
        </w:tc>
        <w:tc>
          <w:tcPr>
            <w:tcW w:w="4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9"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left"/>
              <w:rPr>
                <w:rFonts w:ascii="Arial;sans-serif" w:hAnsi="Arial;sans-serif"/>
                <w:b w:val="false"/>
                <w:color w:val="000000"/>
                <w:sz w:val="20"/>
              </w:rPr>
            </w:pPr>
            <w:r>
              <w:rPr>
                <w:rFonts w:ascii="Arial;sans-serif" w:hAnsi="Arial;sans-serif"/>
                <w:b w:val="false"/>
                <w:color w:val="000000"/>
                <w:sz w:val="20"/>
              </w:rPr>
              <w:t>Date: April 1,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left"/>
              <w:rPr>
                <w:rFonts w:ascii="Arial;sans-serif" w:hAnsi="Arial;sans-serif"/>
                <w:b w:val="false"/>
                <w:color w:val="000000"/>
                <w:sz w:val="20"/>
              </w:rPr>
            </w:pPr>
            <w:r>
              <w:rPr>
                <w:rFonts w:ascii="Arial;sans-serif" w:hAnsi="Arial;sans-serif"/>
                <w:b w:val="false"/>
                <w:color w:val="000000"/>
                <w:sz w:val="20"/>
              </w:rPr>
              <w:t>By:</w:t>
            </w:r>
          </w:p>
        </w:tc>
        <w:tc>
          <w:tcPr>
            <w:tcW w:w="2430"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/s/  Ramón Zapata Gomez</w:t>
            </w:r>
          </w:p>
        </w:tc>
        <w:tc>
          <w:tcPr>
            <w:tcW w:w="4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0" w:type="dxa"/>
            <w:gridSpan w:val="3"/>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0"/>
              <w:jc w:val="center"/>
              <w:rPr>
                <w:rFonts w:ascii="Arial;sans-serif" w:hAnsi="Arial;sans-serif"/>
                <w:b/>
                <w:color w:val="000000"/>
                <w:sz w:val="20"/>
              </w:rPr>
            </w:pPr>
            <w:r>
              <w:rPr>
                <w:rFonts w:ascii="Arial;sans-serif" w:hAnsi="Arial;sans-serif"/>
                <w:b/>
                <w:color w:val="000000"/>
                <w:sz w:val="20"/>
              </w:rPr>
              <w:t>Ramón Zapata Gomez</w:t>
            </w:r>
          </w:p>
        </w:tc>
        <w:tc>
          <w:tcPr>
            <w:tcW w:w="4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0"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center"/>
              <w:rPr>
                <w:rFonts w:ascii="Arial;sans-serif" w:hAnsi="Arial;sans-serif"/>
                <w:b/>
                <w:color w:val="000000"/>
                <w:sz w:val="20"/>
              </w:rPr>
            </w:pPr>
            <w:r>
              <w:rPr>
                <w:rFonts w:ascii="Arial;sans-serif" w:hAnsi="Arial;sans-serif"/>
                <w:b/>
                <w:color w:val="000000"/>
                <w:sz w:val="20"/>
              </w:rPr>
              <w:t>Chief Financial Officer</w:t>
            </w:r>
          </w:p>
        </w:tc>
        <w:tc>
          <w:tcPr>
            <w:tcW w:w="4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160"/>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75260"/>
                <wp:effectExtent l="0" t="0" r="0" b="0"/>
                <wp:wrapNone/>
                <wp:docPr id="13" name="Frame1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both"/>
                        <w:rPr/>
                      </w:pPr>
                      <w:r>
                        <w:rPr/>
                      </w:r>
                    </w:p>
                  </w:txbxContent>
                </v:textbox>
                <w10:wrap type="none"/>
              </v:rect>
            </w:pict>
          </mc:Fallback>
        </mc:AlternateContent>
      </w:r>
    </w:p>
    <w:p>
      <w:pPr>
        <w:pStyle w:val="TextBody"/>
        <w:bidi w:val="0"/>
        <w:spacing w:lineRule="auto" w:line="240" w:before="0" w:after="0"/>
        <w:jc w:val="right"/>
        <w:rPr>
          <w:rFonts w:ascii="Times New Roman;serif" w:hAnsi="Times New Roman;serif"/>
          <w:b/>
          <w:color w:val="000000"/>
          <w:sz w:val="20"/>
        </w:rPr>
      </w:pPr>
      <w:r>
        <w:rPr>
          <w:rFonts w:ascii="Times New Roman;serif" w:hAnsi="Times New Roman;serif"/>
          <w:b/>
          <w:color w:val="000000"/>
          <w:sz w:val="20"/>
        </w:rPr>
        <w:t>Exhibit 12.1</w:t>
      </w:r>
    </w:p>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CERTIFICATION PURSUANT TO</w:t>
      </w:r>
    </w:p>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RULES 13a-14(a) AND 15d-14(a) UNDER THE SECURITIES EXCHANGE ACT OF 1934,</w:t>
      </w:r>
    </w:p>
    <w:p>
      <w:pPr>
        <w:pStyle w:val="TextBody"/>
        <w:bidi w:val="0"/>
        <w:spacing w:lineRule="auto" w:line="240" w:before="0" w:after="120"/>
        <w:jc w:val="center"/>
        <w:rPr>
          <w:rFonts w:ascii="Times New Roman;serif" w:hAnsi="Times New Roman;serif"/>
          <w:b/>
          <w:color w:val="000000"/>
          <w:sz w:val="20"/>
        </w:rPr>
      </w:pPr>
      <w:r>
        <w:rPr>
          <w:rFonts w:ascii="Times New Roman;serif" w:hAnsi="Times New Roman;serif"/>
          <w:b/>
          <w:color w:val="000000"/>
          <w:sz w:val="20"/>
        </w:rPr>
        <w:t>AS ADOPTED PURSUANT TO SECTION 302 OF THE SARBANES-OXLEY ACT OF 2002</w:t>
      </w:r>
    </w:p>
    <w:p>
      <w:pPr>
        <w:pStyle w:val="TextBody"/>
        <w:bidi w:val="0"/>
        <w:spacing w:lineRule="auto" w:line="240" w:before="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I, Ugur Sahin, certify that: </w:t>
      </w:r>
    </w:p>
    <w:p>
      <w:pPr>
        <w:pStyle w:val="TextBody"/>
        <w:bidi w:val="0"/>
        <w:spacing w:lineRule="auto" w:line="240" w:before="0" w:after="12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1.I have reviewed this annual report on Form 20-F/A of BioNTech SE;</w:t>
      </w:r>
    </w:p>
    <w:p>
      <w:pPr>
        <w:pStyle w:val="TextBody"/>
        <w:bidi w:val="0"/>
        <w:spacing w:lineRule="auto" w:line="240" w:before="0" w:after="12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40" w:before="0" w:after="12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pStyle w:val="TextBody"/>
        <w:bidi w:val="0"/>
        <w:spacing w:lineRule="auto" w:line="240" w:before="0" w:after="12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4.The company’s other certifying officer(s) and I are responsible for establishing and maintaining disclosure controls and procedures (as defined in Exchange Act Rules 13a-15(e) and 15d-15(e)) and internal control over financial reporting (as defined in Exchange Act Rules 13a-15(f) and 15d-15(f)) for the company and have:</w:t>
      </w:r>
    </w:p>
    <w:p>
      <w:pPr>
        <w:pStyle w:val="TextBody"/>
        <w:bidi w:val="0"/>
        <w:spacing w:lineRule="auto" w:line="240" w:before="0" w:after="12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pStyle w:val="TextBody"/>
        <w:bidi w:val="0"/>
        <w:spacing w:lineRule="auto" w:line="240" w:before="0" w:after="12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40" w:before="0" w:after="12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(c)Evaluated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40" w:before="0" w:after="12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w:t>
      </w:r>
    </w:p>
    <w:p>
      <w:pPr>
        <w:pStyle w:val="TextBody"/>
        <w:bidi w:val="0"/>
        <w:spacing w:lineRule="auto" w:line="240" w:before="0" w:after="12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5.The company’s other certifying officer(s) and I have disclosed, based on our most recent evaluation of internal control over financial reporting, to the company’s auditors and the audit committee of the company’s board of directors (or persons performing the equivalent functions):</w:t>
      </w:r>
    </w:p>
    <w:p>
      <w:pPr>
        <w:pStyle w:val="TextBody"/>
        <w:bidi w:val="0"/>
        <w:spacing w:lineRule="auto" w:line="240" w:before="0" w:after="12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company's ability to record, process, summarize and report financial information; and</w:t>
      </w:r>
    </w:p>
    <w:p>
      <w:pPr>
        <w:pStyle w:val="TextBody"/>
        <w:bidi w:val="0"/>
        <w:spacing w:lineRule="auto" w:line="240" w:before="0" w:after="12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company's internal control over financial reporting.</w:t>
      </w:r>
    </w:p>
    <w:p>
      <w:pPr>
        <w:pStyle w:val="TextBody"/>
        <w:bidi w:val="0"/>
        <w:spacing w:lineRule="auto" w:line="240" w:before="0" w:after="0"/>
        <w:jc w:val="left"/>
        <w:rPr>
          <w:color w:val="000000"/>
        </w:rPr>
      </w:pPr>
      <w:r>
        <w:rPr>
          <w:color w:val="000000"/>
        </w:rPr>
        <w:t> </w:t>
      </w:r>
    </w:p>
    <w:tbl>
      <w:tblPr>
        <w:tblW w:w="4540" w:type="dxa"/>
        <w:jc w:val="left"/>
        <w:tblInd w:w="0" w:type="dxa"/>
        <w:tblLayout w:type="fixed"/>
        <w:tblCellMar>
          <w:top w:w="28" w:type="dxa"/>
          <w:left w:w="28" w:type="dxa"/>
          <w:bottom w:w="28" w:type="dxa"/>
          <w:right w:w="28" w:type="dxa"/>
        </w:tblCellMar>
      </w:tblPr>
      <w:tblGrid>
        <w:gridCol w:w="607"/>
        <w:gridCol w:w="535"/>
        <w:gridCol w:w="538"/>
        <w:gridCol w:w="109"/>
        <w:gridCol w:w="109"/>
        <w:gridCol w:w="109"/>
        <w:gridCol w:w="134"/>
        <w:gridCol w:w="134"/>
        <w:gridCol w:w="136"/>
        <w:gridCol w:w="622"/>
        <w:gridCol w:w="622"/>
        <w:gridCol w:w="885"/>
      </w:tblGrid>
      <w:tr>
        <w:trPr/>
        <w:tc>
          <w:tcPr>
            <w:tcW w:w="607"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885" w:type="dxa"/>
            <w:tcBorders/>
            <w:vAlign w:val="center"/>
          </w:tcPr>
          <w:p>
            <w:pPr>
              <w:pStyle w:val="TableContents"/>
              <w:bidi w:val="0"/>
              <w:spacing w:before="0" w:after="283"/>
              <w:jc w:val="left"/>
              <w:rPr>
                <w:sz w:val="4"/>
                <w:szCs w:val="4"/>
              </w:rPr>
            </w:pPr>
            <w:r>
              <w:rPr>
                <w:sz w:val="4"/>
                <w:szCs w:val="4"/>
              </w:rPr>
            </w:r>
          </w:p>
        </w:tc>
      </w:tr>
      <w:tr>
        <w:trPr/>
        <w:tc>
          <w:tcPr>
            <w:tcW w:w="16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shd w:fill="FFFFFF" w:val="clear"/>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Date: April 1, 2026</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160"/>
              <w:jc w:val="left"/>
              <w:rPr>
                <w:color w:val="000000"/>
              </w:rPr>
            </w:pPr>
            <w:r>
              <w:rPr>
                <w:color w:val="000000"/>
              </w:rPr>
              <w:t> </w:t>
            </w:r>
          </w:p>
        </w:tc>
        <w:tc>
          <w:tcPr>
            <w:tcW w:w="404" w:type="dxa"/>
            <w:gridSpan w:val="3"/>
            <w:tcBorders/>
            <w:shd w:fill="FFFFFF" w:val="clear"/>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129" w:type="dxa"/>
            <w:gridSpan w:val="3"/>
            <w:tcBorders/>
            <w:shd w:fill="FFFFFF" w:val="clear"/>
            <w:tcMar>
              <w:top w:w="0" w:type="dxa"/>
              <w:left w:w="0" w:type="dxa"/>
              <w:bottom w:w="0" w:type="dxa"/>
              <w:right w:w="0" w:type="dxa"/>
            </w:tcMar>
            <w:vAlign w:val="center"/>
          </w:tcPr>
          <w:p>
            <w:pPr>
              <w:pStyle w:val="TableContents"/>
              <w:bidi w:val="0"/>
              <w:spacing w:lineRule="auto" w:line="300" w:before="0" w:after="160"/>
              <w:jc w:val="center"/>
              <w:rPr>
                <w:rFonts w:ascii="Times New Roman;serif" w:hAnsi="Times New Roman;serif"/>
                <w:b w:val="false"/>
                <w:color w:val="000000"/>
                <w:sz w:val="20"/>
              </w:rPr>
            </w:pPr>
            <w:r>
              <w:rPr>
                <w:rFonts w:ascii="Times New Roman;serif" w:hAnsi="Times New Roman;serif"/>
                <w:b w:val="false"/>
                <w:color w:val="000000"/>
                <w:sz w:val="20"/>
              </w:rPr>
              <w:t>/s/ Prof. Dr. Ugur Sahin</w:t>
            </w:r>
          </w:p>
        </w:tc>
      </w:tr>
      <w:tr>
        <w:trPr/>
        <w:tc>
          <w:tcPr>
            <w:tcW w:w="1680" w:type="dxa"/>
            <w:gridSpan w:val="3"/>
            <w:tcBorders/>
            <w:shd w:fill="FFFFFF" w:val="clear"/>
            <w:tcMar>
              <w:top w:w="0" w:type="dxa"/>
              <w:left w:w="0" w:type="dxa"/>
              <w:bottom w:w="0" w:type="dxa"/>
              <w:right w:w="0" w:type="dxa"/>
            </w:tcMar>
            <w:vAlign w:val="center"/>
          </w:tcPr>
          <w:p>
            <w:pPr>
              <w:pStyle w:val="TableContents"/>
              <w:bidi w:val="0"/>
              <w:spacing w:lineRule="auto" w:line="300" w:before="0" w:after="160"/>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160"/>
              <w:jc w:val="left"/>
              <w:rPr>
                <w:color w:val="000000"/>
              </w:rPr>
            </w:pPr>
            <w:r>
              <w:rPr>
                <w:color w:val="000000"/>
              </w:rPr>
              <w:t> </w:t>
            </w:r>
          </w:p>
        </w:tc>
        <w:tc>
          <w:tcPr>
            <w:tcW w:w="404" w:type="dxa"/>
            <w:gridSpan w:val="3"/>
            <w:tcBorders/>
            <w:shd w:fill="FFFFFF" w:val="clear"/>
            <w:tcMar>
              <w:top w:w="0" w:type="dxa"/>
              <w:left w:w="0" w:type="dxa"/>
              <w:bottom w:w="0" w:type="dxa"/>
              <w:right w:w="0" w:type="dxa"/>
            </w:tcMar>
            <w:vAlign w:val="center"/>
          </w:tcPr>
          <w:p>
            <w:pPr>
              <w:pStyle w:val="TableContents"/>
              <w:bidi w:val="0"/>
              <w:spacing w:lineRule="auto" w:line="300" w:before="0" w:after="160"/>
              <w:jc w:val="left"/>
              <w:rPr>
                <w:color w:val="000000"/>
              </w:rPr>
            </w:pPr>
            <w:r>
              <w:rPr>
                <w:color w:val="000000"/>
              </w:rPr>
              <w:t> </w:t>
            </w:r>
          </w:p>
        </w:tc>
        <w:tc>
          <w:tcPr>
            <w:tcW w:w="2129" w:type="dxa"/>
            <w:gridSpan w:val="3"/>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00" w:before="0" w:after="160"/>
              <w:jc w:val="center"/>
              <w:rPr>
                <w:rFonts w:ascii="Times New Roman;serif" w:hAnsi="Times New Roman;serif"/>
                <w:b/>
                <w:color w:val="000000"/>
                <w:sz w:val="20"/>
              </w:rPr>
            </w:pPr>
            <w:r>
              <w:rPr>
                <w:rFonts w:ascii="Times New Roman;serif" w:hAnsi="Times New Roman;serif"/>
                <w:b/>
                <w:color w:val="000000"/>
                <w:sz w:val="20"/>
              </w:rPr>
              <w:t>Prof. Dr. Ugur Sahin</w:t>
            </w:r>
          </w:p>
        </w:tc>
      </w:tr>
      <w:tr>
        <w:trPr/>
        <w:tc>
          <w:tcPr>
            <w:tcW w:w="1680" w:type="dxa"/>
            <w:gridSpan w:val="3"/>
            <w:tcBorders/>
            <w:shd w:fill="FFFFFF" w:val="clear"/>
            <w:tcMar>
              <w:top w:w="0" w:type="dxa"/>
              <w:left w:w="0" w:type="dxa"/>
              <w:bottom w:w="0" w:type="dxa"/>
              <w:right w:w="0" w:type="dxa"/>
            </w:tcMar>
            <w:vAlign w:val="center"/>
          </w:tcPr>
          <w:p>
            <w:pPr>
              <w:pStyle w:val="TableContents"/>
              <w:bidi w:val="0"/>
              <w:spacing w:lineRule="auto" w:line="300" w:before="0" w:after="160"/>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160"/>
              <w:jc w:val="left"/>
              <w:rPr>
                <w:color w:val="000000"/>
              </w:rPr>
            </w:pPr>
            <w:r>
              <w:rPr>
                <w:color w:val="000000"/>
              </w:rPr>
              <w:t> </w:t>
            </w:r>
          </w:p>
        </w:tc>
        <w:tc>
          <w:tcPr>
            <w:tcW w:w="404" w:type="dxa"/>
            <w:gridSpan w:val="3"/>
            <w:tcBorders/>
            <w:shd w:fill="FFFFFF" w:val="clear"/>
            <w:tcMar>
              <w:top w:w="0" w:type="dxa"/>
              <w:left w:w="0" w:type="dxa"/>
              <w:bottom w:w="0" w:type="dxa"/>
              <w:right w:w="0" w:type="dxa"/>
            </w:tcMar>
            <w:vAlign w:val="center"/>
          </w:tcPr>
          <w:p>
            <w:pPr>
              <w:pStyle w:val="TableContents"/>
              <w:bidi w:val="0"/>
              <w:spacing w:lineRule="auto" w:line="300" w:before="0" w:after="160"/>
              <w:jc w:val="left"/>
              <w:rPr>
                <w:color w:val="000000"/>
              </w:rPr>
            </w:pPr>
            <w:r>
              <w:rPr>
                <w:color w:val="000000"/>
              </w:rPr>
              <w:t> </w:t>
            </w:r>
          </w:p>
        </w:tc>
        <w:tc>
          <w:tcPr>
            <w:tcW w:w="2129" w:type="dxa"/>
            <w:gridSpan w:val="3"/>
            <w:tcBorders/>
            <w:shd w:fill="FFFFFF" w:val="clear"/>
            <w:tcMar>
              <w:top w:w="0" w:type="dxa"/>
              <w:left w:w="0" w:type="dxa"/>
              <w:bottom w:w="0" w:type="dxa"/>
              <w:right w:w="0" w:type="dxa"/>
            </w:tcMar>
            <w:vAlign w:val="center"/>
          </w:tcPr>
          <w:p>
            <w:pPr>
              <w:pStyle w:val="TableContents"/>
              <w:bidi w:val="0"/>
              <w:spacing w:lineRule="auto" w:line="300" w:before="0" w:after="160"/>
              <w:jc w:val="center"/>
              <w:rPr>
                <w:rFonts w:ascii="Times New Roman;serif" w:hAnsi="Times New Roman;serif"/>
                <w:b/>
                <w:color w:val="000000"/>
                <w:sz w:val="20"/>
              </w:rPr>
            </w:pPr>
            <w:r>
              <w:rPr>
                <w:rFonts w:ascii="Times New Roman;serif" w:hAnsi="Times New Roman;serif"/>
                <w:b/>
                <w:color w:val="000000"/>
                <w:sz w:val="20"/>
              </w:rPr>
              <w:t>Chief Executive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160"/>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75260"/>
                <wp:effectExtent l="0" t="0" r="0" b="0"/>
                <wp:wrapNone/>
                <wp:docPr id="14" name="Frame1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rPr/>
                      </w:pPr>
                      <w:r>
                        <w:rPr/>
                      </w:r>
                    </w:p>
                  </w:txbxContent>
                </v:textbox>
                <w10:wrap type="none"/>
              </v:rect>
            </w:pict>
          </mc:Fallback>
        </mc:AlternateContent>
      </w:r>
    </w:p>
    <w:p>
      <w:pPr>
        <w:pStyle w:val="TextBody"/>
        <w:bidi w:val="0"/>
        <w:spacing w:lineRule="auto" w:line="240" w:before="0" w:after="0"/>
        <w:jc w:val="right"/>
        <w:rPr>
          <w:rFonts w:ascii="Times New Roman;serif" w:hAnsi="Times New Roman;serif"/>
          <w:b/>
          <w:color w:val="000000"/>
          <w:sz w:val="20"/>
        </w:rPr>
      </w:pPr>
      <w:r>
        <w:rPr>
          <w:rFonts w:ascii="Times New Roman;serif" w:hAnsi="Times New Roman;serif"/>
          <w:b/>
          <w:color w:val="000000"/>
          <w:sz w:val="20"/>
        </w:rPr>
        <w:t>Exhibit 12.2</w:t>
      </w:r>
    </w:p>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CERTIFICATION PURSUANT TO</w:t>
      </w:r>
    </w:p>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RULES 13a-14(a) AND 15d-14(a) UNDER THE SECURITIES EXCHANGE ACT OF 1934,</w:t>
      </w:r>
    </w:p>
    <w:p>
      <w:pPr>
        <w:pStyle w:val="TextBody"/>
        <w:bidi w:val="0"/>
        <w:spacing w:lineRule="auto" w:line="240" w:before="0" w:after="120"/>
        <w:jc w:val="center"/>
        <w:rPr>
          <w:rFonts w:ascii="Times New Roman;serif" w:hAnsi="Times New Roman;serif"/>
          <w:b/>
          <w:color w:val="000000"/>
          <w:sz w:val="20"/>
        </w:rPr>
      </w:pPr>
      <w:r>
        <w:rPr>
          <w:rFonts w:ascii="Times New Roman;serif" w:hAnsi="Times New Roman;serif"/>
          <w:b/>
          <w:color w:val="000000"/>
          <w:sz w:val="20"/>
        </w:rPr>
        <w:t>AS ADOPTED PURSUANT TO SECTION 302 OF THE SARBANES-OXLEY ACT OF 2002</w:t>
      </w:r>
    </w:p>
    <w:p>
      <w:pPr>
        <w:pStyle w:val="TextBody"/>
        <w:bidi w:val="0"/>
        <w:spacing w:lineRule="auto" w:line="240" w:before="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I, Ramon Zapata Gomez, certify that: </w:t>
      </w:r>
    </w:p>
    <w:p>
      <w:pPr>
        <w:pStyle w:val="TextBody"/>
        <w:bidi w:val="0"/>
        <w:spacing w:lineRule="auto" w:line="240" w:before="0" w:after="12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1.I have reviewed this annual report on Form 20-F/A of BioNTech SE;</w:t>
      </w:r>
    </w:p>
    <w:p>
      <w:pPr>
        <w:pStyle w:val="TextBody"/>
        <w:bidi w:val="0"/>
        <w:spacing w:lineRule="auto" w:line="240" w:before="0" w:after="12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40" w:before="0" w:after="12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pStyle w:val="TextBody"/>
        <w:bidi w:val="0"/>
        <w:spacing w:lineRule="auto" w:line="240" w:before="0" w:after="12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4.The company’s other certifying officer(s) and I are responsible for establishing and maintaining disclosure controls and procedures (as defined in Exchange Act Rules 13a-15(e) and 15d-15(e)) and internal control over financial reporting (as defined in Exchange Act Rules 13a-15(f) and 15d-15(f)) for the company and have:</w:t>
      </w:r>
    </w:p>
    <w:p>
      <w:pPr>
        <w:pStyle w:val="TextBody"/>
        <w:bidi w:val="0"/>
        <w:spacing w:lineRule="auto" w:line="240" w:before="0" w:after="12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pStyle w:val="TextBody"/>
        <w:bidi w:val="0"/>
        <w:spacing w:lineRule="auto" w:line="240" w:before="0" w:after="12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40" w:before="0" w:after="12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(c)Evaluated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40" w:before="0" w:after="12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w:t>
      </w:r>
    </w:p>
    <w:p>
      <w:pPr>
        <w:pStyle w:val="TextBody"/>
        <w:bidi w:val="0"/>
        <w:spacing w:lineRule="auto" w:line="240" w:before="0" w:after="12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5.The company’s other certifying officer(s) and I have disclosed, based on our most recent evaluation of internal control over financial reporting, to the company’s auditors and the audit committee of the company’s board of directors (or persons performing the equivalent functions):</w:t>
      </w:r>
    </w:p>
    <w:p>
      <w:pPr>
        <w:pStyle w:val="TextBody"/>
        <w:bidi w:val="0"/>
        <w:spacing w:lineRule="auto" w:line="240" w:before="0" w:after="12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company's ability to record, process, summarize and report financial information; and</w:t>
      </w:r>
    </w:p>
    <w:p>
      <w:pPr>
        <w:pStyle w:val="TextBody"/>
        <w:bidi w:val="0"/>
        <w:spacing w:lineRule="auto" w:line="240" w:before="0" w:after="12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company's internal control over financial reporting.</w:t>
      </w:r>
    </w:p>
    <w:p>
      <w:pPr>
        <w:pStyle w:val="TextBody"/>
        <w:bidi w:val="0"/>
        <w:spacing w:lineRule="auto" w:line="240" w:before="0" w:after="0"/>
        <w:jc w:val="left"/>
        <w:rPr>
          <w:color w:val="000000"/>
        </w:rPr>
      </w:pPr>
      <w:r>
        <w:rPr>
          <w:color w:val="000000"/>
        </w:rPr>
        <w:t> </w:t>
      </w:r>
    </w:p>
    <w:tbl>
      <w:tblPr>
        <w:tblW w:w="4601" w:type="dxa"/>
        <w:jc w:val="left"/>
        <w:tblInd w:w="0" w:type="dxa"/>
        <w:tblLayout w:type="fixed"/>
        <w:tblCellMar>
          <w:top w:w="28" w:type="dxa"/>
          <w:left w:w="28" w:type="dxa"/>
          <w:bottom w:w="28" w:type="dxa"/>
          <w:right w:w="28" w:type="dxa"/>
        </w:tblCellMar>
      </w:tblPr>
      <w:tblGrid>
        <w:gridCol w:w="607"/>
        <w:gridCol w:w="535"/>
        <w:gridCol w:w="538"/>
        <w:gridCol w:w="109"/>
        <w:gridCol w:w="109"/>
        <w:gridCol w:w="109"/>
        <w:gridCol w:w="134"/>
        <w:gridCol w:w="134"/>
        <w:gridCol w:w="136"/>
        <w:gridCol w:w="641"/>
        <w:gridCol w:w="641"/>
        <w:gridCol w:w="908"/>
      </w:tblGrid>
      <w:tr>
        <w:trPr/>
        <w:tc>
          <w:tcPr>
            <w:tcW w:w="607"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641" w:type="dxa"/>
            <w:tcBorders/>
            <w:vAlign w:val="center"/>
          </w:tcPr>
          <w:p>
            <w:pPr>
              <w:pStyle w:val="TableContents"/>
              <w:bidi w:val="0"/>
              <w:spacing w:before="0" w:after="283"/>
              <w:jc w:val="left"/>
              <w:rPr>
                <w:sz w:val="4"/>
                <w:szCs w:val="4"/>
              </w:rPr>
            </w:pPr>
            <w:r>
              <w:rPr>
                <w:sz w:val="4"/>
                <w:szCs w:val="4"/>
              </w:rPr>
            </w:r>
          </w:p>
        </w:tc>
        <w:tc>
          <w:tcPr>
            <w:tcW w:w="641"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r>
      <w:tr>
        <w:trPr/>
        <w:tc>
          <w:tcPr>
            <w:tcW w:w="16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shd w:fill="FFFFFF" w:val="clear"/>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Date: April 1, 2026</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160"/>
              <w:jc w:val="left"/>
              <w:rPr>
                <w:color w:val="000000"/>
              </w:rPr>
            </w:pPr>
            <w:r>
              <w:rPr>
                <w:color w:val="000000"/>
              </w:rPr>
              <w:t> </w:t>
            </w:r>
          </w:p>
        </w:tc>
        <w:tc>
          <w:tcPr>
            <w:tcW w:w="404" w:type="dxa"/>
            <w:gridSpan w:val="3"/>
            <w:tcBorders/>
            <w:shd w:fill="FFFFFF" w:val="clear"/>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190" w:type="dxa"/>
            <w:gridSpan w:val="3"/>
            <w:tcBorders/>
            <w:shd w:fill="FFFFFF" w:val="clear"/>
            <w:tcMar>
              <w:top w:w="0" w:type="dxa"/>
              <w:left w:w="0" w:type="dxa"/>
              <w:bottom w:w="0" w:type="dxa"/>
              <w:right w:w="0" w:type="dxa"/>
            </w:tcMar>
            <w:vAlign w:val="center"/>
          </w:tcPr>
          <w:p>
            <w:pPr>
              <w:pStyle w:val="TableContents"/>
              <w:bidi w:val="0"/>
              <w:spacing w:lineRule="auto" w:line="300" w:before="0" w:after="160"/>
              <w:jc w:val="center"/>
              <w:rPr>
                <w:rFonts w:ascii="Times New Roman;serif" w:hAnsi="Times New Roman;serif"/>
                <w:b w:val="false"/>
                <w:color w:val="000000"/>
                <w:sz w:val="20"/>
              </w:rPr>
            </w:pPr>
            <w:r>
              <w:rPr>
                <w:rFonts w:ascii="Times New Roman;serif" w:hAnsi="Times New Roman;serif"/>
                <w:b w:val="false"/>
                <w:color w:val="000000"/>
                <w:sz w:val="20"/>
              </w:rPr>
              <w:t>/s/ Ramon Zapata Gomez</w:t>
            </w:r>
          </w:p>
        </w:tc>
      </w:tr>
      <w:tr>
        <w:trPr/>
        <w:tc>
          <w:tcPr>
            <w:tcW w:w="1680" w:type="dxa"/>
            <w:gridSpan w:val="3"/>
            <w:tcBorders/>
            <w:shd w:fill="FFFFFF" w:val="clear"/>
            <w:tcMar>
              <w:top w:w="0" w:type="dxa"/>
              <w:left w:w="0" w:type="dxa"/>
              <w:bottom w:w="0" w:type="dxa"/>
              <w:right w:w="0" w:type="dxa"/>
            </w:tcMar>
            <w:vAlign w:val="center"/>
          </w:tcPr>
          <w:p>
            <w:pPr>
              <w:pStyle w:val="TableContents"/>
              <w:bidi w:val="0"/>
              <w:spacing w:lineRule="auto" w:line="300" w:before="0" w:after="160"/>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160"/>
              <w:jc w:val="left"/>
              <w:rPr>
                <w:color w:val="000000"/>
              </w:rPr>
            </w:pPr>
            <w:r>
              <w:rPr>
                <w:color w:val="000000"/>
              </w:rPr>
              <w:t> </w:t>
            </w:r>
          </w:p>
        </w:tc>
        <w:tc>
          <w:tcPr>
            <w:tcW w:w="404" w:type="dxa"/>
            <w:gridSpan w:val="3"/>
            <w:tcBorders/>
            <w:shd w:fill="FFFFFF" w:val="clear"/>
            <w:tcMar>
              <w:top w:w="0" w:type="dxa"/>
              <w:left w:w="0" w:type="dxa"/>
              <w:bottom w:w="0" w:type="dxa"/>
              <w:right w:w="0" w:type="dxa"/>
            </w:tcMar>
            <w:vAlign w:val="center"/>
          </w:tcPr>
          <w:p>
            <w:pPr>
              <w:pStyle w:val="TableContents"/>
              <w:bidi w:val="0"/>
              <w:spacing w:lineRule="auto" w:line="300" w:before="0" w:after="160"/>
              <w:jc w:val="left"/>
              <w:rPr>
                <w:color w:val="000000"/>
              </w:rPr>
            </w:pPr>
            <w:r>
              <w:rPr>
                <w:color w:val="000000"/>
              </w:rPr>
              <w:t> </w:t>
            </w:r>
          </w:p>
        </w:tc>
        <w:tc>
          <w:tcPr>
            <w:tcW w:w="2190" w:type="dxa"/>
            <w:gridSpan w:val="3"/>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00" w:before="0" w:after="160"/>
              <w:jc w:val="center"/>
              <w:rPr>
                <w:rFonts w:ascii="Times New Roman;serif" w:hAnsi="Times New Roman;serif"/>
                <w:b/>
                <w:color w:val="000000"/>
                <w:sz w:val="20"/>
              </w:rPr>
            </w:pPr>
            <w:r>
              <w:rPr>
                <w:rFonts w:ascii="Times New Roman;serif" w:hAnsi="Times New Roman;serif"/>
                <w:b/>
                <w:color w:val="000000"/>
                <w:sz w:val="20"/>
              </w:rPr>
              <w:t>Ramon Zapata Gomez</w:t>
            </w:r>
          </w:p>
        </w:tc>
      </w:tr>
      <w:tr>
        <w:trPr/>
        <w:tc>
          <w:tcPr>
            <w:tcW w:w="1680" w:type="dxa"/>
            <w:gridSpan w:val="3"/>
            <w:tcBorders/>
            <w:shd w:fill="FFFFFF" w:val="clear"/>
            <w:tcMar>
              <w:top w:w="0" w:type="dxa"/>
              <w:left w:w="0" w:type="dxa"/>
              <w:bottom w:w="0" w:type="dxa"/>
              <w:right w:w="0" w:type="dxa"/>
            </w:tcMar>
            <w:vAlign w:val="center"/>
          </w:tcPr>
          <w:p>
            <w:pPr>
              <w:pStyle w:val="TableContents"/>
              <w:bidi w:val="0"/>
              <w:spacing w:lineRule="auto" w:line="300" w:before="0" w:after="160"/>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160"/>
              <w:jc w:val="left"/>
              <w:rPr>
                <w:color w:val="000000"/>
              </w:rPr>
            </w:pPr>
            <w:r>
              <w:rPr>
                <w:color w:val="000000"/>
              </w:rPr>
              <w:t> </w:t>
            </w:r>
          </w:p>
        </w:tc>
        <w:tc>
          <w:tcPr>
            <w:tcW w:w="404" w:type="dxa"/>
            <w:gridSpan w:val="3"/>
            <w:tcBorders/>
            <w:shd w:fill="FFFFFF" w:val="clear"/>
            <w:tcMar>
              <w:top w:w="0" w:type="dxa"/>
              <w:left w:w="0" w:type="dxa"/>
              <w:bottom w:w="0" w:type="dxa"/>
              <w:right w:w="0" w:type="dxa"/>
            </w:tcMar>
            <w:vAlign w:val="center"/>
          </w:tcPr>
          <w:p>
            <w:pPr>
              <w:pStyle w:val="TableContents"/>
              <w:bidi w:val="0"/>
              <w:spacing w:lineRule="auto" w:line="300" w:before="0" w:after="160"/>
              <w:jc w:val="left"/>
              <w:rPr>
                <w:color w:val="000000"/>
              </w:rPr>
            </w:pPr>
            <w:r>
              <w:rPr>
                <w:color w:val="000000"/>
              </w:rPr>
              <w:t> </w:t>
            </w:r>
          </w:p>
        </w:tc>
        <w:tc>
          <w:tcPr>
            <w:tcW w:w="2190" w:type="dxa"/>
            <w:gridSpan w:val="3"/>
            <w:tcBorders/>
            <w:shd w:fill="FFFFFF" w:val="clear"/>
            <w:tcMar>
              <w:top w:w="0" w:type="dxa"/>
              <w:left w:w="0" w:type="dxa"/>
              <w:bottom w:w="0" w:type="dxa"/>
              <w:right w:w="0" w:type="dxa"/>
            </w:tcMar>
            <w:vAlign w:val="center"/>
          </w:tcPr>
          <w:p>
            <w:pPr>
              <w:pStyle w:val="TableContents"/>
              <w:bidi w:val="0"/>
              <w:spacing w:lineRule="auto" w:line="300" w:before="0" w:after="160"/>
              <w:jc w:val="center"/>
              <w:rPr>
                <w:rFonts w:ascii="Times New Roman;serif" w:hAnsi="Times New Roman;serif"/>
                <w:b/>
                <w:color w:val="000000"/>
                <w:sz w:val="20"/>
              </w:rPr>
            </w:pPr>
            <w:r>
              <w:rPr>
                <w:rFonts w:ascii="Times New Roman;serif" w:hAnsi="Times New Roman;serif"/>
                <w:b/>
                <w:color w:val="000000"/>
                <w:sz w:val="20"/>
              </w:rPr>
              <w:t>Chief Financial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160"/>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75260"/>
                <wp:effectExtent l="0" t="0" r="0" b="0"/>
                <wp:wrapNone/>
                <wp:docPr id="15" name="Frame1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rPr/>
                      </w:pPr>
                      <w:r>
                        <w:rPr/>
                      </w:r>
                    </w:p>
                  </w:txbxContent>
                </v:textbox>
                <w10:wrap type="none"/>
              </v:rect>
            </w:pict>
          </mc:Fallback>
        </mc:AlternateContent>
      </w:r>
    </w:p>
    <w:p>
      <w:pPr>
        <w:pStyle w:val="TextBody"/>
        <w:bidi w:val="0"/>
        <w:spacing w:lineRule="auto" w:line="240" w:before="0" w:after="0"/>
        <w:jc w:val="right"/>
        <w:rPr>
          <w:rFonts w:ascii="Times New Roman;serif" w:hAnsi="Times New Roman;serif"/>
          <w:b/>
          <w:color w:val="000000"/>
          <w:sz w:val="20"/>
        </w:rPr>
      </w:pPr>
      <w:r>
        <w:rPr>
          <w:rFonts w:ascii="Times New Roman;serif" w:hAnsi="Times New Roman;serif"/>
          <w:b/>
          <w:color w:val="000000"/>
          <w:sz w:val="20"/>
        </w:rPr>
        <w:t>Exhibit 13.1</w:t>
      </w:r>
    </w:p>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CERTIFICATION PURSUANT TO</w:t>
      </w:r>
    </w:p>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18 U.S.C. SECTION 1350, AS ADOPTED PURSUANT TO</w:t>
      </w:r>
    </w:p>
    <w:p>
      <w:pPr>
        <w:pStyle w:val="TextBody"/>
        <w:bidi w:val="0"/>
        <w:spacing w:lineRule="auto" w:line="240" w:before="0" w:after="120"/>
        <w:jc w:val="center"/>
        <w:rPr>
          <w:rFonts w:ascii="Times New Roman;serif" w:hAnsi="Times New Roman;serif"/>
          <w:b/>
          <w:color w:val="000000"/>
          <w:sz w:val="20"/>
        </w:rPr>
      </w:pPr>
      <w:r>
        <w:rPr>
          <w:rFonts w:ascii="Times New Roman;serif" w:hAnsi="Times New Roman;serif"/>
          <w:b/>
          <w:color w:val="000000"/>
          <w:sz w:val="20"/>
        </w:rPr>
        <w:t>SECTION 906 OF THE SARBANES-OXLEY ACT OF 2002</w:t>
      </w:r>
    </w:p>
    <w:p>
      <w:pPr>
        <w:pStyle w:val="TextBody"/>
        <w:bidi w:val="0"/>
        <w:spacing w:lineRule="auto" w:line="240" w:before="0" w:after="120"/>
        <w:jc w:val="left"/>
        <w:rPr>
          <w:rFonts w:ascii="Times New Roman;serif" w:hAnsi="Times New Roman;serif"/>
          <w:b w:val="false"/>
          <w:color w:val="000000"/>
          <w:sz w:val="20"/>
        </w:rPr>
      </w:pPr>
      <w:r>
        <w:rPr>
          <w:rFonts w:ascii="Times New Roman;serif" w:hAnsi="Times New Roman;serif"/>
          <w:b w:val="false"/>
          <w:color w:val="000000"/>
          <w:sz w:val="20"/>
        </w:rPr>
        <w:t>The certification set forth below is being submitted in connection with the Annual Report on Form 20-F/A for the year ended 2025 (the “Report”) for the purpose of complying with Rule 13a-14(b) or Rule 15d-14(b) of the Securities Exchange Act of 1934 (the “Exchange Act”) and Section 1350 of Chapter 63 of Title 18 of the United States Code.</w:t>
      </w:r>
    </w:p>
    <w:p>
      <w:pPr>
        <w:pStyle w:val="TextBody"/>
        <w:bidi w:val="0"/>
        <w:spacing w:lineRule="auto" w:line="240" w:before="0" w:after="120"/>
        <w:jc w:val="left"/>
        <w:rPr>
          <w:rFonts w:ascii="Times New Roman;serif" w:hAnsi="Times New Roman;serif"/>
          <w:b w:val="false"/>
          <w:color w:val="000000"/>
          <w:sz w:val="20"/>
        </w:rPr>
      </w:pPr>
      <w:r>
        <w:rPr>
          <w:rFonts w:ascii="Times New Roman;serif" w:hAnsi="Times New Roman;serif"/>
          <w:b w:val="false"/>
          <w:color w:val="000000"/>
          <w:sz w:val="20"/>
        </w:rPr>
        <w:t>I, Ugur Sahin, Chief Executive Officer of BioNTech SE (the “Company”), certify that:</w:t>
      </w:r>
    </w:p>
    <w:p>
      <w:pPr>
        <w:pStyle w:val="TextBody"/>
        <w:bidi w:val="0"/>
        <w:spacing w:lineRule="auto" w:line="240" w:before="0" w:after="12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1.The Report fully complies with the requirements of Section 13(a) or 15(d) of the Exchange Act; and</w:t>
      </w:r>
    </w:p>
    <w:p>
      <w:pPr>
        <w:pStyle w:val="TextBody"/>
        <w:bidi w:val="0"/>
        <w:spacing w:lineRule="auto" w:line="240" w:before="0" w:after="12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2.The information contained in the Report fairly presents, in all material respects, the financial condition and results of operations of the Company.</w:t>
      </w:r>
    </w:p>
    <w:p>
      <w:pPr>
        <w:pStyle w:val="TextBody"/>
        <w:bidi w:val="0"/>
        <w:spacing w:lineRule="auto" w:line="240" w:before="0" w:after="0"/>
        <w:jc w:val="left"/>
        <w:rPr>
          <w:color w:val="000000"/>
        </w:rPr>
      </w:pPr>
      <w:r>
        <w:rPr>
          <w:color w:val="000000"/>
        </w:rPr>
        <w:t> </w:t>
      </w:r>
    </w:p>
    <w:tbl>
      <w:tblPr>
        <w:tblW w:w="4540" w:type="dxa"/>
        <w:jc w:val="left"/>
        <w:tblInd w:w="0" w:type="dxa"/>
        <w:tblLayout w:type="fixed"/>
        <w:tblCellMar>
          <w:top w:w="28" w:type="dxa"/>
          <w:left w:w="28" w:type="dxa"/>
          <w:bottom w:w="28" w:type="dxa"/>
          <w:right w:w="28" w:type="dxa"/>
        </w:tblCellMar>
      </w:tblPr>
      <w:tblGrid>
        <w:gridCol w:w="607"/>
        <w:gridCol w:w="535"/>
        <w:gridCol w:w="538"/>
        <w:gridCol w:w="109"/>
        <w:gridCol w:w="109"/>
        <w:gridCol w:w="109"/>
        <w:gridCol w:w="134"/>
        <w:gridCol w:w="134"/>
        <w:gridCol w:w="136"/>
        <w:gridCol w:w="622"/>
        <w:gridCol w:w="622"/>
        <w:gridCol w:w="885"/>
      </w:tblGrid>
      <w:tr>
        <w:trPr/>
        <w:tc>
          <w:tcPr>
            <w:tcW w:w="607"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885" w:type="dxa"/>
            <w:tcBorders/>
            <w:vAlign w:val="center"/>
          </w:tcPr>
          <w:p>
            <w:pPr>
              <w:pStyle w:val="TableContents"/>
              <w:bidi w:val="0"/>
              <w:spacing w:before="0" w:after="283"/>
              <w:jc w:val="left"/>
              <w:rPr>
                <w:sz w:val="4"/>
                <w:szCs w:val="4"/>
              </w:rPr>
            </w:pPr>
            <w:r>
              <w:rPr>
                <w:sz w:val="4"/>
                <w:szCs w:val="4"/>
              </w:rPr>
            </w:r>
          </w:p>
        </w:tc>
      </w:tr>
      <w:tr>
        <w:trPr/>
        <w:tc>
          <w:tcPr>
            <w:tcW w:w="16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shd w:fill="FFFFFF" w:val="clear"/>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Date: April 1, 2026</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160"/>
              <w:jc w:val="left"/>
              <w:rPr>
                <w:color w:val="000000"/>
              </w:rPr>
            </w:pPr>
            <w:r>
              <w:rPr>
                <w:color w:val="000000"/>
              </w:rPr>
              <w:t> </w:t>
            </w:r>
          </w:p>
        </w:tc>
        <w:tc>
          <w:tcPr>
            <w:tcW w:w="404" w:type="dxa"/>
            <w:gridSpan w:val="3"/>
            <w:tcBorders/>
            <w:shd w:fill="FFFFFF" w:val="clear"/>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129" w:type="dxa"/>
            <w:gridSpan w:val="3"/>
            <w:tcBorders/>
            <w:shd w:fill="FFFFFF" w:val="clear"/>
            <w:tcMar>
              <w:top w:w="0" w:type="dxa"/>
              <w:left w:w="0" w:type="dxa"/>
              <w:bottom w:w="0" w:type="dxa"/>
              <w:right w:w="0" w:type="dxa"/>
            </w:tcMar>
            <w:vAlign w:val="center"/>
          </w:tcPr>
          <w:p>
            <w:pPr>
              <w:pStyle w:val="TableContents"/>
              <w:bidi w:val="0"/>
              <w:spacing w:lineRule="auto" w:line="300" w:before="0" w:after="160"/>
              <w:jc w:val="center"/>
              <w:rPr>
                <w:rFonts w:ascii="Times New Roman;serif" w:hAnsi="Times New Roman;serif"/>
                <w:b w:val="false"/>
                <w:color w:val="000000"/>
                <w:sz w:val="20"/>
              </w:rPr>
            </w:pPr>
            <w:r>
              <w:rPr>
                <w:rFonts w:ascii="Times New Roman;serif" w:hAnsi="Times New Roman;serif"/>
                <w:b w:val="false"/>
                <w:color w:val="000000"/>
                <w:sz w:val="20"/>
              </w:rPr>
              <w:t>/s/ Prof. Dr. Ugur Sahin</w:t>
            </w:r>
          </w:p>
        </w:tc>
      </w:tr>
      <w:tr>
        <w:trPr/>
        <w:tc>
          <w:tcPr>
            <w:tcW w:w="1680" w:type="dxa"/>
            <w:gridSpan w:val="3"/>
            <w:tcBorders/>
            <w:shd w:fill="FFFFFF" w:val="clear"/>
            <w:tcMar>
              <w:top w:w="0" w:type="dxa"/>
              <w:left w:w="0" w:type="dxa"/>
              <w:bottom w:w="0" w:type="dxa"/>
              <w:right w:w="0" w:type="dxa"/>
            </w:tcMar>
            <w:vAlign w:val="center"/>
          </w:tcPr>
          <w:p>
            <w:pPr>
              <w:pStyle w:val="TableContents"/>
              <w:bidi w:val="0"/>
              <w:spacing w:lineRule="auto" w:line="300" w:before="0" w:after="160"/>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160"/>
              <w:jc w:val="left"/>
              <w:rPr>
                <w:color w:val="000000"/>
              </w:rPr>
            </w:pPr>
            <w:r>
              <w:rPr>
                <w:color w:val="000000"/>
              </w:rPr>
              <w:t> </w:t>
            </w:r>
          </w:p>
        </w:tc>
        <w:tc>
          <w:tcPr>
            <w:tcW w:w="404" w:type="dxa"/>
            <w:gridSpan w:val="3"/>
            <w:tcBorders/>
            <w:shd w:fill="FFFFFF" w:val="clear"/>
            <w:tcMar>
              <w:top w:w="0" w:type="dxa"/>
              <w:left w:w="0" w:type="dxa"/>
              <w:bottom w:w="0" w:type="dxa"/>
              <w:right w:w="0" w:type="dxa"/>
            </w:tcMar>
            <w:vAlign w:val="center"/>
          </w:tcPr>
          <w:p>
            <w:pPr>
              <w:pStyle w:val="TableContents"/>
              <w:bidi w:val="0"/>
              <w:spacing w:lineRule="auto" w:line="300" w:before="0" w:after="160"/>
              <w:jc w:val="left"/>
              <w:rPr>
                <w:color w:val="000000"/>
              </w:rPr>
            </w:pPr>
            <w:r>
              <w:rPr>
                <w:color w:val="000000"/>
              </w:rPr>
              <w:t> </w:t>
            </w:r>
          </w:p>
        </w:tc>
        <w:tc>
          <w:tcPr>
            <w:tcW w:w="2129" w:type="dxa"/>
            <w:gridSpan w:val="3"/>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00" w:before="0" w:after="160"/>
              <w:jc w:val="center"/>
              <w:rPr>
                <w:rFonts w:ascii="Times New Roman;serif" w:hAnsi="Times New Roman;serif"/>
                <w:b/>
                <w:color w:val="000000"/>
                <w:sz w:val="20"/>
              </w:rPr>
            </w:pPr>
            <w:r>
              <w:rPr>
                <w:rFonts w:ascii="Times New Roman;serif" w:hAnsi="Times New Roman;serif"/>
                <w:b/>
                <w:color w:val="000000"/>
                <w:sz w:val="20"/>
              </w:rPr>
              <w:t>Prof. Dr. Ugur Sahin</w:t>
            </w:r>
          </w:p>
        </w:tc>
      </w:tr>
      <w:tr>
        <w:trPr/>
        <w:tc>
          <w:tcPr>
            <w:tcW w:w="1680" w:type="dxa"/>
            <w:gridSpan w:val="3"/>
            <w:tcBorders/>
            <w:shd w:fill="FFFFFF" w:val="clear"/>
            <w:tcMar>
              <w:top w:w="0" w:type="dxa"/>
              <w:left w:w="0" w:type="dxa"/>
              <w:bottom w:w="0" w:type="dxa"/>
              <w:right w:w="0" w:type="dxa"/>
            </w:tcMar>
            <w:vAlign w:val="center"/>
          </w:tcPr>
          <w:p>
            <w:pPr>
              <w:pStyle w:val="TableContents"/>
              <w:bidi w:val="0"/>
              <w:spacing w:lineRule="auto" w:line="300" w:before="0" w:after="160"/>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160"/>
              <w:jc w:val="left"/>
              <w:rPr>
                <w:color w:val="000000"/>
              </w:rPr>
            </w:pPr>
            <w:r>
              <w:rPr>
                <w:color w:val="000000"/>
              </w:rPr>
              <w:t> </w:t>
            </w:r>
          </w:p>
        </w:tc>
        <w:tc>
          <w:tcPr>
            <w:tcW w:w="404" w:type="dxa"/>
            <w:gridSpan w:val="3"/>
            <w:tcBorders/>
            <w:shd w:fill="FFFFFF" w:val="clear"/>
            <w:tcMar>
              <w:top w:w="0" w:type="dxa"/>
              <w:left w:w="0" w:type="dxa"/>
              <w:bottom w:w="0" w:type="dxa"/>
              <w:right w:w="0" w:type="dxa"/>
            </w:tcMar>
            <w:vAlign w:val="center"/>
          </w:tcPr>
          <w:p>
            <w:pPr>
              <w:pStyle w:val="TableContents"/>
              <w:bidi w:val="0"/>
              <w:spacing w:lineRule="auto" w:line="300" w:before="0" w:after="160"/>
              <w:jc w:val="left"/>
              <w:rPr>
                <w:color w:val="000000"/>
              </w:rPr>
            </w:pPr>
            <w:r>
              <w:rPr>
                <w:color w:val="000000"/>
              </w:rPr>
              <w:t> </w:t>
            </w:r>
          </w:p>
        </w:tc>
        <w:tc>
          <w:tcPr>
            <w:tcW w:w="2129" w:type="dxa"/>
            <w:gridSpan w:val="3"/>
            <w:tcBorders/>
            <w:shd w:fill="FFFFFF" w:val="clear"/>
            <w:tcMar>
              <w:top w:w="0" w:type="dxa"/>
              <w:left w:w="0" w:type="dxa"/>
              <w:bottom w:w="0" w:type="dxa"/>
              <w:right w:w="0" w:type="dxa"/>
            </w:tcMar>
            <w:vAlign w:val="center"/>
          </w:tcPr>
          <w:p>
            <w:pPr>
              <w:pStyle w:val="TableContents"/>
              <w:bidi w:val="0"/>
              <w:spacing w:lineRule="auto" w:line="300" w:before="0" w:after="160"/>
              <w:jc w:val="center"/>
              <w:rPr>
                <w:rFonts w:ascii="Times New Roman;serif" w:hAnsi="Times New Roman;serif"/>
                <w:b/>
                <w:color w:val="000000"/>
                <w:sz w:val="20"/>
              </w:rPr>
            </w:pPr>
            <w:r>
              <w:rPr>
                <w:rFonts w:ascii="Times New Roman;serif" w:hAnsi="Times New Roman;serif"/>
                <w:b/>
                <w:color w:val="000000"/>
                <w:sz w:val="20"/>
              </w:rPr>
              <w:t>Chief Executive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160"/>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75260"/>
                <wp:effectExtent l="0" t="0" r="0" b="0"/>
                <wp:wrapNone/>
                <wp:docPr id="16" name="Frame1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rPr/>
                      </w:pPr>
                      <w:r>
                        <w:rPr/>
                      </w:r>
                    </w:p>
                  </w:txbxContent>
                </v:textbox>
                <w10:wrap type="none"/>
              </v:rect>
            </w:pict>
          </mc:Fallback>
        </mc:AlternateContent>
      </w:r>
    </w:p>
    <w:p>
      <w:pPr>
        <w:pStyle w:val="TextBody"/>
        <w:bidi w:val="0"/>
        <w:spacing w:lineRule="auto" w:line="240" w:before="0" w:after="0"/>
        <w:jc w:val="right"/>
        <w:rPr>
          <w:rFonts w:ascii="Times New Roman;serif" w:hAnsi="Times New Roman;serif"/>
          <w:b/>
          <w:color w:val="000000"/>
          <w:sz w:val="20"/>
        </w:rPr>
      </w:pPr>
      <w:r>
        <w:rPr>
          <w:rFonts w:ascii="Times New Roman;serif" w:hAnsi="Times New Roman;serif"/>
          <w:b/>
          <w:color w:val="000000"/>
          <w:sz w:val="20"/>
        </w:rPr>
        <w:t>Exhibit 13.2</w:t>
      </w:r>
    </w:p>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CERTIFICATION PURSUANT TO</w:t>
      </w:r>
    </w:p>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18 U.S.C. SECTION 1350, AS ADOPTED PURSUANT TO</w:t>
      </w:r>
    </w:p>
    <w:p>
      <w:pPr>
        <w:pStyle w:val="TextBody"/>
        <w:bidi w:val="0"/>
        <w:spacing w:lineRule="auto" w:line="240" w:before="0" w:after="120"/>
        <w:jc w:val="center"/>
        <w:rPr>
          <w:rFonts w:ascii="Times New Roman;serif" w:hAnsi="Times New Roman;serif"/>
          <w:b/>
          <w:color w:val="000000"/>
          <w:sz w:val="20"/>
        </w:rPr>
      </w:pPr>
      <w:r>
        <w:rPr>
          <w:rFonts w:ascii="Times New Roman;serif" w:hAnsi="Times New Roman;serif"/>
          <w:b/>
          <w:color w:val="000000"/>
          <w:sz w:val="20"/>
        </w:rPr>
        <w:t>SECTION 906 OF THE SARBANES-OXLEY ACT OF 2002</w:t>
      </w:r>
    </w:p>
    <w:p>
      <w:pPr>
        <w:pStyle w:val="TextBody"/>
        <w:bidi w:val="0"/>
        <w:spacing w:lineRule="auto" w:line="240" w:before="0" w:after="120"/>
        <w:jc w:val="left"/>
        <w:rPr>
          <w:rFonts w:ascii="Times New Roman;serif" w:hAnsi="Times New Roman;serif"/>
          <w:b w:val="false"/>
          <w:color w:val="000000"/>
          <w:sz w:val="20"/>
        </w:rPr>
      </w:pPr>
      <w:r>
        <w:rPr>
          <w:rFonts w:ascii="Times New Roman;serif" w:hAnsi="Times New Roman;serif"/>
          <w:b w:val="false"/>
          <w:color w:val="000000"/>
          <w:sz w:val="20"/>
        </w:rPr>
        <w:t>The certification set forth below is being submitted in connection with the Annual Report on Form 20-F/A for the year ended 2025 (the “Report”) for the purpose of complying with Rule 13a-14(b) or Rule 15d-14(b) of the Securities Exchange Act of 1934 (the “Exchange Act”) and Section 1350 of Chapter 63 of Title 18 of the United States Code.</w:t>
      </w:r>
    </w:p>
    <w:p>
      <w:pPr>
        <w:pStyle w:val="TextBody"/>
        <w:bidi w:val="0"/>
        <w:spacing w:lineRule="auto" w:line="240" w:before="0" w:after="120"/>
        <w:jc w:val="left"/>
        <w:rPr>
          <w:rFonts w:ascii="Times New Roman;serif" w:hAnsi="Times New Roman;serif"/>
          <w:b w:val="false"/>
          <w:color w:val="000000"/>
          <w:sz w:val="20"/>
        </w:rPr>
      </w:pPr>
      <w:r>
        <w:rPr>
          <w:rFonts w:ascii="Times New Roman;serif" w:hAnsi="Times New Roman;serif"/>
          <w:b w:val="false"/>
          <w:color w:val="000000"/>
          <w:sz w:val="20"/>
        </w:rPr>
        <w:t>I, Ramon Zapata Gomez, Chief Financial Officer of BioNTech SE (the “Company”), certify that:</w:t>
      </w:r>
    </w:p>
    <w:p>
      <w:pPr>
        <w:pStyle w:val="TextBody"/>
        <w:bidi w:val="0"/>
        <w:spacing w:lineRule="auto" w:line="240" w:before="0" w:after="12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1.The Report fully complies with the requirements of Section 13(a) or 15(d) of the Exchange Act; and</w:t>
      </w:r>
    </w:p>
    <w:p>
      <w:pPr>
        <w:pStyle w:val="TextBody"/>
        <w:bidi w:val="0"/>
        <w:spacing w:lineRule="auto" w:line="240" w:before="0" w:after="12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2.The information contained in the Report fairly presents, in all material respects, the financial condition and results of operations of the Company.</w:t>
      </w:r>
    </w:p>
    <w:p>
      <w:pPr>
        <w:pStyle w:val="TextBody"/>
        <w:bidi w:val="0"/>
        <w:spacing w:lineRule="auto" w:line="240" w:before="0" w:after="0"/>
        <w:jc w:val="left"/>
        <w:rPr>
          <w:color w:val="000000"/>
        </w:rPr>
      </w:pPr>
      <w:r>
        <w:rPr>
          <w:color w:val="000000"/>
        </w:rPr>
        <w:t> </w:t>
      </w:r>
    </w:p>
    <w:tbl>
      <w:tblPr>
        <w:tblW w:w="4601" w:type="dxa"/>
        <w:jc w:val="left"/>
        <w:tblInd w:w="0" w:type="dxa"/>
        <w:tblLayout w:type="fixed"/>
        <w:tblCellMar>
          <w:top w:w="28" w:type="dxa"/>
          <w:left w:w="28" w:type="dxa"/>
          <w:bottom w:w="28" w:type="dxa"/>
          <w:right w:w="28" w:type="dxa"/>
        </w:tblCellMar>
      </w:tblPr>
      <w:tblGrid>
        <w:gridCol w:w="607"/>
        <w:gridCol w:w="535"/>
        <w:gridCol w:w="538"/>
        <w:gridCol w:w="109"/>
        <w:gridCol w:w="109"/>
        <w:gridCol w:w="109"/>
        <w:gridCol w:w="134"/>
        <w:gridCol w:w="134"/>
        <w:gridCol w:w="136"/>
        <w:gridCol w:w="641"/>
        <w:gridCol w:w="641"/>
        <w:gridCol w:w="908"/>
      </w:tblGrid>
      <w:tr>
        <w:trPr/>
        <w:tc>
          <w:tcPr>
            <w:tcW w:w="607"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641" w:type="dxa"/>
            <w:tcBorders/>
            <w:vAlign w:val="center"/>
          </w:tcPr>
          <w:p>
            <w:pPr>
              <w:pStyle w:val="TableContents"/>
              <w:bidi w:val="0"/>
              <w:spacing w:before="0" w:after="283"/>
              <w:jc w:val="left"/>
              <w:rPr>
                <w:sz w:val="4"/>
                <w:szCs w:val="4"/>
              </w:rPr>
            </w:pPr>
            <w:r>
              <w:rPr>
                <w:sz w:val="4"/>
                <w:szCs w:val="4"/>
              </w:rPr>
            </w:r>
          </w:p>
        </w:tc>
        <w:tc>
          <w:tcPr>
            <w:tcW w:w="641"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r>
      <w:tr>
        <w:trPr/>
        <w:tc>
          <w:tcPr>
            <w:tcW w:w="16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shd w:fill="FFFFFF" w:val="clear"/>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Date: April 1, 2026</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160"/>
              <w:jc w:val="left"/>
              <w:rPr>
                <w:color w:val="000000"/>
              </w:rPr>
            </w:pPr>
            <w:r>
              <w:rPr>
                <w:color w:val="000000"/>
              </w:rPr>
              <w:t> </w:t>
            </w:r>
          </w:p>
        </w:tc>
        <w:tc>
          <w:tcPr>
            <w:tcW w:w="404" w:type="dxa"/>
            <w:gridSpan w:val="3"/>
            <w:tcBorders/>
            <w:shd w:fill="FFFFFF" w:val="clear"/>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190" w:type="dxa"/>
            <w:gridSpan w:val="3"/>
            <w:tcBorders/>
            <w:shd w:fill="FFFFFF" w:val="clear"/>
            <w:tcMar>
              <w:top w:w="0" w:type="dxa"/>
              <w:left w:w="0" w:type="dxa"/>
              <w:bottom w:w="0" w:type="dxa"/>
              <w:right w:w="0" w:type="dxa"/>
            </w:tcMar>
            <w:vAlign w:val="center"/>
          </w:tcPr>
          <w:p>
            <w:pPr>
              <w:pStyle w:val="TableContents"/>
              <w:bidi w:val="0"/>
              <w:spacing w:lineRule="auto" w:line="300" w:before="0" w:after="160"/>
              <w:jc w:val="center"/>
              <w:rPr>
                <w:rFonts w:ascii="Times New Roman;serif" w:hAnsi="Times New Roman;serif"/>
                <w:b w:val="false"/>
                <w:color w:val="000000"/>
                <w:sz w:val="20"/>
              </w:rPr>
            </w:pPr>
            <w:r>
              <w:rPr>
                <w:rFonts w:ascii="Times New Roman;serif" w:hAnsi="Times New Roman;serif"/>
                <w:b w:val="false"/>
                <w:color w:val="000000"/>
                <w:sz w:val="20"/>
              </w:rPr>
              <w:t>/s/ Ramon Zapata Gomez</w:t>
            </w:r>
          </w:p>
        </w:tc>
      </w:tr>
      <w:tr>
        <w:trPr/>
        <w:tc>
          <w:tcPr>
            <w:tcW w:w="1680" w:type="dxa"/>
            <w:gridSpan w:val="3"/>
            <w:tcBorders/>
            <w:shd w:fill="FFFFFF" w:val="clear"/>
            <w:tcMar>
              <w:top w:w="0" w:type="dxa"/>
              <w:left w:w="0" w:type="dxa"/>
              <w:bottom w:w="0" w:type="dxa"/>
              <w:right w:w="0" w:type="dxa"/>
            </w:tcMar>
            <w:vAlign w:val="center"/>
          </w:tcPr>
          <w:p>
            <w:pPr>
              <w:pStyle w:val="TableContents"/>
              <w:bidi w:val="0"/>
              <w:spacing w:lineRule="auto" w:line="300" w:before="0" w:after="160"/>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160"/>
              <w:jc w:val="left"/>
              <w:rPr>
                <w:color w:val="000000"/>
              </w:rPr>
            </w:pPr>
            <w:r>
              <w:rPr>
                <w:color w:val="000000"/>
              </w:rPr>
              <w:t> </w:t>
            </w:r>
          </w:p>
        </w:tc>
        <w:tc>
          <w:tcPr>
            <w:tcW w:w="404" w:type="dxa"/>
            <w:gridSpan w:val="3"/>
            <w:tcBorders/>
            <w:shd w:fill="FFFFFF" w:val="clear"/>
            <w:tcMar>
              <w:top w:w="0" w:type="dxa"/>
              <w:left w:w="0" w:type="dxa"/>
              <w:bottom w:w="0" w:type="dxa"/>
              <w:right w:w="0" w:type="dxa"/>
            </w:tcMar>
            <w:vAlign w:val="center"/>
          </w:tcPr>
          <w:p>
            <w:pPr>
              <w:pStyle w:val="TableContents"/>
              <w:bidi w:val="0"/>
              <w:spacing w:lineRule="auto" w:line="300" w:before="0" w:after="160"/>
              <w:jc w:val="left"/>
              <w:rPr>
                <w:color w:val="000000"/>
              </w:rPr>
            </w:pPr>
            <w:r>
              <w:rPr>
                <w:color w:val="000000"/>
              </w:rPr>
              <w:t> </w:t>
            </w:r>
          </w:p>
        </w:tc>
        <w:tc>
          <w:tcPr>
            <w:tcW w:w="2190" w:type="dxa"/>
            <w:gridSpan w:val="3"/>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00" w:before="0" w:after="160"/>
              <w:jc w:val="center"/>
              <w:rPr>
                <w:rFonts w:ascii="Times New Roman;serif" w:hAnsi="Times New Roman;serif"/>
                <w:b/>
                <w:color w:val="000000"/>
                <w:sz w:val="20"/>
              </w:rPr>
            </w:pPr>
            <w:r>
              <w:rPr>
                <w:rFonts w:ascii="Times New Roman;serif" w:hAnsi="Times New Roman;serif"/>
                <w:b/>
                <w:color w:val="000000"/>
                <w:sz w:val="20"/>
              </w:rPr>
              <w:t>Ramon Zapata Gomez</w:t>
            </w:r>
          </w:p>
        </w:tc>
      </w:tr>
      <w:tr>
        <w:trPr/>
        <w:tc>
          <w:tcPr>
            <w:tcW w:w="1680" w:type="dxa"/>
            <w:gridSpan w:val="3"/>
            <w:tcBorders/>
            <w:shd w:fill="FFFFFF" w:val="clear"/>
            <w:tcMar>
              <w:top w:w="0" w:type="dxa"/>
              <w:left w:w="0" w:type="dxa"/>
              <w:bottom w:w="0" w:type="dxa"/>
              <w:right w:w="0" w:type="dxa"/>
            </w:tcMar>
            <w:vAlign w:val="center"/>
          </w:tcPr>
          <w:p>
            <w:pPr>
              <w:pStyle w:val="TableContents"/>
              <w:bidi w:val="0"/>
              <w:spacing w:lineRule="auto" w:line="300" w:before="0" w:after="160"/>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160"/>
              <w:jc w:val="left"/>
              <w:rPr>
                <w:color w:val="000000"/>
              </w:rPr>
            </w:pPr>
            <w:r>
              <w:rPr>
                <w:color w:val="000000"/>
              </w:rPr>
              <w:t> </w:t>
            </w:r>
          </w:p>
        </w:tc>
        <w:tc>
          <w:tcPr>
            <w:tcW w:w="404" w:type="dxa"/>
            <w:gridSpan w:val="3"/>
            <w:tcBorders/>
            <w:shd w:fill="FFFFFF" w:val="clear"/>
            <w:tcMar>
              <w:top w:w="0" w:type="dxa"/>
              <w:left w:w="0" w:type="dxa"/>
              <w:bottom w:w="0" w:type="dxa"/>
              <w:right w:w="0" w:type="dxa"/>
            </w:tcMar>
            <w:vAlign w:val="center"/>
          </w:tcPr>
          <w:p>
            <w:pPr>
              <w:pStyle w:val="TableContents"/>
              <w:bidi w:val="0"/>
              <w:spacing w:lineRule="auto" w:line="300" w:before="0" w:after="160"/>
              <w:jc w:val="left"/>
              <w:rPr>
                <w:color w:val="000000"/>
              </w:rPr>
            </w:pPr>
            <w:r>
              <w:rPr>
                <w:color w:val="000000"/>
              </w:rPr>
              <w:t> </w:t>
            </w:r>
          </w:p>
        </w:tc>
        <w:tc>
          <w:tcPr>
            <w:tcW w:w="2190" w:type="dxa"/>
            <w:gridSpan w:val="3"/>
            <w:tcBorders/>
            <w:shd w:fill="FFFFFF" w:val="clear"/>
            <w:tcMar>
              <w:top w:w="0" w:type="dxa"/>
              <w:left w:w="0" w:type="dxa"/>
              <w:bottom w:w="0" w:type="dxa"/>
              <w:right w:w="0" w:type="dxa"/>
            </w:tcMar>
            <w:vAlign w:val="center"/>
          </w:tcPr>
          <w:p>
            <w:pPr>
              <w:pStyle w:val="TableContents"/>
              <w:bidi w:val="0"/>
              <w:spacing w:lineRule="auto" w:line="300" w:before="0" w:after="160"/>
              <w:jc w:val="center"/>
              <w:rPr>
                <w:rFonts w:ascii="Times New Roman;serif" w:hAnsi="Times New Roman;serif"/>
                <w:b/>
                <w:color w:val="000000"/>
                <w:sz w:val="20"/>
              </w:rPr>
            </w:pPr>
            <w:r>
              <w:rPr>
                <w:rFonts w:ascii="Times New Roman;serif" w:hAnsi="Times New Roman;serif"/>
                <w:b/>
                <w:color w:val="000000"/>
                <w:sz w:val="20"/>
              </w:rPr>
              <w:t>Chief Financial Officer</w:t>
            </w:r>
          </w:p>
        </w:tc>
      </w:tr>
    </w:tbl>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75260"/>
                <wp:effectExtent l="0" t="0" r="0" b="0"/>
                <wp:wrapNone/>
                <wp:docPr id="17" name="Frame1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sans-serif"/>
    <w:charset w:val="01"/>
    <w:family w:val="auto"/>
    <w:pitch w:val="default"/>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Pages>
  <Words>5707</Words>
  <Characters>32695</Characters>
  <CharactersWithSpaces>38281</CharactersWithSpaces>
  <Paragraphs>278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