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pPr>
      <w:r>
        <w:rPr>
          <w:rFonts w:ascii="Times New Roman;sans-serif" w:hAnsi="Times New Roman;sans-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ans-serif" w:hAnsi="Times New Roman;sans-serif"/>
          <w:b w:val="false"/>
          <w:color w:val="000000"/>
          <w:sz w:val="40"/>
        </w:rPr>
        <w:br/>
      </w:r>
      <w:r>
        <w:rPr>
          <w:rFonts w:ascii="Times New Roman;sans-serif" w:hAnsi="Times New Roman;sans-serif"/>
          <w:b/>
          <w:color w:val="000000"/>
          <w:sz w:val="40"/>
        </w:rPr>
        <w:t>FORM 6-K</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 THE MONTH OF OCTOBER 2024</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COMMISSION FILE NUMBER 001-39081 </w:t>
      </w:r>
    </w:p>
    <w:p>
      <w:pPr>
        <w:pStyle w:val="TextBody"/>
        <w:bidi w:val="0"/>
        <w:spacing w:lineRule="auto" w:line="288" w:before="0" w:after="240"/>
        <w:jc w:val="center"/>
        <w:rPr/>
      </w:pPr>
      <w:r>
        <w:rPr>
          <w:rFonts w:ascii="Times New Roman;sans-serif" w:hAnsi="Times New Roman;sans-serif"/>
          <w:b/>
          <w:color w:val="000000"/>
          <w:sz w:val="40"/>
        </w:rPr>
        <w:t>BioNTech SE</w:t>
        <w:br/>
      </w:r>
      <w:r>
        <w:rPr>
          <w:rFonts w:ascii="Times New Roman;sans-serif" w:hAnsi="Times New Roman;sans-serif"/>
          <w:b w:val="false"/>
          <w:color w:val="333333"/>
          <w:sz w:val="20"/>
        </w:rPr>
        <w:t>(Translation of registrant’s name into English)</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 der Goldgrube 12</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D-55131 Mainz</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Germany</w:t>
      </w:r>
    </w:p>
    <w:p>
      <w:pPr>
        <w:pStyle w:val="TextBody"/>
        <w:bidi w:val="0"/>
        <w:spacing w:lineRule="auto" w:line="288" w:before="0" w:after="240"/>
        <w:jc w:val="center"/>
        <w:rPr/>
      </w:pPr>
      <w:r>
        <w:rPr>
          <w:rFonts w:ascii="Times New Roman;sans-serif" w:hAnsi="Times New Roman;sans-serif"/>
          <w:b/>
          <w:color w:val="000000"/>
          <w:sz w:val="22"/>
        </w:rPr>
        <w:t>+49 6131-9084-0</w:t>
        <w:br/>
      </w:r>
      <w:r>
        <w:rPr>
          <w:rFonts w:ascii="Times New Roman;sans-serif" w:hAnsi="Times New Roman;sans-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ans-serif" w:hAnsi="Times New Roman;sans-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INFORMATION INCLUDED AS PART OF THIS FORM 6-K</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BioNTech SE (“BioNTech”) has been informed by its partner OncoC4, Inc. (“OncoC4”) that the U.S. Food and Drug Administration (“FDA”) has placed a partial clinical hold on the companies’ two-stage, open-label, randomized Phase 3 trial, PRESERVE-003 (NCT05671510). BioNTech and OncoC4 understand that the partial clinical hold in the ongoing Phase 3 trial with BNT316/ONC-392 (gotistobart) in non-small cell lung cancer (“NSCLC”) is due to varying results between the squamous and non-squamous NSCLC patient populations.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trial evaluates the efficacy and safety of the antibody candidate BNT316/ONC-392 as monotherapy in patients with metastatic NSCLC that progressed under previous PD-(L)1-inhibitor treatment. A recent assessment of the trial data by the independent data monitoring committee identified a possible variance in population results. Consequently, OncoC4 and BioNTech decided to proactively pause enrollment of new patients and informed the FDA of the possible variance for further alignment.</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While the companies are assessing next steps for the ongoing trial with BNT316/ONC-392 in NSCLC, patients already enrolled in the trial will continue to receive treatment. Trials evaluating BNT316/ONC-392 in other indications remain unaffected.</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4"/>
        </w:rPr>
      </w:pPr>
      <w:r>
        <w:rPr>
          <w:rFonts w:ascii="Times New Roman;sans-serif" w:hAnsi="Times New Roman;sans-serif"/>
          <w:b/>
          <w:color w:val="000000"/>
          <w:sz w:val="24"/>
        </w:rPr>
        <w:t>About BNT316/ONC-392 (gotistobart)</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BNT316/ONC-392 (gotistobart) is a next-generation anti-CTLA-4 antibody candidate jointly being developed by BioNTech and OncoC4. BNT316/ONC-392 is currently in late-stage clinical development as monotherapy or combination therapy in various cancer indications. The immune checkpoint receptor CTLA-4 inhibits T cell immune response and reduces the activity of T cells in recognizing and eliminating cancer cells. This mechanism is also exploited by cancer cells to prevent them from being eliminated by T cells. Blocking CTLA-4 may help to preserve T cell activity and enhance anti-tumor activity. BNT316/ONC-392 was designed with the aim to address this mechanism while preserving CTLA-4 recycling and thus the immunosuppressive T cell (regulatory T cells, or “Tregs”) function in the peripheral tissues. This approach aims to give rise to fewer immune-related adverse effects and a more favorable safety profile. The PRESERVE-003 trial (NCT05671510), which is the subject of the partial clinical hold, is a registrational Phase 3 trial to evaluate the candidate as monotherapy in patients with metastatic non-small cell lung cancer (NSCLC). In addition, the candidate is being evaluated in a Phase 2 trial as a combination therapy with pembrolizumab in platinum-resistant ovarian cancer (NCT05446298), in a Phase 1/2 trial in metastatic castration-resistant prostate cancer (NCT05682443) as well as in a Phase 1/2 trial in multiple solid tumors (NCT04140526).</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before="0" w:after="0"/>
        <w:jc w:val="left"/>
        <w:rPr/>
      </w:pPr>
      <w:r>
        <w:rPr/>
      </w:r>
    </w:p>
    <w:p>
      <w:pPr>
        <w:pStyle w:val="TextBody"/>
        <w:bidi w:val="0"/>
        <w:spacing w:lineRule="auto" w:line="256"/>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This statement contains forward-looking statements within the meaning of the Private Securities Litigation Reform Act of 1995, as amended, including, but not limited to, statements concerning: the next steps in the PRESERVE-003 trial and other clinical trials of BNT316/ONC-392, the potential that BNT316/ONC-392 may help to preserve T cell activity and enhance anti-tumor activity, and the potential efficacy and safety of BNT316/ONC-392.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statement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You should review the risks and uncertainties described under the heading “Risk Factors” in BioNTech's Quarterly Report on Form 6-K for the period ended June 30, 2024 and in subsequent filings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made by BioNTech with the SEC, which are available on the SEC’s website at https://www.sec.gov/. Except as required by law, BioNTech disclaims any intention or responsibility for updating or revising any forward-looking statements contained in this statement in the event of new information, future developments or otherwise. These forward-looking statements are based on BioNTech’s current expectations and speak only as of the date hereof.</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SIGNATURE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Exchange Act, the registrant has duly caused this report to be signed on its behalf by the undersigned, thereunto duly authorized. </w:t>
      </w:r>
    </w:p>
    <w:tbl>
      <w:tblPr>
        <w:tblW w:w="7367" w:type="dxa"/>
        <w:jc w:val="left"/>
        <w:tblInd w:w="0" w:type="dxa"/>
        <w:tblLayout w:type="fixed"/>
        <w:tblCellMar>
          <w:top w:w="28" w:type="dxa"/>
          <w:left w:w="28" w:type="dxa"/>
          <w:bottom w:w="28" w:type="dxa"/>
          <w:right w:w="28" w:type="dxa"/>
        </w:tblCellMar>
      </w:tblPr>
      <w:tblGrid>
        <w:gridCol w:w="280"/>
        <w:gridCol w:w="246"/>
        <w:gridCol w:w="246"/>
        <w:gridCol w:w="945"/>
        <w:gridCol w:w="945"/>
        <w:gridCol w:w="960"/>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622"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8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Operating Officer</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October 18, 2024</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848</Words>
  <Characters>4988</Characters>
  <CharactersWithSpaces>5812</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