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967d6k.htm"/>
      <w:bookmarkStart w:id="1" w:name="ksd4096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2025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001-39081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BioNTech SE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 xml:space="preserve">+49 6131-9084-0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DOCUMENTS INCLUDED AS PART OF THIS FORM 6-K </w:t>
      </w:r>
    </w:p>
    <w:p>
      <w:pPr>
        <w:pStyle w:val="TextBody"/>
        <w:bidi w:val="0"/>
        <w:spacing w:before="240" w:after="0"/>
        <w:jc w:val="left"/>
        <w:rPr>
          <w:rFonts w:ascii="Times New Roman" w:hAnsi="Times New Roman"/>
          <w:sz w:val="20"/>
        </w:rPr>
      </w:pPr>
      <w:r>
        <w:rPr>
          <w:rFonts w:ascii="Times New Roman" w:hAnsi="Times New Roman"/>
          <w:sz w:val="20"/>
        </w:rPr>
        <w:t xml:space="preserve">On June 12, 2025, BioNTech SE and CureVac N.V. issued a joint press release announcing their entry into a Purchase Agreement, dated as of June 12, 2025. A copy of the joint press release is attached hereto as Exhibit 99.1.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0"/>
        <w:jc w:val="left"/>
        <w:rPr>
          <w:rFonts w:ascii="Times New Roman" w:hAnsi="Times New Roman"/>
          <w:b/>
          <w:sz w:val="20"/>
        </w:rPr>
      </w:pPr>
      <w:r>
        <w:rPr>
          <w:rFonts w:ascii="Times New Roman" w:hAnsi="Times New Roman"/>
          <w:b/>
          <w:sz w:val="20"/>
        </w:rPr>
        <w:t xml:space="preserve">BioNTech 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2"/>
        <w:gridCol w:w="102"/>
        <w:gridCol w:w="4377"/>
        <w:gridCol w:w="102"/>
        <w:gridCol w:w="413"/>
        <w:gridCol w:w="102"/>
        <w:gridCol w:w="313"/>
        <w:gridCol w:w="102"/>
        <w:gridCol w:w="4382"/>
      </w:tblGrid>
      <w:tr>
        <w:trPr/>
        <w:tc>
          <w:tcPr>
            <w:tcW w:w="3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r>
      <w:tr>
        <w:trPr/>
        <w:tc>
          <w:tcPr>
            <w:tcW w:w="312"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77" w:type="dxa"/>
            <w:tcBorders>
              <w:bottom w:val="single" w:sz="2" w:space="0" w:color="000000"/>
            </w:tcBorders>
            <w:tcMar>
              <w:bottom w:w="28" w:type="dxa"/>
            </w:tcMar>
          </w:tcPr>
          <w:p>
            <w:pPr>
              <w:pStyle w:val="TableContents"/>
              <w:bidi w:val="0"/>
              <w:spacing w:before="0" w:after="283"/>
              <w:jc w:val="left"/>
              <w:rPr/>
            </w:pPr>
            <w:r>
              <w:rPr/>
              <w:t>/s/ Prof. Dr. Ugur Sahin</w:t>
            </w:r>
          </w:p>
        </w:tc>
        <w:tc>
          <w:tcPr>
            <w:tcW w:w="102" w:type="dxa"/>
            <w:tcBorders/>
            <w:vAlign w:val="bottom"/>
          </w:tcPr>
          <w:p>
            <w:pPr>
              <w:pStyle w:val="TableContents"/>
              <w:bidi w:val="0"/>
              <w:spacing w:before="0" w:after="283"/>
              <w:jc w:val="left"/>
              <w:rPr/>
            </w:pPr>
            <w:r>
              <w:rPr/>
              <w:t> </w:t>
            </w:r>
          </w:p>
        </w:tc>
        <w:tc>
          <w:tcPr>
            <w:tcW w:w="413" w:type="dxa"/>
            <w:tcBorders/>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82" w:type="dxa"/>
            <w:tcBorders>
              <w:bottom w:val="single" w:sz="2" w:space="0" w:color="000000"/>
            </w:tcBorders>
            <w:tcMar>
              <w:bottom w:w="28" w:type="dxa"/>
            </w:tcMar>
          </w:tcPr>
          <w:p>
            <w:pPr>
              <w:pStyle w:val="TableContents"/>
              <w:bidi w:val="0"/>
              <w:spacing w:before="0" w:after="283"/>
              <w:jc w:val="left"/>
              <w:rPr/>
            </w:pPr>
            <w:r>
              <w:rPr/>
              <w:t>/s/ Dr. Sierk Poetting</w:t>
            </w:r>
          </w:p>
        </w:tc>
      </w:tr>
      <w:tr>
        <w:trPr/>
        <w:tc>
          <w:tcPr>
            <w:tcW w:w="31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77" w:type="dxa"/>
            <w:tcBorders/>
            <w:vAlign w:val="bottom"/>
          </w:tcPr>
          <w:p>
            <w:pPr>
              <w:pStyle w:val="TableContents"/>
              <w:bidi w:val="0"/>
              <w:spacing w:before="0" w:after="283"/>
              <w:jc w:val="left"/>
              <w:rPr/>
            </w:pPr>
            <w:r>
              <w:rPr/>
              <w:t>Name: Prof. Dr. Ugur Sahin</w:t>
            </w:r>
          </w:p>
        </w:tc>
        <w:tc>
          <w:tcPr>
            <w:tcW w:w="102"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2" w:type="dxa"/>
            <w:tcBorders/>
            <w:vAlign w:val="bottom"/>
          </w:tcPr>
          <w:p>
            <w:pPr>
              <w:pStyle w:val="TableContents"/>
              <w:bidi w:val="0"/>
              <w:spacing w:before="0" w:after="283"/>
              <w:jc w:val="left"/>
              <w:rPr/>
            </w:pPr>
            <w:r>
              <w:rPr/>
              <w:t>Name: Dr. Sierk Poetting</w:t>
            </w:r>
          </w:p>
        </w:tc>
      </w:tr>
      <w:tr>
        <w:trPr/>
        <w:tc>
          <w:tcPr>
            <w:tcW w:w="31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77" w:type="dxa"/>
            <w:tcBorders/>
            <w:vAlign w:val="bottom"/>
          </w:tcPr>
          <w:p>
            <w:pPr>
              <w:pStyle w:val="TableContents"/>
              <w:bidi w:val="0"/>
              <w:spacing w:before="0" w:after="283"/>
              <w:jc w:val="left"/>
              <w:rPr/>
            </w:pPr>
            <w:r>
              <w:rPr/>
              <w:t>Title: Chief Executive Officer</w:t>
            </w:r>
          </w:p>
        </w:tc>
        <w:tc>
          <w:tcPr>
            <w:tcW w:w="102"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2" w:type="dxa"/>
            <w:tcBorders/>
            <w:vAlign w:val="bottom"/>
          </w:tcPr>
          <w:p>
            <w:pPr>
              <w:pStyle w:val="TableContents"/>
              <w:bidi w:val="0"/>
              <w:spacing w:before="0" w:after="283"/>
              <w:jc w:val="left"/>
              <w:rPr/>
            </w:pPr>
            <w:r>
              <w:rPr/>
              <w:t>Title: 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12,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
        <w:gridCol w:w="433"/>
        <w:gridCol w:w="9204"/>
      </w:tblGrid>
      <w:tr>
        <w:trPr/>
        <w:tc>
          <w:tcPr>
            <w:tcW w:w="568"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9204" w:type="dxa"/>
            <w:tcBorders/>
            <w:vAlign w:val="center"/>
          </w:tcPr>
          <w:p>
            <w:pPr>
              <w:pStyle w:val="TableContents"/>
              <w:bidi w:val="0"/>
              <w:spacing w:before="0" w:after="283"/>
              <w:jc w:val="left"/>
              <w:rPr>
                <w:sz w:val="4"/>
                <w:szCs w:val="4"/>
              </w:rPr>
            </w:pPr>
            <w:r>
              <w:rPr>
                <w:sz w:val="4"/>
                <w:szCs w:val="4"/>
              </w:rPr>
            </w:r>
          </w:p>
        </w:tc>
      </w:tr>
      <w:tr>
        <w:trPr/>
        <w:tc>
          <w:tcPr>
            <w:tcW w:w="5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433" w:type="dxa"/>
            <w:tcBorders/>
            <w:vAlign w:val="bottom"/>
          </w:tcPr>
          <w:p>
            <w:pPr>
              <w:pStyle w:val="TableContents"/>
              <w:bidi w:val="0"/>
              <w:spacing w:before="0" w:after="283"/>
              <w:jc w:val="left"/>
              <w:rPr/>
            </w:pPr>
            <w:r>
              <w:rPr/>
              <w:t>  </w:t>
            </w:r>
          </w:p>
        </w:tc>
        <w:tc>
          <w:tcPr>
            <w:tcW w:w="9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99.1</w:t>
            </w:r>
          </w:p>
        </w:tc>
        <w:tc>
          <w:tcPr>
            <w:tcW w:w="433" w:type="dxa"/>
            <w:tcBorders/>
            <w:vAlign w:val="bottom"/>
          </w:tcPr>
          <w:p>
            <w:pPr>
              <w:pStyle w:val="TableContents"/>
              <w:bidi w:val="0"/>
              <w:spacing w:before="0" w:after="283"/>
              <w:jc w:val="left"/>
              <w:rPr/>
            </w:pPr>
            <w:r>
              <w:rPr/>
              <w:t>  </w:t>
            </w:r>
          </w:p>
        </w:tc>
        <w:tc>
          <w:tcPr>
            <w:tcW w:w="9204" w:type="dxa"/>
            <w:tcBorders/>
          </w:tcPr>
          <w:p>
            <w:pPr>
              <w:pStyle w:val="TableContents"/>
              <w:bidi w:val="0"/>
              <w:spacing w:before="0" w:after="283"/>
              <w:jc w:val="left"/>
              <w:rPr/>
            </w:pPr>
            <w:hyperlink w:anchor="d40967dex991.htm">
              <w:r>
                <w:rPr>
                  <w:rStyle w:val="InternetLink"/>
                </w:rPr>
                <w:t xml:space="preserve">BioNTech Announces Strategic Transaction to Acquire CureVac in Public Exchange Offer </w:t>
              </w:r>
            </w:hyperlink>
          </w:p>
        </w:tc>
      </w:tr>
    </w:tbl>
    <w:p>
      <w:pPr>
        <w:pStyle w:val="TextBody"/>
        <w:bidi w:val="0"/>
        <w:spacing w:before="0" w:after="0"/>
        <w:jc w:val="right"/>
        <w:rPr>
          <w:rFonts w:ascii="Times New Roman" w:hAnsi="Times New Roman"/>
          <w:b/>
          <w:sz w:val="20"/>
        </w:rPr>
      </w:pPr>
      <w:bookmarkStart w:id="2" w:name="d40967dex991.htm"/>
      <w:bookmarkStart w:id="3" w:name="ksd4096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6"/>
        <w:gridCol w:w="1421"/>
        <w:gridCol w:w="2467"/>
        <w:gridCol w:w="151"/>
        <w:gridCol w:w="3600"/>
      </w:tblGrid>
      <w:tr>
        <w:trPr/>
        <w:tc>
          <w:tcPr>
            <w:tcW w:w="2566" w:type="dxa"/>
            <w:tcBorders/>
            <w:vAlign w:val="center"/>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vAlign w:val="bottom"/>
          </w:tcPr>
          <w:p>
            <w:pPr>
              <w:pStyle w:val="TableContents"/>
              <w:bidi w:val="0"/>
              <w:spacing w:before="0" w:after="283"/>
              <w:jc w:val="left"/>
              <w:rPr/>
            </w:pPr>
            <w:r>
              <w:rPr/>
              <w:drawing>
                <wp:inline distT="0" distB="0" distL="0" distR="0">
                  <wp:extent cx="2696845" cy="4362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6845" cy="436245"/>
                          </a:xfrm>
                          <a:prstGeom prst="rect">
                            <a:avLst/>
                          </a:prstGeom>
                        </pic:spPr>
                      </pic:pic>
                    </a:graphicData>
                  </a:graphic>
                </wp:inline>
              </w:drawing>
            </w:r>
            <w:r>
              <w:rPr/>
              <w:t xml:space="preserve"> </w:t>
            </w:r>
          </w:p>
        </w:tc>
        <w:tc>
          <w:tcPr>
            <w:tcW w:w="151" w:type="dxa"/>
            <w:tcBorders/>
            <w:vAlign w:val="bottom"/>
          </w:tcPr>
          <w:p>
            <w:pPr>
              <w:pStyle w:val="TableContents"/>
              <w:bidi w:val="0"/>
              <w:spacing w:before="0" w:after="283"/>
              <w:jc w:val="left"/>
              <w:rPr/>
            </w:pPr>
            <w:r>
              <w:rPr/>
              <w:t>  </w:t>
            </w:r>
          </w:p>
        </w:tc>
        <w:tc>
          <w:tcPr>
            <w:tcW w:w="3600" w:type="dxa"/>
            <w:tcBorders/>
          </w:tcPr>
          <w:p>
            <w:pPr>
              <w:pStyle w:val="TableContents"/>
              <w:bidi w:val="0"/>
              <w:spacing w:before="0" w:after="283"/>
              <w:jc w:val="right"/>
              <w:rPr/>
            </w:pPr>
            <w:r>
              <w:rPr/>
              <w:drawing>
                <wp:inline distT="0" distB="0" distL="0" distR="0">
                  <wp:extent cx="1652905" cy="727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2905" cy="7270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BioNTech Announces Strategic Transaction to Acquire CureVac in Public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Acquisition will strengthen the research, development, manufacturing and commercialization of mRNA-based cancer immunotherapy candidates, marking BioNTechs next key milestone in the execution of its oncology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Acquisition of CureVac will complement BioNTechs capabilities and proprietary technologies in mRNA design, delivery formulations, and mRNA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Public exchange offer for all shares of CureVac where each share of CureVac will be exchanged for approx. $5.46 in BioNTech American Depositary Shares (ADSs), representing a premium of 55% to CureVacs three-month volume weighted average price of approx. $3.53 as of June</w:t>
            </w:r>
            <w:r>
              <w:rPr>
                <w:rFonts w:ascii="Times New Roman" w:hAnsi="Times New Roman"/>
                <w:sz w:val="20"/>
              </w:rPr>
              <w:t> </w:t>
            </w:r>
            <w:r>
              <w:rPr>
                <w:rFonts w:ascii="Times New Roman" w:hAnsi="Times New Roman"/>
                <w:i/>
                <w:sz w:val="20"/>
              </w:rPr>
              <w:t>11, 2025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All-stock acquisition has potential to create long-term value for both companies shareholders given their complementary capabilities, focus on mRNA innovation, and shared vision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Transaction is supported by CureVacs major shareholder dievini Hopp BioTech holding GmbH</w:t>
            </w:r>
            <w:r>
              <w:rPr>
                <w:rFonts w:ascii="Times New Roman" w:hAnsi="Times New Roman"/>
                <w:sz w:val="20"/>
              </w:rPr>
              <w:t> </w:t>
            </w:r>
            <w:r>
              <w:rPr>
                <w:rFonts w:ascii="Times New Roman" w:hAnsi="Times New Roman"/>
                <w:i/>
                <w:sz w:val="20"/>
              </w:rPr>
              <w:t>&amp; Co. KG and certain of its affiliates and expected to close in 2025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MAINZ and TÜBINGEN, Germany, June</w:t>
      </w:r>
      <w:r>
        <w:rPr>
          <w:rFonts w:ascii="Times New Roman" w:hAnsi="Times New Roman"/>
          <w:sz w:val="20"/>
        </w:rPr>
        <w:t> </w:t>
      </w:r>
      <w:r>
        <w:rPr>
          <w:rFonts w:ascii="Times New Roman" w:hAnsi="Times New Roman"/>
          <w:b/>
          <w:sz w:val="20"/>
        </w:rPr>
        <w:t>12, 2025 (GLOBE NEWSWIRE)</w:t>
      </w:r>
      <w:r>
        <w:rPr>
          <w:rFonts w:ascii="Times New Roman" w:hAnsi="Times New Roman"/>
          <w:sz w:val="20"/>
        </w:rPr>
        <w:t>  </w:t>
      </w:r>
      <w:r>
        <w:rPr>
          <w:rFonts w:ascii="Times New Roman" w:hAnsi="Times New Roman"/>
          <w:sz w:val="20"/>
          <w:u w:val="single"/>
        </w:rPr>
        <w:t>BioNTech SE</w:t>
      </w:r>
      <w:r>
        <w:rPr>
          <w:rFonts w:ascii="Times New Roman" w:hAnsi="Times New Roman"/>
          <w:sz w:val="20"/>
        </w:rPr>
        <w:t xml:space="preserve"> (Nasdaq: BNTX, BioNTech) and </w:t>
      </w:r>
      <w:r>
        <w:rPr>
          <w:rFonts w:ascii="Times New Roman" w:hAnsi="Times New Roman"/>
          <w:sz w:val="20"/>
          <w:u w:val="single"/>
        </w:rPr>
        <w:t>CureVac N.V.</w:t>
      </w:r>
      <w:r>
        <w:rPr>
          <w:rFonts w:ascii="Times New Roman" w:hAnsi="Times New Roman"/>
          <w:sz w:val="20"/>
        </w:rPr>
        <w:t xml:space="preserve"> (Nasdaq: CVAC, CureVac) today announced that they have entered into a definitive Purchase Agreement pursuant to which BioNTech intends to acquire all of the shares of CureVac, a clinical-stage biotech company developing a novel class of transformative medicines in oncology and infectious diseases based on messenger ribonucleic acid (mRNA). The all-stock transaction will bring together two highly complementary companies based in Germany and will build on BioNTechs proven track record and established position in the global mRNA industry. </w:t>
      </w:r>
    </w:p>
    <w:p>
      <w:pPr>
        <w:pStyle w:val="TextBody"/>
        <w:bidi w:val="0"/>
        <w:spacing w:before="240" w:after="0"/>
        <w:jc w:val="left"/>
        <w:rPr>
          <w:rFonts w:ascii="Times New Roman" w:hAnsi="Times New Roman"/>
          <w:sz w:val="20"/>
        </w:rPr>
      </w:pPr>
      <w:r>
        <w:rPr>
          <w:rFonts w:ascii="Times New Roman" w:hAnsi="Times New Roman"/>
          <w:sz w:val="20"/>
        </w:rPr>
        <w:t xml:space="preserve">With the acquisition, BioNTech aims to strengthen the research, development, manufacturing, and commercialization of investigational mRNA-based cancer immunotherapy. The strategic transaction will complement BioNTechs capabilities and proprietary technologies in mRNA design, delivery formulations, and mRNA manufacturing. For BioNTech, this transaction marks the next milestone in the execution of its oncology strategy which focuses on two pan-tumor programs, mRNA-based cancer immunotherapy candidates, and BNT327, a PD-L1xVEGF-A bispecific antibody candidate.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Purchase Agreement, each CureVac share will be exchanged for approx. $5.46 in BioNTech ADSs, resulting in an implied aggregate equity value for CureVac of approx. $1.25 billion (subject to the adjustments described below). The consideration is subject to a collar mechanism, such that if the 10-day volume weighted average price of the BioNTech ADSs ending on the fifth business day prior to the closing of the offer (VWAP) exceeds $126.55, the exchange ratio would be 0.04318, and if the VWAP is lower than $84.37, the exchange ratio would be 0.06476. Upon closing of the transaction, CureVac shareholders are expected to own between 4% and 6% of BioNTech.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is another building block in BioNTechs oncology strategy and an investment in the future of cancer medicine, said </w:t>
      </w:r>
      <w:r>
        <w:rPr>
          <w:rFonts w:ascii="Times New Roman" w:hAnsi="Times New Roman"/>
          <w:b/>
          <w:sz w:val="20"/>
        </w:rPr>
        <w:t>Prof. Ugur Sahin, M.D., CEO and Co-Founder of BioNTech</w:t>
      </w:r>
      <w:r>
        <w:rPr>
          <w:rFonts w:ascii="Times New Roman" w:hAnsi="Times New Roman"/>
          <w:sz w:val="20"/>
        </w:rPr>
        <w:t xml:space="preserve">. We intend to bring together complementary capabilities and leverage technologies with the goal of advancing the development of innovative and transformative cancer treatments and establishing new standards of care for various types of cancer in the coming years.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me, this transaction is more than a business decision, it represents a shared commitment to leverage the full potential of mRNA as a disruptive technology to develop transformative therapies with greater scale and speed, said </w:t>
      </w:r>
      <w:r>
        <w:rPr>
          <w:rFonts w:ascii="Times New Roman" w:hAnsi="Times New Roman"/>
          <w:b/>
          <w:sz w:val="20"/>
        </w:rPr>
        <w:t>Dr.</w:t>
      </w:r>
      <w:r>
        <w:rPr>
          <w:rFonts w:ascii="Times New Roman" w:hAnsi="Times New Roman"/>
          <w:sz w:val="20"/>
        </w:rPr>
        <w:t> </w:t>
      </w:r>
      <w:r>
        <w:rPr>
          <w:rFonts w:ascii="Times New Roman" w:hAnsi="Times New Roman"/>
          <w:b/>
          <w:sz w:val="20"/>
        </w:rPr>
        <w:t>Alexander Zehnder, CEO of CureVac</w:t>
      </w:r>
      <w:r>
        <w:rPr>
          <w:rFonts w:ascii="Times New Roman" w:hAnsi="Times New Roman"/>
          <w:sz w:val="20"/>
        </w:rPr>
        <w:t xml:space="preserve">. For more than two decades, both companies have operated with related ambitions, often tackling challenges from different angles. This transaction aims at combining complementary scientific capabilities, proprietary technologies, and manufacturing expertise in the mRNA field under one roof. </w:t>
      </w:r>
    </w:p>
    <w:p>
      <w:pPr>
        <w:pStyle w:val="TextBody"/>
        <w:bidi w:val="0"/>
        <w:spacing w:before="240" w:after="0"/>
        <w:jc w:val="left"/>
        <w:rPr>
          <w:rFonts w:ascii="Times New Roman" w:hAnsi="Times New Roman"/>
          <w:sz w:val="20"/>
        </w:rPr>
      </w:pPr>
      <w:r>
        <w:rPr>
          <w:rFonts w:ascii="Times New Roman" w:hAnsi="Times New Roman"/>
          <w:sz w:val="20"/>
        </w:rPr>
        <w:t xml:space="preserve">BioNTech will start preparing an integration plan in alignment with BioNTechs ongoing group-wide transformation. Following the closing of the transaction, CureVacs operating subsidiary will become a wholly owned subsidiary of BioNTech. As part of this plan, BioNTech will integrate CureVacs state-of-the-art research and manufacturing site in Tübingen. </w:t>
      </w:r>
    </w:p>
    <w:p>
      <w:pPr>
        <w:pStyle w:val="TextBody"/>
        <w:bidi w:val="0"/>
        <w:spacing w:before="240" w:after="0"/>
        <w:jc w:val="left"/>
        <w:rPr>
          <w:rFonts w:ascii="Times New Roman" w:hAnsi="Times New Roman"/>
          <w:sz w:val="20"/>
        </w:rPr>
      </w:pPr>
      <w:r>
        <w:rPr>
          <w:rFonts w:ascii="Times New Roman" w:hAnsi="Times New Roman"/>
          <w:sz w:val="20"/>
        </w:rPr>
        <w:t xml:space="preserve">BioNTechs all-stock acquisition of CureVac is expected to create long-term value for shareholders of both companies, building on BioNTechs proven track record in mRNA research, development, manufacturing, and commercialization, in particular the COVID-19 vaccine, which was developed in collaboration with Pfizer Inc. and marked the first approved mRNA product in the history of medicine. Based on BioNTechs strong financial position with 15.9 billion in cash, cash equivalents and security investments as of </w:t>
      </w:r>
      <w:r>
        <w:rPr>
          <w:rFonts w:ascii="Times New Roman" w:hAnsi="Times New Roman"/>
          <w:sz w:val="20"/>
          <w:u w:val="single"/>
        </w:rPr>
        <w:t>March 31, 2025</w:t>
      </w:r>
      <w:r>
        <w:rPr>
          <w:rFonts w:ascii="Times New Roman" w:hAnsi="Times New Roman"/>
          <w:sz w:val="20"/>
        </w:rPr>
        <w:t xml:space="preserve">, its global presence, late-stage clinical pipeline, and sustained investment in mRNA research across a broad range of solid tumor types, the acquisition positions the company to accelerate and broaden the development of mRNA-based medicines for patients in need.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exchange offer BioNTech and CureVac will effectuate a corporate reorganization of CureVac and its subsidiaries, resulting in BioNTech owning 100% of CureVacs business and interests in CureVac and its subsidiaries. As part of this corporate reorganization, CureVac shareholders who do not tender their shares in the exchange offer will receive the same consideration received for each CureVac share tendered in the exchange offer (without interest and subject to applicable withholding taxes). An extraordinary general meeting of CureVacs shareholders will be convened in connection with the exchange offer to adopt, among other things, certain resolutions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was unanimously approved by both BioNTechs and CureVacs management and supervisory boards. The transaction, which is expected to close in 2025, is subject to the satisfaction of customary closing conditions, including a minimum acceptance threshold of at least 80% of CureVacs shares (which threshold may be reduced to 75% unilaterally by BioNTech under certain circumstances) and required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Certain shareholders of CureVac representing 36.76% of CureVacs shares, including dievini Hopp BioTech holding GmbH &amp; Co. KG and certain of its affiliates and all members of CureVacs management and supervisory boards, have entered into tender and support agreements, pursuant to which they have agreed, among other things, and subject to the terms and conditions of such agreements, to tender their shares in the exchange offer and to vote in favor of the resolutions relating to the transaction at the CureVac extraordinary general meeting to be held in connection with the transaction. In addition, the German Federal government has confirmed to generally have a positive view of the transaction. BioNTech therefore assumes that Kreditanstalt für Wiederaufbau  which holds 13.32% of the shares in CureVac on behalf of the Federal Republic of Germany  will support the transaction by tendering its shares in CureVac. As a result, BioNTech expects to have contractual commitments to support the transaction from shareholders of CureVac representing a total of 50.08% of CureVac shares towards the 80% minimum condition required under the exchange offer.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Covington &amp; Burling LLP, Hengeler Mueller Partnerschaft von Rechtsanwälten mbB and Loyens &amp; Loeff N.V. served as legal counsel to BioNTech. Skadden, Arps, Slate, Meagher &amp; Flom LLP and NautaDutilh N.V. served as legal counsel to CureVac. PJT Partners served as exclusive financial advisor to BioNTech. Goldman Sachs Bank Europe SE served as exclusive financial advisor to CureVac. </w:t>
      </w:r>
    </w:p>
    <w:p>
      <w:pPr>
        <w:pStyle w:val="TextBody"/>
        <w:bidi w:val="0"/>
        <w:spacing w:before="360" w:after="0"/>
        <w:jc w:val="left"/>
        <w:rPr>
          <w:rFonts w:ascii="Times New Roman" w:hAnsi="Times New Roman"/>
          <w:b/>
          <w:sz w:val="20"/>
        </w:rPr>
      </w:pPr>
      <w:r>
        <w:rPr>
          <w:rFonts w:ascii="Times New Roman" w:hAnsi="Times New Roman"/>
          <w:b/>
          <w:sz w:val="20"/>
        </w:rPr>
        <w:t xml:space="preserve">About BioNTech </w:t>
      </w:r>
    </w:p>
    <w:p>
      <w:pPr>
        <w:pStyle w:val="TextBody"/>
        <w:bidi w:val="0"/>
        <w:spacing w:before="120" w:after="0"/>
        <w:jc w:val="left"/>
        <w:rPr>
          <w:rFonts w:ascii="Times New Roman" w:hAnsi="Times New Roman"/>
          <w:sz w:val="20"/>
        </w:rPr>
      </w:pPr>
      <w:r>
        <w:rPr>
          <w:rFonts w:ascii="Times New Roman" w:hAnsi="Times New Roman"/>
          <w:sz w:val="20"/>
        </w:rPr>
        <w:t xml:space="preserve">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 </w:t>
      </w:r>
    </w:p>
    <w:p>
      <w:pPr>
        <w:pStyle w:val="TextBody"/>
        <w:bidi w:val="0"/>
        <w:spacing w:before="240" w:after="0"/>
        <w:jc w:val="left"/>
        <w:rPr>
          <w:rFonts w:ascii="Times New Roman" w:hAnsi="Times New Roman"/>
          <w:sz w:val="20"/>
        </w:rPr>
      </w:pPr>
      <w:r>
        <w:rPr>
          <w:rFonts w:ascii="Times New Roman" w:hAnsi="Times New Roman"/>
          <w:sz w:val="20"/>
        </w:rPr>
        <w:t>For more information, please visit </w:t>
      </w:r>
      <w:r>
        <w:rPr>
          <w:rFonts w:ascii="Times New Roman" w:hAnsi="Times New Roman"/>
          <w:sz w:val="20"/>
          <w:u w:val="single"/>
        </w:rPr>
        <w:t>www.BioNTech.com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CureVac </w:t>
      </w:r>
    </w:p>
    <w:p>
      <w:pPr>
        <w:pStyle w:val="TextBody"/>
        <w:bidi w:val="0"/>
        <w:spacing w:before="120" w:after="0"/>
        <w:jc w:val="left"/>
        <w:rPr>
          <w:rFonts w:ascii="Times New Roman" w:hAnsi="Times New Roman"/>
          <w:sz w:val="20"/>
        </w:rPr>
      </w:pPr>
      <w:r>
        <w:rPr>
          <w:rFonts w:ascii="Times New Roman" w:hAnsi="Times New Roman"/>
          <w:sz w:val="20"/>
        </w:rPr>
        <w:t xml:space="preserve">CureVac (Nasdaq: CVAC) is a pioneering multinational biotech company founded in 2000 to advance the field of messenger RNA (mRNA) technology for application in human medicine. CureVacs mRNA platform incorporates a series of novel technologies, designed to improve the efficacy, safety and cost-effectiveness of mRNA therapeutics aimed at resulting in enhanced immune responses at lower doses. Additionally, CureVac has developed LNPs, which have been optimized for indication specific use across infectious diseases and oncology. CureVac is leveraging mRNA technology, combined with advanced omics and computational tools, to design and develop off-the-shelf and personalized cancer vaccine product candidates. It also develops programs in prophylactic vaccines and in treatments that aim to enable the human body to produce its own therapeutic proteins. Headquartered in Tübingen, Germany, CureVac also operates sites in the Netherlands, Belgium, Switzerland, and the U.S. </w:t>
      </w:r>
    </w:p>
    <w:p>
      <w:pPr>
        <w:pStyle w:val="TextBody"/>
        <w:bidi w:val="0"/>
        <w:spacing w:before="240" w:after="0"/>
        <w:jc w:val="left"/>
        <w:rPr>
          <w:rFonts w:ascii="Times New Roman" w:hAnsi="Times New Roman"/>
          <w:sz w:val="20"/>
        </w:rPr>
      </w:pPr>
      <w:r>
        <w:rPr>
          <w:rFonts w:ascii="Times New Roman" w:hAnsi="Times New Roman"/>
          <w:sz w:val="20"/>
        </w:rPr>
        <w:t xml:space="preserve">Further information can be found at </w:t>
      </w:r>
      <w:r>
        <w:rPr>
          <w:rFonts w:ascii="Times New Roman" w:hAnsi="Times New Roman"/>
          <w:sz w:val="20"/>
          <w:u w:val="single"/>
        </w:rPr>
        <w:t>www.CureVac.com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p>
    <w:p>
      <w:pPr>
        <w:pStyle w:val="TextBody"/>
        <w:bidi w:val="0"/>
        <w:spacing w:before="240" w:after="0"/>
        <w:jc w:val="left"/>
        <w:rPr>
          <w:rFonts w:ascii="Times New Roman" w:hAnsi="Times New Roman"/>
          <w:sz w:val="20"/>
        </w:rPr>
      </w:pPr>
      <w:r>
        <w:rPr>
          <w:rFonts w:ascii="Times New Roman" w:hAnsi="Times New Roman"/>
          <w:sz w:val="20"/>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U.S. Securities and Exchange Commission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 </w:t>
      </w:r>
    </w:p>
    <w:p>
      <w:pPr>
        <w:pStyle w:val="TextBody"/>
        <w:bidi w:val="0"/>
        <w:spacing w:before="240" w:after="0"/>
        <w:jc w:val="left"/>
        <w:rPr>
          <w:rFonts w:ascii="Times New Roman" w:hAnsi="Times New Roman"/>
          <w:sz w:val="20"/>
        </w:rPr>
      </w:pPr>
      <w:r>
        <w:rPr>
          <w:rFonts w:ascii="Times New Roman" w:hAnsi="Times New Roman"/>
          <w:sz w:val="20"/>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w:t>
      </w:r>
      <w:r>
        <w:rPr>
          <w:rFonts w:ascii="Times New Roman" w:hAnsi="Times New Roman"/>
          <w:sz w:val="20"/>
          <w:u w:val="single"/>
        </w:rPr>
        <w:t>www.BioNTech.com</w:t>
      </w:r>
      <w:r>
        <w:rPr>
          <w:rFonts w:ascii="Times New Roman" w:hAnsi="Times New Roman"/>
          <w:sz w:val="20"/>
        </w:rPr>
        <w:t xml:space="preserve">).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BioNTech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sz w:val="20"/>
        </w:rPr>
      </w:pPr>
      <w:r>
        <w:rPr>
          <w:rFonts w:ascii="Times New Roman" w:hAnsi="Times New Roman"/>
          <w:sz w:val="20"/>
        </w:rPr>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w:t>
      </w:r>
      <w:r>
        <w:rPr>
          <w:rFonts w:ascii="Times New Roman" w:hAnsi="Times New Roman"/>
          <w:sz w:val="20"/>
          <w:u w:val="single"/>
        </w:rPr>
        <w:t>www.BioNTech.com</w:t>
      </w:r>
      <w:r>
        <w:rPr>
          <w:rFonts w:ascii="Times New Roman" w:hAnsi="Times New Roman"/>
          <w:sz w:val="20"/>
        </w:rPr>
        <w:t xml:space="preserve">).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 </w:t>
      </w:r>
    </w:p>
    <w:p>
      <w:pPr>
        <w:pStyle w:val="TextBody"/>
        <w:bidi w:val="0"/>
        <w:spacing w:before="240" w:after="0"/>
        <w:jc w:val="left"/>
        <w:rPr>
          <w:rFonts w:ascii="Times New Roman" w:hAnsi="Times New Roman"/>
          <w:sz w:val="20"/>
        </w:rPr>
      </w:pPr>
      <w:r>
        <w:rPr>
          <w:rFonts w:ascii="Times New Roman" w:hAnsi="Times New Roman"/>
          <w:sz w:val="20"/>
        </w:rPr>
        <w:t>Investors will be able to obtain free copies of the Registration Statement, exchange offer/prospectus, Schedule TO and Schedule 14D-9, as each may be amended from time to time, and other relevant documents filed by BioNTech and CureVac with the SEC (when they become available) at </w:t>
      </w:r>
      <w:r>
        <w:rPr>
          <w:rFonts w:ascii="Times New Roman" w:hAnsi="Times New Roman"/>
          <w:sz w:val="20"/>
          <w:u w:val="single"/>
        </w:rPr>
        <w:t>www.sec.gov</w:t>
      </w:r>
      <w:r>
        <w:rPr>
          <w:rFonts w:ascii="Times New Roman" w:hAnsi="Times New Roman"/>
          <w:sz w:val="20"/>
        </w:rPr>
        <w:t>, the SECs website, or free of charge from BioNTechs website (</w:t>
      </w:r>
      <w:r>
        <w:rPr>
          <w:rFonts w:ascii="Times New Roman" w:hAnsi="Times New Roman"/>
          <w:sz w:val="20"/>
          <w:u w:val="single"/>
        </w:rPr>
        <w:t>www.BioNTech.com</w:t>
      </w:r>
      <w:r>
        <w:rPr>
          <w:rFonts w:ascii="Times New Roman" w:hAnsi="Times New Roman"/>
          <w:sz w:val="20"/>
        </w:rPr>
        <w:t xml:space="preserve">) or by contacting BioNTechs Investor Relations Department at </w:t>
      </w:r>
      <w:r>
        <w:rPr>
          <w:rFonts w:ascii="Times New Roman" w:hAnsi="Times New Roman"/>
          <w:sz w:val="20"/>
          <w:u w:val="single"/>
        </w:rPr>
        <w:t>investors@biontech.de</w:t>
      </w:r>
      <w:r>
        <w:rPr>
          <w:rFonts w:ascii="Times New Roman" w:hAnsi="Times New Roman"/>
          <w:sz w:val="20"/>
        </w:rPr>
        <w:t>. These documents are also available free of charge from CureVacs website (</w:t>
      </w:r>
      <w:r>
        <w:rPr>
          <w:rFonts w:ascii="Times New Roman" w:hAnsi="Times New Roman"/>
          <w:sz w:val="20"/>
          <w:u w:val="single"/>
        </w:rPr>
        <w:t>www.curevac.com</w:t>
      </w:r>
      <w:r>
        <w:rPr>
          <w:rFonts w:ascii="Times New Roman" w:hAnsi="Times New Roman"/>
          <w:sz w:val="20"/>
        </w:rPr>
        <w:t xml:space="preserve">) or by contacting CureVacs Investor Relations Department at </w:t>
      </w:r>
      <w:r>
        <w:rPr>
          <w:rFonts w:ascii="Times New Roman" w:hAnsi="Times New Roman"/>
          <w:sz w:val="20"/>
          <w:u w:val="single"/>
        </w:rPr>
        <w:t>communications@curevac.com</w:t>
      </w:r>
      <w:r>
        <w:rPr>
          <w:rFonts w:ascii="Times New Roman" w:hAnsi="Times New Roman"/>
          <w:sz w:val="20"/>
        </w:rPr>
        <w:t>.</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BioNTech: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Douglas Maffei, PhD </w:t>
      </w:r>
    </w:p>
    <w:p>
      <w:pPr>
        <w:pStyle w:val="TextBody"/>
        <w:bidi w:val="0"/>
        <w:spacing w:before="0" w:after="0"/>
        <w:jc w:val="left"/>
        <w:rPr>
          <w:rFonts w:ascii="Times New Roman" w:hAnsi="Times New Roman"/>
          <w:sz w:val="20"/>
        </w:rPr>
      </w:pPr>
      <w:r>
        <w:rPr>
          <w:rFonts w:ascii="Times New Roman" w:hAnsi="Times New Roman"/>
          <w:sz w:val="20"/>
          <w:u w:val="single"/>
        </w:rPr>
        <w:t>Investors@BioNTech.de</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Jasmina Alatovic </w:t>
      </w:r>
    </w:p>
    <w:p>
      <w:pPr>
        <w:pStyle w:val="TextBody"/>
        <w:bidi w:val="0"/>
        <w:spacing w:before="0" w:after="0"/>
        <w:jc w:val="left"/>
        <w:rPr>
          <w:rFonts w:ascii="Times New Roman" w:hAnsi="Times New Roman"/>
          <w:sz w:val="20"/>
        </w:rPr>
      </w:pPr>
      <w:r>
        <w:rPr>
          <w:rFonts w:ascii="Times New Roman" w:hAnsi="Times New Roman"/>
          <w:sz w:val="20"/>
          <w:u w:val="single"/>
        </w:rPr>
        <w:t>Media@BioNTech.de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CureVac: </w:t>
      </w:r>
    </w:p>
    <w:p>
      <w:pPr>
        <w:pStyle w:val="TextBody"/>
        <w:bidi w:val="0"/>
        <w:spacing w:before="120" w:after="0"/>
        <w:jc w:val="left"/>
        <w:rPr>
          <w:rFonts w:ascii="Times New Roman" w:hAnsi="Times New Roman"/>
          <w:b/>
          <w:sz w:val="20"/>
        </w:rPr>
      </w:pPr>
      <w:r>
        <w:rPr>
          <w:rFonts w:ascii="Times New Roman" w:hAnsi="Times New Roman"/>
          <w:b/>
          <w:sz w:val="20"/>
        </w:rPr>
        <w:t xml:space="preserve">Media and Investor Relations </w:t>
      </w:r>
    </w:p>
    <w:p>
      <w:pPr>
        <w:pStyle w:val="TextBody"/>
        <w:bidi w:val="0"/>
        <w:spacing w:before="0" w:after="0"/>
        <w:jc w:val="left"/>
        <w:rPr>
          <w:rFonts w:ascii="Times New Roman" w:hAnsi="Times New Roman"/>
          <w:sz w:val="20"/>
        </w:rPr>
      </w:pPr>
      <w:r>
        <w:rPr>
          <w:rFonts w:ascii="Times New Roman" w:hAnsi="Times New Roman"/>
          <w:sz w:val="20"/>
          <w:u w:val="single"/>
        </w:rPr>
        <w:t>communications@CureVac.com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3399</Words>
  <Characters>18978</Characters>
  <CharactersWithSpaces>22255</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