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FOR THE MONTH OF MAY 2026</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On May 15, 2026, BioNTech SE held the Annual General Meeting (“AGM”) 2026. The press release and the AGM presentation are attached as Exhibits 99.1 and 99.2, respectively. The voting results are attached as Exhibit 99.3.</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BioNTech SE</w:t>
      </w:r>
    </w:p>
    <w:p>
      <w:pPr>
        <w:sectPr>
          <w:pgSz w:w="11900" w:h="16838" w:orient="portrait"/>
          <w:cols w:equalWidth="0" w:num="1">
            <w:col w:w="11100"/>
          </w:cols>
          <w:pgMar w:left="300" w:top="776" w:right="499" w:bottom="1440" w:gutter="0" w:footer="0" w:header="0"/>
        </w:sectPr>
      </w:pP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Ramón Zapata Gomez</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Ramón Zapata Gomez</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15, 2026</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ectPr>
          <w:pgSz w:w="11900" w:h="16838" w:orient="portrait"/>
          <w:cols w:equalWidth="0" w:num="2">
            <w:col w:w="5380" w:space="560"/>
            <w:col w:w="5160"/>
          </w:cols>
          <w:pgMar w:left="300" w:top="776" w:right="49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80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Description of Exhibit</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49"/>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800" w:type="dxa"/>
            <w:vAlign w:val="bottom"/>
          </w:tcPr>
          <w:p>
            <w:pPr>
              <w:spacing w:after="0"/>
              <w:rPr>
                <w:sz w:val="24"/>
                <w:szCs w:val="24"/>
                <w:color w:val="auto"/>
              </w:rPr>
            </w:pPr>
          </w:p>
        </w:tc>
        <w:tc>
          <w:tcPr>
            <w:tcW w:w="6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Press Release: BioNTech SE Shareholders Approve All Agenda Items at the Annual General Meeting 2026</w:t>
            </w:r>
          </w:p>
        </w:tc>
      </w:tr>
      <w:tr>
        <w:trPr>
          <w:trHeight w:val="196"/>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99.2</w:t>
            </w:r>
          </w:p>
        </w:tc>
        <w:tc>
          <w:tcPr>
            <w:tcW w:w="800" w:type="dxa"/>
            <w:vAlign w:val="bottom"/>
          </w:tcPr>
          <w:p>
            <w:pPr>
              <w:spacing w:after="0"/>
              <w:rPr>
                <w:sz w:val="17"/>
                <w:szCs w:val="17"/>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Annual General Meeting 2026</w:t>
            </w: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Presentation</w:t>
            </w:r>
          </w:p>
        </w:tc>
      </w:tr>
      <w:tr>
        <w:trPr>
          <w:trHeight w:val="20"/>
        </w:trPr>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99.3</w:t>
            </w:r>
          </w:p>
        </w:tc>
        <w:tc>
          <w:tcPr>
            <w:tcW w:w="800" w:type="dxa"/>
            <w:vAlign w:val="bottom"/>
          </w:tcPr>
          <w:p>
            <w:pPr>
              <w:spacing w:after="0"/>
              <w:rPr>
                <w:sz w:val="17"/>
                <w:szCs w:val="17"/>
                <w:color w:val="auto"/>
              </w:rPr>
            </w:pPr>
          </w:p>
        </w:tc>
        <w:tc>
          <w:tcPr>
            <w:tcW w:w="1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Annual General Meeting 2026</w:t>
            </w:r>
          </w:p>
        </w:tc>
        <w:tc>
          <w:tcPr>
            <w:tcW w:w="8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4"/>
                <w:szCs w:val="14"/>
                <w:color w:val="0000FF"/>
                <w:w w:val="97"/>
              </w:rPr>
              <w:t>Voting Results</w:t>
            </w:r>
          </w:p>
        </w:tc>
        <w:tc>
          <w:tcPr>
            <w:tcW w:w="3560" w:type="dxa"/>
            <w:vAlign w:val="bottom"/>
          </w:tcPr>
          <w:p>
            <w:pPr>
              <w:spacing w:after="0"/>
              <w:rPr>
                <w:sz w:val="17"/>
                <w:szCs w:val="17"/>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428750" cy="160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SE Shareholders Approve All Agenda Items at the Annual General Meeting 2026</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MAINZ, Germany, May 15, 2026 (GLOBE NEWSWIRE) </w:t>
      </w:r>
      <w:r>
        <w:rPr>
          <w:rFonts w:ascii="Arial" w:cs="Arial" w:eastAsia="Arial" w:hAnsi="Arial"/>
          <w:sz w:val="12"/>
          <w:szCs w:val="12"/>
          <w:color w:val="auto"/>
        </w:rPr>
        <w:t>-- BioNTech SE (Nasdaq: BNTX, “BioNTech” or “the Company”) held its Annual General Meeting (“AGM”) today. A total of 92 per cent of the share capital</w:t>
      </w:r>
      <w:r>
        <w:rPr>
          <w:rFonts w:ascii="Arial" w:cs="Arial" w:eastAsia="Arial" w:hAnsi="Arial"/>
          <w:sz w:val="12"/>
          <w:szCs w:val="12"/>
          <w:b w:val="1"/>
          <w:bCs w:val="1"/>
          <w:color w:val="auto"/>
        </w:rPr>
        <w:t xml:space="preserve"> </w:t>
      </w:r>
      <w:r>
        <w:rPr>
          <w:rFonts w:ascii="Arial" w:cs="Arial" w:eastAsia="Arial" w:hAnsi="Arial"/>
          <w:sz w:val="12"/>
          <w:szCs w:val="12"/>
          <w:color w:val="auto"/>
        </w:rPr>
        <w:t>was represented at the virtual assembly. All resolutions proposed on the agenda items put to the vote at today’s AGM were approved by a majority of the shareholders.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BioNTech is strengthening its focus on the Company’s growing late-stage oncology pipeline, while continuing its discovery and early research aimed at long-term innovation. Consequently, the Company's shareholders approved expanding the Supervisory Board from six to eight members and adding additional expertise: Prof. Iris Löw-Friedrich, M.D., Ph.D., and Susanne Schaffert, Ph.D., were elected as new members of the Supervisory Board.</w:t>
      </w:r>
    </w:p>
    <w:p>
      <w:pPr>
        <w:spacing w:after="0" w:line="136"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Iris Löw-Friedrich has many years of expertise in the field of clinical development and broad experience in the scientific and medical fields. She also possesses knowledge in the areas of sales and commercialization, management, innovation, and international markets relevant to the Company.</w:t>
      </w:r>
    </w:p>
    <w:p>
      <w:pPr>
        <w:spacing w:after="0"/>
        <w:rPr>
          <w:sz w:val="20"/>
          <w:szCs w:val="20"/>
          <w:color w:val="auto"/>
        </w:rPr>
      </w:pPr>
      <w:r>
        <w:rPr>
          <w:rFonts w:ascii="Arial" w:cs="Arial" w:eastAsia="Arial" w:hAnsi="Arial"/>
          <w:sz w:val="12"/>
          <w:szCs w:val="12"/>
          <w:color w:val="auto"/>
        </w:rPr>
        <w:t>She is an experienced Supervisory Board member and adjunct professor of internal medicine at the faculty of medicine at Goethe University in Frankfurt am Main, Germany.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Susanne Schaffert is a member of supervisory boards in the healthcare sector, including that of Merck KGaA. She possesses particular expertise in the field of oncology as well as in sales and commercialization with a focus on product launches. Her knowledge spans innovation, research and development, and organizational leadership and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Additionally, shareholders approved the extension of the mandates of BioNTech’s Supervisory Board members Helmut Jeggle, Prof. Anja Morawietz, Ph.D., and Prof. Rudolf Staudigl, Ph.D.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At a meeting held following the AGM, the Supervisory Board elected Helmut Jeggle as its Chairman.</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The voting results for all agenda items can be viewed on the Annual General Meeting 2026 website under the section ‘Voting Results’. The speeches by Chief Executive Officer Prof. Ugur Sahin, M.D., Chief Financial Officer Ramón Zapata and the slides presented at the AGM 2026 can be found in section ‘Speeches and Presentations’ under the same link.</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please visit www.BioNTech.com.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BioNTech Forward-Looking Statements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18" w:right="29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60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60020"/>
                    </a:xfrm>
                    <a:prstGeom prst="rect">
                      <a:avLst/>
                    </a:prstGeom>
                    <a:noFill/>
                  </pic:spPr>
                </pic:pic>
              </a:graphicData>
            </a:graphic>
          </wp:anchor>
        </w:drawing>
        <w:t>This press release contains forward-looking statements within the meaning of the Private Securities Litigation Reform Act of 1995, as amended, including, but not limited to, statements concerning the potential benefits of appointed Supervisory Board members.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You should review the risks and uncertainties described under the heading “Risk Factors” in BioNTech’s Report on Form 6-K for the period ended March 31,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Douglas Maffei, PhD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432" w:right="299" w:bottom="1440"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627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627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2026-05-15T15:37:43Z</dcterms:created>
  <dcterms:modified xsi:type="dcterms:W3CDTF">2026-05-15T15:37:43Z</dcterms:modified>
</cp:coreProperties>
</file>