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6"/>
          <w:szCs w:val="36"/>
          <w:b w:val="1"/>
          <w:bCs w:val="1"/>
          <w:color w:val="auto"/>
        </w:rPr>
        <w:t>UNITED STATES</w:t>
      </w:r>
    </w:p>
    <w:p>
      <w:pPr>
        <w:spacing w:after="0" w:line="57"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FORM 6-K</w:t>
      </w:r>
    </w:p>
    <w:p>
      <w:pPr>
        <w:spacing w:after="0" w:line="200" w:lineRule="exact"/>
        <w:rPr>
          <w:sz w:val="24"/>
          <w:szCs w:val="24"/>
          <w:color w:val="auto"/>
        </w:rPr>
      </w:pPr>
    </w:p>
    <w:p>
      <w:pPr>
        <w:spacing w:after="0" w:line="279" w:lineRule="exact"/>
        <w:rPr>
          <w:sz w:val="24"/>
          <w:szCs w:val="24"/>
          <w:color w:val="auto"/>
        </w:rPr>
      </w:pPr>
    </w:p>
    <w:p>
      <w:pPr>
        <w:jc w:val="center"/>
        <w:ind w:right="-39"/>
        <w:spacing w:after="0" w:line="230" w:lineRule="exact"/>
        <w:rPr>
          <w:sz w:val="20"/>
          <w:szCs w:val="20"/>
          <w:color w:val="auto"/>
        </w:rPr>
      </w:pPr>
      <w:r>
        <w:rPr>
          <w:rFonts w:ascii="Arial" w:cs="Arial" w:eastAsia="Arial" w:hAnsi="Arial"/>
          <w:sz w:val="20"/>
          <w:szCs w:val="20"/>
          <w:b w:val="1"/>
          <w:bCs w:val="1"/>
          <w:color w:val="auto"/>
        </w:rPr>
        <w:t>REPORT OF FOREIGN PRIVATE ISSUER PURSUANT TO RULE 13a</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16 OR 15d</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16</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FOR THE MONTH OF APRIL 2022</w:t>
      </w:r>
    </w:p>
    <w:p>
      <w:pPr>
        <w:spacing w:after="0" w:line="200" w:lineRule="exact"/>
        <w:rPr>
          <w:sz w:val="24"/>
          <w:szCs w:val="24"/>
          <w:color w:val="auto"/>
        </w:rPr>
      </w:pPr>
    </w:p>
    <w:p>
      <w:pPr>
        <w:spacing w:after="0" w:line="259"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COMMISSION FILE NUMBER 001-39081</w:t>
      </w: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BioNTech SE</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333333"/>
        </w:rPr>
        <w:t>(Translation of registrant’s name into English)</w:t>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An der Goldgrube 12</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D-55131 Mainz</w:t>
      </w:r>
    </w:p>
    <w:p>
      <w:pPr>
        <w:jc w:val="center"/>
        <w:ind w:right="-39"/>
        <w:spacing w:after="0"/>
        <w:rPr>
          <w:sz w:val="20"/>
          <w:szCs w:val="20"/>
          <w:color w:val="auto"/>
        </w:rPr>
      </w:pPr>
      <w:r>
        <w:rPr>
          <w:rFonts w:ascii="Arial" w:cs="Arial" w:eastAsia="Arial" w:hAnsi="Arial"/>
          <w:sz w:val="20"/>
          <w:szCs w:val="20"/>
          <w:b w:val="1"/>
          <w:bCs w:val="1"/>
          <w:color w:val="auto"/>
        </w:rPr>
        <w:t>Germany</w:t>
      </w:r>
    </w:p>
    <w:p>
      <w:pPr>
        <w:jc w:val="center"/>
        <w:ind w:right="-39"/>
        <w:spacing w:after="0"/>
        <w:rPr>
          <w:sz w:val="20"/>
          <w:szCs w:val="20"/>
          <w:color w:val="auto"/>
        </w:rPr>
      </w:pPr>
      <w:r>
        <w:rPr>
          <w:rFonts w:ascii="Arial" w:cs="Arial" w:eastAsia="Arial" w:hAnsi="Arial"/>
          <w:sz w:val="20"/>
          <w:szCs w:val="20"/>
          <w:b w:val="1"/>
          <w:bCs w:val="1"/>
          <w:color w:val="auto"/>
        </w:rPr>
        <w:t>+49 6131-9084-0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333333"/>
        </w:rPr>
        <w:t>(Address of principal executive offices)</w:t>
      </w:r>
    </w:p>
    <w:p>
      <w:pPr>
        <w:spacing w:after="0" w:line="200" w:lineRule="exact"/>
        <w:rPr>
          <w:sz w:val="24"/>
          <w:szCs w:val="24"/>
          <w:color w:val="auto"/>
        </w:rPr>
      </w:pPr>
    </w:p>
    <w:p>
      <w:pPr>
        <w:spacing w:after="0" w:line="218" w:lineRule="exact"/>
        <w:rPr>
          <w:sz w:val="24"/>
          <w:szCs w:val="24"/>
          <w:color w:val="auto"/>
        </w:rPr>
      </w:pPr>
    </w:p>
    <w:p>
      <w:pPr>
        <w:spacing w:after="0" w:line="298" w:lineRule="exact"/>
        <w:rPr>
          <w:sz w:val="20"/>
          <w:szCs w:val="20"/>
          <w:color w:val="auto"/>
        </w:rPr>
      </w:pPr>
      <w:r>
        <w:rPr>
          <w:rFonts w:ascii="Arial" w:cs="Arial" w:eastAsia="Arial" w:hAnsi="Arial"/>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Arial" w:cs="Arial" w:eastAsia="Arial" w:hAnsi="Arial"/>
          <w:sz w:val="22"/>
          <w:szCs w:val="22"/>
          <w:color w:val="auto"/>
        </w:rPr>
        <w:t>F or Form 40</w:t>
      </w:r>
      <w:r>
        <w:rPr>
          <w:rFonts w:ascii="MS PGothic" w:cs="MS PGothic" w:eastAsia="MS PGothic" w:hAnsi="MS PGothic"/>
          <w:sz w:val="22"/>
          <w:szCs w:val="22"/>
          <w:color w:val="auto"/>
        </w:rPr>
        <w:t>‑</w:t>
      </w:r>
      <w:r>
        <w:rPr>
          <w:rFonts w:ascii="Arial" w:cs="Arial" w:eastAsia="Arial" w:hAnsi="Arial"/>
          <w:sz w:val="22"/>
          <w:szCs w:val="22"/>
          <w:color w:val="auto"/>
        </w:rPr>
        <w:t>F: Form 20</w:t>
      </w:r>
      <w:r>
        <w:rPr>
          <w:rFonts w:ascii="MS PGothic" w:cs="MS PGothic" w:eastAsia="MS PGothic" w:hAnsi="MS PGothic"/>
          <w:sz w:val="22"/>
          <w:szCs w:val="22"/>
          <w:color w:val="auto"/>
        </w:rPr>
        <w:t>‑</w:t>
      </w:r>
      <w:r>
        <w:rPr>
          <w:rFonts w:ascii="Arial" w:cs="Arial" w:eastAsia="Arial" w:hAnsi="Arial"/>
          <w:sz w:val="22"/>
          <w:szCs w:val="22"/>
          <w:color w:val="auto"/>
        </w:rPr>
        <w:t xml:space="preserve">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w:t>
      </w:r>
      <w:r>
        <w:rPr>
          <w:rFonts w:ascii="MS PGothic" w:cs="MS PGothic" w:eastAsia="MS PGothic" w:hAnsi="MS PGothic"/>
          <w:sz w:val="22"/>
          <w:szCs w:val="22"/>
          <w:color w:val="auto"/>
        </w:rPr>
        <w:t>‑</w:t>
      </w:r>
      <w:r>
        <w:rPr>
          <w:rFonts w:ascii="Arial" w:cs="Arial" w:eastAsia="Arial" w:hAnsi="Arial"/>
          <w:sz w:val="22"/>
          <w:szCs w:val="22"/>
          <w:color w:val="auto"/>
        </w:rPr>
        <w:t xml:space="preserve">F </w:t>
      </w:r>
      <w:r>
        <w:rPr>
          <w:rFonts w:ascii="MS PGothic" w:cs="MS PGothic" w:eastAsia="MS PGothic" w:hAnsi="MS PGothic"/>
          <w:sz w:val="22"/>
          <w:szCs w:val="22"/>
          <w:color w:val="auto"/>
        </w:rPr>
        <w:t>☐</w:t>
      </w:r>
    </w:p>
    <w:p>
      <w:pPr>
        <w:spacing w:after="0" w:line="135"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Indicate by check mark if the registrant is submitting the Form 6</w:t>
      </w:r>
      <w:r>
        <w:rPr>
          <w:rFonts w:ascii="MS PGothic" w:cs="MS PGothic" w:eastAsia="MS PGothic" w:hAnsi="MS PGothic"/>
          <w:sz w:val="19"/>
          <w:szCs w:val="19"/>
          <w:color w:val="auto"/>
        </w:rPr>
        <w:t>‑</w:t>
      </w:r>
      <w:r>
        <w:rPr>
          <w:rFonts w:ascii="Arial" w:cs="Arial" w:eastAsia="Arial" w:hAnsi="Arial"/>
          <w:sz w:val="19"/>
          <w:szCs w:val="19"/>
          <w:color w:val="auto"/>
        </w:rPr>
        <w:t>K in paper as permitted by Regulation S</w:t>
      </w:r>
      <w:r>
        <w:rPr>
          <w:rFonts w:ascii="MS PGothic" w:cs="MS PGothic" w:eastAsia="MS PGothic" w:hAnsi="MS PGothic"/>
          <w:sz w:val="19"/>
          <w:szCs w:val="19"/>
          <w:color w:val="auto"/>
        </w:rPr>
        <w:t>‑</w:t>
      </w:r>
      <w:r>
        <w:rPr>
          <w:rFonts w:ascii="Arial" w:cs="Arial" w:eastAsia="Arial" w:hAnsi="Arial"/>
          <w:sz w:val="19"/>
          <w:szCs w:val="19"/>
          <w:color w:val="auto"/>
        </w:rPr>
        <w:t xml:space="preserve">T Rule 101(b)(1): </w:t>
      </w:r>
      <w:r>
        <w:rPr>
          <w:rFonts w:ascii="MS PGothic" w:cs="MS PGothic" w:eastAsia="MS PGothic" w:hAnsi="MS PGothic"/>
          <w:sz w:val="19"/>
          <w:szCs w:val="19"/>
          <w:color w:val="auto"/>
        </w:rPr>
        <w:t>☐</w:t>
      </w:r>
    </w:p>
    <w:p>
      <w:pPr>
        <w:spacing w:after="0" w:line="254"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Indicate by check mark if the registrant is submitting the Form 6</w:t>
      </w:r>
      <w:r>
        <w:rPr>
          <w:rFonts w:ascii="MS PGothic" w:cs="MS PGothic" w:eastAsia="MS PGothic" w:hAnsi="MS PGothic"/>
          <w:sz w:val="19"/>
          <w:szCs w:val="19"/>
          <w:color w:val="auto"/>
        </w:rPr>
        <w:t>‑</w:t>
      </w:r>
      <w:r>
        <w:rPr>
          <w:rFonts w:ascii="Arial" w:cs="Arial" w:eastAsia="Arial" w:hAnsi="Arial"/>
          <w:sz w:val="19"/>
          <w:szCs w:val="19"/>
          <w:color w:val="auto"/>
        </w:rPr>
        <w:t>K in paper as permitted by Regulation S</w:t>
      </w:r>
      <w:r>
        <w:rPr>
          <w:rFonts w:ascii="MS PGothic" w:cs="MS PGothic" w:eastAsia="MS PGothic" w:hAnsi="MS PGothic"/>
          <w:sz w:val="19"/>
          <w:szCs w:val="19"/>
          <w:color w:val="auto"/>
        </w:rPr>
        <w:t>‑</w:t>
      </w:r>
      <w:r>
        <w:rPr>
          <w:rFonts w:ascii="Arial" w:cs="Arial" w:eastAsia="Arial" w:hAnsi="Arial"/>
          <w:sz w:val="19"/>
          <w:szCs w:val="19"/>
          <w:color w:val="auto"/>
        </w:rPr>
        <w:t xml:space="preserve">T Rule 101(b)(7): </w:t>
      </w:r>
      <w:r>
        <w:rPr>
          <w:rFonts w:ascii="MS PGothic" w:cs="MS PGothic" w:eastAsia="MS PGothic" w:hAnsi="MS PGothic"/>
          <w:sz w:val="19"/>
          <w:szCs w:val="19"/>
          <w:color w:val="auto"/>
        </w:rPr>
        <w:t>☐</w:t>
      </w:r>
    </w:p>
    <w:p>
      <w:pPr>
        <w:sectPr>
          <w:pgSz w:w="11900" w:h="16838" w:orient="portrait"/>
          <w:cols w:equalWidth="0" w:num="1">
            <w:col w:w="11220"/>
          </w:cols>
          <w:pgMar w:left="320" w:top="1437" w:right="359" w:bottom="1440" w:gutter="0" w:footer="0" w:header="0"/>
        </w:sectPr>
      </w:pPr>
    </w:p>
    <w:bookmarkStart w:id="1" w:name="page2"/>
    <w:bookmarkEnd w:id="1"/>
    <w:p>
      <w:pPr>
        <w:ind w:left="2820"/>
        <w:spacing w:after="0"/>
        <w:rPr>
          <w:sz w:val="20"/>
          <w:szCs w:val="20"/>
          <w:color w:val="auto"/>
        </w:rPr>
      </w:pPr>
      <w:r>
        <w:rPr>
          <w:rFonts w:ascii="Arial" w:cs="Arial" w:eastAsia="Arial" w:hAnsi="Arial"/>
          <w:sz w:val="22"/>
          <w:szCs w:val="22"/>
          <w:b w:val="1"/>
          <w:bCs w:val="1"/>
          <w:color w:val="auto"/>
        </w:rPr>
        <w:t>DOCUMENTS INCLUDED AS PART OF THIS FORM 6-K</w:t>
      </w:r>
    </w:p>
    <w:p>
      <w:pPr>
        <w:spacing w:after="0" w:line="239"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On April 20, 2022, BioNTech SE (the “Company”) published the invitation to the Annual General Meeting 2022 to be held on June 1, 2022. The invitation and agenda are attached hereto as Exhibit 99.1.</w:t>
      </w:r>
    </w:p>
    <w:p>
      <w:pPr>
        <w:sectPr>
          <w:pgSz w:w="11900" w:h="16838" w:orient="portrait"/>
          <w:cols w:equalWidth="0" w:num="1">
            <w:col w:w="10940"/>
          </w:cols>
          <w:pgMar w:left="320" w:top="1098" w:right="6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SIGNATURE</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thereunto duly authorized.</w:t>
      </w:r>
    </w:p>
    <w:p>
      <w:pPr>
        <w:spacing w:after="0" w:line="223" w:lineRule="exact"/>
        <w:rPr>
          <w:sz w:val="20"/>
          <w:szCs w:val="20"/>
          <w:color w:val="auto"/>
        </w:rPr>
      </w:pPr>
    </w:p>
    <w:p>
      <w:pPr>
        <w:ind w:left="5700"/>
        <w:spacing w:after="0"/>
        <w:rPr>
          <w:sz w:val="20"/>
          <w:szCs w:val="20"/>
          <w:color w:val="auto"/>
        </w:rPr>
      </w:pPr>
      <w:r>
        <w:rPr>
          <w:rFonts w:ascii="Arial" w:cs="Arial" w:eastAsia="Arial" w:hAnsi="Arial"/>
          <w:sz w:val="22"/>
          <w:szCs w:val="22"/>
          <w:b w:val="1"/>
          <w:bCs w:val="1"/>
          <w:color w:val="auto"/>
        </w:rPr>
        <w:t>BioNTech SE</w:t>
      </w:r>
    </w:p>
    <w:p>
      <w:pPr>
        <w:spacing w:after="0" w:line="200" w:lineRule="exact"/>
        <w:rPr>
          <w:sz w:val="20"/>
          <w:szCs w:val="20"/>
          <w:color w:val="auto"/>
        </w:rPr>
      </w:pPr>
    </w:p>
    <w:p>
      <w:pPr>
        <w:spacing w:after="0" w:line="336" w:lineRule="exact"/>
        <w:rPr>
          <w:sz w:val="20"/>
          <w:szCs w:val="20"/>
          <w:color w:val="auto"/>
        </w:rPr>
      </w:pPr>
    </w:p>
    <w:p>
      <w:pPr>
        <w:ind w:left="5700"/>
        <w:spacing w:after="0"/>
        <w:tabs>
          <w:tab w:leader="none" w:pos="62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Dr. Sierk Poetting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33020</wp:posOffset>
            </wp:positionV>
            <wp:extent cx="31889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65" w:lineRule="exact"/>
        <w:rPr>
          <w:sz w:val="20"/>
          <w:szCs w:val="20"/>
          <w:color w:val="auto"/>
        </w:rPr>
      </w:pPr>
    </w:p>
    <w:p>
      <w:pPr>
        <w:ind w:left="6240"/>
        <w:spacing w:after="0"/>
        <w:rPr>
          <w:sz w:val="20"/>
          <w:szCs w:val="20"/>
          <w:color w:val="auto"/>
        </w:rPr>
      </w:pPr>
      <w:r>
        <w:rPr>
          <w:rFonts w:ascii="Arial" w:cs="Arial" w:eastAsia="Arial" w:hAnsi="Arial"/>
          <w:sz w:val="22"/>
          <w:szCs w:val="22"/>
          <w:color w:val="auto"/>
        </w:rPr>
        <w:t>Name: Dr. Sierk Poetting</w:t>
      </w:r>
    </w:p>
    <w:p>
      <w:pPr>
        <w:spacing w:after="0" w:line="71" w:lineRule="exact"/>
        <w:rPr>
          <w:sz w:val="20"/>
          <w:szCs w:val="20"/>
          <w:color w:val="auto"/>
        </w:rPr>
      </w:pPr>
    </w:p>
    <w:p>
      <w:pPr>
        <w:ind w:left="6240"/>
        <w:spacing w:after="0"/>
        <w:rPr>
          <w:sz w:val="20"/>
          <w:szCs w:val="20"/>
          <w:color w:val="auto"/>
        </w:rPr>
      </w:pPr>
      <w:r>
        <w:rPr>
          <w:rFonts w:ascii="Arial" w:cs="Arial" w:eastAsia="Arial" w:hAnsi="Arial"/>
          <w:sz w:val="22"/>
          <w:szCs w:val="22"/>
          <w:color w:val="auto"/>
        </w:rPr>
        <w:t>Title: Chief Operating Officer</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Date: April 20, 2022</w:t>
      </w:r>
    </w:p>
    <w:p>
      <w:pPr>
        <w:sectPr>
          <w:pgSz w:w="11900" w:h="16838" w:orient="portrait"/>
          <w:cols w:equalWidth="0" w:num="1">
            <w:col w:w="11240"/>
          </w:cols>
          <w:pgMar w:left="320" w:top="109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0"/>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540" w:type="dxa"/>
            <w:vAlign w:val="bottom"/>
          </w:tcPr>
          <w:p>
            <w:pPr>
              <w:ind w:left="1580"/>
              <w:spacing w:after="0"/>
              <w:rPr>
                <w:sz w:val="20"/>
                <w:szCs w:val="20"/>
                <w:color w:val="auto"/>
              </w:rPr>
            </w:pPr>
            <w:r>
              <w:rPr>
                <w:rFonts w:ascii="Arial" w:cs="Arial" w:eastAsia="Arial" w:hAnsi="Arial"/>
                <w:sz w:val="22"/>
                <w:szCs w:val="22"/>
                <w:b w:val="1"/>
                <w:bCs w:val="1"/>
                <w:color w:val="auto"/>
              </w:rPr>
              <w:t>EXHIBIT INDEX</w:t>
            </w:r>
          </w:p>
        </w:tc>
      </w:tr>
      <w:tr>
        <w:trPr>
          <w:trHeight w:val="705"/>
        </w:trPr>
        <w:tc>
          <w:tcPr>
            <w:tcW w:w="122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5480" w:type="dxa"/>
            <w:vAlign w:val="bottom"/>
            <w:gridSpan w:val="2"/>
          </w:tcPr>
          <w:p>
            <w:pPr>
              <w:spacing w:after="0"/>
              <w:rPr>
                <w:sz w:val="20"/>
                <w:szCs w:val="20"/>
                <w:color w:val="auto"/>
              </w:rPr>
            </w:pPr>
            <w:r>
              <w:rPr>
                <w:rFonts w:ascii="Arial" w:cs="Arial" w:eastAsia="Arial" w:hAnsi="Arial"/>
                <w:sz w:val="22"/>
                <w:szCs w:val="22"/>
                <w:color w:val="auto"/>
              </w:rPr>
              <w:t>Description of Exhibit</w:t>
            </w:r>
          </w:p>
        </w:tc>
      </w:tr>
      <w:tr>
        <w:trPr>
          <w:trHeight w:val="20"/>
        </w:trPr>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533"/>
        </w:trPr>
        <w:tc>
          <w:tcPr>
            <w:tcW w:w="620" w:type="dxa"/>
            <w:vAlign w:val="bottom"/>
          </w:tcPr>
          <w:p>
            <w:pPr>
              <w:spacing w:after="0"/>
              <w:rPr>
                <w:sz w:val="20"/>
                <w:szCs w:val="20"/>
                <w:color w:val="auto"/>
              </w:rPr>
            </w:pPr>
            <w:r>
              <w:rPr>
                <w:rFonts w:ascii="Arial" w:cs="Arial" w:eastAsia="Arial" w:hAnsi="Arial"/>
                <w:sz w:val="22"/>
                <w:szCs w:val="22"/>
                <w:color w:val="auto"/>
              </w:rPr>
              <w:t>99.1</w:t>
            </w:r>
          </w:p>
        </w:tc>
        <w:tc>
          <w:tcPr>
            <w:tcW w:w="600" w:type="dxa"/>
            <w:vAlign w:val="bottom"/>
          </w:tcPr>
          <w:p>
            <w:pPr>
              <w:spacing w:after="0"/>
              <w:rPr>
                <w:sz w:val="24"/>
                <w:szCs w:val="24"/>
                <w:color w:val="auto"/>
              </w:rPr>
            </w:pPr>
          </w:p>
        </w:tc>
        <w:tc>
          <w:tcPr>
            <w:tcW w:w="5480" w:type="dxa"/>
            <w:vAlign w:val="bottom"/>
            <w:tcBorders>
              <w:bottom w:val="single" w:sz="8" w:color="0000FF"/>
            </w:tcBorders>
            <w:gridSpan w:val="2"/>
          </w:tcPr>
          <w:p>
            <w:pPr>
              <w:spacing w:after="0"/>
              <w:rPr>
                <w:rFonts w:ascii="Arial" w:cs="Arial" w:eastAsia="Arial" w:hAnsi="Arial"/>
                <w:sz w:val="22"/>
                <w:szCs w:val="22"/>
                <w:color w:val="0000FF"/>
                <w:w w:val="89"/>
              </w:rPr>
            </w:pPr>
            <w:hyperlink w:anchor="page5">
              <w:r>
                <w:rPr>
                  <w:rFonts w:ascii="Arial" w:cs="Arial" w:eastAsia="Arial" w:hAnsi="Arial"/>
                  <w:sz w:val="22"/>
                  <w:szCs w:val="22"/>
                  <w:color w:val="0000FF"/>
                  <w:w w:val="89"/>
                </w:rPr>
                <w:t>Invitation to the Annual General Meeting 2022 on June 1, 2022</w:t>
              </w:r>
            </w:hyperlink>
          </w:p>
        </w:tc>
      </w:tr>
    </w:tbl>
    <w:p>
      <w:pPr>
        <w:sectPr>
          <w:pgSz w:w="11900" w:h="16838" w:orient="portrait"/>
          <w:cols w:equalWidth="0" w:num="1">
            <w:col w:w="10099"/>
          </w:cols>
          <w:pgMar w:left="360" w:top="109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BioNTech SE</w:t>
      </w:r>
    </w:p>
    <w:p>
      <w:pPr>
        <w:jc w:val="center"/>
        <w:spacing w:after="0"/>
        <w:rPr>
          <w:sz w:val="20"/>
          <w:szCs w:val="20"/>
          <w:color w:val="auto"/>
        </w:rPr>
      </w:pPr>
      <w:r>
        <w:rPr>
          <w:rFonts w:ascii="Arial" w:cs="Arial" w:eastAsia="Arial" w:hAnsi="Arial"/>
          <w:sz w:val="22"/>
          <w:szCs w:val="22"/>
          <w:color w:val="auto"/>
        </w:rPr>
        <w:t>Mainz</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Invitation to the Annual General Meeting 2022</w:t>
      </w:r>
    </w:p>
    <w:p>
      <w:pPr>
        <w:jc w:val="center"/>
        <w:spacing w:after="0" w:line="204" w:lineRule="auto"/>
        <w:rPr>
          <w:sz w:val="20"/>
          <w:szCs w:val="20"/>
          <w:color w:val="auto"/>
        </w:rPr>
      </w:pPr>
      <w:r>
        <w:rPr>
          <w:rFonts w:ascii="Arial" w:cs="Arial" w:eastAsia="Arial" w:hAnsi="Arial"/>
          <w:sz w:val="22"/>
          <w:szCs w:val="22"/>
          <w:b w:val="1"/>
          <w:bCs w:val="1"/>
          <w:color w:val="auto"/>
        </w:rPr>
        <w:t>on June 1,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(Virtual Annual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Dear Sirs/Madam</w:t>
      </w:r>
      <w:r>
        <w:rPr>
          <w:rFonts w:ascii="Arial" w:cs="Arial" w:eastAsia="Arial" w:hAnsi="Arial"/>
          <w:sz w:val="10"/>
          <w:szCs w:val="10"/>
          <w:color w:val="auto"/>
        </w:rPr>
        <w:t>1</w:t>
      </w:r>
      <w:r>
        <w:rPr>
          <w:rFonts w:ascii="Arial" w:cs="Arial" w:eastAsia="Arial" w:hAnsi="Arial"/>
          <w:sz w:val="22"/>
          <w:szCs w:val="22"/>
          <w:color w:val="auto"/>
        </w:rPr>
        <w:t>,</w:t>
      </w:r>
    </w:p>
    <w:p>
      <w:pPr>
        <w:spacing w:after="0" w:line="173"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We hereby invite you as a shareholder of BioNTech SE, Mainz (the "</w:t>
      </w:r>
      <w:r>
        <w:rPr>
          <w:rFonts w:ascii="Arial" w:cs="Arial" w:eastAsia="Arial" w:hAnsi="Arial"/>
          <w:sz w:val="19"/>
          <w:szCs w:val="19"/>
          <w:b w:val="1"/>
          <w:bCs w:val="1"/>
          <w:color w:val="auto"/>
        </w:rPr>
        <w:t>Company</w:t>
      </w:r>
      <w:r>
        <w:rPr>
          <w:rFonts w:ascii="Arial" w:cs="Arial" w:eastAsia="Arial" w:hAnsi="Arial"/>
          <w:sz w:val="19"/>
          <w:szCs w:val="19"/>
          <w:color w:val="auto"/>
        </w:rPr>
        <w:t xml:space="preserve">") to the Annual General Meeting to be held on </w:t>
      </w:r>
      <w:r>
        <w:rPr>
          <w:rFonts w:ascii="Arial" w:cs="Arial" w:eastAsia="Arial" w:hAnsi="Arial"/>
          <w:sz w:val="19"/>
          <w:szCs w:val="19"/>
          <w:b w:val="1"/>
          <w:bCs w:val="1"/>
          <w:color w:val="auto"/>
        </w:rPr>
        <w:t>Wednesday, 1 June 2022 at 14:00 (CEST)</w:t>
      </w:r>
      <w:r>
        <w:rPr>
          <w:rFonts w:ascii="Arial" w:cs="Arial" w:eastAsia="Arial" w:hAnsi="Arial"/>
          <w:sz w:val="19"/>
          <w:szCs w:val="19"/>
          <w:color w:val="auto"/>
        </w:rPr>
        <w:t>. The Annual General Meeting is convened pursuant to Art. 2 Sec. 1 para. 2 of the</w:t>
      </w:r>
      <w:r>
        <w:rPr>
          <w:rFonts w:ascii="Arial" w:cs="Arial" w:eastAsia="Arial" w:hAnsi="Arial"/>
          <w:sz w:val="19"/>
          <w:szCs w:val="19"/>
          <w:b w:val="1"/>
          <w:bCs w:val="1"/>
          <w:color w:val="auto"/>
        </w:rPr>
        <w:t xml:space="preserve"> </w:t>
      </w:r>
      <w:r>
        <w:rPr>
          <w:rFonts w:ascii="Arial" w:cs="Arial" w:eastAsia="Arial" w:hAnsi="Arial"/>
          <w:sz w:val="19"/>
          <w:szCs w:val="19"/>
          <w:color w:val="auto"/>
        </w:rPr>
        <w:t>Act on Measures in the Law on Companies, Cooperatives, Associations, Foundations and Condominiums to Combat the Effects of the COVID-19 Pandemic of March 27, 2020 (German Federal Gazette I, p. 570), as last amended by the Act on the Further Shortening of the Residual Debt Exemption Procedure and on the Adjustment of Pandemic-Related Provisions in Company, Cooperative, Association and Foundation Law and in Tenancy and Lease Law of December 22, 2020 (German Federal Gazette I p. 3328) , the validity of which was extended until 31 August 2022 by the Act on the Establishment of a Special Fund "Reconstruction Assistance 2021" and on the Temporary Suspension of the Obligation to File an Insolvency Petition due to Heavy Rainfall and Floods in July 2021 and on the Amendment of Other Laws of 10 September 2021 (Federal Law Gazette 2021 I p. 4147) ("</w:t>
      </w:r>
      <w:r>
        <w:rPr>
          <w:rFonts w:ascii="Arial" w:cs="Arial" w:eastAsia="Arial" w:hAnsi="Arial"/>
          <w:sz w:val="19"/>
          <w:szCs w:val="19"/>
          <w:b w:val="1"/>
          <w:bCs w:val="1"/>
          <w:color w:val="auto"/>
        </w:rPr>
        <w:t>COVID-19 Act</w:t>
      </w:r>
      <w:r>
        <w:rPr>
          <w:rFonts w:ascii="Arial" w:cs="Arial" w:eastAsia="Arial" w:hAnsi="Arial"/>
          <w:sz w:val="19"/>
          <w:szCs w:val="19"/>
          <w:color w:val="auto"/>
        </w:rPr>
        <w:t>"), as a virtual general meeting without the physical presence of the shareholders or their proxies. The virtual Annual General Meeting will be broadcast to all shareholders and their proxies, to holders of American Depositary Shares ("</w:t>
      </w:r>
      <w:r>
        <w:rPr>
          <w:rFonts w:ascii="Arial" w:cs="Arial" w:eastAsia="Arial" w:hAnsi="Arial"/>
          <w:sz w:val="19"/>
          <w:szCs w:val="19"/>
          <w:b w:val="1"/>
          <w:bCs w:val="1"/>
          <w:color w:val="auto"/>
        </w:rPr>
        <w:t>ADSs</w:t>
      </w:r>
      <w:r>
        <w:rPr>
          <w:rFonts w:ascii="Arial" w:cs="Arial" w:eastAsia="Arial" w:hAnsi="Arial"/>
          <w:sz w:val="19"/>
          <w:szCs w:val="19"/>
          <w:color w:val="auto"/>
        </w:rPr>
        <w:t>") issued by The Bank of New York Mellon (the "</w:t>
      </w:r>
      <w:r>
        <w:rPr>
          <w:rFonts w:ascii="Arial" w:cs="Arial" w:eastAsia="Arial" w:hAnsi="Arial"/>
          <w:sz w:val="19"/>
          <w:szCs w:val="19"/>
          <w:b w:val="1"/>
          <w:bCs w:val="1"/>
          <w:color w:val="auto"/>
        </w:rPr>
        <w:t>Depositary</w:t>
      </w:r>
      <w:r>
        <w:rPr>
          <w:rFonts w:ascii="Arial" w:cs="Arial" w:eastAsia="Arial" w:hAnsi="Arial"/>
          <w:sz w:val="19"/>
          <w:szCs w:val="19"/>
          <w:color w:val="auto"/>
        </w:rPr>
        <w:t>") (the "</w:t>
      </w:r>
      <w:r>
        <w:rPr>
          <w:rFonts w:ascii="Arial" w:cs="Arial" w:eastAsia="Arial" w:hAnsi="Arial"/>
          <w:sz w:val="19"/>
          <w:szCs w:val="19"/>
          <w:b w:val="1"/>
          <w:bCs w:val="1"/>
          <w:color w:val="auto"/>
        </w:rPr>
        <w:t>ADS Holders</w:t>
      </w:r>
      <w:r>
        <w:rPr>
          <w:rFonts w:ascii="Arial" w:cs="Arial" w:eastAsia="Arial" w:hAnsi="Arial"/>
          <w:sz w:val="19"/>
          <w:szCs w:val="19"/>
          <w:color w:val="auto"/>
        </w:rPr>
        <w:t xml:space="preserve">") and to the interested public on </w:t>
      </w:r>
      <w:r>
        <w:rPr>
          <w:rFonts w:ascii="Arial" w:cs="Arial" w:eastAsia="Arial" w:hAnsi="Arial"/>
          <w:sz w:val="19"/>
          <w:szCs w:val="19"/>
          <w:b w:val="1"/>
          <w:bCs w:val="1"/>
          <w:color w:val="auto"/>
        </w:rPr>
        <w:t>Wednesday, 1 June 2022, starting at 2:00 p.m. (CEST)</w:t>
      </w:r>
      <w:r>
        <w:rPr>
          <w:rFonts w:ascii="Arial" w:cs="Arial" w:eastAsia="Arial" w:hAnsi="Arial"/>
          <w:sz w:val="19"/>
          <w:szCs w:val="19"/>
          <w:color w:val="auto"/>
        </w:rPr>
        <w:t>, via a website accessible at " https://investors.biontech.de/agm". The</w:t>
      </w:r>
      <w:r>
        <w:rPr>
          <w:rFonts w:ascii="Arial" w:cs="Arial" w:eastAsia="Arial" w:hAnsi="Arial"/>
          <w:sz w:val="19"/>
          <w:szCs w:val="19"/>
          <w:b w:val="1"/>
          <w:bCs w:val="1"/>
          <w:color w:val="auto"/>
        </w:rPr>
        <w:t xml:space="preserve"> </w:t>
      </w:r>
      <w:r>
        <w:rPr>
          <w:rFonts w:ascii="Arial" w:cs="Arial" w:eastAsia="Arial" w:hAnsi="Arial"/>
          <w:sz w:val="19"/>
          <w:szCs w:val="19"/>
          <w:color w:val="auto"/>
        </w:rPr>
        <w:t>place of the meeting within the meaning of the German Stock Corporation Act (</w:t>
      </w:r>
      <w:r>
        <w:rPr>
          <w:rFonts w:ascii="Arial" w:cs="Arial" w:eastAsia="Arial" w:hAnsi="Arial"/>
          <w:sz w:val="19"/>
          <w:szCs w:val="19"/>
          <w:i w:val="1"/>
          <w:iCs w:val="1"/>
          <w:color w:val="auto"/>
        </w:rPr>
        <w:t>Aktiengesetz, AktG</w:t>
      </w:r>
      <w:r>
        <w:rPr>
          <w:rFonts w:ascii="Arial" w:cs="Arial" w:eastAsia="Arial" w:hAnsi="Arial"/>
          <w:sz w:val="19"/>
          <w:szCs w:val="19"/>
          <w:color w:val="auto"/>
        </w:rPr>
        <w:t>) is Prannerstraße 10, 80333 Munich.</w:t>
      </w:r>
    </w:p>
    <w:p>
      <w:pPr>
        <w:spacing w:after="0" w:line="200" w:lineRule="exact"/>
        <w:rPr>
          <w:sz w:val="20"/>
          <w:szCs w:val="20"/>
          <w:color w:val="auto"/>
        </w:rPr>
      </w:pPr>
    </w:p>
    <w:p>
      <w:pPr>
        <w:spacing w:after="0" w:line="280" w:lineRule="exact"/>
        <w:rPr>
          <w:sz w:val="20"/>
          <w:szCs w:val="20"/>
          <w:color w:val="auto"/>
        </w:rPr>
      </w:pPr>
    </w:p>
    <w:p>
      <w:pPr>
        <w:ind w:left="640" w:hanging="632"/>
        <w:spacing w:after="0"/>
        <w:tabs>
          <w:tab w:leader="none" w:pos="64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Agenda</w:t>
      </w:r>
    </w:p>
    <w:p>
      <w:pPr>
        <w:spacing w:after="0" w:line="287" w:lineRule="exact"/>
        <w:rPr>
          <w:sz w:val="20"/>
          <w:szCs w:val="20"/>
          <w:color w:val="auto"/>
        </w:rPr>
      </w:pPr>
    </w:p>
    <w:p>
      <w:pPr>
        <w:jc w:val="both"/>
        <w:ind w:left="640" w:hanging="632"/>
        <w:spacing w:after="0" w:line="271" w:lineRule="auto"/>
        <w:tabs>
          <w:tab w:leader="none" w:pos="636"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Presentation of the Adopted Annual Financial Statements, the Approved Consolidated Financial Statements, and the Combined Management Report for the Company and the Group as well as the report of the Supervisory Board for the Company, each for the 2021 Financial Year or as of 31 December 2021, respectively</w:t>
      </w:r>
    </w:p>
    <w:p>
      <w:pPr>
        <w:spacing w:after="0" w:line="129" w:lineRule="exact"/>
        <w:rPr>
          <w:rFonts w:ascii="Arial" w:cs="Arial" w:eastAsia="Arial" w:hAnsi="Arial"/>
          <w:sz w:val="19"/>
          <w:szCs w:val="19"/>
          <w:b w:val="1"/>
          <w:bCs w:val="1"/>
          <w:color w:val="auto"/>
        </w:rPr>
      </w:pPr>
    </w:p>
    <w:p>
      <w:pPr>
        <w:jc w:val="both"/>
        <w:ind w:left="640"/>
        <w:spacing w:after="0" w:line="224" w:lineRule="auto"/>
        <w:rPr>
          <w:rFonts w:ascii="Arial" w:cs="Arial" w:eastAsia="Arial" w:hAnsi="Arial"/>
          <w:sz w:val="19"/>
          <w:szCs w:val="19"/>
          <w:b w:val="1"/>
          <w:bCs w:val="1"/>
          <w:color w:val="auto"/>
        </w:rPr>
      </w:pPr>
      <w:r>
        <w:rPr>
          <w:rFonts w:ascii="Arial" w:cs="Arial" w:eastAsia="Arial" w:hAnsi="Arial"/>
          <w:sz w:val="21"/>
          <w:szCs w:val="21"/>
          <w:color w:val="auto"/>
        </w:rPr>
        <w:t>The Supervisory Board has approved the annual financial statements and consolidated financial statements prepared by the Management Board; the annual financial statements are thereby adopted. Therefore, the Annual General Meeting does not have to pass a resolution on this agenda item 1. Instead, the aforementioned documents will be made available to the Annual General Meeting and explained by the Management Board or - in the case of the report of the Supervisory Board - by the Chairman of the Supervisory Board. Within the scope of their right to ask questions, the shareholders have the opportunity to ask questions on the documents presented.</w:t>
      </w:r>
    </w:p>
    <w:p>
      <w:pPr>
        <w:spacing w:after="0" w:line="159" w:lineRule="exact"/>
        <w:rPr>
          <w:rFonts w:ascii="Arial" w:cs="Arial" w:eastAsia="Arial" w:hAnsi="Arial"/>
          <w:sz w:val="19"/>
          <w:szCs w:val="19"/>
          <w:b w:val="1"/>
          <w:bCs w:val="1"/>
          <w:color w:val="auto"/>
        </w:rPr>
      </w:pPr>
    </w:p>
    <w:p>
      <w:pPr>
        <w:ind w:left="660"/>
        <w:spacing w:after="0"/>
        <w:rPr>
          <w:rFonts w:ascii="Arial" w:cs="Arial" w:eastAsia="Arial" w:hAnsi="Arial"/>
          <w:sz w:val="19"/>
          <w:szCs w:val="19"/>
          <w:b w:val="1"/>
          <w:bCs w:val="1"/>
          <w:color w:val="auto"/>
        </w:rPr>
      </w:pPr>
      <w:r>
        <w:rPr>
          <w:rFonts w:ascii="Arial" w:cs="Arial" w:eastAsia="Arial" w:hAnsi="Arial"/>
          <w:sz w:val="22"/>
          <w:szCs w:val="22"/>
          <w:color w:val="auto"/>
        </w:rPr>
        <w:t>All these documents are available on our website at " https://investors.biontech.de/agm".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17145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06" w:lineRule="exact"/>
        <w:rPr>
          <w:sz w:val="20"/>
          <w:szCs w:val="20"/>
          <w:color w:val="auto"/>
        </w:rPr>
      </w:pPr>
    </w:p>
    <w:p>
      <w:pPr>
        <w:ind w:right="40" w:firstLine="8"/>
        <w:spacing w:after="0" w:line="253" w:lineRule="auto"/>
        <w:tabs>
          <w:tab w:leader="none" w:pos="255"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For the sole purpose of better readability, gender-specific spelling is not used in this invitation. All personal terms and concepts are to be understood as gender-neutral in the sense of equal treatment.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4" w:right="339" w:bottom="1440" w:gutter="0" w:footer="0" w:header="0"/>
        </w:sectPr>
      </w:pPr>
    </w:p>
    <w:bookmarkStart w:id="5" w:name="page6"/>
    <w:bookmarkEnd w:id="5"/>
    <w:p>
      <w:pPr>
        <w:spacing w:after="0" w:line="9" w:lineRule="exact"/>
        <w:rPr>
          <w:sz w:val="20"/>
          <w:szCs w:val="20"/>
          <w:color w:val="auto"/>
        </w:rPr>
      </w:pPr>
    </w:p>
    <w:p>
      <w:pPr>
        <w:ind w:left="632" w:hanging="632"/>
        <w:spacing w:after="0"/>
        <w:tabs>
          <w:tab w:leader="none" w:pos="632"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Resolution on the Appropriation of the Balance Sheet Profit</w:t>
      </w:r>
    </w:p>
    <w:p>
      <w:pPr>
        <w:spacing w:after="0" w:line="185" w:lineRule="exact"/>
        <w:rPr>
          <w:rFonts w:ascii="Arial" w:cs="Arial" w:eastAsia="Arial" w:hAnsi="Arial"/>
          <w:sz w:val="22"/>
          <w:szCs w:val="22"/>
          <w:b w:val="1"/>
          <w:bCs w:val="1"/>
          <w:color w:val="auto"/>
        </w:rPr>
      </w:pPr>
    </w:p>
    <w:p>
      <w:pPr>
        <w:ind w:left="632"/>
        <w:spacing w:after="0"/>
        <w:rPr>
          <w:rFonts w:ascii="Arial" w:cs="Arial" w:eastAsia="Arial" w:hAnsi="Arial"/>
          <w:sz w:val="22"/>
          <w:szCs w:val="22"/>
          <w:b w:val="1"/>
          <w:bCs w:val="1"/>
          <w:color w:val="auto"/>
        </w:rPr>
      </w:pPr>
      <w:r>
        <w:rPr>
          <w:rFonts w:ascii="Arial" w:cs="Arial" w:eastAsia="Arial" w:hAnsi="Arial"/>
          <w:sz w:val="19"/>
          <w:szCs w:val="19"/>
          <w:color w:val="auto"/>
        </w:rPr>
        <w:t>The Management Board and the Supervisory Board propose that the net retained profits of BioNTech SE from the past</w:t>
      </w:r>
    </w:p>
    <w:p>
      <w:pPr>
        <w:spacing w:after="0" w:line="15" w:lineRule="exact"/>
        <w:rPr>
          <w:rFonts w:ascii="Arial" w:cs="Arial" w:eastAsia="Arial" w:hAnsi="Arial"/>
          <w:sz w:val="22"/>
          <w:szCs w:val="22"/>
          <w:b w:val="1"/>
          <w:bCs w:val="1"/>
          <w:color w:val="auto"/>
        </w:rPr>
      </w:pPr>
    </w:p>
    <w:p>
      <w:pPr>
        <w:ind w:left="632"/>
        <w:spacing w:after="0"/>
        <w:rPr>
          <w:rFonts w:ascii="Arial" w:cs="Arial" w:eastAsia="Arial" w:hAnsi="Arial"/>
          <w:sz w:val="22"/>
          <w:szCs w:val="22"/>
          <w:b w:val="1"/>
          <w:bCs w:val="1"/>
          <w:color w:val="auto"/>
        </w:rPr>
      </w:pPr>
      <w:r>
        <w:rPr>
          <w:rFonts w:ascii="Arial" w:cs="Arial" w:eastAsia="Arial" w:hAnsi="Arial"/>
          <w:sz w:val="22"/>
          <w:szCs w:val="22"/>
          <w:color w:val="auto"/>
        </w:rPr>
        <w:t>2021 financial year in the amount of EUR 10,264,769,822.30 be appropriated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141605</wp:posOffset>
            </wp:positionV>
            <wp:extent cx="5846445" cy="865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6445" cy="865505"/>
                    </a:xfrm>
                    <a:prstGeom prst="rect">
                      <a:avLst/>
                    </a:prstGeom>
                    <a:noFill/>
                  </pic:spPr>
                </pic:pic>
              </a:graphicData>
            </a:graphic>
          </wp:anchor>
        </w:drawing>
      </w:r>
    </w:p>
    <w:p>
      <w:pPr>
        <w:spacing w:after="0" w:line="209" w:lineRule="exact"/>
        <w:rPr>
          <w:sz w:val="20"/>
          <w:szCs w:val="20"/>
          <w:color w:val="auto"/>
        </w:rPr>
      </w:pPr>
    </w:p>
    <w:tbl>
      <w:tblPr>
        <w:tblLayout w:type="fixed"/>
        <w:tblInd w:w="672" w:type="dxa"/>
        <w:tblCellMar>
          <w:top w:w="0" w:type="dxa"/>
          <w:left w:w="0" w:type="dxa"/>
          <w:bottom w:w="0" w:type="dxa"/>
          <w:right w:w="0" w:type="dxa"/>
        </w:tblCellMar>
      </w:tblPr>
      <w:tr>
        <w:trPr>
          <w:trHeight w:val="274"/>
        </w:trPr>
        <w:tc>
          <w:tcPr>
            <w:tcW w:w="3540" w:type="dxa"/>
            <w:vAlign w:val="bottom"/>
          </w:tcPr>
          <w:p>
            <w:pPr>
              <w:spacing w:after="0"/>
              <w:rPr>
                <w:sz w:val="20"/>
                <w:szCs w:val="20"/>
                <w:color w:val="auto"/>
              </w:rPr>
            </w:pPr>
            <w:r>
              <w:rPr>
                <w:rFonts w:ascii="Arial" w:cs="Arial" w:eastAsia="Arial" w:hAnsi="Arial"/>
                <w:sz w:val="22"/>
                <w:szCs w:val="22"/>
                <w:color w:val="auto"/>
              </w:rPr>
              <w:t>Balance sheet profit:</w:t>
            </w:r>
          </w:p>
        </w:tc>
        <w:tc>
          <w:tcPr>
            <w:tcW w:w="3840" w:type="dxa"/>
            <w:vAlign w:val="bottom"/>
          </w:tcPr>
          <w:p>
            <w:pPr>
              <w:ind w:left="1740"/>
              <w:spacing w:after="0"/>
              <w:rPr>
                <w:sz w:val="20"/>
                <w:szCs w:val="20"/>
                <w:color w:val="auto"/>
              </w:rPr>
            </w:pPr>
            <w:r>
              <w:rPr>
                <w:rFonts w:ascii="Arial" w:cs="Arial" w:eastAsia="Arial" w:hAnsi="Arial"/>
                <w:sz w:val="22"/>
                <w:szCs w:val="22"/>
                <w:color w:val="auto"/>
                <w:w w:val="88"/>
              </w:rPr>
              <w:t>EUR 10,264,769,822.30</w:t>
            </w:r>
          </w:p>
        </w:tc>
      </w:tr>
    </w:tbl>
    <w:p>
      <w:pPr>
        <w:spacing w:after="0" w:line="9" w:lineRule="exact"/>
        <w:rPr>
          <w:sz w:val="20"/>
          <w:szCs w:val="20"/>
          <w:color w:val="auto"/>
        </w:rPr>
      </w:pPr>
    </w:p>
    <w:p>
      <w:pPr>
        <w:ind w:left="672" w:right="3440"/>
        <w:spacing w:after="0" w:line="247" w:lineRule="auto"/>
        <w:rPr>
          <w:sz w:val="20"/>
          <w:szCs w:val="20"/>
          <w:color w:val="auto"/>
        </w:rPr>
      </w:pPr>
      <w:r>
        <w:rPr>
          <w:rFonts w:ascii="Arial" w:cs="Arial" w:eastAsia="Arial" w:hAnsi="Arial"/>
          <w:sz w:val="21"/>
          <w:szCs w:val="21"/>
          <w:color w:val="auto"/>
        </w:rPr>
        <w:t>Distribution of a dividend of EUR 2.00 per no-par value EUR 486,038,432.00 share entitled to dividend for the past 2021 financial year:</w:t>
      </w:r>
    </w:p>
    <w:p>
      <w:pPr>
        <w:spacing w:after="0" w:line="2" w:lineRule="exact"/>
        <w:rPr>
          <w:sz w:val="20"/>
          <w:szCs w:val="20"/>
          <w:color w:val="auto"/>
        </w:rPr>
      </w:pPr>
    </w:p>
    <w:tbl>
      <w:tblPr>
        <w:tblLayout w:type="fixed"/>
        <w:tblInd w:w="632" w:type="dxa"/>
        <w:tblCellMar>
          <w:top w:w="0" w:type="dxa"/>
          <w:left w:w="0" w:type="dxa"/>
          <w:bottom w:w="0" w:type="dxa"/>
          <w:right w:w="0" w:type="dxa"/>
        </w:tblCellMar>
      </w:tblPr>
      <w:tr>
        <w:trPr>
          <w:trHeight w:val="276"/>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Transfer to retained earnings:</w:t>
            </w:r>
          </w:p>
        </w:tc>
        <w:tc>
          <w:tcPr>
            <w:tcW w:w="5260" w:type="dxa"/>
            <w:vAlign w:val="bottom"/>
            <w:tcBorders>
              <w:bottom w:val="single" w:sz="8" w:color="auto"/>
            </w:tcBorders>
          </w:tcPr>
          <w:p>
            <w:pPr>
              <w:ind w:left="1380"/>
              <w:spacing w:after="0"/>
              <w:rPr>
                <w:sz w:val="20"/>
                <w:szCs w:val="20"/>
                <w:color w:val="auto"/>
              </w:rPr>
            </w:pPr>
            <w:r>
              <w:rPr>
                <w:rFonts w:ascii="Arial" w:cs="Arial" w:eastAsia="Arial" w:hAnsi="Arial"/>
                <w:sz w:val="22"/>
                <w:szCs w:val="22"/>
                <w:color w:val="auto"/>
              </w:rPr>
              <w:t>EUR 5,132,384,911.15</w:t>
            </w:r>
          </w:p>
        </w:tc>
      </w:tr>
      <w:tr>
        <w:trPr>
          <w:trHeight w:val="270"/>
        </w:trPr>
        <w:tc>
          <w:tcPr>
            <w:tcW w:w="3940" w:type="dxa"/>
            <w:vAlign w:val="bottom"/>
          </w:tcPr>
          <w:p>
            <w:pPr>
              <w:ind w:left="40"/>
              <w:spacing w:after="0"/>
              <w:rPr>
                <w:sz w:val="20"/>
                <w:szCs w:val="20"/>
                <w:color w:val="auto"/>
              </w:rPr>
            </w:pPr>
            <w:r>
              <w:rPr>
                <w:rFonts w:ascii="Arial" w:cs="Arial" w:eastAsia="Arial" w:hAnsi="Arial"/>
                <w:sz w:val="22"/>
                <w:szCs w:val="22"/>
                <w:color w:val="auto"/>
              </w:rPr>
              <w:t>Profit carried forward:</w:t>
            </w:r>
          </w:p>
        </w:tc>
        <w:tc>
          <w:tcPr>
            <w:tcW w:w="5260" w:type="dxa"/>
            <w:vAlign w:val="bottom"/>
          </w:tcPr>
          <w:p>
            <w:pPr>
              <w:ind w:left="1380"/>
              <w:spacing w:after="0"/>
              <w:rPr>
                <w:sz w:val="20"/>
                <w:szCs w:val="20"/>
                <w:color w:val="auto"/>
              </w:rPr>
            </w:pPr>
            <w:r>
              <w:rPr>
                <w:rFonts w:ascii="Arial" w:cs="Arial" w:eastAsia="Arial" w:hAnsi="Arial"/>
                <w:sz w:val="22"/>
                <w:szCs w:val="22"/>
                <w:color w:val="auto"/>
              </w:rPr>
              <w:t>EUR 4,646,346,479.15</w:t>
            </w:r>
          </w:p>
        </w:tc>
      </w:tr>
    </w:tbl>
    <w:p>
      <w:pPr>
        <w:spacing w:after="0" w:line="200" w:lineRule="exact"/>
        <w:rPr>
          <w:sz w:val="20"/>
          <w:szCs w:val="20"/>
          <w:color w:val="auto"/>
        </w:rPr>
      </w:pPr>
    </w:p>
    <w:p>
      <w:pPr>
        <w:spacing w:after="0" w:line="314" w:lineRule="exact"/>
        <w:rPr>
          <w:sz w:val="20"/>
          <w:szCs w:val="20"/>
          <w:color w:val="auto"/>
        </w:rPr>
      </w:pPr>
    </w:p>
    <w:p>
      <w:pPr>
        <w:jc w:val="both"/>
        <w:ind w:left="632"/>
        <w:spacing w:after="0" w:line="222" w:lineRule="auto"/>
        <w:rPr>
          <w:sz w:val="20"/>
          <w:szCs w:val="20"/>
          <w:color w:val="auto"/>
        </w:rPr>
      </w:pPr>
      <w:r>
        <w:rPr>
          <w:rFonts w:ascii="Arial" w:cs="Arial" w:eastAsia="Arial" w:hAnsi="Arial"/>
          <w:sz w:val="21"/>
          <w:szCs w:val="21"/>
          <w:color w:val="auto"/>
        </w:rPr>
        <w:t>The proposal for the appropriation of profits takes into account the 3,788,592 treasury shares held directly or indirectly by the Company at the time the annual financial statements were prepared by the Management Board, and which are not entitled to dividends pursuant to Sec. 71b of the German Stock Corporation Act. Should the number of no-par value shares entitled to dividends for the past 2021 financial year change by the time of the Annual General Meeting, a corresponding proposal for an amended resolution will be submitted to the Annual General Meeting, which will provide for an unchanged dividend of EUR 2.00 per no-par value share entitled to dividends as well as correspondingly adjusted amounts for the total distribution and the profit carried forward.</w:t>
      </w:r>
    </w:p>
    <w:p>
      <w:pPr>
        <w:spacing w:after="0" w:line="164" w:lineRule="exact"/>
        <w:rPr>
          <w:sz w:val="20"/>
          <w:szCs w:val="20"/>
          <w:color w:val="auto"/>
        </w:rPr>
      </w:pPr>
    </w:p>
    <w:p>
      <w:pPr>
        <w:jc w:val="both"/>
        <w:ind w:left="632"/>
        <w:spacing w:after="0" w:line="298" w:lineRule="auto"/>
        <w:rPr>
          <w:sz w:val="20"/>
          <w:szCs w:val="20"/>
          <w:color w:val="auto"/>
        </w:rPr>
      </w:pPr>
      <w:r>
        <w:rPr>
          <w:rFonts w:ascii="Arial" w:cs="Arial" w:eastAsia="Arial" w:hAnsi="Arial"/>
          <w:sz w:val="19"/>
          <w:szCs w:val="19"/>
          <w:color w:val="auto"/>
        </w:rPr>
        <w:t>Pursuant to Sec. 58 para. 4 sentence 2 of the German Stock Corporation Act, the entitlement to the dividend is due on the third business day following the resolution of the Annual General Meeting, i.e., on Tuesday, 7 June 2022.</w:t>
      </w:r>
    </w:p>
    <w:p>
      <w:pPr>
        <w:spacing w:after="0" w:line="207" w:lineRule="exact"/>
        <w:rPr>
          <w:sz w:val="20"/>
          <w:szCs w:val="20"/>
          <w:color w:val="auto"/>
        </w:rPr>
      </w:pPr>
    </w:p>
    <w:p>
      <w:pPr>
        <w:ind w:left="632" w:hanging="632"/>
        <w:spacing w:after="0"/>
        <w:tabs>
          <w:tab w:leader="none" w:pos="632"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Approval of the Actions of the Management Board</w:t>
      </w:r>
    </w:p>
    <w:p>
      <w:pPr>
        <w:spacing w:after="0" w:line="185" w:lineRule="exact"/>
        <w:rPr>
          <w:rFonts w:ascii="Arial" w:cs="Arial" w:eastAsia="Arial" w:hAnsi="Arial"/>
          <w:sz w:val="22"/>
          <w:szCs w:val="22"/>
          <w:b w:val="1"/>
          <w:bCs w:val="1"/>
          <w:color w:val="auto"/>
        </w:rPr>
      </w:pPr>
    </w:p>
    <w:p>
      <w:pPr>
        <w:ind w:left="632"/>
        <w:spacing w:after="0" w:line="232" w:lineRule="auto"/>
        <w:rPr>
          <w:rFonts w:ascii="Arial" w:cs="Arial" w:eastAsia="Arial" w:hAnsi="Arial"/>
          <w:sz w:val="22"/>
          <w:szCs w:val="22"/>
          <w:b w:val="1"/>
          <w:bCs w:val="1"/>
          <w:color w:val="auto"/>
        </w:rPr>
      </w:pPr>
      <w:r>
        <w:rPr>
          <w:rFonts w:ascii="Arial" w:cs="Arial" w:eastAsia="Arial" w:hAnsi="Arial"/>
          <w:sz w:val="22"/>
          <w:szCs w:val="22"/>
          <w:color w:val="auto"/>
        </w:rPr>
        <w:t>The Management Board and the Supervisory Board propose to approve the actions of the members of the Management Board for the 2021 financial year.</w:t>
      </w:r>
    </w:p>
    <w:p>
      <w:pPr>
        <w:spacing w:after="0" w:line="260" w:lineRule="exact"/>
        <w:rPr>
          <w:rFonts w:ascii="Arial" w:cs="Arial" w:eastAsia="Arial" w:hAnsi="Arial"/>
          <w:sz w:val="22"/>
          <w:szCs w:val="22"/>
          <w:b w:val="1"/>
          <w:bCs w:val="1"/>
          <w:color w:val="auto"/>
        </w:rPr>
      </w:pPr>
    </w:p>
    <w:p>
      <w:pPr>
        <w:ind w:left="632" w:hanging="632"/>
        <w:spacing w:after="0"/>
        <w:tabs>
          <w:tab w:leader="none" w:pos="632"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Approval of the Actions of the Supervisory Board</w:t>
      </w:r>
    </w:p>
    <w:p>
      <w:pPr>
        <w:spacing w:after="0" w:line="185" w:lineRule="exact"/>
        <w:rPr>
          <w:rFonts w:ascii="Arial" w:cs="Arial" w:eastAsia="Arial" w:hAnsi="Arial"/>
          <w:sz w:val="22"/>
          <w:szCs w:val="22"/>
          <w:b w:val="1"/>
          <w:bCs w:val="1"/>
          <w:color w:val="auto"/>
        </w:rPr>
      </w:pPr>
    </w:p>
    <w:p>
      <w:pPr>
        <w:ind w:left="632" w:right="20"/>
        <w:spacing w:after="0" w:line="232" w:lineRule="auto"/>
        <w:rPr>
          <w:rFonts w:ascii="Arial" w:cs="Arial" w:eastAsia="Arial" w:hAnsi="Arial"/>
          <w:sz w:val="22"/>
          <w:szCs w:val="22"/>
          <w:b w:val="1"/>
          <w:bCs w:val="1"/>
          <w:color w:val="auto"/>
        </w:rPr>
      </w:pPr>
      <w:r>
        <w:rPr>
          <w:rFonts w:ascii="Arial" w:cs="Arial" w:eastAsia="Arial" w:hAnsi="Arial"/>
          <w:sz w:val="22"/>
          <w:szCs w:val="22"/>
          <w:color w:val="auto"/>
        </w:rPr>
        <w:t>The Management Board and the Supervisory Board propose to approve the actions of the members of the Supervisory Board for the 2021 financial year.</w:t>
      </w:r>
    </w:p>
    <w:p>
      <w:pPr>
        <w:spacing w:after="0" w:line="260" w:lineRule="exact"/>
        <w:rPr>
          <w:rFonts w:ascii="Arial" w:cs="Arial" w:eastAsia="Arial" w:hAnsi="Arial"/>
          <w:sz w:val="22"/>
          <w:szCs w:val="22"/>
          <w:b w:val="1"/>
          <w:bCs w:val="1"/>
          <w:color w:val="auto"/>
        </w:rPr>
      </w:pPr>
    </w:p>
    <w:p>
      <w:pPr>
        <w:ind w:left="632" w:hanging="632"/>
        <w:spacing w:after="0"/>
        <w:tabs>
          <w:tab w:leader="none" w:pos="632"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Appointment of the Auditor for the 2022 Financial Year</w:t>
      </w:r>
    </w:p>
    <w:p>
      <w:pPr>
        <w:spacing w:after="0" w:line="185" w:lineRule="exact"/>
        <w:rPr>
          <w:rFonts w:ascii="Arial" w:cs="Arial" w:eastAsia="Arial" w:hAnsi="Arial"/>
          <w:sz w:val="22"/>
          <w:szCs w:val="22"/>
          <w:b w:val="1"/>
          <w:bCs w:val="1"/>
          <w:color w:val="auto"/>
        </w:rPr>
      </w:pPr>
    </w:p>
    <w:p>
      <w:pPr>
        <w:jc w:val="both"/>
        <w:ind w:left="632"/>
        <w:spacing w:after="0" w:line="212" w:lineRule="auto"/>
        <w:rPr>
          <w:rFonts w:ascii="Arial" w:cs="Arial" w:eastAsia="Arial" w:hAnsi="Arial"/>
          <w:sz w:val="22"/>
          <w:szCs w:val="22"/>
          <w:b w:val="1"/>
          <w:bCs w:val="1"/>
          <w:color w:val="auto"/>
        </w:rPr>
      </w:pPr>
      <w:r>
        <w:rPr>
          <w:rFonts w:ascii="Arial" w:cs="Arial" w:eastAsia="Arial" w:hAnsi="Arial"/>
          <w:sz w:val="22"/>
          <w:szCs w:val="22"/>
          <w:color w:val="auto"/>
        </w:rPr>
        <w:t>The Supervisory Board proposes - based on the recommendation of the Audit Committee - that the auditing company Ernst &amp; Young GmbH Wirtschaftsprüfungsgesellschaft, with its registered office in Stuttgart (Cologne branch; Börsenplatz 1, 50667 Cologne, Germany) as auditor for the 2022 financial year and, in each case, in the event that an audit or review or similar measure is to be performed with respect to a half-year financial report, interim financial statements or comparable periodic financial statements or in each case a management report for the relevant period, also on the basis of a voluntary resolution of the Company to that effect, and the period to which the relevant financial statements or report relate lies wholly or partly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32"/>
          </w:cols>
          <w:pgMar w:left="328" w:top="1440" w:right="339" w:bottom="1440" w:gutter="0" w:footer="0" w:header="0"/>
        </w:sectPr>
      </w:pPr>
    </w:p>
    <w:bookmarkStart w:id="6" w:name="page7"/>
    <w:bookmarkEnd w:id="6"/>
    <w:p>
      <w:pPr>
        <w:ind w:left="640"/>
        <w:spacing w:after="0" w:line="232" w:lineRule="auto"/>
        <w:rPr>
          <w:sz w:val="20"/>
          <w:szCs w:val="20"/>
          <w:color w:val="auto"/>
        </w:rPr>
      </w:pPr>
      <w:r>
        <w:rPr>
          <w:rFonts w:ascii="Arial" w:cs="Arial" w:eastAsia="Arial" w:hAnsi="Arial"/>
          <w:sz w:val="22"/>
          <w:szCs w:val="22"/>
          <w:color w:val="auto"/>
        </w:rPr>
        <w:t>within the 2022 financial year, to appoint the aforementioned auditing firm as auditor for the relevant financial statements or report.</w:t>
      </w:r>
    </w:p>
    <w:p>
      <w:pPr>
        <w:spacing w:after="0" w:line="261" w:lineRule="exact"/>
        <w:rPr>
          <w:sz w:val="20"/>
          <w:szCs w:val="20"/>
          <w:color w:val="auto"/>
        </w:rPr>
      </w:pPr>
    </w:p>
    <w:p>
      <w:pPr>
        <w:ind w:left="640" w:hanging="632"/>
        <w:spacing w:after="0"/>
        <w:tabs>
          <w:tab w:leader="none" w:pos="64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Resolution on the Approval of the Remuneration Report</w:t>
      </w:r>
    </w:p>
    <w:p>
      <w:pPr>
        <w:spacing w:after="0" w:line="185" w:lineRule="exact"/>
        <w:rPr>
          <w:rFonts w:ascii="Arial" w:cs="Arial" w:eastAsia="Arial" w:hAnsi="Arial"/>
          <w:sz w:val="22"/>
          <w:szCs w:val="22"/>
          <w:b w:val="1"/>
          <w:bCs w:val="1"/>
          <w:color w:val="auto"/>
        </w:rPr>
      </w:pPr>
    </w:p>
    <w:p>
      <w:pPr>
        <w:jc w:val="both"/>
        <w:ind w:left="640"/>
        <w:spacing w:after="0" w:line="229" w:lineRule="auto"/>
        <w:rPr>
          <w:rFonts w:ascii="Arial" w:cs="Arial" w:eastAsia="Arial" w:hAnsi="Arial"/>
          <w:sz w:val="22"/>
          <w:szCs w:val="22"/>
          <w:b w:val="1"/>
          <w:bCs w:val="1"/>
          <w:color w:val="auto"/>
        </w:rPr>
      </w:pPr>
      <w:r>
        <w:rPr>
          <w:rFonts w:ascii="Arial" w:cs="Arial" w:eastAsia="Arial" w:hAnsi="Arial"/>
          <w:sz w:val="21"/>
          <w:szCs w:val="21"/>
          <w:color w:val="auto"/>
        </w:rPr>
        <w:t>Following the amendment of the German Stock Corporation Act by the Act Implementing the Second Shareholder Rights Directive (</w:t>
      </w:r>
      <w:r>
        <w:rPr>
          <w:rFonts w:ascii="Arial" w:cs="Arial" w:eastAsia="Arial" w:hAnsi="Arial"/>
          <w:sz w:val="21"/>
          <w:szCs w:val="21"/>
          <w:i w:val="1"/>
          <w:iCs w:val="1"/>
          <w:color w:val="auto"/>
        </w:rPr>
        <w:t>ARUG II</w:t>
      </w:r>
      <w:r>
        <w:rPr>
          <w:rFonts w:ascii="Arial" w:cs="Arial" w:eastAsia="Arial" w:hAnsi="Arial"/>
          <w:sz w:val="21"/>
          <w:szCs w:val="21"/>
          <w:color w:val="auto"/>
        </w:rPr>
        <w:t>), a remuneration report pursuant to Sec. 162 of the German Stock Corporation Act must in future be prepared by the Management Board and Supervisory Board of listed companies and submitted to the Annual General Meeting for approval pursuant to Sec. 120a para. 4 of the German Stock Corporation Act.</w:t>
      </w:r>
    </w:p>
    <w:p>
      <w:pPr>
        <w:spacing w:after="0" w:line="158" w:lineRule="exact"/>
        <w:rPr>
          <w:rFonts w:ascii="Arial" w:cs="Arial" w:eastAsia="Arial" w:hAnsi="Arial"/>
          <w:sz w:val="22"/>
          <w:szCs w:val="22"/>
          <w:b w:val="1"/>
          <w:bCs w:val="1"/>
          <w:color w:val="auto"/>
        </w:rPr>
      </w:pPr>
    </w:p>
    <w:p>
      <w:pPr>
        <w:jc w:val="both"/>
        <w:ind w:left="640"/>
        <w:spacing w:after="0" w:line="268" w:lineRule="auto"/>
        <w:rPr>
          <w:rFonts w:ascii="Arial" w:cs="Arial" w:eastAsia="Arial" w:hAnsi="Arial"/>
          <w:sz w:val="22"/>
          <w:szCs w:val="22"/>
          <w:b w:val="1"/>
          <w:bCs w:val="1"/>
          <w:color w:val="auto"/>
        </w:rPr>
      </w:pPr>
      <w:r>
        <w:rPr>
          <w:rFonts w:ascii="Arial" w:cs="Arial" w:eastAsia="Arial" w:hAnsi="Arial"/>
          <w:sz w:val="19"/>
          <w:szCs w:val="19"/>
          <w:color w:val="auto"/>
        </w:rPr>
        <w:t>The remuneration report was audited by the auditor pursuant to Sec. 162 para. 3 of the German Stock Corporation Act to determine whether the legally required information pursuant to Sec. 162 para. 1 and 2 of the German Stock Corporation Act was provided. The report on the audit of the remuneration report is attached to the remuneration report.</w:t>
      </w:r>
    </w:p>
    <w:p>
      <w:pPr>
        <w:spacing w:after="0" w:line="132" w:lineRule="exact"/>
        <w:rPr>
          <w:rFonts w:ascii="Arial" w:cs="Arial" w:eastAsia="Arial" w:hAnsi="Arial"/>
          <w:sz w:val="22"/>
          <w:szCs w:val="22"/>
          <w:b w:val="1"/>
          <w:bCs w:val="1"/>
          <w:color w:val="auto"/>
        </w:rPr>
      </w:pPr>
    </w:p>
    <w:p>
      <w:pPr>
        <w:ind w:left="640"/>
        <w:spacing w:after="0" w:line="247" w:lineRule="auto"/>
        <w:rPr>
          <w:rFonts w:ascii="Arial" w:cs="Arial" w:eastAsia="Arial" w:hAnsi="Arial"/>
          <w:sz w:val="22"/>
          <w:szCs w:val="22"/>
          <w:b w:val="1"/>
          <w:bCs w:val="1"/>
          <w:color w:val="auto"/>
        </w:rPr>
      </w:pPr>
      <w:r>
        <w:rPr>
          <w:rFonts w:ascii="Arial" w:cs="Arial" w:eastAsia="Arial" w:hAnsi="Arial"/>
          <w:sz w:val="21"/>
          <w:szCs w:val="21"/>
          <w:color w:val="auto"/>
        </w:rPr>
        <w:t>The Management Board and the Supervisory Board propose that the remuneration report for the 2021 financial year, prepared and audited in accordance with Sec. 162 of the German Stock Corporation Act, be approved.</w:t>
      </w:r>
    </w:p>
    <w:p>
      <w:pPr>
        <w:spacing w:after="0" w:line="150" w:lineRule="exact"/>
        <w:rPr>
          <w:rFonts w:ascii="Arial" w:cs="Arial" w:eastAsia="Arial" w:hAnsi="Arial"/>
          <w:sz w:val="22"/>
          <w:szCs w:val="22"/>
          <w:b w:val="1"/>
          <w:bCs w:val="1"/>
          <w:color w:val="auto"/>
        </w:rPr>
      </w:pPr>
    </w:p>
    <w:p>
      <w:pPr>
        <w:jc w:val="both"/>
        <w:ind w:left="640"/>
        <w:spacing w:after="0" w:line="268" w:lineRule="auto"/>
        <w:rPr>
          <w:rFonts w:ascii="Arial" w:cs="Arial" w:eastAsia="Arial" w:hAnsi="Arial"/>
          <w:sz w:val="22"/>
          <w:szCs w:val="22"/>
          <w:b w:val="1"/>
          <w:bCs w:val="1"/>
          <w:color w:val="auto"/>
        </w:rPr>
      </w:pPr>
      <w:r>
        <w:rPr>
          <w:rFonts w:ascii="Arial" w:cs="Arial" w:eastAsia="Arial" w:hAnsi="Arial"/>
          <w:sz w:val="19"/>
          <w:szCs w:val="19"/>
          <w:color w:val="auto"/>
        </w:rPr>
        <w:t>The remuneration report is printed after the agenda in section II. "Reports and attachments to items on the agenda" under item 1 and is available on our website at " https://investors.biontech.de/agm" from the time the Annual General Meeting is convened. Furthermore, the remuneration report will also be accessible there during the Annual General Meeting.</w:t>
      </w:r>
    </w:p>
    <w:p>
      <w:pPr>
        <w:spacing w:after="0" w:line="234" w:lineRule="exact"/>
        <w:rPr>
          <w:rFonts w:ascii="Arial" w:cs="Arial" w:eastAsia="Arial" w:hAnsi="Arial"/>
          <w:sz w:val="22"/>
          <w:szCs w:val="22"/>
          <w:b w:val="1"/>
          <w:bCs w:val="1"/>
          <w:color w:val="auto"/>
        </w:rPr>
      </w:pPr>
    </w:p>
    <w:p>
      <w:pPr>
        <w:ind w:left="640" w:hanging="632"/>
        <w:spacing w:after="0"/>
        <w:tabs>
          <w:tab w:leader="none" w:pos="640"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Resolution on the Amendment of Sec. 9 para. 1 of the Articles of Association (Expansion of the Supervisory Board)</w:t>
      </w:r>
    </w:p>
    <w:p>
      <w:pPr>
        <w:spacing w:after="0" w:line="219" w:lineRule="exact"/>
        <w:rPr>
          <w:rFonts w:ascii="Arial" w:cs="Arial" w:eastAsia="Arial" w:hAnsi="Arial"/>
          <w:sz w:val="19"/>
          <w:szCs w:val="19"/>
          <w:b w:val="1"/>
          <w:bCs w:val="1"/>
          <w:color w:val="auto"/>
        </w:rPr>
      </w:pPr>
    </w:p>
    <w:p>
      <w:pPr>
        <w:jc w:val="both"/>
        <w:ind w:left="640"/>
        <w:spacing w:after="0" w:line="252" w:lineRule="auto"/>
        <w:rPr>
          <w:rFonts w:ascii="Arial" w:cs="Arial" w:eastAsia="Arial" w:hAnsi="Arial"/>
          <w:sz w:val="19"/>
          <w:szCs w:val="19"/>
          <w:b w:val="1"/>
          <w:bCs w:val="1"/>
          <w:color w:val="auto"/>
        </w:rPr>
      </w:pPr>
      <w:r>
        <w:rPr>
          <w:rFonts w:ascii="Arial" w:cs="Arial" w:eastAsia="Arial" w:hAnsi="Arial"/>
          <w:sz w:val="19"/>
          <w:szCs w:val="19"/>
          <w:color w:val="auto"/>
        </w:rPr>
        <w:t>Currently, the Supervisory Board consists of four members according to Sec. 9 para. 1 of the Articles of Association of the Company. The number of Supervisory Board members shall be increased to six in the future. This expansion takes into account the continuing growth of the Company and opens up the possibility of gaining additional expertise for the work of the Supervisory Board. The two additional seats on the Supervisory Board are to be filled by the election of two additional Supervisory Board members proposed under agenda item 8 of the Annual General Meeting.</w:t>
      </w:r>
    </w:p>
    <w:p>
      <w:pPr>
        <w:spacing w:after="0" w:line="148" w:lineRule="exact"/>
        <w:rPr>
          <w:rFonts w:ascii="Arial" w:cs="Arial" w:eastAsia="Arial" w:hAnsi="Arial"/>
          <w:sz w:val="19"/>
          <w:szCs w:val="19"/>
          <w:b w:val="1"/>
          <w:bCs w:val="1"/>
          <w:color w:val="auto"/>
        </w:rPr>
      </w:pPr>
    </w:p>
    <w:p>
      <w:pPr>
        <w:ind w:left="640"/>
        <w:spacing w:after="0"/>
        <w:rPr>
          <w:rFonts w:ascii="Arial" w:cs="Arial" w:eastAsia="Arial" w:hAnsi="Arial"/>
          <w:sz w:val="19"/>
          <w:szCs w:val="19"/>
          <w:b w:val="1"/>
          <w:bCs w:val="1"/>
          <w:color w:val="auto"/>
        </w:rPr>
      </w:pPr>
      <w:r>
        <w:rPr>
          <w:rFonts w:ascii="Arial" w:cs="Arial" w:eastAsia="Arial" w:hAnsi="Arial"/>
          <w:sz w:val="22"/>
          <w:szCs w:val="22"/>
          <w:color w:val="auto"/>
        </w:rPr>
        <w:t>The Management Board and the Supervisory Board propose to resolve:</w:t>
      </w:r>
    </w:p>
    <w:p>
      <w:pPr>
        <w:spacing w:after="0" w:line="179" w:lineRule="exact"/>
        <w:rPr>
          <w:rFonts w:ascii="Arial" w:cs="Arial" w:eastAsia="Arial" w:hAnsi="Arial"/>
          <w:sz w:val="19"/>
          <w:szCs w:val="19"/>
          <w:b w:val="1"/>
          <w:bCs w:val="1"/>
          <w:color w:val="auto"/>
        </w:rPr>
      </w:pPr>
    </w:p>
    <w:p>
      <w:pPr>
        <w:ind w:left="640" w:right="2840"/>
        <w:spacing w:after="0" w:line="430" w:lineRule="auto"/>
        <w:rPr>
          <w:rFonts w:ascii="Arial" w:cs="Arial" w:eastAsia="Arial" w:hAnsi="Arial"/>
          <w:sz w:val="19"/>
          <w:szCs w:val="19"/>
          <w:b w:val="1"/>
          <w:bCs w:val="1"/>
          <w:color w:val="auto"/>
        </w:rPr>
      </w:pPr>
      <w:r>
        <w:rPr>
          <w:rFonts w:ascii="Arial" w:cs="Arial" w:eastAsia="Arial" w:hAnsi="Arial"/>
          <w:sz w:val="22"/>
          <w:szCs w:val="22"/>
          <w:color w:val="auto"/>
        </w:rPr>
        <w:t>Sec. 9 para. 1 of the Articles of Association of the Company shall be amended as follows: „Der Aufsichtsrat besteht aus sechs Mitgliedern.“</w:t>
      </w:r>
    </w:p>
    <w:p>
      <w:pPr>
        <w:spacing w:after="0" w:line="59" w:lineRule="exact"/>
        <w:rPr>
          <w:rFonts w:ascii="Arial" w:cs="Arial" w:eastAsia="Arial" w:hAnsi="Arial"/>
          <w:sz w:val="19"/>
          <w:szCs w:val="19"/>
          <w:b w:val="1"/>
          <w:bCs w:val="1"/>
          <w:color w:val="auto"/>
        </w:rPr>
      </w:pPr>
    </w:p>
    <w:p>
      <w:pPr>
        <w:ind w:left="640" w:hanging="632"/>
        <w:spacing w:after="0"/>
        <w:tabs>
          <w:tab w:leader="none" w:pos="64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Resolutions on Elections to the Supervisory Board</w:t>
      </w:r>
    </w:p>
    <w:p>
      <w:pPr>
        <w:spacing w:after="0" w:line="185" w:lineRule="exact"/>
        <w:rPr>
          <w:rFonts w:ascii="Arial" w:cs="Arial" w:eastAsia="Arial" w:hAnsi="Arial"/>
          <w:sz w:val="22"/>
          <w:szCs w:val="22"/>
          <w:b w:val="1"/>
          <w:bCs w:val="1"/>
          <w:color w:val="auto"/>
        </w:rPr>
      </w:pPr>
    </w:p>
    <w:p>
      <w:pPr>
        <w:jc w:val="both"/>
        <w:ind w:left="640"/>
        <w:spacing w:after="0" w:line="229" w:lineRule="auto"/>
        <w:rPr>
          <w:rFonts w:ascii="Arial" w:cs="Arial" w:eastAsia="Arial" w:hAnsi="Arial"/>
          <w:sz w:val="22"/>
          <w:szCs w:val="22"/>
          <w:b w:val="1"/>
          <w:bCs w:val="1"/>
          <w:color w:val="auto"/>
        </w:rPr>
      </w:pPr>
      <w:r>
        <w:rPr>
          <w:rFonts w:ascii="Arial" w:cs="Arial" w:eastAsia="Arial" w:hAnsi="Arial"/>
          <w:sz w:val="21"/>
          <w:szCs w:val="21"/>
          <w:color w:val="auto"/>
        </w:rPr>
        <w:t>After the amendment to the Articles of Association to be resolved under agenda item 7 takes effect, the Supervisory Board of BioNTech SE will be composed of six members elected by the Annual General Meeting in accordance with Article 40 para. 2 and 3 of Regulation (EC) No. 2157/2001 (SE Regulation), Article 17 para. 1 sentences 2 and 4 of the SE Implementation Act and Sec. 9 para. 1 of the Articles of Association.</w:t>
      </w:r>
    </w:p>
    <w:p>
      <w:pPr>
        <w:spacing w:after="0" w:line="158" w:lineRule="exact"/>
        <w:rPr>
          <w:rFonts w:ascii="Arial" w:cs="Arial" w:eastAsia="Arial" w:hAnsi="Arial"/>
          <w:sz w:val="22"/>
          <w:szCs w:val="22"/>
          <w:b w:val="1"/>
          <w:bCs w:val="1"/>
          <w:color w:val="auto"/>
        </w:rPr>
      </w:pPr>
    </w:p>
    <w:p>
      <w:pPr>
        <w:jc w:val="both"/>
        <w:ind w:left="640"/>
        <w:spacing w:after="0" w:line="223" w:lineRule="auto"/>
        <w:rPr>
          <w:rFonts w:ascii="Arial" w:cs="Arial" w:eastAsia="Arial" w:hAnsi="Arial"/>
          <w:sz w:val="22"/>
          <w:szCs w:val="22"/>
          <w:b w:val="1"/>
          <w:bCs w:val="1"/>
          <w:color w:val="auto"/>
        </w:rPr>
      </w:pPr>
      <w:r>
        <w:rPr>
          <w:rFonts w:ascii="Arial" w:cs="Arial" w:eastAsia="Arial" w:hAnsi="Arial"/>
          <w:sz w:val="22"/>
          <w:szCs w:val="22"/>
          <w:color w:val="auto"/>
        </w:rPr>
        <w:t>Pursuant to Sec. 111 para. 5 of the German Stock Corporation Act, on 4 May 2020, the Supervisory Board set the target for the proportion of women on the Supervisory Board at 25 %. The deadline by which this target is to be achieved was set at 31 December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31" w:right="339" w:bottom="1440" w:gutter="0" w:footer="0" w:header="0"/>
        </w:sectPr>
      </w:pPr>
    </w:p>
    <w:bookmarkStart w:id="7" w:name="page8"/>
    <w:bookmarkEnd w:id="7"/>
    <w:p>
      <w:pPr>
        <w:jc w:val="both"/>
        <w:spacing w:after="0"/>
        <w:rPr>
          <w:sz w:val="20"/>
          <w:szCs w:val="20"/>
          <w:color w:val="auto"/>
        </w:rPr>
      </w:pPr>
      <w:r>
        <w:rPr>
          <w:rFonts w:ascii="Arial" w:cs="Arial" w:eastAsia="Arial" w:hAnsi="Arial"/>
          <w:sz w:val="19"/>
          <w:szCs w:val="19"/>
          <w:color w:val="auto"/>
        </w:rPr>
        <w:t>Unfortunately, the proposed election of one female and one male candidate does not meet these targets. In preparation for the election proposals for this Annual General Meeting, a large number of female and male candidates were interviewed. The focus was on finding candidates with expertise in the areas of accounting and auditing, compliance, corporate governance, but above all production, logistics and supply chain. The aim was to find a Supervisory Board member who could support the Company along the value chain in the market. Until the end, there were two female candidates on the shortlist for the above-mentioned areas who matched the competence profile. One of them is Prof. Dr. Anja Morawietz, who will also be proposed for election at this Annual General Meeting and who, among other things, has special expertise in the areas of accounting and auditing. However, it has proved very difficult to find a female candidate for the area of production, logistics and supply chain who matches the competence profile. The second possible candidate already held other Supervisory Board mandates at large listed companies, so that, from the Supervisory Board's point of view, it could not have been guaranteed that she would have had sufficient time to perform her duties as a member of the Supervisory Board of BioNTech SE. Prof. Dr. Rudolf Staudigl, in turn, has expertise in the areas of production, natural sciences and international markets, especially in China and India. He also understands biotechnological products due to his many years of activity as the Chairman of the Board of Directors of an international company, which is of great importance for the development of BioNTech SE. In addition, he also has the necessary scientific understanding due to his honorary professorship for industrial chemistry at the Technical University of Munich. After intensive deliberations, the Supervisory Board has therefore decided to propose Prof. Dr. Rudolf Staudigl for election as a further member of the Supervisory Board. For this reason, the self-imposed target regarding the target number of women on the Supervisory Board cannot be achieved in connection with the present election proposals. The topic of diversity will be given special consideration in the upcoming Supervisory Board elections next year.</w:t>
      </w:r>
    </w:p>
    <w:p>
      <w:pPr>
        <w:spacing w:after="0" w:line="38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election of Prof. Dr. Anja Morawietz and Prof. Dr. Rudolf Staudigl shall be for a term of office beginning with the entry of the amendment to the Articles of Association to be resolved under agenda item 7 in the Commercial Register and lasting until the end of the Annual General Meeting that resolves on the discharge for the 2025 financial year.</w:t>
      </w:r>
    </w:p>
    <w:p>
      <w:pPr>
        <w:spacing w:after="0" w:line="132" w:lineRule="exact"/>
        <w:rPr>
          <w:sz w:val="20"/>
          <w:szCs w:val="20"/>
          <w:color w:val="auto"/>
        </w:rPr>
      </w:pPr>
    </w:p>
    <w:p>
      <w:pPr>
        <w:jc w:val="both"/>
        <w:spacing w:after="0" w:line="211" w:lineRule="auto"/>
        <w:rPr>
          <w:sz w:val="20"/>
          <w:szCs w:val="20"/>
          <w:color w:val="auto"/>
        </w:rPr>
      </w:pPr>
      <w:r>
        <w:rPr>
          <w:rFonts w:ascii="Arial" w:cs="Arial" w:eastAsia="Arial" w:hAnsi="Arial"/>
          <w:sz w:val="22"/>
          <w:szCs w:val="22"/>
          <w:color w:val="auto"/>
        </w:rPr>
        <w:t>The Supervisory Board proposes - taking into account the objectives resolved by the Supervisory Board for its composition (with the exception of the target figure for the proportion of women on the Supervisory Board) and the competence profile drawn up by the Supervisory Board for the entire body, which are published in the declaration on corporate governance pursuant to Sec. 289f and 315f of the German Commercial Code (</w:t>
      </w:r>
      <w:r>
        <w:rPr>
          <w:rFonts w:ascii="Arial" w:cs="Arial" w:eastAsia="Arial" w:hAnsi="Arial"/>
          <w:sz w:val="22"/>
          <w:szCs w:val="22"/>
          <w:i w:val="1"/>
          <w:iCs w:val="1"/>
          <w:color w:val="auto"/>
        </w:rPr>
        <w:t>Handelsgesetzbuch, HGB</w:t>
      </w:r>
      <w:r>
        <w:rPr>
          <w:rFonts w:ascii="Arial" w:cs="Arial" w:eastAsia="Arial" w:hAnsi="Arial"/>
          <w:sz w:val="22"/>
          <w:szCs w:val="22"/>
          <w:color w:val="auto"/>
        </w:rPr>
        <w:t>) - to elect the persons listed below under item 8.1 and item 8.2 with effect from the entry of the amendment to the Articles of Association to be resolved under agenda item 7 in the Commercial Register. The term of office lasts until the end of the Annual General Meeting which decides on the discharge for the third business year after the beginning of the term of office. The business year in which the term of office begins shall not be counted. The election shall take place as an individual election.</w:t>
      </w:r>
    </w:p>
    <w:p>
      <w:pPr>
        <w:spacing w:after="0" w:line="13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color w:val="auto"/>
        </w:rPr>
        <w:t>Prof. Dr. Anja Morawietz, Frankfurt am Main</w:t>
      </w:r>
    </w:p>
    <w:p>
      <w:pPr>
        <w:ind w:left="640" w:right="260"/>
        <w:spacing w:after="0" w:line="224" w:lineRule="auto"/>
        <w:rPr>
          <w:sz w:val="20"/>
          <w:szCs w:val="20"/>
          <w:color w:val="auto"/>
        </w:rPr>
      </w:pPr>
      <w:r>
        <w:rPr>
          <w:rFonts w:ascii="Arial" w:cs="Arial" w:eastAsia="Arial" w:hAnsi="Arial"/>
          <w:sz w:val="22"/>
          <w:szCs w:val="22"/>
          <w:color w:val="auto"/>
        </w:rPr>
        <w:t>Professor of External Accounting and General Business Administration at the Nuremberg University of Applied Sciences Georg Simon Ohm</w:t>
      </w:r>
    </w:p>
    <w:p>
      <w:pPr>
        <w:spacing w:after="0" w:line="139"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color w:val="auto"/>
        </w:rPr>
        <w:t>Prof. Dr. Rudolf Staudigl, Burghausen</w:t>
      </w:r>
    </w:p>
    <w:p>
      <w:pPr>
        <w:ind w:left="640"/>
        <w:spacing w:after="0"/>
        <w:rPr>
          <w:sz w:val="20"/>
          <w:szCs w:val="20"/>
          <w:color w:val="auto"/>
        </w:rPr>
      </w:pPr>
      <w:r>
        <w:rPr>
          <w:rFonts w:ascii="Arial" w:cs="Arial" w:eastAsia="Arial" w:hAnsi="Arial"/>
          <w:sz w:val="22"/>
          <w:szCs w:val="22"/>
          <w:color w:val="auto"/>
        </w:rPr>
        <w:t>Independent consultant and member of the Supervisory Board of TÜV Süd Aktiengesellschaft</w:t>
      </w:r>
    </w:p>
    <w:p>
      <w:pPr>
        <w:spacing w:after="0" w:line="161"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Furthermore, to ensure the sustainable and successful implementation of the Company's objectives, a high degree of continuity should also be ensured in the work of the Supervisory Board beyond the 2023 year and the scheduled election of new Supervisory Board members next year. Therefore, the Chairman of the Supervisory Board, Mr. Helmut Jeggle,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00"/>
          </w:cols>
          <w:pgMar w:left="960" w:top="1131" w:right="339" w:bottom="1440" w:gutter="0" w:footer="0" w:header="0"/>
        </w:sectPr>
      </w:pPr>
    </w:p>
    <w:bookmarkStart w:id="8" w:name="page9"/>
    <w:bookmarkEnd w:id="8"/>
    <w:p>
      <w:pPr>
        <w:jc w:val="both"/>
        <w:spacing w:after="0" w:line="252" w:lineRule="auto"/>
        <w:rPr>
          <w:sz w:val="20"/>
          <w:szCs w:val="20"/>
          <w:color w:val="auto"/>
        </w:rPr>
      </w:pPr>
      <w:r>
        <w:rPr>
          <w:rFonts w:ascii="Arial" w:cs="Arial" w:eastAsia="Arial" w:hAnsi="Arial"/>
          <w:sz w:val="19"/>
          <w:szCs w:val="19"/>
          <w:color w:val="auto"/>
        </w:rPr>
        <w:t>reappointed early by the Annual General Meeting to ensure his participation in the Supervisory Board beyond 2023. The current term of office of Mr. Helmut Jeggle shall end at the end of the 2022 Annual General Meeting and the remaining term of the current term of office shall be counted towards the new term of office. The re-election of Mr. Helmut Jeggle shall take place for a term of office that begins at the end of the Annual General Meeting and lasts until the end of the Annual General Meeting that resolves on the discharge for the 2025 financial year.</w:t>
      </w:r>
    </w:p>
    <w:p>
      <w:pPr>
        <w:spacing w:after="0" w:line="149"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The Supervisory Board proposes - taking into account the objectives resolved by the Supervisory Board for its composition (with the exception of the target figure for the proportion of women on the Supervisory Board) and the competence profile drawn up by the Supervisory Board for the entire body, which are published in the declaration on corporate governance pursuant to Sec. 289f and 315f of the German Commercial Code (</w:t>
      </w:r>
      <w:r>
        <w:rPr>
          <w:rFonts w:ascii="Arial" w:cs="Arial" w:eastAsia="Arial" w:hAnsi="Arial"/>
          <w:sz w:val="21"/>
          <w:szCs w:val="21"/>
          <w:i w:val="1"/>
          <w:iCs w:val="1"/>
          <w:color w:val="auto"/>
        </w:rPr>
        <w:t>Handelsgesetzbuch</w:t>
      </w:r>
      <w:r>
        <w:rPr>
          <w:rFonts w:ascii="Arial" w:cs="Arial" w:eastAsia="Arial" w:hAnsi="Arial"/>
          <w:sz w:val="21"/>
          <w:szCs w:val="21"/>
          <w:color w:val="auto"/>
        </w:rPr>
        <w:t>) - to elect Mr. Helmut Jeggle as a member of the Supervisory Board with effect from the end of the Annual General Meeting. The appointment is made with the proviso that the current term of office ends at the end of the Annual General Meeting and a new term of office begins immediately thereafter, which lasts until the end of the Annual General Meeting that resolves on the discharge for the third financial year after the beginning of the term of office. The financial year in which the term of office begins shall not be counted.</w:t>
      </w:r>
    </w:p>
    <w:p>
      <w:pPr>
        <w:spacing w:after="0" w:line="140"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color w:val="auto"/>
        </w:rPr>
        <w:t>Mr. Helmut Jeggle, Holzkirchen</w:t>
      </w:r>
    </w:p>
    <w:p>
      <w:pPr>
        <w:ind w:left="640"/>
        <w:spacing w:after="0"/>
        <w:rPr>
          <w:sz w:val="20"/>
          <w:szCs w:val="20"/>
          <w:color w:val="auto"/>
        </w:rPr>
      </w:pPr>
      <w:r>
        <w:rPr>
          <w:rFonts w:ascii="Arial" w:cs="Arial" w:eastAsia="Arial" w:hAnsi="Arial"/>
          <w:sz w:val="22"/>
          <w:szCs w:val="22"/>
          <w:color w:val="auto"/>
        </w:rPr>
        <w:t>Managing Partner of Salvia GmbH and entrepreneurial venture capital investor.</w:t>
      </w:r>
    </w:p>
    <w:p>
      <w:pPr>
        <w:spacing w:after="0" w:line="16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election proposals are based on corresponding proposals of the Compensation, Nominating and Corporate Governance Committee.</w:t>
      </w:r>
    </w:p>
    <w:p>
      <w:pPr>
        <w:spacing w:after="0" w:line="153"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In accordance with recommendation C.13 of the German Corporate Governance Code ("</w:t>
      </w:r>
      <w:r>
        <w:rPr>
          <w:rFonts w:ascii="Arial" w:cs="Arial" w:eastAsia="Arial" w:hAnsi="Arial"/>
          <w:sz w:val="22"/>
          <w:szCs w:val="22"/>
          <w:b w:val="1"/>
          <w:bCs w:val="1"/>
          <w:color w:val="auto"/>
        </w:rPr>
        <w:t>GCGC</w:t>
      </w:r>
      <w:r>
        <w:rPr>
          <w:rFonts w:ascii="Arial" w:cs="Arial" w:eastAsia="Arial" w:hAnsi="Arial"/>
          <w:sz w:val="22"/>
          <w:szCs w:val="22"/>
          <w:color w:val="auto"/>
        </w:rPr>
        <w:t>"), it is declared that, in the opinion of the Supervisory Board, the candidates Prof. Dr. Anja Morawietz and Prof. Dr. Rudolf Staudigl do not have any personal or business relationships with BioNTech SE or its group companies, the executive bodies of BioNTech SE or a shareholder with a significant stake in BioNTech SE that an objectively judging shareholder would regard as decisive for his election decision.</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The candidate Mr. Helmut Jeggle held various management positions for ATHOS KG (formerly ATHOS Service GmbH) until his retirement as general partner of ATHOS KG on 30 April 2021, most recently as personally liable partner (general partner (</w:t>
      </w:r>
      <w:r>
        <w:rPr>
          <w:rFonts w:ascii="Arial" w:cs="Arial" w:eastAsia="Arial" w:hAnsi="Arial"/>
          <w:sz w:val="19"/>
          <w:szCs w:val="19"/>
          <w:i w:val="1"/>
          <w:iCs w:val="1"/>
          <w:color w:val="auto"/>
        </w:rPr>
        <w:t>Komplementär</w:t>
      </w:r>
      <w:r>
        <w:rPr>
          <w:rFonts w:ascii="Arial" w:cs="Arial" w:eastAsia="Arial" w:hAnsi="Arial"/>
          <w:sz w:val="19"/>
          <w:szCs w:val="19"/>
          <w:color w:val="auto"/>
        </w:rPr>
        <w:t>)). ATHOS KG, Holzkirchen, Germany, owns 100% of the shares in AT Impf GmbH, Munich, Germany, and was the beneficial owner of 43.8% of the ordinary shares in BioNTech SE as of the reporting date 31 December 2021. ATHOS KG exercises de facto control over BioNTech SE, as it was able to exercise the majority of the voting rights in the adoption of resolutions at the Annual General Meeting due to its substantial shareholding. After his departure as a general partner of ATHOS KG on 30 April 2021, Mr. Helmut Jeggle neither holds an executive body function at a shareholder with a significant interest in the Company nor a shareholding under corporate law in a shareholder with a significant interest in the Company. Shareholders who directly or indirectly hold more than 10% of the voting shares of the Company are deemed to have a material interest within the meaning of recommendation C.13 GCGC.</w:t>
      </w:r>
    </w:p>
    <w:p>
      <w:pPr>
        <w:spacing w:after="0" w:line="15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Notwithstanding the fact that Mr. Helmut Jeggle has been a member of the Supervisory Board for more than twelve years, he is to be regarded as independent of the Company and the Management Board, as he has no personal or business relationship with the Company or the Management Board that constitutes a material and not merely temporary conflict of interest. The length of membership alone is only one of four indicators to be taken into account according to the GCGC when assessing the independence of the members of the Supervisory Board and is not the only decisive factor. In the opinion of the Supervisory Board, all relevant circumstances must be taken into account in an overall assessment of the independence of a Supervisory Board member. The other three indicators explicitly mentioned in the DCGK, which are to be assessed when evaluating the independence of a Supervisory Board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600"/>
          </w:cols>
          <w:pgMar w:left="960" w:top="1131" w:right="339" w:bottom="1440" w:gutter="0" w:footer="0" w:header="0"/>
        </w:sectPr>
      </w:pPr>
    </w:p>
    <w:bookmarkStart w:id="9" w:name="page10"/>
    <w:bookmarkEnd w:id="9"/>
    <w:p>
      <w:pPr>
        <w:ind w:left="640"/>
        <w:spacing w:after="0" w:line="232" w:lineRule="auto"/>
        <w:rPr>
          <w:sz w:val="20"/>
          <w:szCs w:val="20"/>
          <w:color w:val="auto"/>
        </w:rPr>
      </w:pPr>
      <w:r>
        <w:rPr>
          <w:rFonts w:ascii="Arial" w:cs="Arial" w:eastAsia="Arial" w:hAnsi="Arial"/>
          <w:sz w:val="22"/>
          <w:szCs w:val="22"/>
          <w:color w:val="auto"/>
        </w:rPr>
        <w:t>are not fulfilled with regard to Mr. Helmut Jeggle. These indicators are, in particular, whether the Supervisory Board member himself/herself or a close family member of the Supervisory Board member:</w:t>
      </w:r>
    </w:p>
    <w:p>
      <w:pPr>
        <w:spacing w:after="0" w:line="159" w:lineRule="exact"/>
        <w:rPr>
          <w:sz w:val="20"/>
          <w:szCs w:val="20"/>
          <w:color w:val="auto"/>
        </w:rPr>
      </w:pPr>
    </w:p>
    <w:p>
      <w:pPr>
        <w:ind w:left="960" w:hanging="314"/>
        <w:spacing w:after="0"/>
        <w:tabs>
          <w:tab w:leader="none" w:pos="960" w:val="left"/>
        </w:tabs>
        <w:numPr>
          <w:ilvl w:val="0"/>
          <w:numId w:val="7"/>
        </w:numPr>
        <w:rPr>
          <w:rFonts w:ascii="Arial" w:cs="Arial" w:eastAsia="Arial" w:hAnsi="Arial"/>
          <w:sz w:val="22"/>
          <w:szCs w:val="22"/>
          <w:color w:val="auto"/>
        </w:rPr>
      </w:pPr>
      <w:r>
        <w:rPr>
          <w:rFonts w:ascii="Arial" w:cs="Arial" w:eastAsia="Arial" w:hAnsi="Arial"/>
          <w:sz w:val="22"/>
          <w:szCs w:val="22"/>
          <w:color w:val="auto"/>
        </w:rPr>
        <w:t>was a member of the Management Board in the two years preceding the appointment,</w:t>
      </w:r>
    </w:p>
    <w:p>
      <w:pPr>
        <w:spacing w:after="0" w:line="179" w:lineRule="exact"/>
        <w:rPr>
          <w:rFonts w:ascii="Arial" w:cs="Arial" w:eastAsia="Arial" w:hAnsi="Arial"/>
          <w:sz w:val="22"/>
          <w:szCs w:val="22"/>
          <w:color w:val="auto"/>
        </w:rPr>
      </w:pPr>
    </w:p>
    <w:p>
      <w:pPr>
        <w:jc w:val="both"/>
        <w:ind w:left="980" w:hanging="334"/>
        <w:spacing w:after="0" w:line="223" w:lineRule="auto"/>
        <w:tabs>
          <w:tab w:leader="none" w:pos="975" w:val="left"/>
        </w:tabs>
        <w:numPr>
          <w:ilvl w:val="0"/>
          <w:numId w:val="7"/>
        </w:numPr>
        <w:rPr>
          <w:rFonts w:ascii="Arial" w:cs="Arial" w:eastAsia="Arial" w:hAnsi="Arial"/>
          <w:sz w:val="22"/>
          <w:szCs w:val="22"/>
          <w:color w:val="auto"/>
        </w:rPr>
      </w:pPr>
      <w:r>
        <w:rPr>
          <w:rFonts w:ascii="Arial" w:cs="Arial" w:eastAsia="Arial" w:hAnsi="Arial"/>
          <w:sz w:val="22"/>
          <w:szCs w:val="22"/>
          <w:color w:val="auto"/>
        </w:rPr>
        <w:t>currently has or has had a material business relationship with the Company or a company dependent on it, either directly or as a shareholder or in a responsible function of a company outside the group, or in the year up to his appointment, or</w:t>
      </w:r>
    </w:p>
    <w:p>
      <w:pPr>
        <w:spacing w:after="0" w:line="158" w:lineRule="exact"/>
        <w:rPr>
          <w:rFonts w:ascii="Arial" w:cs="Arial" w:eastAsia="Arial" w:hAnsi="Arial"/>
          <w:sz w:val="22"/>
          <w:szCs w:val="22"/>
          <w:color w:val="auto"/>
        </w:rPr>
      </w:pPr>
    </w:p>
    <w:p>
      <w:pPr>
        <w:ind w:left="960" w:hanging="314"/>
        <w:spacing w:after="0"/>
        <w:tabs>
          <w:tab w:leader="none" w:pos="960" w:val="left"/>
        </w:tabs>
        <w:numPr>
          <w:ilvl w:val="0"/>
          <w:numId w:val="7"/>
        </w:numPr>
        <w:rPr>
          <w:rFonts w:ascii="Arial" w:cs="Arial" w:eastAsia="Arial" w:hAnsi="Arial"/>
          <w:sz w:val="22"/>
          <w:szCs w:val="22"/>
          <w:color w:val="auto"/>
        </w:rPr>
      </w:pPr>
      <w:r>
        <w:rPr>
          <w:rFonts w:ascii="Arial" w:cs="Arial" w:eastAsia="Arial" w:hAnsi="Arial"/>
          <w:sz w:val="22"/>
          <w:szCs w:val="22"/>
          <w:color w:val="auto"/>
        </w:rPr>
        <w:t>is a close family member of a member of the Management Board.</w:t>
      </w:r>
    </w:p>
    <w:p>
      <w:pPr>
        <w:spacing w:after="0" w:line="179" w:lineRule="exact"/>
        <w:rPr>
          <w:sz w:val="20"/>
          <w:szCs w:val="20"/>
          <w:color w:val="auto"/>
        </w:rPr>
      </w:pPr>
    </w:p>
    <w:p>
      <w:pPr>
        <w:jc w:val="both"/>
        <w:ind w:left="640"/>
        <w:spacing w:after="0" w:line="221" w:lineRule="auto"/>
        <w:rPr>
          <w:sz w:val="20"/>
          <w:szCs w:val="20"/>
          <w:color w:val="auto"/>
        </w:rPr>
      </w:pPr>
      <w:r>
        <w:rPr>
          <w:rFonts w:ascii="Arial" w:cs="Arial" w:eastAsia="Arial" w:hAnsi="Arial"/>
          <w:sz w:val="21"/>
          <w:szCs w:val="21"/>
          <w:color w:val="auto"/>
        </w:rPr>
        <w:t>In the opinion of the Supervisory Board, it is in the Company's interest to continue to use the many years of experience of Mr. Helmut Jeggle as a member of the Supervisory Board of BioNTech SE for the benefit of the Company. The Supervisory Board is convinced that the automatic departure of a Supervisory Board member after twelve years of membership of the Supervisory Board is not suitable for improving or professionalizing the work of the Supervisory Board, irrespective of an individual consideration of the respective Supervisory Board members and the respective composition of the Supervisory Board. In the opinion of the Supervisory Board, it may therefore be in the interest of the Company regarding continuity and a sustainable long-term orientation of the Company for a Supervisory Board member to serve on the Supervisory Board for longer than twelve years.</w:t>
      </w:r>
    </w:p>
    <w:p>
      <w:pPr>
        <w:spacing w:after="0" w:line="165" w:lineRule="exact"/>
        <w:rPr>
          <w:sz w:val="20"/>
          <w:szCs w:val="20"/>
          <w:color w:val="auto"/>
        </w:rPr>
      </w:pPr>
    </w:p>
    <w:p>
      <w:pPr>
        <w:jc w:val="both"/>
        <w:ind w:left="640"/>
        <w:spacing w:after="0" w:line="247" w:lineRule="auto"/>
        <w:rPr>
          <w:sz w:val="20"/>
          <w:szCs w:val="20"/>
          <w:color w:val="auto"/>
        </w:rPr>
      </w:pPr>
      <w:r>
        <w:rPr>
          <w:rFonts w:ascii="Arial" w:cs="Arial" w:eastAsia="Arial" w:hAnsi="Arial"/>
          <w:sz w:val="21"/>
          <w:szCs w:val="21"/>
          <w:color w:val="auto"/>
        </w:rPr>
        <w:t>After careful examination, the Supervisory Board has therefore concluded that Prof. Dr. Anja Morawietz, Prof. Dr. Rudolf Staudigl and Mr. Helmut Jeggle are independent in the sense of recommendation C.6 of the GCGC.</w:t>
      </w:r>
    </w:p>
    <w:p>
      <w:pPr>
        <w:spacing w:after="0" w:line="151" w:lineRule="exact"/>
        <w:rPr>
          <w:sz w:val="20"/>
          <w:szCs w:val="20"/>
          <w:color w:val="auto"/>
        </w:rPr>
      </w:pPr>
    </w:p>
    <w:p>
      <w:pPr>
        <w:jc w:val="both"/>
        <w:ind w:left="640"/>
        <w:spacing w:after="0" w:line="232" w:lineRule="auto"/>
        <w:rPr>
          <w:sz w:val="20"/>
          <w:szCs w:val="20"/>
          <w:color w:val="auto"/>
        </w:rPr>
      </w:pPr>
      <w:r>
        <w:rPr>
          <w:rFonts w:ascii="Arial" w:cs="Arial" w:eastAsia="Arial" w:hAnsi="Arial"/>
          <w:sz w:val="22"/>
          <w:szCs w:val="22"/>
          <w:color w:val="auto"/>
        </w:rPr>
        <w:t>Prof. Dr. Anja Morawietz has expertise in the field of accounting as well as in the field of auditing in the sense of Sec. 100 para. 5 of the German Stock Corporation Act.</w:t>
      </w:r>
    </w:p>
    <w:p>
      <w:pPr>
        <w:spacing w:after="0" w:line="159" w:lineRule="exact"/>
        <w:rPr>
          <w:sz w:val="20"/>
          <w:szCs w:val="20"/>
          <w:color w:val="auto"/>
        </w:rPr>
      </w:pPr>
    </w:p>
    <w:p>
      <w:pPr>
        <w:jc w:val="both"/>
        <w:ind w:left="640"/>
        <w:spacing w:after="0" w:line="298" w:lineRule="auto"/>
        <w:rPr>
          <w:sz w:val="20"/>
          <w:szCs w:val="20"/>
          <w:color w:val="auto"/>
        </w:rPr>
      </w:pPr>
      <w:r>
        <w:rPr>
          <w:rFonts w:ascii="Arial" w:cs="Arial" w:eastAsia="Arial" w:hAnsi="Arial"/>
          <w:sz w:val="19"/>
          <w:szCs w:val="19"/>
          <w:color w:val="auto"/>
        </w:rPr>
        <w:t>The Supervisory Board has also assured Prof. Dr. Anja Morawietz, Prof. Dr. Rudolf Staudigl and Mr. Helmut Jeggle that they have sufficient time to perform their duties as members of the Supervisory Board of BioNTech SE.</w:t>
      </w:r>
    </w:p>
    <w:p>
      <w:pPr>
        <w:spacing w:after="0" w:line="105" w:lineRule="exact"/>
        <w:rPr>
          <w:sz w:val="20"/>
          <w:szCs w:val="20"/>
          <w:color w:val="auto"/>
        </w:rPr>
      </w:pPr>
    </w:p>
    <w:p>
      <w:pPr>
        <w:jc w:val="both"/>
        <w:ind w:left="640"/>
        <w:spacing w:after="0" w:line="232" w:lineRule="auto"/>
        <w:rPr>
          <w:sz w:val="20"/>
          <w:szCs w:val="20"/>
          <w:color w:val="auto"/>
        </w:rPr>
      </w:pPr>
      <w:r>
        <w:rPr>
          <w:rFonts w:ascii="Arial" w:cs="Arial" w:eastAsia="Arial" w:hAnsi="Arial"/>
          <w:sz w:val="22"/>
          <w:szCs w:val="22"/>
          <w:color w:val="auto"/>
        </w:rPr>
        <w:t>It is intended to propose Mr. Helmut Jeggle again as a candidate for the chairmanship of the Supervisory Board in the event of his re-election to the Supervisory Board.</w:t>
      </w:r>
    </w:p>
    <w:p>
      <w:pPr>
        <w:spacing w:after="0" w:line="159" w:lineRule="exact"/>
        <w:rPr>
          <w:sz w:val="20"/>
          <w:szCs w:val="20"/>
          <w:color w:val="auto"/>
        </w:rPr>
      </w:pPr>
    </w:p>
    <w:p>
      <w:pPr>
        <w:jc w:val="both"/>
        <w:ind w:left="640"/>
        <w:spacing w:after="0" w:line="268" w:lineRule="auto"/>
        <w:rPr>
          <w:sz w:val="20"/>
          <w:szCs w:val="20"/>
          <w:color w:val="auto"/>
        </w:rPr>
      </w:pPr>
      <w:r>
        <w:rPr>
          <w:rFonts w:ascii="Arial" w:cs="Arial" w:eastAsia="Arial" w:hAnsi="Arial"/>
          <w:sz w:val="19"/>
          <w:szCs w:val="19"/>
          <w:color w:val="auto"/>
        </w:rPr>
        <w:t>The curricula vitae of Prof. Dr. Anja Morawietz, Prof. Dr. Rudolf Staudigl and Mr. Helmut Jeggle are printed after the agenda in section II. "Reports and attachments to items on the agenda" under item 2. These are also published at " https://investors.biontech.de/agm" and will also be accessible there during the Annual General Meeting.</w:t>
      </w:r>
    </w:p>
    <w:p>
      <w:pPr>
        <w:spacing w:after="0" w:line="234" w:lineRule="exact"/>
        <w:rPr>
          <w:sz w:val="20"/>
          <w:szCs w:val="20"/>
          <w:color w:val="auto"/>
        </w:rPr>
      </w:pPr>
    </w:p>
    <w:p>
      <w:pPr>
        <w:ind w:left="640" w:hanging="632"/>
        <w:spacing w:after="0" w:line="235" w:lineRule="auto"/>
        <w:tabs>
          <w:tab w:leader="none" w:pos="636"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Resolution on the Remuneration and on the Remuneration System for the Members of the Supervisory Board and an Amendment to Sec. 9 para. 6 of the Articles of Association</w:t>
      </w:r>
    </w:p>
    <w:p>
      <w:pPr>
        <w:spacing w:after="0" w:line="158" w:lineRule="exact"/>
        <w:rPr>
          <w:rFonts w:ascii="Arial" w:cs="Arial" w:eastAsia="Arial" w:hAnsi="Arial"/>
          <w:sz w:val="22"/>
          <w:szCs w:val="22"/>
          <w:b w:val="1"/>
          <w:bCs w:val="1"/>
          <w:color w:val="auto"/>
        </w:rPr>
      </w:pPr>
    </w:p>
    <w:p>
      <w:pPr>
        <w:ind w:left="640"/>
        <w:spacing w:after="0" w:line="247" w:lineRule="auto"/>
        <w:rPr>
          <w:rFonts w:ascii="Arial" w:cs="Arial" w:eastAsia="Arial" w:hAnsi="Arial"/>
          <w:sz w:val="22"/>
          <w:szCs w:val="22"/>
          <w:b w:val="1"/>
          <w:bCs w:val="1"/>
          <w:color w:val="auto"/>
        </w:rPr>
      </w:pPr>
      <w:r>
        <w:rPr>
          <w:rFonts w:ascii="Arial" w:cs="Arial" w:eastAsia="Arial" w:hAnsi="Arial"/>
          <w:sz w:val="21"/>
          <w:szCs w:val="21"/>
          <w:color w:val="auto"/>
        </w:rPr>
        <w:t>Pursuant to Sec. 113 para. 3 of the German Stock Corporation Act, the Annual General Meeting of a listed company must resolve on the remuneration of the members of the Supervisory Board at least every four years.</w:t>
      </w:r>
    </w:p>
    <w:p>
      <w:pPr>
        <w:spacing w:after="0" w:line="150" w:lineRule="exact"/>
        <w:rPr>
          <w:rFonts w:ascii="Arial" w:cs="Arial" w:eastAsia="Arial" w:hAnsi="Arial"/>
          <w:sz w:val="22"/>
          <w:szCs w:val="22"/>
          <w:b w:val="1"/>
          <w:bCs w:val="1"/>
          <w:color w:val="auto"/>
        </w:rPr>
      </w:pPr>
    </w:p>
    <w:p>
      <w:pPr>
        <w:jc w:val="both"/>
        <w:ind w:left="640"/>
        <w:spacing w:after="0" w:line="226" w:lineRule="auto"/>
        <w:rPr>
          <w:rFonts w:ascii="Arial" w:cs="Arial" w:eastAsia="Arial" w:hAnsi="Arial"/>
          <w:sz w:val="22"/>
          <w:szCs w:val="22"/>
          <w:b w:val="1"/>
          <w:bCs w:val="1"/>
          <w:color w:val="auto"/>
        </w:rPr>
      </w:pPr>
      <w:r>
        <w:rPr>
          <w:rFonts w:ascii="Arial" w:cs="Arial" w:eastAsia="Arial" w:hAnsi="Arial"/>
          <w:sz w:val="21"/>
          <w:szCs w:val="21"/>
          <w:color w:val="auto"/>
        </w:rPr>
        <w:t>The remuneration of the members of the Supervisory Board regulated in Sec. 9 para. 6 of the Company's Articles of Association was resolved at the Annual General Meeting on 22 June 2021. The regulation provides that the Supervisory Board remuneration is structured as a purely fixed remuneration. The exact wording of Sec. 9 para. 6 of the Articles of Association and the underlying abstract remuneration system for the Supervisory Board with the information pursuant to Sec. 113 para. 3 sentence 3 and Sec. 87a para. 1 sentence 2 of the German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31" w:right="339" w:bottom="1440" w:gutter="0" w:footer="0" w:header="0"/>
        </w:sectPr>
      </w:pPr>
    </w:p>
    <w:bookmarkStart w:id="10" w:name="page11"/>
    <w:bookmarkEnd w:id="10"/>
    <w:p>
      <w:pPr>
        <w:spacing w:after="0"/>
        <w:rPr>
          <w:sz w:val="20"/>
          <w:szCs w:val="20"/>
          <w:color w:val="auto"/>
        </w:rPr>
      </w:pPr>
      <w:r>
        <w:rPr>
          <w:rFonts w:ascii="Arial" w:cs="Arial" w:eastAsia="Arial" w:hAnsi="Arial"/>
          <w:sz w:val="21"/>
          <w:szCs w:val="21"/>
          <w:color w:val="auto"/>
        </w:rPr>
        <w:t>Corporation Act are presented in this convening invitation in Section II "Reports and Annexes to agenda items - 3.</w:t>
      </w:r>
    </w:p>
    <w:p>
      <w:pPr>
        <w:spacing w:after="0"/>
        <w:rPr>
          <w:sz w:val="20"/>
          <w:szCs w:val="20"/>
          <w:color w:val="auto"/>
        </w:rPr>
      </w:pPr>
      <w:r>
        <w:rPr>
          <w:rFonts w:ascii="Arial" w:cs="Arial" w:eastAsia="Arial" w:hAnsi="Arial"/>
          <w:sz w:val="22"/>
          <w:szCs w:val="22"/>
          <w:color w:val="auto"/>
        </w:rPr>
        <w:t>Remuneration system for the members of the Supervisory Board of BioNTech SE (for agenda item 9)".</w:t>
      </w:r>
    </w:p>
    <w:p>
      <w:pPr>
        <w:spacing w:after="0" w:line="161"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Due to the rapid growth of the BioNTech Group in the past financial year and the increasing complexity of the individual topics in the committees, more meetings and telephone conferences were necessary in the individual committees in the past financial year than before. The Audit Committee held a total of ten meetings, the Compensation, Nominating and Corporate Governance Committee a total of eleven meetings and the Capital Markets Committee a total of seven meetings in the 2021 financial year. In addition, regular telephone conferences were held in each committee. The workload increased enormously for the respective committee members. The work of the committees was associated with a significant additional workload. This additional workload is also to be expected for the current financial year, which, due to the development of the Company, will probably correspond to the workload for the 2021 financial year. After a thorough examination, the Management Board and the Supervisory Board have therefore concluded that the activity in a committee should be remunerated separately due to the additional workload. Therefore, an ordinary committee member shall receive an additional annual remuneration of EUR 5,000 per Committee in the future. At the same time, the workload of the chair of the Supervisory Board Committees has increased enormously. Therefore, the chair of a committee other than the Audit Committee shall in future be remunerated with EUR 15,000 per year.</w:t>
      </w:r>
    </w:p>
    <w:p>
      <w:pPr>
        <w:spacing w:after="0" w:line="160"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While maintaining the system for the remuneration of Supervisory Board members, the remuneration for the respective chair of a committee (except for the chair of the Audit Committee) shall be increased and a separate remuneration for ordinary committee members shall be introduced. Accordingly, Sec. 9 para. 6 of the Articles of Association of the Company shall be revised.</w:t>
      </w:r>
    </w:p>
    <w:p>
      <w:pPr>
        <w:spacing w:after="0" w:line="161"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The new provision of Sec. 9 para. 6 of the Articles of Association of the Company shall become effective upon entry of the amendment to the Articles of Association in the Commercial Register of the Company and shall apply retroactively from the beginning of the current 2022 financial year.</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Management Board and the Supervisory Board propose that the following be resolved:</w:t>
      </w:r>
    </w:p>
    <w:p>
      <w:pPr>
        <w:spacing w:after="0" w:line="17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Amendment of Sec. 9 para. 6 of the Articles of Association</w:t>
      </w:r>
    </w:p>
    <w:p>
      <w:pPr>
        <w:spacing w:after="0" w:line="179" w:lineRule="exact"/>
        <w:rPr>
          <w:sz w:val="20"/>
          <w:szCs w:val="20"/>
          <w:color w:val="auto"/>
        </w:rPr>
      </w:pPr>
    </w:p>
    <w:p>
      <w:pPr>
        <w:jc w:val="both"/>
        <w:ind w:left="640"/>
        <w:spacing w:after="0" w:line="242" w:lineRule="auto"/>
        <w:rPr>
          <w:sz w:val="20"/>
          <w:szCs w:val="20"/>
          <w:color w:val="auto"/>
        </w:rPr>
      </w:pPr>
      <w:r>
        <w:rPr>
          <w:rFonts w:ascii="Arial" w:cs="Arial" w:eastAsia="Arial" w:hAnsi="Arial"/>
          <w:sz w:val="19"/>
          <w:szCs w:val="19"/>
          <w:color w:val="auto"/>
        </w:rPr>
        <w:t>Sec. 9 para. 6 of the Articles of Association shall be amended as follows: "In addition to reimbursement of their expenses, the members of the Supervisory Board shall receive annual compensation of EUR 70,000, the Chair three times this amount and the Vice Chair one and a half times this amount. The Chair of the Audit Committee shall receive an additional annual compensation of EUR 30,000. The respective Chair of another committee shall receive an additional annual compensation of EUR 15,000. An ordinary committee member receives an additional annual remuneration of EUR 5,000 per committee. Members of the Supervisory Board who are only members of the Supervisory Board for part of the financial year or who chair or vice-chair the Supervisory Board or the Audit Committee or another committee shall receive the respective compensation on a pro-rata basis. The same applies insofar as this regulation or this regulation in a specific version is only in force during part of the financial year. If the reimbursement of expenses or the compensation is subject to value added tax, the value added tax shall be paid in addition. In its own interest, the Company shall maintain appropriate D&amp;O liability insurance for its corporate bodies and management, which shall also include the members of the Supervisory Board and be co-insured at the expense of the Company."</w:t>
      </w:r>
    </w:p>
    <w:p>
      <w:pPr>
        <w:spacing w:after="0" w:line="160"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System for the remuneration of the members of the Supervisory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600"/>
          </w:cols>
          <w:pgMar w:left="960" w:top="1123" w:right="339" w:bottom="1440" w:gutter="0" w:footer="0" w:header="0"/>
        </w:sectPr>
      </w:pPr>
    </w:p>
    <w:bookmarkStart w:id="11" w:name="page12"/>
    <w:bookmarkEnd w:id="11"/>
    <w:p>
      <w:pPr>
        <w:jc w:val="both"/>
        <w:ind w:left="1280"/>
        <w:spacing w:after="0" w:line="216" w:lineRule="auto"/>
        <w:rPr>
          <w:sz w:val="20"/>
          <w:szCs w:val="20"/>
          <w:color w:val="auto"/>
        </w:rPr>
      </w:pPr>
      <w:r>
        <w:rPr>
          <w:rFonts w:ascii="Arial" w:cs="Arial" w:eastAsia="Arial" w:hAnsi="Arial"/>
          <w:sz w:val="22"/>
          <w:szCs w:val="22"/>
          <w:color w:val="auto"/>
        </w:rPr>
        <w:t>"The remuneration regulations for the members of the Supervisory Board, which have been adjusted in this way and are otherwise unchanged, are confirmed and the remuneration system for the members of the Supervisory Board printed in the invitation to the meeting under section II "Reports and annexes to items on the agenda - 3. remuneration system for the members of the Supervisory Board of BioNTech SE (regarding agenda item 9)" is adopted. "</w:t>
      </w:r>
    </w:p>
    <w:p>
      <w:pPr>
        <w:spacing w:after="0" w:line="260" w:lineRule="exact"/>
        <w:rPr>
          <w:sz w:val="20"/>
          <w:szCs w:val="20"/>
          <w:color w:val="auto"/>
        </w:rPr>
      </w:pPr>
    </w:p>
    <w:p>
      <w:pPr>
        <w:ind w:left="640" w:hanging="632"/>
        <w:spacing w:after="0"/>
        <w:tabs>
          <w:tab w:leader="none" w:pos="64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Conclusion of Inter-Company Agreements</w:t>
      </w:r>
    </w:p>
    <w:p>
      <w:pPr>
        <w:spacing w:after="0" w:line="185" w:lineRule="exact"/>
        <w:rPr>
          <w:rFonts w:ascii="Arial" w:cs="Arial" w:eastAsia="Arial" w:hAnsi="Arial"/>
          <w:sz w:val="22"/>
          <w:szCs w:val="22"/>
          <w:b w:val="1"/>
          <w:bCs w:val="1"/>
          <w:color w:val="auto"/>
        </w:rPr>
      </w:pPr>
    </w:p>
    <w:p>
      <w:pPr>
        <w:jc w:val="both"/>
        <w:ind w:left="640"/>
        <w:spacing w:after="0" w:line="216" w:lineRule="auto"/>
        <w:rPr>
          <w:rFonts w:ascii="Arial" w:cs="Arial" w:eastAsia="Arial" w:hAnsi="Arial"/>
          <w:sz w:val="22"/>
          <w:szCs w:val="22"/>
          <w:b w:val="1"/>
          <w:bCs w:val="1"/>
          <w:color w:val="auto"/>
        </w:rPr>
      </w:pPr>
      <w:r>
        <w:rPr>
          <w:rFonts w:ascii="Arial" w:cs="Arial" w:eastAsia="Arial" w:hAnsi="Arial"/>
          <w:sz w:val="22"/>
          <w:szCs w:val="22"/>
          <w:color w:val="auto"/>
        </w:rPr>
        <w:t>The Management Board and the Supervisory Board propose to approve the conclusion of domination and profit and loss transfer agreements between the Company and BioNTech Innovation GmbH and between the Company and BioNTech Innovation and Services Marburg GmbH, whereby the Company shall be the controlling company under the respective domination and profit and loss transfer agreement and BioNTech Innovation GmbH and BioNTech Innovation GmbH shall each be the controlled company.</w:t>
      </w:r>
    </w:p>
    <w:p>
      <w:pPr>
        <w:spacing w:after="0" w:line="157" w:lineRule="exact"/>
        <w:rPr>
          <w:rFonts w:ascii="Arial" w:cs="Arial" w:eastAsia="Arial" w:hAnsi="Arial"/>
          <w:sz w:val="22"/>
          <w:szCs w:val="22"/>
          <w:b w:val="1"/>
          <w:bCs w:val="1"/>
          <w:color w:val="auto"/>
        </w:rPr>
      </w:pPr>
    </w:p>
    <w:p>
      <w:pPr>
        <w:jc w:val="both"/>
        <w:ind w:left="640"/>
        <w:spacing w:after="0" w:line="216" w:lineRule="auto"/>
        <w:rPr>
          <w:rFonts w:ascii="Arial" w:cs="Arial" w:eastAsia="Arial" w:hAnsi="Arial"/>
          <w:sz w:val="22"/>
          <w:szCs w:val="22"/>
          <w:b w:val="1"/>
          <w:bCs w:val="1"/>
          <w:color w:val="auto"/>
        </w:rPr>
      </w:pPr>
      <w:r>
        <w:rPr>
          <w:rFonts w:ascii="Arial" w:cs="Arial" w:eastAsia="Arial" w:hAnsi="Arial"/>
          <w:sz w:val="22"/>
          <w:szCs w:val="22"/>
          <w:color w:val="auto"/>
        </w:rPr>
        <w:t>To become effective, the domination and profit and loss transfer agreements require the approval of the Company's Annual General Meeting and the shareholders' meeting of the respective controlled company as well as the entry in the Commercial Register of the respective controlled company. It is intended that shortly after the Company's Annual General Meeting, the shareholders' meetings of BioNTech Innovation GmbH and BioNTech Innovation and Services Marburg GmbH will approve and conclude the agreements.</w:t>
      </w:r>
    </w:p>
    <w:p>
      <w:pPr>
        <w:spacing w:after="0" w:line="157" w:lineRule="exact"/>
        <w:rPr>
          <w:rFonts w:ascii="Arial" w:cs="Arial" w:eastAsia="Arial" w:hAnsi="Arial"/>
          <w:sz w:val="22"/>
          <w:szCs w:val="22"/>
          <w:b w:val="1"/>
          <w:bCs w:val="1"/>
          <w:color w:val="auto"/>
        </w:rPr>
      </w:pPr>
    </w:p>
    <w:p>
      <w:pPr>
        <w:jc w:val="both"/>
        <w:ind w:left="640"/>
        <w:spacing w:after="0" w:line="216" w:lineRule="auto"/>
        <w:rPr>
          <w:rFonts w:ascii="Arial" w:cs="Arial" w:eastAsia="Arial" w:hAnsi="Arial"/>
          <w:sz w:val="22"/>
          <w:szCs w:val="22"/>
          <w:b w:val="1"/>
          <w:bCs w:val="1"/>
          <w:color w:val="auto"/>
        </w:rPr>
      </w:pPr>
      <w:r>
        <w:rPr>
          <w:rFonts w:ascii="Arial" w:cs="Arial" w:eastAsia="Arial" w:hAnsi="Arial"/>
          <w:sz w:val="22"/>
          <w:szCs w:val="22"/>
          <w:color w:val="auto"/>
        </w:rPr>
        <w:t>There are currently no domination and profit and loss transfer agreements between the Company and BioNTech Innovation GmbH and BioNTech Innovation and Services Marburg GmbH. The purpose of the agreement in each case is to establish a consolidated tax group for corporate income tax and trade tax purposes, which would enable profits arising at the level of the respective controlled company to be offset against existing losses at the level of the controlling company.</w:t>
      </w:r>
    </w:p>
    <w:p>
      <w:pPr>
        <w:spacing w:after="0" w:line="157" w:lineRule="exact"/>
        <w:rPr>
          <w:rFonts w:ascii="Arial" w:cs="Arial" w:eastAsia="Arial" w:hAnsi="Arial"/>
          <w:sz w:val="22"/>
          <w:szCs w:val="22"/>
          <w:b w:val="1"/>
          <w:bCs w:val="1"/>
          <w:color w:val="auto"/>
        </w:rPr>
      </w:pPr>
    </w:p>
    <w:p>
      <w:pPr>
        <w:ind w:left="640" w:right="3000"/>
        <w:spacing w:after="0" w:line="409" w:lineRule="auto"/>
        <w:rPr>
          <w:rFonts w:ascii="Arial" w:cs="Arial" w:eastAsia="Arial" w:hAnsi="Arial"/>
          <w:sz w:val="22"/>
          <w:szCs w:val="22"/>
          <w:b w:val="1"/>
          <w:bCs w:val="1"/>
          <w:color w:val="auto"/>
        </w:rPr>
      </w:pPr>
      <w:r>
        <w:rPr>
          <w:rFonts w:ascii="Arial" w:cs="Arial" w:eastAsia="Arial" w:hAnsi="Arial"/>
          <w:sz w:val="22"/>
          <w:szCs w:val="22"/>
          <w:i w:val="1"/>
          <w:iCs w:val="1"/>
          <w:color w:val="auto"/>
        </w:rPr>
        <w:t xml:space="preserve">Main content of the domination and profit and loss transfer agreements to be concluded </w:t>
      </w:r>
      <w:r>
        <w:rPr>
          <w:rFonts w:ascii="Arial" w:cs="Arial" w:eastAsia="Arial" w:hAnsi="Arial"/>
          <w:sz w:val="22"/>
          <w:szCs w:val="22"/>
          <w:color w:val="auto"/>
        </w:rPr>
        <w:t>The main content of each of the contracts is as follows:</w:t>
      </w:r>
    </w:p>
    <w:p>
      <w:pPr>
        <w:spacing w:after="0" w:line="1" w:lineRule="exact"/>
        <w:rPr>
          <w:rFonts w:ascii="Arial" w:cs="Arial" w:eastAsia="Arial" w:hAnsi="Arial"/>
          <w:sz w:val="22"/>
          <w:szCs w:val="22"/>
          <w:b w:val="1"/>
          <w:bCs w:val="1"/>
          <w:color w:val="auto"/>
        </w:rPr>
      </w:pPr>
    </w:p>
    <w:p>
      <w:pPr>
        <w:ind w:left="640" w:right="140"/>
        <w:spacing w:after="0" w:line="409" w:lineRule="auto"/>
        <w:rPr>
          <w:rFonts w:ascii="Arial" w:cs="Arial" w:eastAsia="Arial" w:hAnsi="Arial"/>
          <w:sz w:val="22"/>
          <w:szCs w:val="22"/>
          <w:b w:val="1"/>
          <w:bCs w:val="1"/>
          <w:color w:val="auto"/>
        </w:rPr>
      </w:pPr>
      <w:r>
        <w:rPr>
          <w:rFonts w:ascii="Arial" w:cs="Arial" w:eastAsia="Arial" w:hAnsi="Arial"/>
          <w:sz w:val="22"/>
          <w:szCs w:val="22"/>
          <w:i w:val="1"/>
          <w:iCs w:val="1"/>
          <w:color w:val="auto"/>
        </w:rPr>
        <w:t xml:space="preserve">Main content of the domination and profit and loss transfer agreement to be concluded with BioNTech Innovation GmbH </w:t>
      </w:r>
      <w:r>
        <w:rPr>
          <w:rFonts w:ascii="Arial" w:cs="Arial" w:eastAsia="Arial" w:hAnsi="Arial"/>
          <w:sz w:val="22"/>
          <w:szCs w:val="22"/>
          <w:color w:val="auto"/>
        </w:rPr>
        <w:t>The Company holds all shares in BioNTech Innovation GmbH.</w:t>
      </w:r>
    </w:p>
    <w:p>
      <w:pPr>
        <w:spacing w:after="0" w:line="1" w:lineRule="exact"/>
        <w:rPr>
          <w:rFonts w:ascii="Arial" w:cs="Arial" w:eastAsia="Arial" w:hAnsi="Arial"/>
          <w:sz w:val="22"/>
          <w:szCs w:val="22"/>
          <w:b w:val="1"/>
          <w:bCs w:val="1"/>
          <w:color w:val="auto"/>
        </w:rPr>
      </w:pPr>
    </w:p>
    <w:p>
      <w:pPr>
        <w:jc w:val="both"/>
        <w:ind w:left="640"/>
        <w:spacing w:after="0" w:line="234" w:lineRule="auto"/>
        <w:rPr>
          <w:rFonts w:ascii="Arial" w:cs="Arial" w:eastAsia="Arial" w:hAnsi="Arial"/>
          <w:sz w:val="22"/>
          <w:szCs w:val="22"/>
          <w:b w:val="1"/>
          <w:bCs w:val="1"/>
          <w:color w:val="auto"/>
        </w:rPr>
      </w:pPr>
      <w:r>
        <w:rPr>
          <w:rFonts w:ascii="Arial" w:cs="Arial" w:eastAsia="Arial" w:hAnsi="Arial"/>
          <w:sz w:val="21"/>
          <w:szCs w:val="21"/>
          <w:color w:val="auto"/>
        </w:rPr>
        <w:t>BioNTech Innovation GmbH, as the controlled company, subordinates its management to the Company, which is thereby entitled to issue instructions to the management of BioNTech Innovation GmbH. The management and representation of BioNTech Innovation GmbH remains the responsibility of its managing directors.</w:t>
      </w:r>
    </w:p>
    <w:p>
      <w:pPr>
        <w:spacing w:after="0" w:line="157" w:lineRule="exact"/>
        <w:rPr>
          <w:rFonts w:ascii="Arial" w:cs="Arial" w:eastAsia="Arial" w:hAnsi="Arial"/>
          <w:sz w:val="22"/>
          <w:szCs w:val="22"/>
          <w:b w:val="1"/>
          <w:bCs w:val="1"/>
          <w:color w:val="auto"/>
        </w:rPr>
      </w:pPr>
    </w:p>
    <w:p>
      <w:pPr>
        <w:ind w:left="640"/>
        <w:spacing w:after="0" w:line="232" w:lineRule="auto"/>
        <w:rPr>
          <w:rFonts w:ascii="Arial" w:cs="Arial" w:eastAsia="Arial" w:hAnsi="Arial"/>
          <w:sz w:val="22"/>
          <w:szCs w:val="22"/>
          <w:b w:val="1"/>
          <w:bCs w:val="1"/>
          <w:color w:val="auto"/>
        </w:rPr>
      </w:pPr>
      <w:r>
        <w:rPr>
          <w:rFonts w:ascii="Arial" w:cs="Arial" w:eastAsia="Arial" w:hAnsi="Arial"/>
          <w:sz w:val="22"/>
          <w:szCs w:val="22"/>
          <w:color w:val="auto"/>
        </w:rPr>
        <w:t>As a controlled company, BioNTech Innovation GmbH is required to transfer its profits to the Company, i.e., the controlling company, in accordance with Sec. 301 of the German Stock Corporation Act.</w:t>
      </w:r>
    </w:p>
    <w:p>
      <w:pPr>
        <w:spacing w:after="0" w:line="158" w:lineRule="exact"/>
        <w:rPr>
          <w:rFonts w:ascii="Arial" w:cs="Arial" w:eastAsia="Arial" w:hAnsi="Arial"/>
          <w:sz w:val="22"/>
          <w:szCs w:val="22"/>
          <w:b w:val="1"/>
          <w:bCs w:val="1"/>
          <w:color w:val="auto"/>
        </w:rPr>
      </w:pPr>
    </w:p>
    <w:p>
      <w:pPr>
        <w:jc w:val="both"/>
        <w:ind w:left="640" w:right="20"/>
        <w:spacing w:after="0" w:line="223" w:lineRule="auto"/>
        <w:rPr>
          <w:rFonts w:ascii="Arial" w:cs="Arial" w:eastAsia="Arial" w:hAnsi="Arial"/>
          <w:sz w:val="22"/>
          <w:szCs w:val="22"/>
          <w:b w:val="1"/>
          <w:bCs w:val="1"/>
          <w:color w:val="auto"/>
        </w:rPr>
      </w:pPr>
      <w:r>
        <w:rPr>
          <w:rFonts w:ascii="Arial" w:cs="Arial" w:eastAsia="Arial" w:hAnsi="Arial"/>
          <w:sz w:val="22"/>
          <w:szCs w:val="22"/>
          <w:color w:val="auto"/>
        </w:rPr>
        <w:t>The Company, as the controlling company, is required to offset any annual loss of BioNTech Innovation GmbH which would otherwise arise during the term of the agreement. The provisions of Sec. 302 of the German Stock Corporation Act, as amended, shall apply to the transfer of losses.</w:t>
      </w:r>
    </w:p>
    <w:p>
      <w:pPr>
        <w:spacing w:after="0" w:line="158" w:lineRule="exact"/>
        <w:rPr>
          <w:rFonts w:ascii="Arial" w:cs="Arial" w:eastAsia="Arial" w:hAnsi="Arial"/>
          <w:sz w:val="22"/>
          <w:szCs w:val="22"/>
          <w:b w:val="1"/>
          <w:bCs w:val="1"/>
          <w:color w:val="auto"/>
        </w:rPr>
      </w:pPr>
    </w:p>
    <w:p>
      <w:pPr>
        <w:ind w:left="640"/>
        <w:spacing w:after="0" w:line="232" w:lineRule="auto"/>
        <w:rPr>
          <w:rFonts w:ascii="Arial" w:cs="Arial" w:eastAsia="Arial" w:hAnsi="Arial"/>
          <w:sz w:val="22"/>
          <w:szCs w:val="22"/>
          <w:b w:val="1"/>
          <w:bCs w:val="1"/>
          <w:color w:val="auto"/>
        </w:rPr>
      </w:pPr>
      <w:r>
        <w:rPr>
          <w:rFonts w:ascii="Arial" w:cs="Arial" w:eastAsia="Arial" w:hAnsi="Arial"/>
          <w:sz w:val="22"/>
          <w:szCs w:val="22"/>
          <w:color w:val="auto"/>
        </w:rPr>
        <w:t>The domination and profit and loss transfer agreement shall become effective upon entry in the Commercial Register of BioNTech Innovation GmbH, whereby the agreement shall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31" w:right="33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9"/>
          <w:szCs w:val="19"/>
          <w:color w:val="auto"/>
        </w:rPr>
        <w:t>retroactively as of the beginning of the financial year of BioNTech Innovation GmbH in which the domination agreement has been entered in the Commercial Register of BioNTech Innovation GmbH. An exception in this respect applies to the authority to issue instructions as described above, which shall not apply retroactively but only as of the registration of the domination and profit and loss transfer agreement in the Commercial Register of BioNTech Innovation GmbH.</w:t>
      </w:r>
    </w:p>
    <w:p>
      <w:pPr>
        <w:spacing w:after="0" w:line="144"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The domination and profit and loss transfer agreement shall be concluded for a fixed term of five years from the beginning of the financial year of BioNTech Innovation GmbH in which the agreement is entered in the Commercial Register of the registered office of BioNTech Innovation GmbH. The agreement shall be renewed unchanged and with the same right of termination for one year at a time if it is not terminated by either party at least six months prior to its expiry. If the end of the term or of an extension does not fall at the end of a financial year of BioNTech Innovation GmbH, the term shall be extended until the end of the then current financial year.</w:t>
      </w:r>
    </w:p>
    <w:p>
      <w:pPr>
        <w:spacing w:after="0" w:line="160"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In addition, there is the right to extraordinary termination of the agreement without notice for good cause. Good cause entitling both the controlling company and the controlled company to terminate the agreement includes, but is not limited to, the sale of shares in the controlled company or the contribution of the shareholding by the controlled company, the merger, demerger or liquidation of the controlling company or the controlled company, or if the controlling company no longer holds the majority of voting rights from the shares in the controlled company.</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The domination and profit and loss transfer agreement may also be terminated by mutual agreement instead of notice.</w:t>
      </w:r>
    </w:p>
    <w:p>
      <w:pPr>
        <w:spacing w:after="0" w:line="214"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If the validity of the agreement or its proper implementation is not or not fully recognized for tax purposes during the five-year period, the five-year period shall not begin until the first day of the financial year of the controlled company following the year in which the conditions for the recognition for tax purposes of the validity of the agreement or its proper implementation did not yet exist.</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color w:val="auto"/>
        </w:rPr>
        <w:t>The domination and profit and loss transfer agreement does not provide for any compensation or settlement claims.</w:t>
      </w:r>
    </w:p>
    <w:p>
      <w:pPr>
        <w:spacing w:after="0" w:line="214" w:lineRule="exact"/>
        <w:rPr>
          <w:sz w:val="20"/>
          <w:szCs w:val="20"/>
          <w:color w:val="auto"/>
        </w:rPr>
      </w:pPr>
    </w:p>
    <w:p>
      <w:pPr>
        <w:jc w:val="both"/>
        <w:ind w:right="20"/>
        <w:spacing w:after="0" w:line="232" w:lineRule="auto"/>
        <w:rPr>
          <w:sz w:val="20"/>
          <w:szCs w:val="20"/>
          <w:color w:val="auto"/>
        </w:rPr>
      </w:pPr>
      <w:r>
        <w:rPr>
          <w:rFonts w:ascii="Arial" w:cs="Arial" w:eastAsia="Arial" w:hAnsi="Arial"/>
          <w:sz w:val="22"/>
          <w:szCs w:val="22"/>
          <w:i w:val="1"/>
          <w:iCs w:val="1"/>
          <w:color w:val="auto"/>
        </w:rPr>
        <w:t>Main content of the domination and profit and loss transfer agreement to be concluded with BioNTech Innovation and Services Marburg GmbH</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Company holds all shares in BioNTech Innovation and Services Marburg GmbH.</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The domination and profit and loss transfer agreement to be concluded with BioNTech Innovation and Services Marburg GmbH has the same content as the agreement to be concluded with BioNTech Innovation GmbH.</w:t>
      </w:r>
    </w:p>
    <w:p>
      <w:pPr>
        <w:spacing w:after="0" w:line="15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particular, no compensation and settlement claims are provided for in the agreement, as the Company is the sole shareholder of BioNTech Innovation and Services Marburg GmbH.</w:t>
      </w:r>
    </w:p>
    <w:p>
      <w:pPr>
        <w:spacing w:after="0" w:line="159" w:lineRule="exact"/>
        <w:rPr>
          <w:sz w:val="20"/>
          <w:szCs w:val="20"/>
          <w:color w:val="auto"/>
        </w:rPr>
      </w:pPr>
    </w:p>
    <w:p>
      <w:pPr>
        <w:jc w:val="both"/>
        <w:ind w:right="20"/>
        <w:spacing w:after="0" w:line="232" w:lineRule="auto"/>
        <w:rPr>
          <w:sz w:val="20"/>
          <w:szCs w:val="20"/>
          <w:color w:val="auto"/>
        </w:rPr>
      </w:pPr>
      <w:r>
        <w:rPr>
          <w:rFonts w:ascii="Arial" w:cs="Arial" w:eastAsia="Arial" w:hAnsi="Arial"/>
          <w:sz w:val="22"/>
          <w:szCs w:val="22"/>
          <w:i w:val="1"/>
          <w:iCs w:val="1"/>
          <w:color w:val="auto"/>
        </w:rPr>
        <w:t>Contractual reviews of the domination and profit and loss transfer agreements to be concluded with BioNTech Innovation GmbH and BioNTech Innovation and Services Marburg GmbH respectively</w:t>
      </w:r>
    </w:p>
    <w:p>
      <w:pPr>
        <w:spacing w:after="0" w:line="15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For the drafts of the domination and profit and loss transfer agreements between the Company as the controlling company and BioNTech Innovation GmbH as the controlled company, and between the Company as the controlling company and BioNTech Innovation and Services Marburg GmbH as the controlled company, there was no audit of the agreements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600"/>
          </w:cols>
          <w:pgMar w:left="960" w:top="1131" w:right="339" w:bottom="1440" w:gutter="0" w:footer="0" w:header="0"/>
        </w:sectPr>
      </w:pPr>
    </w:p>
    <w:bookmarkStart w:id="13" w:name="page14"/>
    <w:bookmarkEnd w:id="13"/>
    <w:p>
      <w:pPr>
        <w:jc w:val="both"/>
        <w:spacing w:after="0" w:line="218" w:lineRule="auto"/>
        <w:rPr>
          <w:sz w:val="20"/>
          <w:szCs w:val="20"/>
          <w:color w:val="auto"/>
        </w:rPr>
      </w:pPr>
      <w:r>
        <w:rPr>
          <w:rFonts w:ascii="Arial" w:cs="Arial" w:eastAsia="Arial" w:hAnsi="Arial"/>
          <w:sz w:val="22"/>
          <w:szCs w:val="22"/>
          <w:color w:val="auto"/>
        </w:rPr>
        <w:t>with Sec. 293b of the German Stock Corporation Act. In both cases, this was not necessary due to the shareholding ratios pursuant to Sec. 293b para. 1 of the German Stock Corporation Act, as the Company holds all shares in BioNTech Innovation GmbH and BioNTech Innovation and Services Marburg GmbH and will hold them at the time of conclusion of both agreements.</w:t>
      </w:r>
    </w:p>
    <w:p>
      <w:pPr>
        <w:spacing w:after="0" w:line="161" w:lineRule="exact"/>
        <w:rPr>
          <w:sz w:val="20"/>
          <w:szCs w:val="20"/>
          <w:color w:val="auto"/>
        </w:rPr>
      </w:pPr>
    </w:p>
    <w:p>
      <w:pPr>
        <w:jc w:val="both"/>
        <w:ind w:left="640" w:hanging="637"/>
        <w:spacing w:after="0" w:line="232" w:lineRule="auto"/>
        <w:tabs>
          <w:tab w:leader="none" w:pos="620" w:val="left"/>
        </w:tabs>
        <w:rPr>
          <w:sz w:val="20"/>
          <w:szCs w:val="20"/>
          <w:color w:val="auto"/>
        </w:rPr>
      </w:pPr>
      <w:r>
        <w:rPr>
          <w:rFonts w:ascii="Arial" w:cs="Arial" w:eastAsia="Arial" w:hAnsi="Arial"/>
          <w:sz w:val="22"/>
          <w:szCs w:val="22"/>
          <w:color w:val="auto"/>
        </w:rPr>
        <w:t>10.1</w:t>
        <w:tab/>
        <w:t>Approval of the conclusion of the domination and profit and loss transfer agreement between the Company as controlling company and BioNTech Innovation GmbH as dependent company</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The Management Board and Supervisory Board propose to resolve as follows:</w:t>
      </w:r>
    </w:p>
    <w:p>
      <w:pPr>
        <w:spacing w:after="0" w:line="179" w:lineRule="exact"/>
        <w:rPr>
          <w:sz w:val="20"/>
          <w:szCs w:val="20"/>
          <w:color w:val="auto"/>
        </w:rPr>
      </w:pPr>
    </w:p>
    <w:p>
      <w:pPr>
        <w:jc w:val="both"/>
        <w:ind w:left="640"/>
        <w:spacing w:after="0" w:line="268" w:lineRule="auto"/>
        <w:rPr>
          <w:sz w:val="20"/>
          <w:szCs w:val="20"/>
          <w:color w:val="auto"/>
        </w:rPr>
      </w:pPr>
      <w:r>
        <w:rPr>
          <w:rFonts w:ascii="Arial" w:cs="Arial" w:eastAsia="Arial" w:hAnsi="Arial"/>
          <w:sz w:val="19"/>
          <w:szCs w:val="19"/>
          <w:color w:val="auto"/>
        </w:rPr>
        <w:t>"The Annual General Meeting approves the conclusion of the domination and profit and loss transfer agreement between the Company and BioNTech Innovation GmbH, a limited liability company with its registered office in Mainz, registered in the Commercial Register of the Mainz Local Court under HRB 51019."</w:t>
      </w:r>
    </w:p>
    <w:p>
      <w:pPr>
        <w:spacing w:after="0" w:line="132" w:lineRule="exact"/>
        <w:rPr>
          <w:sz w:val="20"/>
          <w:szCs w:val="20"/>
          <w:color w:val="auto"/>
        </w:rPr>
      </w:pPr>
    </w:p>
    <w:p>
      <w:pPr>
        <w:ind w:left="640" w:hanging="637"/>
        <w:spacing w:after="0" w:line="247" w:lineRule="auto"/>
        <w:tabs>
          <w:tab w:leader="none" w:pos="62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21"/>
          <w:szCs w:val="21"/>
          <w:color w:val="auto"/>
        </w:rPr>
        <w:t>Approval of the conclusion of the domination and profit and loss transfer agreement between the Company as controlling company and BioNTech Innovation and Services Marburg GmbH as dependent company</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The Management Board and Supervisory Board propose to resolve as follows:</w:t>
      </w:r>
    </w:p>
    <w:p>
      <w:pPr>
        <w:spacing w:after="0" w:line="179" w:lineRule="exact"/>
        <w:rPr>
          <w:sz w:val="20"/>
          <w:szCs w:val="20"/>
          <w:color w:val="auto"/>
        </w:rPr>
      </w:pPr>
    </w:p>
    <w:p>
      <w:pPr>
        <w:jc w:val="both"/>
        <w:ind w:left="640"/>
        <w:spacing w:after="0" w:line="218" w:lineRule="auto"/>
        <w:rPr>
          <w:sz w:val="20"/>
          <w:szCs w:val="20"/>
          <w:color w:val="auto"/>
        </w:rPr>
      </w:pPr>
      <w:r>
        <w:rPr>
          <w:rFonts w:ascii="Arial" w:cs="Arial" w:eastAsia="Arial" w:hAnsi="Arial"/>
          <w:sz w:val="22"/>
          <w:szCs w:val="22"/>
          <w:color w:val="auto"/>
        </w:rPr>
        <w:t>"The Annual General Meeting approves the conclusion of the domination and profit and loss transfer agreement between the Company and BioNTech Innovation and Services Marburg GmbH, a limited liability company with its registered office in Marburg, registered in the Commercial Register of the Local Court of Marburg under HRB 7835."</w:t>
      </w:r>
    </w:p>
    <w:p>
      <w:pPr>
        <w:spacing w:after="0" w:line="161" w:lineRule="exact"/>
        <w:rPr>
          <w:sz w:val="20"/>
          <w:szCs w:val="20"/>
          <w:color w:val="auto"/>
        </w:rPr>
      </w:pPr>
    </w:p>
    <w:p>
      <w:pPr>
        <w:ind w:right="20"/>
        <w:spacing w:after="0" w:line="298" w:lineRule="auto"/>
        <w:rPr>
          <w:sz w:val="20"/>
          <w:szCs w:val="20"/>
          <w:color w:val="auto"/>
        </w:rPr>
      </w:pPr>
      <w:r>
        <w:rPr>
          <w:rFonts w:ascii="Arial" w:cs="Arial" w:eastAsia="Arial" w:hAnsi="Arial"/>
          <w:sz w:val="19"/>
          <w:szCs w:val="19"/>
          <w:color w:val="auto"/>
        </w:rPr>
        <w:t>In connection with the approvals to be resolved under this agenda item 10 on the conclusion of the respective control and profit and loss transfer agreements, the following documents are accessible on our website at the following address</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https://investors.biontech.de/agm</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from the date of convening the Annual General Meeting until the date of the Annual General Meeting:</w:t>
      </w:r>
    </w:p>
    <w:p>
      <w:pPr>
        <w:spacing w:after="0" w:line="179" w:lineRule="exact"/>
        <w:rPr>
          <w:sz w:val="20"/>
          <w:szCs w:val="20"/>
          <w:color w:val="auto"/>
        </w:rPr>
      </w:pPr>
    </w:p>
    <w:p>
      <w:pPr>
        <w:ind w:left="1160" w:hanging="516"/>
        <w:spacing w:after="0" w:line="232" w:lineRule="auto"/>
        <w:tabs>
          <w:tab w:leader="none" w:pos="1157"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drafts of the domination and profit and loss transfer agreements, the conclusion of which requires the approval of the Annual General Meeting;</w:t>
      </w:r>
    </w:p>
    <w:p>
      <w:pPr>
        <w:spacing w:after="0" w:line="158" w:lineRule="exact"/>
        <w:rPr>
          <w:rFonts w:ascii="Arial" w:cs="Arial" w:eastAsia="Arial" w:hAnsi="Arial"/>
          <w:sz w:val="22"/>
          <w:szCs w:val="22"/>
          <w:color w:val="auto"/>
        </w:rPr>
      </w:pPr>
    </w:p>
    <w:p>
      <w:pPr>
        <w:jc w:val="both"/>
        <w:ind w:left="1160" w:hanging="516"/>
        <w:spacing w:after="0" w:line="223" w:lineRule="auto"/>
        <w:tabs>
          <w:tab w:leader="none" w:pos="1157"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annual financial statements and management reports of the contracting companies for the last three financial years, unless the companies concerned are exempt from preparation and such already exist after the establishment of the respective company; and</w:t>
      </w:r>
    </w:p>
    <w:p>
      <w:pPr>
        <w:spacing w:after="0" w:line="158" w:lineRule="exact"/>
        <w:rPr>
          <w:rFonts w:ascii="Arial" w:cs="Arial" w:eastAsia="Arial" w:hAnsi="Arial"/>
          <w:sz w:val="22"/>
          <w:szCs w:val="22"/>
          <w:color w:val="auto"/>
        </w:rPr>
      </w:pPr>
    </w:p>
    <w:p>
      <w:pPr>
        <w:ind w:left="1160" w:hanging="516"/>
        <w:spacing w:after="0" w:line="232" w:lineRule="auto"/>
        <w:tabs>
          <w:tab w:leader="none" w:pos="1157"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joint reports of the Company's Management Board and the respective management of the controlled companies pursuant to Sec. 293a of the German Stock Corporation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600"/>
          </w:cols>
          <w:pgMar w:left="960" w:top="1131" w:right="339" w:bottom="1440" w:gutter="0" w:footer="0" w:header="0"/>
        </w:sectPr>
      </w:pPr>
    </w:p>
    <w:bookmarkStart w:id="14" w:name="page15"/>
    <w:bookmarkEnd w:id="14"/>
    <w:p>
      <w:pPr>
        <w:spacing w:after="0" w:line="9"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Reports and Annexes to Items on the Agenda</w:t>
      </w:r>
    </w:p>
    <w:p>
      <w:pPr>
        <w:spacing w:after="0" w:line="287"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Remuneration Report (to Item 6 of the Agenda)</w:t>
      </w:r>
    </w:p>
    <w:p>
      <w:pPr>
        <w:spacing w:after="0" w:line="287"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Remuneration Report</w:t>
      </w:r>
    </w:p>
    <w:p>
      <w:pPr>
        <w:spacing w:after="0" w:line="185" w:lineRule="exact"/>
        <w:rPr>
          <w:rFonts w:ascii="Arial" w:cs="Arial" w:eastAsia="Arial" w:hAnsi="Arial"/>
          <w:sz w:val="22"/>
          <w:szCs w:val="22"/>
          <w:b w:val="1"/>
          <w:bCs w:val="1"/>
          <w:color w:val="auto"/>
        </w:rPr>
      </w:pPr>
    </w:p>
    <w:p>
      <w:pPr>
        <w:jc w:val="both"/>
        <w:ind w:left="640"/>
        <w:spacing w:after="0" w:line="234" w:lineRule="auto"/>
        <w:rPr>
          <w:rFonts w:ascii="Arial" w:cs="Arial" w:eastAsia="Arial" w:hAnsi="Arial"/>
          <w:sz w:val="22"/>
          <w:szCs w:val="22"/>
          <w:b w:val="1"/>
          <w:bCs w:val="1"/>
          <w:color w:val="auto"/>
        </w:rPr>
      </w:pPr>
      <w:r>
        <w:rPr>
          <w:rFonts w:ascii="Arial" w:cs="Arial" w:eastAsia="Arial" w:hAnsi="Arial"/>
          <w:sz w:val="21"/>
          <w:szCs w:val="21"/>
          <w:color w:val="auto"/>
        </w:rPr>
        <w:t>The remuneration report describes the structure and individualized amount of the compensation components of the Management Board and Supervisory Board of BioNTech SE, hereinafter also referred to as “BioNTech,” the “Group,” “we” or “us,” as well as the remuneration system applied for the year ended December 31, 2021.</w:t>
      </w:r>
    </w:p>
    <w:p>
      <w:pPr>
        <w:spacing w:after="0" w:line="157" w:lineRule="exact"/>
        <w:rPr>
          <w:rFonts w:ascii="Arial" w:cs="Arial" w:eastAsia="Arial" w:hAnsi="Arial"/>
          <w:sz w:val="22"/>
          <w:szCs w:val="22"/>
          <w:b w:val="1"/>
          <w:bCs w:val="1"/>
          <w:color w:val="auto"/>
        </w:rPr>
      </w:pPr>
    </w:p>
    <w:p>
      <w:pPr>
        <w:jc w:val="both"/>
        <w:ind w:left="640"/>
        <w:spacing w:after="0" w:line="229" w:lineRule="auto"/>
        <w:rPr>
          <w:rFonts w:ascii="Arial" w:cs="Arial" w:eastAsia="Arial" w:hAnsi="Arial"/>
          <w:sz w:val="22"/>
          <w:szCs w:val="22"/>
          <w:b w:val="1"/>
          <w:bCs w:val="1"/>
          <w:color w:val="auto"/>
        </w:rPr>
      </w:pPr>
      <w:r>
        <w:rPr>
          <w:rFonts w:ascii="Arial" w:cs="Arial" w:eastAsia="Arial" w:hAnsi="Arial"/>
          <w:sz w:val="21"/>
          <w:szCs w:val="21"/>
          <w:color w:val="auto"/>
        </w:rPr>
        <w:t>The report is aligned with the requirements of Sec. 162 AktG, the recommendations of the German Corporate Governance Code as amended on December 16, 2019. The disclosures in our Remuneration Report are explicitly not expense-related and do not follow the IFRS regulations as published in our consolidated financial statements or the HGB regulations as published in the statutory financial statements of BioNTech SE.</w:t>
      </w:r>
    </w:p>
    <w:p>
      <w:pPr>
        <w:spacing w:after="0" w:line="158" w:lineRule="exact"/>
        <w:rPr>
          <w:rFonts w:ascii="Arial" w:cs="Arial" w:eastAsia="Arial" w:hAnsi="Arial"/>
          <w:sz w:val="22"/>
          <w:szCs w:val="22"/>
          <w:b w:val="1"/>
          <w:bCs w:val="1"/>
          <w:color w:val="auto"/>
        </w:rPr>
      </w:pPr>
    </w:p>
    <w:p>
      <w:pPr>
        <w:ind w:left="640"/>
        <w:spacing w:after="0" w:line="232" w:lineRule="auto"/>
        <w:rPr>
          <w:rFonts w:ascii="Arial" w:cs="Arial" w:eastAsia="Arial" w:hAnsi="Arial"/>
          <w:sz w:val="22"/>
          <w:szCs w:val="22"/>
          <w:b w:val="1"/>
          <w:bCs w:val="1"/>
          <w:color w:val="auto"/>
        </w:rPr>
      </w:pPr>
      <w:r>
        <w:rPr>
          <w:rFonts w:ascii="Arial" w:cs="Arial" w:eastAsia="Arial" w:hAnsi="Arial"/>
          <w:sz w:val="22"/>
          <w:szCs w:val="22"/>
          <w:color w:val="auto"/>
        </w:rPr>
        <w:t>Our Management Board and Supervisory Board have jointly agreed to engage our auditors to perform a substantive audit of the report.</w:t>
      </w:r>
    </w:p>
    <w:p>
      <w:pPr>
        <w:spacing w:after="0" w:line="158" w:lineRule="exact"/>
        <w:rPr>
          <w:rFonts w:ascii="Arial" w:cs="Arial" w:eastAsia="Arial" w:hAnsi="Arial"/>
          <w:sz w:val="22"/>
          <w:szCs w:val="22"/>
          <w:b w:val="1"/>
          <w:bCs w:val="1"/>
          <w:color w:val="auto"/>
        </w:rPr>
      </w:pPr>
    </w:p>
    <w:p>
      <w:pPr>
        <w:jc w:val="both"/>
        <w:ind w:left="640"/>
        <w:spacing w:after="0" w:line="218" w:lineRule="auto"/>
        <w:rPr>
          <w:rFonts w:ascii="Arial" w:cs="Arial" w:eastAsia="Arial" w:hAnsi="Arial"/>
          <w:sz w:val="22"/>
          <w:szCs w:val="22"/>
          <w:b w:val="1"/>
          <w:bCs w:val="1"/>
          <w:color w:val="auto"/>
        </w:rPr>
      </w:pPr>
      <w:r>
        <w:rPr>
          <w:rFonts w:ascii="Arial" w:cs="Arial" w:eastAsia="Arial" w:hAnsi="Arial"/>
          <w:sz w:val="22"/>
          <w:szCs w:val="22"/>
          <w:color w:val="auto"/>
        </w:rPr>
        <w:t>We prepare and publish this report in Euros and round numbers to thousands or millions of Euros, respectively. Accordingly, numerical figures shown as totals in some tables may not be exact arithmetic aggregations of the figures that preceded them, and figures presented in the explanatory notes may not precisely add up to the rounded arithmetic aggregations.</w:t>
      </w:r>
    </w:p>
    <w:p>
      <w:pPr>
        <w:spacing w:after="0" w:line="262" w:lineRule="exact"/>
        <w:rPr>
          <w:rFonts w:ascii="Arial" w:cs="Arial" w:eastAsia="Arial" w:hAnsi="Arial"/>
          <w:sz w:val="22"/>
          <w:szCs w:val="22"/>
          <w:b w:val="1"/>
          <w:bCs w:val="1"/>
          <w:color w:val="auto"/>
        </w:rPr>
      </w:pPr>
    </w:p>
    <w:p>
      <w:pPr>
        <w:ind w:left="420" w:hanging="412"/>
        <w:spacing w:after="0"/>
        <w:tabs>
          <w:tab w:leader="none" w:pos="42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Review of the Year Ended December 31, 2021</w:t>
      </w:r>
    </w:p>
    <w:p>
      <w:pPr>
        <w:spacing w:after="0" w:line="185" w:lineRule="exact"/>
        <w:rPr>
          <w:sz w:val="20"/>
          <w:szCs w:val="20"/>
          <w:color w:val="auto"/>
        </w:rPr>
      </w:pPr>
    </w:p>
    <w:p>
      <w:pPr>
        <w:jc w:val="both"/>
        <w:ind w:left="640"/>
        <w:spacing w:after="0" w:line="242" w:lineRule="auto"/>
        <w:rPr>
          <w:sz w:val="20"/>
          <w:szCs w:val="20"/>
          <w:color w:val="auto"/>
        </w:rPr>
      </w:pPr>
      <w:r>
        <w:rPr>
          <w:rFonts w:ascii="Arial" w:cs="Arial" w:eastAsia="Arial" w:hAnsi="Arial"/>
          <w:sz w:val="19"/>
          <w:szCs w:val="19"/>
          <w:color w:val="auto"/>
        </w:rPr>
        <w:t>The year ended December 31, 2021 was another transformational year for us. Since December 2020, our COVID-19 vaccine has been fully approved, granted conditional marketing authorization, or approved or authorized for emergency or temporary use in over 100 countries and regions worldwide. Consequently, during the year ended December 31, 2021 we emphasized bringing our production capabilities up to full speed to help ensure global supply of our vaccine. During the year ended December 31, 2021, we and Pfizer delivered more than 2.6 billion doses of our COVID-19 vaccine to more than 165 countries and regions worldwide, including approximately 1 billion doses to low- and middle-income countries. Simultaneously, we continued pushing forward our vision to harness the power of the immune system to fight human diseases and expanded our pipeline by starting nine oncology clinical trials, including launching four Phase 2 trials and five first-in-human studies. We have established offices around the globe, acquired and integrated a cell manufacturing facility in the United States, and entered new strategic partnerships to further strengthen and expand our multimodal immunotherapy portfolio and deliver breakthrough precision medicines for patients. We have also had robust and rapid growth and have welcomed many new colleagues along the way. These achievements, along with the transformation plans which were developed during the year ended December 31, 2021, will allow us to use the once-in-a-generation opportunity to transform medicine going forward.</w:t>
      </w:r>
    </w:p>
    <w:p>
      <w:pPr>
        <w:spacing w:after="0" w:line="376" w:lineRule="exact"/>
        <w:rPr>
          <w:sz w:val="20"/>
          <w:szCs w:val="20"/>
          <w:color w:val="auto"/>
        </w:rPr>
      </w:pPr>
    </w:p>
    <w:p>
      <w:pPr>
        <w:jc w:val="both"/>
        <w:ind w:left="640"/>
        <w:spacing w:after="0" w:line="229" w:lineRule="auto"/>
        <w:rPr>
          <w:sz w:val="20"/>
          <w:szCs w:val="20"/>
          <w:color w:val="auto"/>
        </w:rPr>
      </w:pPr>
      <w:r>
        <w:rPr>
          <w:rFonts w:ascii="Arial" w:cs="Arial" w:eastAsia="Arial" w:hAnsi="Arial"/>
          <w:sz w:val="21"/>
          <w:szCs w:val="21"/>
          <w:color w:val="auto"/>
        </w:rPr>
        <w:t>During the year ended December 31, 2021, we expanded our management team by appointing Jens Holstein to the Management Board as Chief Financial Officer (CFO) as of July 1, 2021. Jens Holstein took over the CFO role from Dr. Sierk Poetting, which has enabled him to fully focus on his tasks as Chief Operating Officer (COO) going forward. During the year ended December 31, 2021 there were no changes to our Supervisory Board.</w:t>
      </w:r>
    </w:p>
    <w:p>
      <w:pPr>
        <w:spacing w:after="0" w:line="158" w:lineRule="exact"/>
        <w:rPr>
          <w:sz w:val="20"/>
          <w:szCs w:val="20"/>
          <w:color w:val="auto"/>
        </w:rPr>
      </w:pPr>
    </w:p>
    <w:p>
      <w:pPr>
        <w:jc w:val="both"/>
        <w:ind w:left="640"/>
        <w:spacing w:after="0" w:line="232" w:lineRule="auto"/>
        <w:rPr>
          <w:sz w:val="20"/>
          <w:szCs w:val="20"/>
          <w:color w:val="auto"/>
        </w:rPr>
      </w:pPr>
      <w:r>
        <w:rPr>
          <w:rFonts w:ascii="Arial" w:cs="Arial" w:eastAsia="Arial" w:hAnsi="Arial"/>
          <w:sz w:val="22"/>
          <w:szCs w:val="22"/>
          <w:color w:val="auto"/>
        </w:rPr>
        <w:t>To contribute to the promotion of the business strategy and the long-term development of BioNTech, we challenged our compensation system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5" w:name="page16"/>
    <w:bookmarkEnd w:id="15"/>
    <w:p>
      <w:pPr>
        <w:jc w:val="both"/>
        <w:ind w:left="640"/>
        <w:spacing w:after="0" w:line="229" w:lineRule="auto"/>
        <w:rPr>
          <w:sz w:val="20"/>
          <w:szCs w:val="20"/>
          <w:color w:val="auto"/>
        </w:rPr>
      </w:pPr>
      <w:r>
        <w:rPr>
          <w:rFonts w:ascii="Arial" w:cs="Arial" w:eastAsia="Arial" w:hAnsi="Arial"/>
          <w:sz w:val="21"/>
          <w:szCs w:val="21"/>
          <w:color w:val="auto"/>
        </w:rPr>
        <w:t>Following a thorough review, our Supervisory Board slightly modified the compensation system for the members of the Management Board, and this modified system was approved by the Annual General Meeting in June 2021. At the same Annual General Meeting, the compensation amounts of our Supervisory Board members were slightly adjusted, while generally retaining the system for the compensation of Supervisory Board members.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The compensation system and the actual compensation according to Sec. 87a AktG are presented below.</w:t>
      </w:r>
    </w:p>
    <w:p>
      <w:pPr>
        <w:spacing w:after="0" w:line="281"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Remuneration of Supervisory Board Members</w:t>
      </w:r>
    </w:p>
    <w:p>
      <w:pPr>
        <w:spacing w:after="0" w:line="185" w:lineRule="exact"/>
        <w:rPr>
          <w:sz w:val="20"/>
          <w:szCs w:val="20"/>
          <w:color w:val="auto"/>
        </w:rPr>
      </w:pPr>
    </w:p>
    <w:p>
      <w:pPr>
        <w:jc w:val="both"/>
        <w:ind w:left="640"/>
        <w:spacing w:after="0" w:line="221" w:lineRule="auto"/>
        <w:rPr>
          <w:sz w:val="20"/>
          <w:szCs w:val="20"/>
          <w:color w:val="auto"/>
        </w:rPr>
      </w:pPr>
      <w:r>
        <w:rPr>
          <w:rFonts w:ascii="Arial" w:cs="Arial" w:eastAsia="Arial" w:hAnsi="Arial"/>
          <w:sz w:val="21"/>
          <w:szCs w:val="21"/>
          <w:color w:val="auto"/>
        </w:rPr>
        <w:t>The remuneration system of our Supervisory Board as included in our Articles of Association is structured as purely fixed compensation. While retaining the system for the compensation of Supervisory Board members, the compensation of Supervisory Board members was adjusted during the year ended December 31, 2021 to maintain its competitiveness. The new provisions were approved by the Annual General Meeting on June 22, 2021 and were applied on a pro-rata basis from July 23, 2021, the date of entry of the corresponding amendment to the Articles of Association in our Commercial Register. Pursuant to Sec. 113 para. 3 AktG, as amended by the Act Implementing the Second Shareholder Rights Directive, the Annual General Meeting of a listed company must pass a resolution on the compensation of the members of the Supervisory Board at least every four years.</w:t>
      </w:r>
    </w:p>
    <w:p>
      <w:pPr>
        <w:spacing w:after="0" w:line="165" w:lineRule="exact"/>
        <w:rPr>
          <w:sz w:val="20"/>
          <w:szCs w:val="20"/>
          <w:color w:val="auto"/>
        </w:rPr>
      </w:pPr>
    </w:p>
    <w:p>
      <w:pPr>
        <w:jc w:val="both"/>
        <w:ind w:left="640"/>
        <w:spacing w:after="0" w:line="223" w:lineRule="auto"/>
        <w:rPr>
          <w:sz w:val="20"/>
          <w:szCs w:val="20"/>
          <w:color w:val="auto"/>
        </w:rPr>
      </w:pPr>
      <w:r>
        <w:rPr>
          <w:rFonts w:ascii="Arial" w:cs="Arial" w:eastAsia="Arial" w:hAnsi="Arial"/>
          <w:sz w:val="22"/>
          <w:szCs w:val="22"/>
          <w:color w:val="auto"/>
        </w:rPr>
        <w:t>Until July 23, 2021, the annual remuneration for each member of the Supervisory Board amounted to €50,000. However, the chairman was entitled to receive €150,000 per year and the vice chairman €75,000 per year. In addition, the chairman of the audit committee was entitled to be paid €20,000 per year.</w:t>
      </w:r>
    </w:p>
    <w:p>
      <w:pPr>
        <w:spacing w:after="0" w:line="159" w:lineRule="exact"/>
        <w:rPr>
          <w:sz w:val="20"/>
          <w:szCs w:val="20"/>
          <w:color w:val="auto"/>
        </w:rPr>
      </w:pPr>
    </w:p>
    <w:p>
      <w:pPr>
        <w:jc w:val="both"/>
        <w:ind w:left="640"/>
        <w:spacing w:after="0" w:line="218" w:lineRule="auto"/>
        <w:rPr>
          <w:sz w:val="20"/>
          <w:szCs w:val="20"/>
          <w:color w:val="auto"/>
        </w:rPr>
      </w:pPr>
      <w:r>
        <w:rPr>
          <w:rFonts w:ascii="Arial" w:cs="Arial" w:eastAsia="Arial" w:hAnsi="Arial"/>
          <w:sz w:val="22"/>
          <w:szCs w:val="22"/>
          <w:color w:val="auto"/>
        </w:rPr>
        <w:t>From July 23, 2021, the members of the Supervisory Board receive an annual compensation of €70,000, the Chairman €210,000 and the Vice Chairman €105,000. The Chairman of the Audit Committee shall receive an additional annual compensation of €30,000. The respective Chairman of another committee shall receive an additional annual compensation of €10,000.</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All members of the Supervisory Board are reimbursed for their expenses.</w:t>
      </w:r>
    </w:p>
    <w:p>
      <w:pPr>
        <w:spacing w:after="0" w:line="179" w:lineRule="exact"/>
        <w:rPr>
          <w:sz w:val="20"/>
          <w:szCs w:val="20"/>
          <w:color w:val="auto"/>
        </w:rPr>
      </w:pPr>
    </w:p>
    <w:p>
      <w:pPr>
        <w:jc w:val="both"/>
        <w:ind w:left="640"/>
        <w:spacing w:after="0" w:line="257" w:lineRule="auto"/>
        <w:rPr>
          <w:sz w:val="20"/>
          <w:szCs w:val="20"/>
          <w:color w:val="auto"/>
        </w:rPr>
      </w:pPr>
      <w:r>
        <w:rPr>
          <w:rFonts w:ascii="Arial" w:cs="Arial" w:eastAsia="Arial" w:hAnsi="Arial"/>
          <w:sz w:val="19"/>
          <w:szCs w:val="19"/>
          <w:color w:val="auto"/>
        </w:rPr>
        <w:t>The remuneration of our Supervisory Board for the year ended December 31, 2021 was paid out during December 2021. Even though the compensation in the past has not always been paid in the year that the respective remuneration relates to, the fixed compensation and the remuneration for committee activities of our Supervisory Board members is considered owed and granted in the respective financial year in which the underlying services were performed.</w:t>
      </w:r>
    </w:p>
    <w:p>
      <w:pPr>
        <w:spacing w:after="0" w:line="144" w:lineRule="exact"/>
        <w:rPr>
          <w:sz w:val="20"/>
          <w:szCs w:val="20"/>
          <w:color w:val="auto"/>
        </w:rPr>
      </w:pPr>
    </w:p>
    <w:p>
      <w:pPr>
        <w:jc w:val="both"/>
        <w:ind w:left="640"/>
        <w:spacing w:after="0" w:line="223" w:lineRule="auto"/>
        <w:rPr>
          <w:sz w:val="20"/>
          <w:szCs w:val="20"/>
          <w:color w:val="auto"/>
        </w:rPr>
      </w:pPr>
      <w:r>
        <w:rPr>
          <w:rFonts w:ascii="Arial" w:cs="Arial" w:eastAsia="Arial" w:hAnsi="Arial"/>
          <w:sz w:val="22"/>
          <w:szCs w:val="22"/>
          <w:color w:val="auto"/>
        </w:rPr>
        <w:t>The expenses recognized as aggregate remuneration of our Supervisory Board during the years ended December 31, 2021 and 2020 was €0.4 million and €0.3 million, respectively. The individual amounts of granted and owed compensation of our Supervisory Board members are included in the following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131" w:right="339" w:bottom="1440" w:gutter="0" w:footer="0" w:header="0"/>
        </w:sectPr>
      </w:pPr>
    </w:p>
    <w:bookmarkStart w:id="16" w:name="page17"/>
    <w:bookmarkEnd w:id="16"/>
    <w:tbl>
      <w:tblPr>
        <w:tblLayout w:type="fixed"/>
        <w:tblInd w:w="640" w:type="dxa"/>
        <w:tblCellMar>
          <w:top w:w="0" w:type="dxa"/>
          <w:left w:w="0" w:type="dxa"/>
          <w:bottom w:w="0" w:type="dxa"/>
          <w:right w:w="0" w:type="dxa"/>
        </w:tblCellMar>
      </w:tblPr>
      <w:tr>
        <w:trPr>
          <w:trHeight w:val="253"/>
        </w:trPr>
        <w:tc>
          <w:tcPr>
            <w:tcW w:w="3680" w:type="dxa"/>
            <w:vAlign w:val="bottom"/>
            <w:tcBorders>
              <w:right w:val="single" w:sz="8" w:color="70AD47"/>
            </w:tcBorders>
          </w:tcPr>
          <w:p>
            <w:pPr>
              <w:spacing w:after="0"/>
              <w:rPr>
                <w:sz w:val="21"/>
                <w:szCs w:val="21"/>
                <w:color w:val="auto"/>
              </w:rPr>
            </w:pPr>
          </w:p>
        </w:tc>
        <w:tc>
          <w:tcPr>
            <w:tcW w:w="1540" w:type="dxa"/>
            <w:vAlign w:val="bottom"/>
            <w:tcBorders>
              <w:right w:val="single" w:sz="8" w:color="70AD47"/>
            </w:tcBorders>
            <w:vMerge w:val="restart"/>
          </w:tcPr>
          <w:p>
            <w:pPr>
              <w:jc w:val="right"/>
              <w:ind w:right="352"/>
              <w:spacing w:after="0"/>
              <w:rPr>
                <w:sz w:val="20"/>
                <w:szCs w:val="20"/>
                <w:color w:val="auto"/>
              </w:rPr>
            </w:pPr>
            <w:r>
              <w:rPr>
                <w:rFonts w:ascii="Arial" w:cs="Arial" w:eastAsia="Arial" w:hAnsi="Arial"/>
                <w:sz w:val="22"/>
                <w:szCs w:val="22"/>
                <w:b w:val="1"/>
                <w:bCs w:val="1"/>
                <w:color w:val="auto"/>
              </w:rPr>
              <w:t>Helmut</w:t>
            </w:r>
          </w:p>
        </w:tc>
        <w:tc>
          <w:tcPr>
            <w:tcW w:w="1540" w:type="dxa"/>
            <w:vAlign w:val="bottom"/>
            <w:tcBorders>
              <w:right w:val="single" w:sz="8" w:color="70AD47"/>
            </w:tcBorders>
            <w:vMerge w:val="restart"/>
          </w:tcPr>
          <w:p>
            <w:pPr>
              <w:jc w:val="right"/>
              <w:ind w:right="292"/>
              <w:spacing w:after="0"/>
              <w:rPr>
                <w:sz w:val="20"/>
                <w:szCs w:val="20"/>
                <w:color w:val="auto"/>
              </w:rPr>
            </w:pPr>
            <w:r>
              <w:rPr>
                <w:rFonts w:ascii="Arial" w:cs="Arial" w:eastAsia="Arial" w:hAnsi="Arial"/>
                <w:sz w:val="22"/>
                <w:szCs w:val="22"/>
                <w:b w:val="1"/>
                <w:bCs w:val="1"/>
                <w:color w:val="auto"/>
              </w:rPr>
              <w:t>Michael</w:t>
            </w:r>
          </w:p>
        </w:tc>
        <w:tc>
          <w:tcPr>
            <w:tcW w:w="1540" w:type="dxa"/>
            <w:vAlign w:val="bottom"/>
            <w:tcBorders>
              <w:right w:val="single" w:sz="8" w:color="70AD47"/>
            </w:tcBorders>
          </w:tcPr>
          <w:p>
            <w:pPr>
              <w:jc w:val="center"/>
              <w:spacing w:after="0"/>
              <w:rPr>
                <w:sz w:val="20"/>
                <w:szCs w:val="20"/>
                <w:color w:val="auto"/>
              </w:rPr>
            </w:pPr>
            <w:r>
              <w:rPr>
                <w:rFonts w:ascii="Arial" w:cs="Arial" w:eastAsia="Arial" w:hAnsi="Arial"/>
                <w:sz w:val="22"/>
                <w:szCs w:val="22"/>
                <w:b w:val="1"/>
                <w:bCs w:val="1"/>
                <w:color w:val="auto"/>
                <w:w w:val="90"/>
              </w:rPr>
              <w:t>Prof. Dr. med.</w:t>
            </w:r>
          </w:p>
        </w:tc>
        <w:tc>
          <w:tcPr>
            <w:tcW w:w="1380" w:type="dxa"/>
            <w:vAlign w:val="bottom"/>
            <w:vMerge w:val="restart"/>
          </w:tcPr>
          <w:p>
            <w:pPr>
              <w:jc w:val="right"/>
              <w:ind w:right="52"/>
              <w:spacing w:after="0"/>
              <w:rPr>
                <w:sz w:val="20"/>
                <w:szCs w:val="20"/>
                <w:color w:val="auto"/>
              </w:rPr>
            </w:pPr>
            <w:r>
              <w:rPr>
                <w:rFonts w:ascii="Arial" w:cs="Arial" w:eastAsia="Arial" w:hAnsi="Arial"/>
                <w:sz w:val="22"/>
                <w:szCs w:val="22"/>
                <w:b w:val="1"/>
                <w:bCs w:val="1"/>
                <w:color w:val="auto"/>
              </w:rPr>
              <w:t>Dr. Ulrich</w:t>
            </w:r>
          </w:p>
        </w:tc>
        <w:tc>
          <w:tcPr>
            <w:tcW w:w="180" w:type="dxa"/>
            <w:vAlign w:val="bottom"/>
            <w:tcBorders>
              <w:right w:val="single" w:sz="8" w:color="70AD47"/>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3680" w:type="dxa"/>
            <w:vAlign w:val="bottom"/>
            <w:tcBorders>
              <w:right w:val="single" w:sz="8" w:color="70AD47"/>
            </w:tcBorders>
            <w:vMerge w:val="restart"/>
          </w:tcPr>
          <w:p>
            <w:pPr>
              <w:ind w:left="20"/>
              <w:spacing w:after="0" w:line="216" w:lineRule="exact"/>
              <w:rPr>
                <w:sz w:val="20"/>
                <w:szCs w:val="20"/>
                <w:color w:val="auto"/>
              </w:rPr>
            </w:pPr>
            <w:r>
              <w:rPr>
                <w:rFonts w:ascii="Arial" w:cs="Arial" w:eastAsia="Arial" w:hAnsi="Arial"/>
                <w:sz w:val="22"/>
                <w:szCs w:val="22"/>
                <w:i w:val="1"/>
                <w:iCs w:val="1"/>
                <w:color w:val="auto"/>
              </w:rPr>
              <w:t>in thousands</w:t>
            </w:r>
          </w:p>
        </w:tc>
        <w:tc>
          <w:tcPr>
            <w:tcW w:w="1540" w:type="dxa"/>
            <w:vAlign w:val="bottom"/>
            <w:tcBorders>
              <w:right w:val="single" w:sz="8" w:color="70AD47"/>
            </w:tcBorders>
            <w:vMerge w:val="continue"/>
          </w:tcPr>
          <w:p>
            <w:pPr>
              <w:spacing w:after="0"/>
              <w:rPr>
                <w:sz w:val="9"/>
                <w:szCs w:val="9"/>
                <w:color w:val="auto"/>
              </w:rPr>
            </w:pPr>
          </w:p>
        </w:tc>
        <w:tc>
          <w:tcPr>
            <w:tcW w:w="1540" w:type="dxa"/>
            <w:vAlign w:val="bottom"/>
            <w:tcBorders>
              <w:right w:val="single" w:sz="8" w:color="70AD47"/>
            </w:tcBorders>
            <w:vMerge w:val="continue"/>
          </w:tcPr>
          <w:p>
            <w:pPr>
              <w:spacing w:after="0"/>
              <w:rPr>
                <w:sz w:val="9"/>
                <w:szCs w:val="9"/>
                <w:color w:val="auto"/>
              </w:rPr>
            </w:pPr>
          </w:p>
        </w:tc>
        <w:tc>
          <w:tcPr>
            <w:tcW w:w="1540" w:type="dxa"/>
            <w:vAlign w:val="bottom"/>
            <w:tcBorders>
              <w:right w:val="single" w:sz="8" w:color="70AD47"/>
            </w:tcBorders>
            <w:vMerge w:val="restart"/>
          </w:tcPr>
          <w:p>
            <w:pPr>
              <w:jc w:val="center"/>
              <w:spacing w:after="0" w:line="216" w:lineRule="exact"/>
              <w:rPr>
                <w:sz w:val="20"/>
                <w:szCs w:val="20"/>
                <w:color w:val="auto"/>
              </w:rPr>
            </w:pPr>
            <w:r>
              <w:rPr>
                <w:rFonts w:ascii="Arial" w:cs="Arial" w:eastAsia="Arial" w:hAnsi="Arial"/>
                <w:sz w:val="22"/>
                <w:szCs w:val="22"/>
                <w:b w:val="1"/>
                <w:bCs w:val="1"/>
                <w:color w:val="auto"/>
                <w:w w:val="88"/>
              </w:rPr>
              <w:t>Christoph</w:t>
            </w:r>
          </w:p>
        </w:tc>
        <w:tc>
          <w:tcPr>
            <w:tcW w:w="1380" w:type="dxa"/>
            <w:vAlign w:val="bottom"/>
            <w:vMerge w:val="continue"/>
          </w:tcPr>
          <w:p>
            <w:pPr>
              <w:spacing w:after="0"/>
              <w:rPr>
                <w:sz w:val="9"/>
                <w:szCs w:val="9"/>
                <w:color w:val="auto"/>
              </w:rPr>
            </w:pPr>
          </w:p>
        </w:tc>
        <w:tc>
          <w:tcPr>
            <w:tcW w:w="180" w:type="dxa"/>
            <w:vAlign w:val="bottom"/>
            <w:tcBorders>
              <w:right w:val="single" w:sz="8" w:color="70AD47"/>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80" w:type="dxa"/>
            <w:vAlign w:val="bottom"/>
            <w:tcBorders>
              <w:right w:val="single" w:sz="8" w:color="70AD47"/>
            </w:tcBorders>
            <w:vMerge w:val="continue"/>
          </w:tcPr>
          <w:p>
            <w:pPr>
              <w:spacing w:after="0"/>
              <w:rPr>
                <w:sz w:val="9"/>
                <w:szCs w:val="9"/>
                <w:color w:val="auto"/>
              </w:rPr>
            </w:pPr>
          </w:p>
        </w:tc>
        <w:tc>
          <w:tcPr>
            <w:tcW w:w="1540" w:type="dxa"/>
            <w:vAlign w:val="bottom"/>
            <w:tcBorders>
              <w:right w:val="single" w:sz="8" w:color="70AD47"/>
            </w:tcBorders>
            <w:vMerge w:val="restart"/>
          </w:tcPr>
          <w:p>
            <w:pPr>
              <w:jc w:val="right"/>
              <w:ind w:right="392"/>
              <w:spacing w:after="0"/>
              <w:rPr>
                <w:sz w:val="20"/>
                <w:szCs w:val="20"/>
                <w:color w:val="auto"/>
              </w:rPr>
            </w:pPr>
            <w:r>
              <w:rPr>
                <w:rFonts w:ascii="Arial" w:cs="Arial" w:eastAsia="Arial" w:hAnsi="Arial"/>
                <w:sz w:val="22"/>
                <w:szCs w:val="22"/>
                <w:b w:val="1"/>
                <w:bCs w:val="1"/>
                <w:color w:val="auto"/>
              </w:rPr>
              <w:t>Jeggle</w:t>
            </w:r>
          </w:p>
        </w:tc>
        <w:tc>
          <w:tcPr>
            <w:tcW w:w="1540" w:type="dxa"/>
            <w:vAlign w:val="bottom"/>
            <w:tcBorders>
              <w:right w:val="single" w:sz="8" w:color="70AD47"/>
            </w:tcBorders>
            <w:vMerge w:val="restart"/>
          </w:tcPr>
          <w:p>
            <w:pPr>
              <w:jc w:val="right"/>
              <w:ind w:right="72"/>
              <w:spacing w:after="0"/>
              <w:rPr>
                <w:sz w:val="20"/>
                <w:szCs w:val="20"/>
                <w:color w:val="auto"/>
              </w:rPr>
            </w:pPr>
            <w:r>
              <w:rPr>
                <w:rFonts w:ascii="Arial" w:cs="Arial" w:eastAsia="Arial" w:hAnsi="Arial"/>
                <w:sz w:val="22"/>
                <w:szCs w:val="22"/>
                <w:b w:val="1"/>
                <w:bCs w:val="1"/>
                <w:color w:val="auto"/>
                <w:w w:val="98"/>
              </w:rPr>
              <w:t>Motschmann</w:t>
            </w:r>
          </w:p>
        </w:tc>
        <w:tc>
          <w:tcPr>
            <w:tcW w:w="1540" w:type="dxa"/>
            <w:vAlign w:val="bottom"/>
            <w:tcBorders>
              <w:right w:val="single" w:sz="8" w:color="70AD47"/>
            </w:tcBorders>
            <w:vMerge w:val="continue"/>
          </w:tcPr>
          <w:p>
            <w:pPr>
              <w:spacing w:after="0"/>
              <w:rPr>
                <w:sz w:val="9"/>
                <w:szCs w:val="9"/>
                <w:color w:val="auto"/>
              </w:rPr>
            </w:pPr>
          </w:p>
        </w:tc>
        <w:tc>
          <w:tcPr>
            <w:tcW w:w="1560" w:type="dxa"/>
            <w:vAlign w:val="bottom"/>
            <w:tcBorders>
              <w:right w:val="single" w:sz="8" w:color="70AD47"/>
            </w:tcBorders>
            <w:gridSpan w:val="2"/>
            <w:vMerge w:val="restart"/>
          </w:tcPr>
          <w:p>
            <w:pPr>
              <w:jc w:val="right"/>
              <w:spacing w:after="0"/>
              <w:rPr>
                <w:sz w:val="20"/>
                <w:szCs w:val="20"/>
                <w:color w:val="auto"/>
              </w:rPr>
            </w:pPr>
            <w:r>
              <w:rPr>
                <w:rFonts w:ascii="Arial" w:cs="Arial" w:eastAsia="Arial" w:hAnsi="Arial"/>
                <w:sz w:val="22"/>
                <w:szCs w:val="22"/>
                <w:b w:val="1"/>
                <w:bCs w:val="1"/>
                <w:color w:val="auto"/>
                <w:w w:val="89"/>
              </w:rPr>
              <w:t>Wandschneider</w:t>
            </w:r>
          </w:p>
        </w:tc>
        <w:tc>
          <w:tcPr>
            <w:tcW w:w="0" w:type="dxa"/>
            <w:vAlign w:val="bottom"/>
          </w:tcPr>
          <w:p>
            <w:pPr>
              <w:spacing w:after="0"/>
              <w:rPr>
                <w:sz w:val="1"/>
                <w:szCs w:val="1"/>
                <w:color w:val="auto"/>
              </w:rPr>
            </w:pPr>
          </w:p>
        </w:tc>
      </w:tr>
      <w:tr>
        <w:trPr>
          <w:trHeight w:val="172"/>
        </w:trPr>
        <w:tc>
          <w:tcPr>
            <w:tcW w:w="3680" w:type="dxa"/>
            <w:vAlign w:val="bottom"/>
            <w:tcBorders>
              <w:right w:val="single" w:sz="8" w:color="70AD47"/>
            </w:tcBorders>
          </w:tcPr>
          <w:p>
            <w:pPr>
              <w:spacing w:after="0"/>
              <w:rPr>
                <w:sz w:val="14"/>
                <w:szCs w:val="14"/>
                <w:color w:val="auto"/>
              </w:rPr>
            </w:pPr>
          </w:p>
        </w:tc>
        <w:tc>
          <w:tcPr>
            <w:tcW w:w="1540" w:type="dxa"/>
            <w:vAlign w:val="bottom"/>
            <w:tcBorders>
              <w:right w:val="single" w:sz="8" w:color="70AD47"/>
            </w:tcBorders>
            <w:vMerge w:val="continue"/>
          </w:tcPr>
          <w:p>
            <w:pPr>
              <w:spacing w:after="0"/>
              <w:rPr>
                <w:sz w:val="14"/>
                <w:szCs w:val="14"/>
                <w:color w:val="auto"/>
              </w:rPr>
            </w:pPr>
          </w:p>
        </w:tc>
        <w:tc>
          <w:tcPr>
            <w:tcW w:w="1540" w:type="dxa"/>
            <w:vAlign w:val="bottom"/>
            <w:tcBorders>
              <w:right w:val="single" w:sz="8" w:color="70AD47"/>
            </w:tcBorders>
            <w:vMerge w:val="continue"/>
          </w:tcPr>
          <w:p>
            <w:pPr>
              <w:spacing w:after="0"/>
              <w:rPr>
                <w:sz w:val="14"/>
                <w:szCs w:val="14"/>
                <w:color w:val="auto"/>
              </w:rPr>
            </w:pPr>
          </w:p>
        </w:tc>
        <w:tc>
          <w:tcPr>
            <w:tcW w:w="1540" w:type="dxa"/>
            <w:vAlign w:val="bottom"/>
            <w:tcBorders>
              <w:right w:val="single" w:sz="8" w:color="70AD47"/>
            </w:tcBorders>
            <w:vMerge w:val="restart"/>
          </w:tcPr>
          <w:p>
            <w:pPr>
              <w:jc w:val="center"/>
              <w:spacing w:after="0"/>
              <w:rPr>
                <w:sz w:val="20"/>
                <w:szCs w:val="20"/>
                <w:color w:val="auto"/>
              </w:rPr>
            </w:pPr>
            <w:r>
              <w:rPr>
                <w:rFonts w:ascii="Arial" w:cs="Arial" w:eastAsia="Arial" w:hAnsi="Arial"/>
                <w:sz w:val="22"/>
                <w:szCs w:val="22"/>
                <w:b w:val="1"/>
                <w:bCs w:val="1"/>
                <w:color w:val="auto"/>
                <w:w w:val="94"/>
              </w:rPr>
              <w:t>Huber</w:t>
            </w:r>
          </w:p>
        </w:tc>
        <w:tc>
          <w:tcPr>
            <w:tcW w:w="1560" w:type="dxa"/>
            <w:vAlign w:val="bottom"/>
            <w:tcBorders>
              <w:right w:val="single" w:sz="8" w:color="70AD47"/>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680" w:type="dxa"/>
            <w:vAlign w:val="bottom"/>
            <w:tcBorders>
              <w:bottom w:val="single" w:sz="8" w:color="70AD47"/>
              <w:right w:val="single" w:sz="8" w:color="70AD47"/>
            </w:tcBorders>
          </w:tcPr>
          <w:p>
            <w:pPr>
              <w:spacing w:after="0"/>
              <w:rPr>
                <w:sz w:val="9"/>
                <w:szCs w:val="9"/>
                <w:color w:val="auto"/>
              </w:rPr>
            </w:pPr>
          </w:p>
        </w:tc>
        <w:tc>
          <w:tcPr>
            <w:tcW w:w="1540" w:type="dxa"/>
            <w:vAlign w:val="bottom"/>
            <w:tcBorders>
              <w:bottom w:val="single" w:sz="8" w:color="70AD47"/>
              <w:right w:val="single" w:sz="8" w:color="70AD47"/>
            </w:tcBorders>
          </w:tcPr>
          <w:p>
            <w:pPr>
              <w:spacing w:after="0"/>
              <w:rPr>
                <w:sz w:val="9"/>
                <w:szCs w:val="9"/>
                <w:color w:val="auto"/>
              </w:rPr>
            </w:pPr>
          </w:p>
        </w:tc>
        <w:tc>
          <w:tcPr>
            <w:tcW w:w="1540" w:type="dxa"/>
            <w:vAlign w:val="bottom"/>
            <w:tcBorders>
              <w:bottom w:val="single" w:sz="8" w:color="70AD47"/>
              <w:right w:val="single" w:sz="8" w:color="70AD47"/>
            </w:tcBorders>
          </w:tcPr>
          <w:p>
            <w:pPr>
              <w:spacing w:after="0"/>
              <w:rPr>
                <w:sz w:val="9"/>
                <w:szCs w:val="9"/>
                <w:color w:val="auto"/>
              </w:rPr>
            </w:pPr>
          </w:p>
        </w:tc>
        <w:tc>
          <w:tcPr>
            <w:tcW w:w="1540" w:type="dxa"/>
            <w:vAlign w:val="bottom"/>
            <w:tcBorders>
              <w:bottom w:val="single" w:sz="8" w:color="70AD47"/>
              <w:right w:val="single" w:sz="8" w:color="70AD47"/>
            </w:tcBorders>
            <w:vMerge w:val="continue"/>
          </w:tcPr>
          <w:p>
            <w:pPr>
              <w:spacing w:after="0"/>
              <w:rPr>
                <w:sz w:val="9"/>
                <w:szCs w:val="9"/>
                <w:color w:val="auto"/>
              </w:rPr>
            </w:pPr>
          </w:p>
        </w:tc>
        <w:tc>
          <w:tcPr>
            <w:tcW w:w="1380" w:type="dxa"/>
            <w:vAlign w:val="bottom"/>
            <w:tcBorders>
              <w:bottom w:val="single" w:sz="8" w:color="70AD47"/>
            </w:tcBorders>
          </w:tcPr>
          <w:p>
            <w:pPr>
              <w:spacing w:after="0"/>
              <w:rPr>
                <w:sz w:val="9"/>
                <w:szCs w:val="9"/>
                <w:color w:val="auto"/>
              </w:rPr>
            </w:pPr>
          </w:p>
        </w:tc>
        <w:tc>
          <w:tcPr>
            <w:tcW w:w="180" w:type="dxa"/>
            <w:vAlign w:val="bottom"/>
            <w:tcBorders>
              <w:bottom w:val="single" w:sz="8" w:color="70AD47"/>
              <w:right w:val="single" w:sz="8" w:color="70AD47"/>
            </w:tcBorders>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3680" w:type="dxa"/>
            <w:vAlign w:val="bottom"/>
            <w:tcBorders>
              <w:right w:val="single" w:sz="8" w:color="70AD47"/>
            </w:tcBorders>
          </w:tcPr>
          <w:p>
            <w:pPr>
              <w:ind w:left="20"/>
              <w:spacing w:after="0"/>
              <w:rPr>
                <w:sz w:val="20"/>
                <w:szCs w:val="20"/>
                <w:color w:val="auto"/>
              </w:rPr>
            </w:pPr>
            <w:r>
              <w:rPr>
                <w:rFonts w:ascii="Arial" w:cs="Arial" w:eastAsia="Arial" w:hAnsi="Arial"/>
                <w:sz w:val="22"/>
                <w:szCs w:val="22"/>
                <w:b w:val="1"/>
                <w:bCs w:val="1"/>
                <w:color w:val="auto"/>
              </w:rPr>
              <w:t>Base compensation</w:t>
            </w:r>
          </w:p>
        </w:tc>
        <w:tc>
          <w:tcPr>
            <w:tcW w:w="1540" w:type="dxa"/>
            <w:vAlign w:val="bottom"/>
            <w:tcBorders>
              <w:right w:val="single" w:sz="8" w:color="70AD47"/>
            </w:tcBorders>
          </w:tcPr>
          <w:p>
            <w:pPr>
              <w:spacing w:after="0"/>
              <w:rPr>
                <w:sz w:val="23"/>
                <w:szCs w:val="23"/>
                <w:color w:val="auto"/>
              </w:rPr>
            </w:pPr>
          </w:p>
        </w:tc>
        <w:tc>
          <w:tcPr>
            <w:tcW w:w="1540" w:type="dxa"/>
            <w:vAlign w:val="bottom"/>
            <w:tcBorders>
              <w:right w:val="single" w:sz="8" w:color="70AD47"/>
            </w:tcBorders>
          </w:tcPr>
          <w:p>
            <w:pPr>
              <w:spacing w:after="0"/>
              <w:rPr>
                <w:sz w:val="23"/>
                <w:szCs w:val="23"/>
                <w:color w:val="auto"/>
              </w:rPr>
            </w:pPr>
          </w:p>
        </w:tc>
        <w:tc>
          <w:tcPr>
            <w:tcW w:w="1540" w:type="dxa"/>
            <w:vAlign w:val="bottom"/>
            <w:tcBorders>
              <w:right w:val="single" w:sz="8" w:color="70AD47"/>
            </w:tcBorders>
          </w:tcPr>
          <w:p>
            <w:pPr>
              <w:spacing w:after="0"/>
              <w:rPr>
                <w:sz w:val="23"/>
                <w:szCs w:val="23"/>
                <w:color w:val="auto"/>
              </w:rPr>
            </w:pPr>
          </w:p>
        </w:tc>
        <w:tc>
          <w:tcPr>
            <w:tcW w:w="1380" w:type="dxa"/>
            <w:vAlign w:val="bottom"/>
          </w:tcPr>
          <w:p>
            <w:pPr>
              <w:spacing w:after="0"/>
              <w:rPr>
                <w:sz w:val="23"/>
                <w:szCs w:val="23"/>
                <w:color w:val="auto"/>
              </w:rPr>
            </w:pPr>
          </w:p>
        </w:tc>
        <w:tc>
          <w:tcPr>
            <w:tcW w:w="180" w:type="dxa"/>
            <w:vAlign w:val="bottom"/>
            <w:tcBorders>
              <w:right w:val="single" w:sz="8" w:color="70AD47"/>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80" w:type="dxa"/>
            <w:vAlign w:val="bottom"/>
            <w:tcBorders>
              <w:right w:val="single" w:sz="8" w:color="70AD47"/>
            </w:tcBorders>
            <w:shd w:val="clear" w:color="auto" w:fill="C6E0B4"/>
          </w:tcPr>
          <w:p>
            <w:pPr>
              <w:ind w:left="20"/>
              <w:spacing w:after="0"/>
              <w:rPr>
                <w:sz w:val="20"/>
                <w:szCs w:val="20"/>
                <w:color w:val="auto"/>
              </w:rPr>
            </w:pPr>
            <w:r>
              <w:rPr>
                <w:rFonts w:ascii="Arial" w:cs="Arial" w:eastAsia="Arial" w:hAnsi="Arial"/>
                <w:sz w:val="22"/>
                <w:szCs w:val="22"/>
                <w:color w:val="auto"/>
              </w:rPr>
              <w:t>2021</w:t>
            </w:r>
          </w:p>
        </w:tc>
        <w:tc>
          <w:tcPr>
            <w:tcW w:w="1540" w:type="dxa"/>
            <w:vAlign w:val="bottom"/>
            <w:tcBorders>
              <w:right w:val="single" w:sz="8" w:color="70AD47"/>
            </w:tcBorders>
            <w:shd w:val="clear" w:color="auto" w:fill="C5E0B4"/>
          </w:tcPr>
          <w:p>
            <w:pPr>
              <w:jc w:val="right"/>
              <w:spacing w:after="0"/>
              <w:rPr>
                <w:sz w:val="20"/>
                <w:szCs w:val="20"/>
                <w:color w:val="auto"/>
              </w:rPr>
            </w:pPr>
            <w:r>
              <w:rPr>
                <w:rFonts w:ascii="Arial" w:cs="Arial" w:eastAsia="Arial" w:hAnsi="Arial"/>
                <w:sz w:val="22"/>
                <w:szCs w:val="22"/>
                <w:color w:val="auto"/>
              </w:rPr>
              <w:t>177 €</w:t>
            </w:r>
          </w:p>
        </w:tc>
        <w:tc>
          <w:tcPr>
            <w:tcW w:w="1540" w:type="dxa"/>
            <w:vAlign w:val="bottom"/>
            <w:tcBorders>
              <w:right w:val="single" w:sz="8" w:color="70AD47"/>
            </w:tcBorders>
            <w:shd w:val="clear" w:color="auto" w:fill="C5E0B4"/>
          </w:tcPr>
          <w:p>
            <w:pPr>
              <w:jc w:val="right"/>
              <w:spacing w:after="0"/>
              <w:rPr>
                <w:sz w:val="20"/>
                <w:szCs w:val="20"/>
                <w:color w:val="auto"/>
              </w:rPr>
            </w:pPr>
            <w:r>
              <w:rPr>
                <w:rFonts w:ascii="Arial" w:cs="Arial" w:eastAsia="Arial" w:hAnsi="Arial"/>
                <w:sz w:val="22"/>
                <w:szCs w:val="22"/>
                <w:color w:val="auto"/>
              </w:rPr>
              <w:t>59 €</w:t>
            </w:r>
          </w:p>
        </w:tc>
        <w:tc>
          <w:tcPr>
            <w:tcW w:w="1540" w:type="dxa"/>
            <w:vAlign w:val="bottom"/>
            <w:tcBorders>
              <w:right w:val="single" w:sz="8" w:color="70AD47"/>
            </w:tcBorders>
            <w:shd w:val="clear" w:color="auto" w:fill="C5E0B4"/>
          </w:tcPr>
          <w:p>
            <w:pPr>
              <w:jc w:val="right"/>
              <w:spacing w:after="0"/>
              <w:rPr>
                <w:sz w:val="20"/>
                <w:szCs w:val="20"/>
                <w:color w:val="auto"/>
              </w:rPr>
            </w:pPr>
            <w:r>
              <w:rPr>
                <w:rFonts w:ascii="Arial" w:cs="Arial" w:eastAsia="Arial" w:hAnsi="Arial"/>
                <w:sz w:val="22"/>
                <w:szCs w:val="22"/>
                <w:color w:val="auto"/>
              </w:rPr>
              <w:t>59 €</w:t>
            </w:r>
          </w:p>
        </w:tc>
        <w:tc>
          <w:tcPr>
            <w:tcW w:w="1380" w:type="dxa"/>
            <w:vAlign w:val="bottom"/>
            <w:shd w:val="clear" w:color="auto" w:fill="C5E0B4"/>
          </w:tcPr>
          <w:p>
            <w:pPr>
              <w:jc w:val="right"/>
              <w:spacing w:after="0"/>
              <w:rPr>
                <w:sz w:val="20"/>
                <w:szCs w:val="20"/>
                <w:color w:val="auto"/>
              </w:rPr>
            </w:pPr>
            <w:r>
              <w:rPr>
                <w:rFonts w:ascii="Arial" w:cs="Arial" w:eastAsia="Arial" w:hAnsi="Arial"/>
                <w:sz w:val="22"/>
                <w:szCs w:val="22"/>
                <w:color w:val="auto"/>
              </w:rPr>
              <w:t>88</w:t>
            </w:r>
          </w:p>
        </w:tc>
        <w:tc>
          <w:tcPr>
            <w:tcW w:w="180" w:type="dxa"/>
            <w:vAlign w:val="bottom"/>
            <w:tcBorders>
              <w:right w:val="single" w:sz="8" w:color="70AD47"/>
            </w:tcBorders>
            <w:shd w:val="clear" w:color="auto" w:fill="C5E0B4"/>
          </w:tcPr>
          <w:p>
            <w:pPr>
              <w:jc w:val="right"/>
              <w:spacing w:after="0"/>
              <w:rPr>
                <w:sz w:val="20"/>
                <w:szCs w:val="20"/>
                <w:color w:val="auto"/>
              </w:rPr>
            </w:pPr>
            <w:r>
              <w:rPr>
                <w:rFonts w:ascii="Arial" w:cs="Arial" w:eastAsia="Arial" w:hAnsi="Arial"/>
                <w:sz w:val="22"/>
                <w:szCs w:val="22"/>
                <w:color w:val="auto"/>
                <w:w w:val="97"/>
              </w:rPr>
              <w:t>€</w:t>
            </w:r>
          </w:p>
        </w:tc>
        <w:tc>
          <w:tcPr>
            <w:tcW w:w="0" w:type="dxa"/>
            <w:vAlign w:val="bottom"/>
          </w:tcPr>
          <w:p>
            <w:pPr>
              <w:spacing w:after="0"/>
              <w:rPr>
                <w:sz w:val="1"/>
                <w:szCs w:val="1"/>
                <w:color w:val="auto"/>
              </w:rPr>
            </w:pPr>
          </w:p>
        </w:tc>
      </w:tr>
      <w:tr>
        <w:trPr>
          <w:trHeight w:val="256"/>
        </w:trPr>
        <w:tc>
          <w:tcPr>
            <w:tcW w:w="3680" w:type="dxa"/>
            <w:vAlign w:val="bottom"/>
            <w:tcBorders>
              <w:right w:val="single" w:sz="8" w:color="70AD47"/>
            </w:tcBorders>
          </w:tcPr>
          <w:p>
            <w:pPr>
              <w:ind w:left="20"/>
              <w:spacing w:after="0"/>
              <w:rPr>
                <w:sz w:val="20"/>
                <w:szCs w:val="20"/>
                <w:color w:val="auto"/>
              </w:rPr>
            </w:pPr>
            <w:r>
              <w:rPr>
                <w:rFonts w:ascii="Arial" w:cs="Arial" w:eastAsia="Arial" w:hAnsi="Arial"/>
                <w:sz w:val="22"/>
                <w:szCs w:val="22"/>
                <w:color w:val="auto"/>
              </w:rPr>
              <w:t>2020</w:t>
            </w:r>
          </w:p>
        </w:tc>
        <w:tc>
          <w:tcPr>
            <w:tcW w:w="154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150</w:t>
            </w:r>
          </w:p>
        </w:tc>
        <w:tc>
          <w:tcPr>
            <w:tcW w:w="154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50</w:t>
            </w:r>
          </w:p>
        </w:tc>
        <w:tc>
          <w:tcPr>
            <w:tcW w:w="154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50</w:t>
            </w:r>
          </w:p>
        </w:tc>
        <w:tc>
          <w:tcPr>
            <w:tcW w:w="1560" w:type="dxa"/>
            <w:vAlign w:val="bottom"/>
            <w:tcBorders>
              <w:right w:val="single" w:sz="8" w:color="70AD47"/>
            </w:tcBorders>
            <w:gridSpan w:val="2"/>
          </w:tcPr>
          <w:p>
            <w:pPr>
              <w:jc w:val="right"/>
              <w:spacing w:after="0"/>
              <w:rPr>
                <w:sz w:val="20"/>
                <w:szCs w:val="20"/>
                <w:color w:val="auto"/>
              </w:rPr>
            </w:pPr>
            <w:r>
              <w:rPr>
                <w:rFonts w:ascii="Arial" w:cs="Arial" w:eastAsia="Arial" w:hAnsi="Arial"/>
                <w:sz w:val="22"/>
                <w:szCs w:val="22"/>
                <w:color w:val="auto"/>
              </w:rPr>
              <w:t>75</w:t>
            </w:r>
          </w:p>
        </w:tc>
        <w:tc>
          <w:tcPr>
            <w:tcW w:w="0" w:type="dxa"/>
            <w:vAlign w:val="bottom"/>
          </w:tcPr>
          <w:p>
            <w:pPr>
              <w:spacing w:after="0"/>
              <w:rPr>
                <w:sz w:val="1"/>
                <w:szCs w:val="1"/>
                <w:color w:val="auto"/>
              </w:rPr>
            </w:pPr>
          </w:p>
        </w:tc>
      </w:tr>
      <w:tr>
        <w:trPr>
          <w:trHeight w:val="282"/>
        </w:trPr>
        <w:tc>
          <w:tcPr>
            <w:tcW w:w="3680" w:type="dxa"/>
            <w:vAlign w:val="bottom"/>
            <w:tcBorders>
              <w:right w:val="single" w:sz="8" w:color="70AD47"/>
            </w:tcBorders>
          </w:tcPr>
          <w:p>
            <w:pPr>
              <w:ind w:left="20"/>
              <w:spacing w:after="0"/>
              <w:rPr>
                <w:sz w:val="20"/>
                <w:szCs w:val="20"/>
                <w:color w:val="auto"/>
              </w:rPr>
            </w:pPr>
            <w:r>
              <w:rPr>
                <w:rFonts w:ascii="Arial" w:cs="Arial" w:eastAsia="Arial" w:hAnsi="Arial"/>
                <w:sz w:val="22"/>
                <w:szCs w:val="22"/>
                <w:b w:val="1"/>
                <w:bCs w:val="1"/>
                <w:color w:val="auto"/>
              </w:rPr>
              <w:t>Committee compensation</w:t>
            </w:r>
          </w:p>
        </w:tc>
        <w:tc>
          <w:tcPr>
            <w:tcW w:w="1540" w:type="dxa"/>
            <w:vAlign w:val="bottom"/>
            <w:tcBorders>
              <w:right w:val="single" w:sz="8" w:color="70AD47"/>
            </w:tcBorders>
          </w:tcPr>
          <w:p>
            <w:pPr>
              <w:spacing w:after="0"/>
              <w:rPr>
                <w:sz w:val="24"/>
                <w:szCs w:val="24"/>
                <w:color w:val="auto"/>
              </w:rPr>
            </w:pPr>
          </w:p>
        </w:tc>
        <w:tc>
          <w:tcPr>
            <w:tcW w:w="1540" w:type="dxa"/>
            <w:vAlign w:val="bottom"/>
            <w:tcBorders>
              <w:right w:val="single" w:sz="8" w:color="70AD47"/>
            </w:tcBorders>
          </w:tcPr>
          <w:p>
            <w:pPr>
              <w:spacing w:after="0"/>
              <w:rPr>
                <w:sz w:val="24"/>
                <w:szCs w:val="24"/>
                <w:color w:val="auto"/>
              </w:rPr>
            </w:pPr>
          </w:p>
        </w:tc>
        <w:tc>
          <w:tcPr>
            <w:tcW w:w="1540" w:type="dxa"/>
            <w:vAlign w:val="bottom"/>
            <w:tcBorders>
              <w:right w:val="single" w:sz="8" w:color="70AD47"/>
            </w:tcBorders>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Borders>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680" w:type="dxa"/>
            <w:vAlign w:val="bottom"/>
            <w:tcBorders>
              <w:right w:val="single" w:sz="8" w:color="70AD47"/>
            </w:tcBorders>
            <w:shd w:val="clear" w:color="auto" w:fill="C6E0B4"/>
          </w:tcPr>
          <w:p>
            <w:pPr>
              <w:ind w:left="20"/>
              <w:spacing w:after="0"/>
              <w:rPr>
                <w:sz w:val="20"/>
                <w:szCs w:val="20"/>
                <w:color w:val="auto"/>
              </w:rPr>
            </w:pPr>
            <w:r>
              <w:rPr>
                <w:rFonts w:ascii="Arial" w:cs="Arial" w:eastAsia="Arial" w:hAnsi="Arial"/>
                <w:sz w:val="22"/>
                <w:szCs w:val="22"/>
                <w:color w:val="auto"/>
              </w:rPr>
              <w:t>2021</w:t>
            </w:r>
          </w:p>
        </w:tc>
        <w:tc>
          <w:tcPr>
            <w:tcW w:w="15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4</w:t>
            </w:r>
          </w:p>
        </w:tc>
        <w:tc>
          <w:tcPr>
            <w:tcW w:w="15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4</w:t>
            </w:r>
          </w:p>
        </w:tc>
        <w:tc>
          <w:tcPr>
            <w:tcW w:w="154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w:t>
            </w:r>
          </w:p>
        </w:tc>
        <w:tc>
          <w:tcPr>
            <w:tcW w:w="1560" w:type="dxa"/>
            <w:vAlign w:val="bottom"/>
            <w:tcBorders>
              <w:right w:val="single" w:sz="8" w:color="70AD47"/>
            </w:tcBorders>
            <w:gridSpan w:val="2"/>
            <w:shd w:val="clear" w:color="auto" w:fill="C6E0B4"/>
          </w:tcPr>
          <w:p>
            <w:pPr>
              <w:jc w:val="right"/>
              <w:spacing w:after="0"/>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256"/>
        </w:trPr>
        <w:tc>
          <w:tcPr>
            <w:tcW w:w="3680" w:type="dxa"/>
            <w:vAlign w:val="bottom"/>
            <w:tcBorders>
              <w:right w:val="single" w:sz="8" w:color="70AD47"/>
            </w:tcBorders>
          </w:tcPr>
          <w:p>
            <w:pPr>
              <w:ind w:left="20"/>
              <w:spacing w:after="0"/>
              <w:rPr>
                <w:sz w:val="20"/>
                <w:szCs w:val="20"/>
                <w:color w:val="auto"/>
              </w:rPr>
            </w:pPr>
            <w:r>
              <w:rPr>
                <w:rFonts w:ascii="Arial" w:cs="Arial" w:eastAsia="Arial" w:hAnsi="Arial"/>
                <w:sz w:val="22"/>
                <w:szCs w:val="22"/>
                <w:color w:val="auto"/>
              </w:rPr>
              <w:t>2020</w:t>
            </w:r>
          </w:p>
        </w:tc>
        <w:tc>
          <w:tcPr>
            <w:tcW w:w="154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w:t>
            </w:r>
          </w:p>
        </w:tc>
        <w:tc>
          <w:tcPr>
            <w:tcW w:w="154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w:t>
            </w:r>
          </w:p>
        </w:tc>
        <w:tc>
          <w:tcPr>
            <w:tcW w:w="154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w:t>
            </w:r>
          </w:p>
        </w:tc>
        <w:tc>
          <w:tcPr>
            <w:tcW w:w="1560" w:type="dxa"/>
            <w:vAlign w:val="bottom"/>
            <w:tcBorders>
              <w:right w:val="single" w:sz="8" w:color="70AD47"/>
            </w:tcBorders>
            <w:gridSpan w:val="2"/>
          </w:tcPr>
          <w:p>
            <w:pPr>
              <w:jc w:val="right"/>
              <w:spacing w:after="0"/>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82"/>
        </w:trPr>
        <w:tc>
          <w:tcPr>
            <w:tcW w:w="3680" w:type="dxa"/>
            <w:vAlign w:val="bottom"/>
            <w:tcBorders>
              <w:right w:val="single" w:sz="8" w:color="70AD47"/>
            </w:tcBorders>
          </w:tcPr>
          <w:p>
            <w:pPr>
              <w:ind w:left="20"/>
              <w:spacing w:after="0"/>
              <w:rPr>
                <w:sz w:val="20"/>
                <w:szCs w:val="20"/>
                <w:color w:val="auto"/>
              </w:rPr>
            </w:pPr>
            <w:r>
              <w:rPr>
                <w:rFonts w:ascii="Arial" w:cs="Arial" w:eastAsia="Arial" w:hAnsi="Arial"/>
                <w:sz w:val="22"/>
                <w:szCs w:val="22"/>
                <w:b w:val="1"/>
                <w:bCs w:val="1"/>
                <w:color w:val="auto"/>
              </w:rPr>
              <w:t>Total</w:t>
            </w:r>
          </w:p>
        </w:tc>
        <w:tc>
          <w:tcPr>
            <w:tcW w:w="1540" w:type="dxa"/>
            <w:vAlign w:val="bottom"/>
            <w:tcBorders>
              <w:right w:val="single" w:sz="8" w:color="70AD47"/>
            </w:tcBorders>
          </w:tcPr>
          <w:p>
            <w:pPr>
              <w:spacing w:after="0"/>
              <w:rPr>
                <w:sz w:val="24"/>
                <w:szCs w:val="24"/>
                <w:color w:val="auto"/>
              </w:rPr>
            </w:pPr>
          </w:p>
        </w:tc>
        <w:tc>
          <w:tcPr>
            <w:tcW w:w="1540" w:type="dxa"/>
            <w:vAlign w:val="bottom"/>
            <w:tcBorders>
              <w:right w:val="single" w:sz="8" w:color="70AD47"/>
            </w:tcBorders>
          </w:tcPr>
          <w:p>
            <w:pPr>
              <w:spacing w:after="0"/>
              <w:rPr>
                <w:sz w:val="24"/>
                <w:szCs w:val="24"/>
                <w:color w:val="auto"/>
              </w:rPr>
            </w:pPr>
          </w:p>
        </w:tc>
        <w:tc>
          <w:tcPr>
            <w:tcW w:w="1540" w:type="dxa"/>
            <w:vAlign w:val="bottom"/>
            <w:tcBorders>
              <w:right w:val="single" w:sz="8" w:color="70AD47"/>
            </w:tcBorders>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Borders>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680" w:type="dxa"/>
            <w:vAlign w:val="bottom"/>
            <w:tcBorders>
              <w:right w:val="single" w:sz="8" w:color="70AD47"/>
            </w:tcBorders>
            <w:shd w:val="clear" w:color="auto" w:fill="C6E0B4"/>
          </w:tcPr>
          <w:p>
            <w:pPr>
              <w:ind w:left="20"/>
              <w:spacing w:after="0"/>
              <w:rPr>
                <w:sz w:val="20"/>
                <w:szCs w:val="20"/>
                <w:color w:val="auto"/>
              </w:rPr>
            </w:pPr>
            <w:r>
              <w:rPr>
                <w:rFonts w:ascii="Arial" w:cs="Arial" w:eastAsia="Arial" w:hAnsi="Arial"/>
                <w:sz w:val="22"/>
                <w:szCs w:val="22"/>
                <w:b w:val="1"/>
                <w:bCs w:val="1"/>
                <w:color w:val="auto"/>
              </w:rPr>
              <w:t>2021</w:t>
            </w:r>
          </w:p>
        </w:tc>
        <w:tc>
          <w:tcPr>
            <w:tcW w:w="1540" w:type="dxa"/>
            <w:vAlign w:val="bottom"/>
            <w:tcBorders>
              <w:right w:val="single" w:sz="8" w:color="70AD47"/>
            </w:tcBorders>
            <w:shd w:val="clear" w:color="auto" w:fill="C5E0B4"/>
          </w:tcPr>
          <w:p>
            <w:pPr>
              <w:jc w:val="right"/>
              <w:spacing w:after="0"/>
              <w:rPr>
                <w:sz w:val="20"/>
                <w:szCs w:val="20"/>
                <w:color w:val="auto"/>
              </w:rPr>
            </w:pPr>
            <w:r>
              <w:rPr>
                <w:rFonts w:ascii="Arial" w:cs="Arial" w:eastAsia="Arial" w:hAnsi="Arial"/>
                <w:sz w:val="22"/>
                <w:szCs w:val="22"/>
                <w:b w:val="1"/>
                <w:bCs w:val="1"/>
                <w:color w:val="auto"/>
              </w:rPr>
              <w:t>181 €</w:t>
            </w:r>
          </w:p>
        </w:tc>
        <w:tc>
          <w:tcPr>
            <w:tcW w:w="1540" w:type="dxa"/>
            <w:vAlign w:val="bottom"/>
            <w:tcBorders>
              <w:right w:val="single" w:sz="8" w:color="70AD47"/>
            </w:tcBorders>
            <w:shd w:val="clear" w:color="auto" w:fill="C5E0B4"/>
          </w:tcPr>
          <w:p>
            <w:pPr>
              <w:jc w:val="right"/>
              <w:spacing w:after="0"/>
              <w:rPr>
                <w:sz w:val="20"/>
                <w:szCs w:val="20"/>
                <w:color w:val="auto"/>
              </w:rPr>
            </w:pPr>
            <w:r>
              <w:rPr>
                <w:rFonts w:ascii="Arial" w:cs="Arial" w:eastAsia="Arial" w:hAnsi="Arial"/>
                <w:sz w:val="22"/>
                <w:szCs w:val="22"/>
                <w:b w:val="1"/>
                <w:bCs w:val="1"/>
                <w:color w:val="auto"/>
              </w:rPr>
              <w:t>63 €</w:t>
            </w:r>
          </w:p>
        </w:tc>
        <w:tc>
          <w:tcPr>
            <w:tcW w:w="1540" w:type="dxa"/>
            <w:vAlign w:val="bottom"/>
            <w:tcBorders>
              <w:right w:val="single" w:sz="8" w:color="70AD47"/>
            </w:tcBorders>
            <w:shd w:val="clear" w:color="auto" w:fill="C5E0B4"/>
          </w:tcPr>
          <w:p>
            <w:pPr>
              <w:jc w:val="right"/>
              <w:spacing w:after="0"/>
              <w:rPr>
                <w:sz w:val="20"/>
                <w:szCs w:val="20"/>
                <w:color w:val="auto"/>
              </w:rPr>
            </w:pPr>
            <w:r>
              <w:rPr>
                <w:rFonts w:ascii="Arial" w:cs="Arial" w:eastAsia="Arial" w:hAnsi="Arial"/>
                <w:sz w:val="22"/>
                <w:szCs w:val="22"/>
                <w:b w:val="1"/>
                <w:bCs w:val="1"/>
                <w:color w:val="auto"/>
              </w:rPr>
              <w:t>59 €</w:t>
            </w:r>
          </w:p>
        </w:tc>
        <w:tc>
          <w:tcPr>
            <w:tcW w:w="1380" w:type="dxa"/>
            <w:vAlign w:val="bottom"/>
            <w:shd w:val="clear" w:color="auto" w:fill="C5E0B4"/>
          </w:tcPr>
          <w:p>
            <w:pPr>
              <w:jc w:val="right"/>
              <w:spacing w:after="0"/>
              <w:rPr>
                <w:sz w:val="20"/>
                <w:szCs w:val="20"/>
                <w:color w:val="auto"/>
              </w:rPr>
            </w:pPr>
            <w:r>
              <w:rPr>
                <w:rFonts w:ascii="Arial" w:cs="Arial" w:eastAsia="Arial" w:hAnsi="Arial"/>
                <w:sz w:val="22"/>
                <w:szCs w:val="22"/>
                <w:b w:val="1"/>
                <w:bCs w:val="1"/>
                <w:color w:val="auto"/>
              </w:rPr>
              <w:t>112</w:t>
            </w:r>
          </w:p>
        </w:tc>
        <w:tc>
          <w:tcPr>
            <w:tcW w:w="180" w:type="dxa"/>
            <w:vAlign w:val="bottom"/>
            <w:tcBorders>
              <w:right w:val="single" w:sz="8" w:color="70AD47"/>
            </w:tcBorders>
            <w:shd w:val="clear" w:color="auto" w:fill="C5E0B4"/>
          </w:tcPr>
          <w:p>
            <w:pPr>
              <w:jc w:val="right"/>
              <w:spacing w:after="0"/>
              <w:rPr>
                <w:sz w:val="20"/>
                <w:szCs w:val="20"/>
                <w:color w:val="auto"/>
              </w:rPr>
            </w:pPr>
            <w:r>
              <w:rPr>
                <w:rFonts w:ascii="Arial" w:cs="Arial" w:eastAsia="Arial" w:hAnsi="Arial"/>
                <w:sz w:val="22"/>
                <w:szCs w:val="22"/>
                <w:b w:val="1"/>
                <w:bCs w:val="1"/>
                <w:color w:val="auto"/>
                <w:w w:val="97"/>
              </w:rPr>
              <w:t>€</w:t>
            </w:r>
          </w:p>
        </w:tc>
        <w:tc>
          <w:tcPr>
            <w:tcW w:w="0" w:type="dxa"/>
            <w:vAlign w:val="bottom"/>
          </w:tcPr>
          <w:p>
            <w:pPr>
              <w:spacing w:after="0"/>
              <w:rPr>
                <w:sz w:val="1"/>
                <w:szCs w:val="1"/>
                <w:color w:val="auto"/>
              </w:rPr>
            </w:pPr>
          </w:p>
        </w:tc>
      </w:tr>
      <w:tr>
        <w:trPr>
          <w:trHeight w:val="270"/>
        </w:trPr>
        <w:tc>
          <w:tcPr>
            <w:tcW w:w="3680" w:type="dxa"/>
            <w:vAlign w:val="bottom"/>
            <w:tcBorders>
              <w:bottom w:val="single" w:sz="8" w:color="70AD47"/>
              <w:right w:val="single" w:sz="8" w:color="70AD47"/>
            </w:tcBorders>
          </w:tcPr>
          <w:p>
            <w:pPr>
              <w:ind w:left="20"/>
              <w:spacing w:after="0"/>
              <w:rPr>
                <w:sz w:val="20"/>
                <w:szCs w:val="20"/>
                <w:color w:val="auto"/>
              </w:rPr>
            </w:pPr>
            <w:r>
              <w:rPr>
                <w:rFonts w:ascii="Arial" w:cs="Arial" w:eastAsia="Arial" w:hAnsi="Arial"/>
                <w:sz w:val="22"/>
                <w:szCs w:val="22"/>
                <w:b w:val="1"/>
                <w:bCs w:val="1"/>
                <w:color w:val="auto"/>
              </w:rPr>
              <w:t>2020</w:t>
            </w:r>
          </w:p>
        </w:tc>
        <w:tc>
          <w:tcPr>
            <w:tcW w:w="15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22"/>
                <w:szCs w:val="22"/>
                <w:b w:val="1"/>
                <w:bCs w:val="1"/>
                <w:color w:val="auto"/>
              </w:rPr>
              <w:t>150 €</w:t>
            </w:r>
          </w:p>
        </w:tc>
        <w:tc>
          <w:tcPr>
            <w:tcW w:w="15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22"/>
                <w:szCs w:val="22"/>
                <w:b w:val="1"/>
                <w:bCs w:val="1"/>
                <w:color w:val="auto"/>
              </w:rPr>
              <w:t>50 €</w:t>
            </w:r>
          </w:p>
        </w:tc>
        <w:tc>
          <w:tcPr>
            <w:tcW w:w="154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22"/>
                <w:szCs w:val="22"/>
                <w:b w:val="1"/>
                <w:bCs w:val="1"/>
                <w:color w:val="auto"/>
              </w:rPr>
              <w:t>50 €</w:t>
            </w:r>
          </w:p>
        </w:tc>
        <w:tc>
          <w:tcPr>
            <w:tcW w:w="1380" w:type="dxa"/>
            <w:vAlign w:val="bottom"/>
            <w:tcBorders>
              <w:bottom w:val="single" w:sz="8" w:color="70AD47"/>
            </w:tcBorders>
          </w:tcPr>
          <w:p>
            <w:pPr>
              <w:jc w:val="right"/>
              <w:spacing w:after="0"/>
              <w:rPr>
                <w:sz w:val="20"/>
                <w:szCs w:val="20"/>
                <w:color w:val="auto"/>
              </w:rPr>
            </w:pPr>
            <w:r>
              <w:rPr>
                <w:rFonts w:ascii="Arial" w:cs="Arial" w:eastAsia="Arial" w:hAnsi="Arial"/>
                <w:sz w:val="22"/>
                <w:szCs w:val="22"/>
                <w:b w:val="1"/>
                <w:bCs w:val="1"/>
                <w:color w:val="auto"/>
              </w:rPr>
              <w:t>95</w:t>
            </w:r>
          </w:p>
        </w:tc>
        <w:tc>
          <w:tcPr>
            <w:tcW w:w="18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22"/>
                <w:szCs w:val="22"/>
                <w:b w:val="1"/>
                <w:bCs w:val="1"/>
                <w:color w:val="auto"/>
                <w:w w:val="97"/>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both"/>
        <w:ind w:left="640"/>
        <w:spacing w:after="0" w:line="226" w:lineRule="auto"/>
        <w:rPr>
          <w:sz w:val="20"/>
          <w:szCs w:val="20"/>
          <w:color w:val="auto"/>
        </w:rPr>
      </w:pPr>
      <w:r>
        <w:rPr>
          <w:rFonts w:ascii="Arial" w:cs="Arial" w:eastAsia="Arial" w:hAnsi="Arial"/>
          <w:sz w:val="21"/>
          <w:szCs w:val="21"/>
          <w:color w:val="auto"/>
        </w:rPr>
        <w:t>Members of the Supervisory Board who are only members of the Supervisory Board for part of the financial year or who chair or vice-chair the Supervisory Board or the Audit Committee or another committee shall receive the respective compensation on a pro-rata basis. The same applies insofar as this regulation or this regulation in a specific version is only in force during part of the financial year. Therefore, the amounts disclosed above consider the pro-rata application of the adjusted provisions of the Supervisory Board remuneration system.</w:t>
      </w:r>
    </w:p>
    <w:p>
      <w:pPr>
        <w:spacing w:after="0" w:line="159" w:lineRule="exact"/>
        <w:rPr>
          <w:sz w:val="20"/>
          <w:szCs w:val="20"/>
          <w:color w:val="auto"/>
        </w:rPr>
      </w:pPr>
    </w:p>
    <w:p>
      <w:pPr>
        <w:jc w:val="both"/>
        <w:ind w:left="640" w:right="20"/>
        <w:spacing w:after="0" w:line="232" w:lineRule="auto"/>
        <w:rPr>
          <w:sz w:val="20"/>
          <w:szCs w:val="20"/>
          <w:color w:val="auto"/>
        </w:rPr>
      </w:pPr>
      <w:r>
        <w:rPr>
          <w:rFonts w:ascii="Arial" w:cs="Arial" w:eastAsia="Arial" w:hAnsi="Arial"/>
          <w:sz w:val="22"/>
          <w:szCs w:val="22"/>
          <w:color w:val="auto"/>
        </w:rPr>
        <w:t>If the reimbursement of expenses or the compensation is subject to value-added tax, the value-added tax shall be paid in addition.</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Supervisory Board members are included in our D&amp;O liability insurance and are co-insured at our expense.</w:t>
      </w:r>
    </w:p>
    <w:p>
      <w:pPr>
        <w:spacing w:after="0" w:line="191" w:lineRule="exact"/>
        <w:rPr>
          <w:sz w:val="20"/>
          <w:szCs w:val="20"/>
          <w:color w:val="auto"/>
        </w:rPr>
      </w:pPr>
    </w:p>
    <w:p>
      <w:pPr>
        <w:jc w:val="both"/>
        <w:ind w:left="640"/>
        <w:spacing w:after="0" w:line="232" w:lineRule="auto"/>
        <w:rPr>
          <w:sz w:val="20"/>
          <w:szCs w:val="20"/>
          <w:color w:val="auto"/>
        </w:rPr>
      </w:pPr>
      <w:r>
        <w:rPr>
          <w:rFonts w:ascii="Arial" w:cs="Arial" w:eastAsia="Arial" w:hAnsi="Arial"/>
          <w:sz w:val="22"/>
          <w:szCs w:val="22"/>
          <w:color w:val="auto"/>
        </w:rPr>
        <w:t>There are no arrangements or understandings between us and any member of our Supervisory Board providing for benefits upon termination of their service as director.</w:t>
      </w:r>
    </w:p>
    <w:p>
      <w:pPr>
        <w:spacing w:after="0" w:line="261" w:lineRule="exact"/>
        <w:rPr>
          <w:sz w:val="20"/>
          <w:szCs w:val="20"/>
          <w:color w:val="auto"/>
        </w:rPr>
      </w:pPr>
    </w:p>
    <w:p>
      <w:pPr>
        <w:ind w:right="6420" w:firstLine="8"/>
        <w:spacing w:after="0" w:line="512" w:lineRule="auto"/>
        <w:tabs>
          <w:tab w:leader="none" w:pos="426"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Remuneration of Management Board Members 1 Remuneration System</w:t>
      </w:r>
    </w:p>
    <w:p>
      <w:pPr>
        <w:spacing w:after="0" w:line="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color w:val="auto"/>
        </w:rPr>
        <w:t>Remuneration System Philosophy</w:t>
      </w:r>
    </w:p>
    <w:p>
      <w:pPr>
        <w:spacing w:after="0" w:line="185" w:lineRule="exact"/>
        <w:rPr>
          <w:sz w:val="20"/>
          <w:szCs w:val="20"/>
          <w:color w:val="auto"/>
        </w:rPr>
      </w:pPr>
    </w:p>
    <w:p>
      <w:pPr>
        <w:jc w:val="both"/>
        <w:ind w:left="640"/>
        <w:spacing w:after="0" w:line="246" w:lineRule="auto"/>
        <w:rPr>
          <w:sz w:val="20"/>
          <w:szCs w:val="20"/>
          <w:color w:val="auto"/>
        </w:rPr>
      </w:pPr>
      <w:r>
        <w:rPr>
          <w:rFonts w:ascii="Arial" w:cs="Arial" w:eastAsia="Arial" w:hAnsi="Arial"/>
          <w:sz w:val="19"/>
          <w:szCs w:val="19"/>
          <w:color w:val="auto"/>
        </w:rPr>
        <w:t>The compensation structure of the Company's Management Board is designed to promote corporate governance and is oriented towards the Company's sustainability and long-term development. The compensation is therefore also linked to ethical, ecological and social criteria, which reflects our overall strategy and culture. The compensation system therefore sets incentives for the sustainable, long-term development of the Company as a whole and for the long-term commitment of the Management Board members. The compensation system is designed to be clear and comprehensible. It is aligned with the requirements of the AktG and the recommendations of the German Corporate Governance Code as amended on December 16, 2019 and ensures that the Company’s Supervisory Board can react to organizational changes and flexibly take into account changing market conditions.</w:t>
      </w:r>
    </w:p>
    <w:p>
      <w:pPr>
        <w:spacing w:after="0" w:line="25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color w:val="auto"/>
        </w:rPr>
        <w:t>Responsibility for Determining the Remuneration of the Management Board</w:t>
      </w:r>
    </w:p>
    <w:p>
      <w:pPr>
        <w:spacing w:after="0" w:line="185" w:lineRule="exact"/>
        <w:rPr>
          <w:sz w:val="20"/>
          <w:szCs w:val="20"/>
          <w:color w:val="auto"/>
        </w:rPr>
      </w:pPr>
    </w:p>
    <w:p>
      <w:pPr>
        <w:jc w:val="both"/>
        <w:ind w:left="640"/>
        <w:spacing w:after="0" w:line="232" w:lineRule="auto"/>
        <w:rPr>
          <w:sz w:val="20"/>
          <w:szCs w:val="20"/>
          <w:color w:val="auto"/>
        </w:rPr>
      </w:pPr>
      <w:r>
        <w:rPr>
          <w:rFonts w:ascii="Arial" w:cs="Arial" w:eastAsia="Arial" w:hAnsi="Arial"/>
          <w:sz w:val="22"/>
          <w:szCs w:val="22"/>
          <w:color w:val="auto"/>
        </w:rPr>
        <w:t>The Supervisory Board is responsible for determining the structure of the compensation system. On the basis of the compensation system, the Supervisory Board determines the specific</w:t>
      </w:r>
    </w:p>
    <w:p>
      <w:pPr>
        <w:sectPr>
          <w:pgSz w:w="11900" w:h="16838" w:orient="portrait"/>
          <w:cols w:equalWidth="0" w:num="1">
            <w:col w:w="11240"/>
          </w:cols>
          <w:pgMar w:left="320" w:top="114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142" w:right="339" w:bottom="1440" w:gutter="0" w:footer="0" w:header="0"/>
          <w:type w:val="continuous"/>
        </w:sectPr>
      </w:pPr>
    </w:p>
    <w:bookmarkStart w:id="17" w:name="page18"/>
    <w:bookmarkEnd w:id="17"/>
    <w:p>
      <w:pPr>
        <w:jc w:val="both"/>
        <w:ind w:left="640"/>
        <w:spacing w:after="0" w:line="234" w:lineRule="auto"/>
        <w:rPr>
          <w:sz w:val="20"/>
          <w:szCs w:val="20"/>
          <w:color w:val="auto"/>
        </w:rPr>
      </w:pPr>
      <w:r>
        <w:rPr>
          <w:rFonts w:ascii="Arial" w:cs="Arial" w:eastAsia="Arial" w:hAnsi="Arial"/>
          <w:sz w:val="21"/>
          <w:szCs w:val="21"/>
          <w:color w:val="auto"/>
        </w:rPr>
        <w:t>compensation of the individual Management Board members. Within the framework of what is legally permissible, the Supervisory Board wishes to offer the members of the Management Board compensation that is both in line with the market and competitive in order to continue to attract and retain outstanding individuals in the future.</w:t>
      </w:r>
    </w:p>
    <w:p>
      <w:pPr>
        <w:spacing w:after="0" w:line="158" w:lineRule="exact"/>
        <w:rPr>
          <w:sz w:val="20"/>
          <w:szCs w:val="20"/>
          <w:color w:val="auto"/>
        </w:rPr>
      </w:pPr>
    </w:p>
    <w:p>
      <w:pPr>
        <w:jc w:val="both"/>
        <w:ind w:left="640"/>
        <w:spacing w:after="0" w:line="232" w:lineRule="auto"/>
        <w:rPr>
          <w:sz w:val="20"/>
          <w:szCs w:val="20"/>
          <w:color w:val="auto"/>
        </w:rPr>
      </w:pPr>
      <w:r>
        <w:rPr>
          <w:rFonts w:ascii="Arial" w:cs="Arial" w:eastAsia="Arial" w:hAnsi="Arial"/>
          <w:sz w:val="22"/>
          <w:szCs w:val="22"/>
          <w:color w:val="auto"/>
        </w:rPr>
        <w:t>When determining the specific compensation, the Supervisory Board ensures that the compensation of the Management Board is appropriate and in line with market customary standards.</w:t>
      </w:r>
    </w:p>
    <w:p>
      <w:pPr>
        <w:spacing w:after="0" w:line="26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color w:val="auto"/>
        </w:rPr>
        <w:t>Involvement of the Annual General Meeting</w:t>
      </w:r>
    </w:p>
    <w:p>
      <w:pPr>
        <w:spacing w:after="0" w:line="185" w:lineRule="exact"/>
        <w:rPr>
          <w:sz w:val="20"/>
          <w:szCs w:val="20"/>
          <w:color w:val="auto"/>
        </w:rPr>
      </w:pPr>
    </w:p>
    <w:p>
      <w:pPr>
        <w:jc w:val="both"/>
        <w:ind w:left="640"/>
        <w:spacing w:after="0" w:line="221" w:lineRule="auto"/>
        <w:rPr>
          <w:sz w:val="20"/>
          <w:szCs w:val="20"/>
          <w:color w:val="auto"/>
        </w:rPr>
      </w:pPr>
      <w:r>
        <w:rPr>
          <w:rFonts w:ascii="Arial" w:cs="Arial" w:eastAsia="Arial" w:hAnsi="Arial"/>
          <w:sz w:val="21"/>
          <w:szCs w:val="21"/>
          <w:color w:val="auto"/>
        </w:rPr>
        <w:t>The compensation system adopted by the Supervisory Board shall be submitted to the Annual General Meeting for approval. Pursuant to Sec. 120a para. 1 AktG, the Annual General Meeting (AGM) of a listed company shall resolve on the approval of the system for the compensation of the members of the Management Board presented by the Supervisory Board whenever there is a significant change to the compensation system, but at least every four years. A resolution confirming the compensation is permissible. Taking the requirements of Sec. 87a para. 1 AktG into account, the Supervisory Board adopted a slightly modified compensation system for the members of the Management Board on May 7, 2021. The compensation system for members of the Management Board was approved by the AGM on June 22, 2021 and becomes effective whenever new service agreements are entered into, existing service agreements are extended or specific compensation components are initiated.</w:t>
      </w:r>
    </w:p>
    <w:p>
      <w:pPr>
        <w:spacing w:after="0" w:line="159" w:lineRule="exact"/>
        <w:rPr>
          <w:sz w:val="20"/>
          <w:szCs w:val="20"/>
          <w:color w:val="auto"/>
        </w:rPr>
      </w:pPr>
    </w:p>
    <w:p>
      <w:pPr>
        <w:jc w:val="both"/>
        <w:ind w:left="640"/>
        <w:spacing w:after="0" w:line="232" w:lineRule="auto"/>
        <w:rPr>
          <w:sz w:val="20"/>
          <w:szCs w:val="20"/>
          <w:color w:val="auto"/>
        </w:rPr>
      </w:pPr>
      <w:r>
        <w:rPr>
          <w:rFonts w:ascii="Arial" w:cs="Arial" w:eastAsia="Arial" w:hAnsi="Arial"/>
          <w:sz w:val="22"/>
          <w:szCs w:val="22"/>
          <w:color w:val="auto"/>
        </w:rPr>
        <w:t>The comprehensive remuneration system as approved by the AGM on June 22, 2021 is available online on our website www.biontech.de.</w:t>
      </w:r>
    </w:p>
    <w:p>
      <w:pPr>
        <w:spacing w:after="0" w:line="261"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 Components, Target Total Compensation and further Provisions</w:t>
      </w:r>
    </w:p>
    <w:p>
      <w:pPr>
        <w:spacing w:after="0" w:line="185" w:lineRule="exact"/>
        <w:rPr>
          <w:sz w:val="20"/>
          <w:szCs w:val="20"/>
          <w:color w:val="auto"/>
        </w:rPr>
      </w:pPr>
    </w:p>
    <w:p>
      <w:pPr>
        <w:jc w:val="both"/>
        <w:ind w:left="640"/>
        <w:spacing w:after="0" w:line="223" w:lineRule="auto"/>
        <w:rPr>
          <w:sz w:val="20"/>
          <w:szCs w:val="20"/>
          <w:color w:val="auto"/>
        </w:rPr>
      </w:pPr>
      <w:r>
        <w:rPr>
          <w:rFonts w:ascii="Arial" w:cs="Arial" w:eastAsia="Arial" w:hAnsi="Arial"/>
          <w:sz w:val="22"/>
          <w:szCs w:val="22"/>
          <w:color w:val="auto"/>
        </w:rPr>
        <w:t>The following table outlines an overview of the compensation components as well as the target total compensation and other provisions as foreseen by our comprehensive remuneration system as approved by the AGM on June 22, 2021, which is available online on our website www.biontech.de.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13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70"/>
        </w:trPr>
        <w:tc>
          <w:tcPr>
            <w:tcW w:w="2320" w:type="dxa"/>
            <w:vAlign w:val="bottom"/>
            <w:tcBorders>
              <w:bottom w:val="single" w:sz="8" w:color="70AD47"/>
              <w:right w:val="single" w:sz="8" w:color="70AD47"/>
            </w:tcBorders>
          </w:tcPr>
          <w:p>
            <w:pPr>
              <w:spacing w:after="0"/>
              <w:rPr>
                <w:sz w:val="23"/>
                <w:szCs w:val="23"/>
                <w:color w:val="auto"/>
              </w:rPr>
            </w:pPr>
          </w:p>
        </w:tc>
        <w:tc>
          <w:tcPr>
            <w:tcW w:w="5620" w:type="dxa"/>
            <w:vAlign w:val="bottom"/>
            <w:tcBorders>
              <w:bottom w:val="single" w:sz="8" w:color="70AD47"/>
              <w:right w:val="single" w:sz="8" w:color="70AD47"/>
            </w:tcBorders>
            <w:gridSpan w:val="2"/>
          </w:tcPr>
          <w:p>
            <w:pPr>
              <w:ind w:left="20"/>
              <w:spacing w:after="0"/>
              <w:rPr>
                <w:sz w:val="20"/>
                <w:szCs w:val="20"/>
                <w:color w:val="auto"/>
              </w:rPr>
            </w:pPr>
            <w:r>
              <w:rPr>
                <w:rFonts w:ascii="Arial" w:cs="Arial" w:eastAsia="Arial" w:hAnsi="Arial"/>
                <w:sz w:val="22"/>
                <w:szCs w:val="22"/>
                <w:b w:val="1"/>
                <w:bCs w:val="1"/>
                <w:color w:val="auto"/>
              </w:rPr>
              <w:t>Basis of Assessment / Parameters</w:t>
            </w:r>
          </w:p>
        </w:tc>
        <w:tc>
          <w:tcPr>
            <w:tcW w:w="3320" w:type="dxa"/>
            <w:vAlign w:val="bottom"/>
            <w:tcBorders>
              <w:bottom w:val="single" w:sz="8" w:color="70AD47"/>
              <w:right w:val="single" w:sz="8" w:color="70AD47"/>
            </w:tcBorders>
          </w:tcPr>
          <w:p>
            <w:pPr>
              <w:ind w:left="20"/>
              <w:spacing w:after="0"/>
              <w:rPr>
                <w:sz w:val="20"/>
                <w:szCs w:val="20"/>
                <w:color w:val="auto"/>
              </w:rPr>
            </w:pPr>
            <w:r>
              <w:rPr>
                <w:rFonts w:ascii="Arial" w:cs="Arial" w:eastAsia="Arial" w:hAnsi="Arial"/>
                <w:sz w:val="22"/>
                <w:szCs w:val="22"/>
                <w:b w:val="1"/>
                <w:bCs w:val="1"/>
                <w:color w:val="auto"/>
              </w:rPr>
              <w:t>Strategic Reference</w:t>
            </w:r>
          </w:p>
        </w:tc>
        <w:tc>
          <w:tcPr>
            <w:tcW w:w="0" w:type="dxa"/>
            <w:vAlign w:val="bottom"/>
          </w:tcPr>
          <w:p>
            <w:pPr>
              <w:spacing w:after="0"/>
              <w:rPr>
                <w:sz w:val="1"/>
                <w:szCs w:val="1"/>
                <w:color w:val="auto"/>
              </w:rPr>
            </w:pPr>
          </w:p>
        </w:tc>
      </w:tr>
      <w:tr>
        <w:trPr>
          <w:trHeight w:val="196"/>
        </w:trPr>
        <w:tc>
          <w:tcPr>
            <w:tcW w:w="2320" w:type="dxa"/>
            <w:vAlign w:val="bottom"/>
            <w:tcBorders>
              <w:right w:val="single" w:sz="8" w:color="70AD47"/>
            </w:tcBorders>
          </w:tcPr>
          <w:p>
            <w:pPr>
              <w:ind w:left="20"/>
              <w:spacing w:after="0" w:line="195" w:lineRule="exact"/>
              <w:rPr>
                <w:sz w:val="20"/>
                <w:szCs w:val="20"/>
                <w:color w:val="auto"/>
              </w:rPr>
            </w:pPr>
            <w:r>
              <w:rPr>
                <w:rFonts w:ascii="Arial" w:cs="Arial" w:eastAsia="Arial" w:hAnsi="Arial"/>
                <w:sz w:val="22"/>
                <w:szCs w:val="22"/>
                <w:b w:val="1"/>
                <w:bCs w:val="1"/>
                <w:color w:val="auto"/>
              </w:rPr>
              <w:t>Non-Performance</w:t>
            </w:r>
          </w:p>
        </w:tc>
        <w:tc>
          <w:tcPr>
            <w:tcW w:w="360" w:type="dxa"/>
            <w:vAlign w:val="bottom"/>
          </w:tcPr>
          <w:p>
            <w:pPr>
              <w:spacing w:after="0"/>
              <w:rPr>
                <w:sz w:val="17"/>
                <w:szCs w:val="17"/>
                <w:color w:val="auto"/>
              </w:rPr>
            </w:pPr>
          </w:p>
        </w:tc>
        <w:tc>
          <w:tcPr>
            <w:tcW w:w="5260" w:type="dxa"/>
            <w:vAlign w:val="bottom"/>
            <w:tcBorders>
              <w:right w:val="single" w:sz="8" w:color="70AD47"/>
            </w:tcBorders>
          </w:tcPr>
          <w:p>
            <w:pPr>
              <w:spacing w:after="0"/>
              <w:rPr>
                <w:sz w:val="17"/>
                <w:szCs w:val="17"/>
                <w:color w:val="auto"/>
              </w:rPr>
            </w:pPr>
          </w:p>
        </w:tc>
        <w:tc>
          <w:tcPr>
            <w:tcW w:w="3320" w:type="dxa"/>
            <w:vAlign w:val="bottom"/>
            <w:tcBorders>
              <w:right w:val="single" w:sz="8" w:color="70AD47"/>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b w:val="1"/>
                <w:bCs w:val="1"/>
                <w:color w:val="auto"/>
              </w:rPr>
              <w:t>related</w:t>
            </w:r>
          </w:p>
        </w:tc>
        <w:tc>
          <w:tcPr>
            <w:tcW w:w="360" w:type="dxa"/>
            <w:vAlign w:val="bottom"/>
          </w:tcPr>
          <w:p>
            <w:pPr>
              <w:spacing w:after="0"/>
              <w:rPr>
                <w:sz w:val="18"/>
                <w:szCs w:val="18"/>
                <w:color w:val="auto"/>
              </w:rPr>
            </w:pPr>
          </w:p>
        </w:tc>
        <w:tc>
          <w:tcPr>
            <w:tcW w:w="5260" w:type="dxa"/>
            <w:vAlign w:val="bottom"/>
            <w:tcBorders>
              <w:right w:val="single" w:sz="8" w:color="70AD47"/>
            </w:tcBorders>
          </w:tcPr>
          <w:p>
            <w:pPr>
              <w:spacing w:after="0"/>
              <w:rPr>
                <w:sz w:val="18"/>
                <w:szCs w:val="18"/>
                <w:color w:val="auto"/>
              </w:rPr>
            </w:pPr>
          </w:p>
        </w:tc>
        <w:tc>
          <w:tcPr>
            <w:tcW w:w="3320" w:type="dxa"/>
            <w:vAlign w:val="bottom"/>
            <w:tcBorders>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320" w:type="dxa"/>
            <w:vAlign w:val="bottom"/>
            <w:tcBorders>
              <w:bottom w:val="single" w:sz="8" w:color="70AD47"/>
              <w:right w:val="single" w:sz="8" w:color="70AD47"/>
            </w:tcBorders>
          </w:tcPr>
          <w:p>
            <w:pPr>
              <w:ind w:left="20"/>
              <w:spacing w:after="0"/>
              <w:rPr>
                <w:sz w:val="20"/>
                <w:szCs w:val="20"/>
                <w:color w:val="auto"/>
              </w:rPr>
            </w:pPr>
            <w:r>
              <w:rPr>
                <w:rFonts w:ascii="Arial" w:cs="Arial" w:eastAsia="Arial" w:hAnsi="Arial"/>
                <w:sz w:val="22"/>
                <w:szCs w:val="22"/>
                <w:b w:val="1"/>
                <w:bCs w:val="1"/>
                <w:color w:val="auto"/>
              </w:rPr>
              <w:t>Compensation</w:t>
            </w:r>
          </w:p>
        </w:tc>
        <w:tc>
          <w:tcPr>
            <w:tcW w:w="360" w:type="dxa"/>
            <w:vAlign w:val="bottom"/>
            <w:tcBorders>
              <w:bottom w:val="single" w:sz="8" w:color="70AD47"/>
            </w:tcBorders>
          </w:tcPr>
          <w:p>
            <w:pPr>
              <w:spacing w:after="0"/>
              <w:rPr>
                <w:sz w:val="24"/>
                <w:szCs w:val="24"/>
                <w:color w:val="auto"/>
              </w:rPr>
            </w:pPr>
          </w:p>
        </w:tc>
        <w:tc>
          <w:tcPr>
            <w:tcW w:w="5260" w:type="dxa"/>
            <w:vAlign w:val="bottom"/>
            <w:tcBorders>
              <w:bottom w:val="single" w:sz="8" w:color="70AD47"/>
              <w:right w:val="single" w:sz="8" w:color="70AD47"/>
            </w:tcBorders>
          </w:tcPr>
          <w:p>
            <w:pPr>
              <w:spacing w:after="0"/>
              <w:rPr>
                <w:sz w:val="24"/>
                <w:szCs w:val="24"/>
                <w:color w:val="auto"/>
              </w:rPr>
            </w:pPr>
          </w:p>
        </w:tc>
        <w:tc>
          <w:tcPr>
            <w:tcW w:w="3320" w:type="dxa"/>
            <w:vAlign w:val="bottom"/>
            <w:tcBorders>
              <w:bottom w:val="single" w:sz="8" w:color="70AD47"/>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320" w:type="dxa"/>
            <w:vAlign w:val="bottom"/>
            <w:tcBorders>
              <w:right w:val="single" w:sz="8" w:color="70AD47"/>
            </w:tcBorders>
          </w:tcPr>
          <w:p>
            <w:pPr>
              <w:ind w:left="20"/>
              <w:spacing w:after="0" w:line="203" w:lineRule="exact"/>
              <w:rPr>
                <w:sz w:val="20"/>
                <w:szCs w:val="20"/>
                <w:color w:val="auto"/>
              </w:rPr>
            </w:pPr>
            <w:r>
              <w:rPr>
                <w:rFonts w:ascii="Arial" w:cs="Arial" w:eastAsia="Arial" w:hAnsi="Arial"/>
                <w:sz w:val="22"/>
                <w:szCs w:val="22"/>
                <w:color w:val="auto"/>
              </w:rPr>
              <w:t>Fixed compensation</w:t>
            </w:r>
          </w:p>
        </w:tc>
        <w:tc>
          <w:tcPr>
            <w:tcW w:w="5620" w:type="dxa"/>
            <w:vAlign w:val="bottom"/>
            <w:tcBorders>
              <w:right w:val="single" w:sz="8" w:color="70AD47"/>
            </w:tcBorders>
            <w:gridSpan w:val="2"/>
          </w:tcPr>
          <w:p>
            <w:pPr>
              <w:ind w:left="20"/>
              <w:spacing w:after="0" w:line="203" w:lineRule="exact"/>
              <w:rPr>
                <w:sz w:val="20"/>
                <w:szCs w:val="20"/>
                <w:color w:val="auto"/>
              </w:rPr>
            </w:pPr>
            <w:r>
              <w:rPr>
                <w:rFonts w:ascii="Arial" w:cs="Arial" w:eastAsia="Arial" w:hAnsi="Arial"/>
                <w:sz w:val="22"/>
                <w:szCs w:val="22"/>
                <w:color w:val="auto"/>
                <w:w w:val="92"/>
              </w:rPr>
              <w:t>Fixed contractually agreed compensation paid in twelve equal</w:t>
            </w:r>
          </w:p>
        </w:tc>
        <w:tc>
          <w:tcPr>
            <w:tcW w:w="3320" w:type="dxa"/>
            <w:vAlign w:val="bottom"/>
            <w:tcBorders>
              <w:right w:val="single" w:sz="8" w:color="70AD47"/>
            </w:tcBorders>
          </w:tcPr>
          <w:p>
            <w:pPr>
              <w:ind w:left="20"/>
              <w:spacing w:after="0" w:line="203" w:lineRule="exact"/>
              <w:rPr>
                <w:sz w:val="20"/>
                <w:szCs w:val="20"/>
                <w:color w:val="auto"/>
              </w:rPr>
            </w:pPr>
            <w:r>
              <w:rPr>
                <w:rFonts w:ascii="Arial" w:cs="Arial" w:eastAsia="Arial" w:hAnsi="Arial"/>
                <w:sz w:val="22"/>
                <w:szCs w:val="22"/>
                <w:color w:val="auto"/>
              </w:rPr>
              <w:t>The compensation of the</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rPr>
              <w:t>monthly installments.</w:t>
            </w:r>
          </w:p>
        </w:tc>
        <w:tc>
          <w:tcPr>
            <w:tcW w:w="332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color w:val="auto"/>
              </w:rPr>
              <w:t>Management Board is based</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360" w:type="dxa"/>
            <w:vAlign w:val="bottom"/>
          </w:tcPr>
          <w:p>
            <w:pPr>
              <w:spacing w:after="0"/>
              <w:rPr>
                <w:sz w:val="18"/>
                <w:szCs w:val="18"/>
                <w:color w:val="auto"/>
              </w:rPr>
            </w:pPr>
          </w:p>
        </w:tc>
        <w:tc>
          <w:tcPr>
            <w:tcW w:w="5260" w:type="dxa"/>
            <w:vAlign w:val="bottom"/>
            <w:tcBorders>
              <w:right w:val="single" w:sz="8" w:color="70AD47"/>
            </w:tcBorders>
          </w:tcPr>
          <w:p>
            <w:pPr>
              <w:spacing w:after="0"/>
              <w:rPr>
                <w:sz w:val="18"/>
                <w:szCs w:val="18"/>
                <w:color w:val="auto"/>
              </w:rPr>
            </w:pPr>
          </w:p>
        </w:tc>
        <w:tc>
          <w:tcPr>
            <w:tcW w:w="332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color w:val="auto"/>
                <w:w w:val="94"/>
              </w:rPr>
              <w:t>on customary market standard. It is</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360" w:type="dxa"/>
            <w:vAlign w:val="bottom"/>
          </w:tcPr>
          <w:p>
            <w:pPr>
              <w:spacing w:after="0"/>
              <w:rPr>
                <w:sz w:val="18"/>
                <w:szCs w:val="18"/>
                <w:color w:val="auto"/>
              </w:rPr>
            </w:pPr>
          </w:p>
        </w:tc>
        <w:tc>
          <w:tcPr>
            <w:tcW w:w="5260" w:type="dxa"/>
            <w:vAlign w:val="bottom"/>
            <w:tcBorders>
              <w:right w:val="single" w:sz="8" w:color="70AD47"/>
            </w:tcBorders>
          </w:tcPr>
          <w:p>
            <w:pPr>
              <w:spacing w:after="0"/>
              <w:rPr>
                <w:sz w:val="18"/>
                <w:szCs w:val="18"/>
                <w:color w:val="auto"/>
              </w:rPr>
            </w:pPr>
          </w:p>
        </w:tc>
        <w:tc>
          <w:tcPr>
            <w:tcW w:w="332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color w:val="auto"/>
              </w:rPr>
              <w:t>also in line with their duties and</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vMerge w:val="restart"/>
          </w:tcPr>
          <w:p>
            <w:pPr>
              <w:ind w:left="20"/>
              <w:spacing w:after="0"/>
              <w:rPr>
                <w:sz w:val="20"/>
                <w:szCs w:val="20"/>
                <w:color w:val="auto"/>
              </w:rPr>
            </w:pPr>
            <w:r>
              <w:rPr>
                <w:rFonts w:ascii="Arial" w:cs="Arial" w:eastAsia="Arial" w:hAnsi="Arial"/>
                <w:sz w:val="22"/>
                <w:szCs w:val="22"/>
                <w:color w:val="auto"/>
              </w:rPr>
              <w:t>Fringe benefits</w:t>
            </w:r>
          </w:p>
        </w:tc>
        <w:tc>
          <w:tcPr>
            <w:tcW w:w="5620" w:type="dxa"/>
            <w:vAlign w:val="bottom"/>
            <w:tcBorders>
              <w:right w:val="single" w:sz="8" w:color="70AD47"/>
            </w:tcBorders>
            <w:gridSpan w:val="2"/>
            <w:vMerge w:val="restart"/>
          </w:tcPr>
          <w:p>
            <w:pPr>
              <w:ind w:left="20"/>
              <w:spacing w:after="0"/>
              <w:rPr>
                <w:sz w:val="20"/>
                <w:szCs w:val="20"/>
                <w:color w:val="auto"/>
              </w:rPr>
            </w:pPr>
            <w:r>
              <w:rPr>
                <w:rFonts w:ascii="Arial" w:cs="Arial" w:eastAsia="Arial" w:hAnsi="Arial"/>
                <w:sz w:val="22"/>
                <w:szCs w:val="22"/>
                <w:color w:val="auto"/>
                <w:w w:val="90"/>
              </w:rPr>
              <w:t>Mainly allowances for health and long-term care insurance and</w:t>
            </w:r>
          </w:p>
        </w:tc>
        <w:tc>
          <w:tcPr>
            <w:tcW w:w="332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color w:val="auto"/>
                <w:w w:val="91"/>
              </w:rPr>
              <w:t>performance, as well as the situation</w:t>
            </w:r>
          </w:p>
        </w:tc>
        <w:tc>
          <w:tcPr>
            <w:tcW w:w="0" w:type="dxa"/>
            <w:vAlign w:val="bottom"/>
          </w:tcPr>
          <w:p>
            <w:pPr>
              <w:spacing w:after="0"/>
              <w:rPr>
                <w:sz w:val="1"/>
                <w:szCs w:val="1"/>
                <w:color w:val="auto"/>
              </w:rPr>
            </w:pPr>
          </w:p>
        </w:tc>
      </w:tr>
      <w:tr>
        <w:trPr>
          <w:trHeight w:val="210"/>
        </w:trPr>
        <w:tc>
          <w:tcPr>
            <w:tcW w:w="2320" w:type="dxa"/>
            <w:vAlign w:val="bottom"/>
            <w:tcBorders>
              <w:right w:val="single" w:sz="8" w:color="70AD47"/>
            </w:tcBorders>
            <w:vMerge w:val="continue"/>
          </w:tcPr>
          <w:p>
            <w:pPr>
              <w:spacing w:after="0"/>
              <w:rPr>
                <w:sz w:val="18"/>
                <w:szCs w:val="18"/>
                <w:color w:val="auto"/>
              </w:rPr>
            </w:pPr>
          </w:p>
        </w:tc>
        <w:tc>
          <w:tcPr>
            <w:tcW w:w="5620" w:type="dxa"/>
            <w:vAlign w:val="bottom"/>
            <w:tcBorders>
              <w:right w:val="single" w:sz="8" w:color="70AD47"/>
            </w:tcBorders>
            <w:gridSpan w:val="2"/>
            <w:vMerge w:val="continue"/>
          </w:tcPr>
          <w:p>
            <w:pPr>
              <w:spacing w:after="0"/>
              <w:rPr>
                <w:sz w:val="18"/>
                <w:szCs w:val="18"/>
                <w:color w:val="auto"/>
              </w:rPr>
            </w:pPr>
          </w:p>
        </w:tc>
        <w:tc>
          <w:tcPr>
            <w:tcW w:w="3320" w:type="dxa"/>
            <w:vAlign w:val="bottom"/>
            <w:tcBorders>
              <w:right w:val="single" w:sz="8" w:color="70AD47"/>
            </w:tcBorders>
          </w:tcPr>
          <w:p>
            <w:pPr>
              <w:ind w:left="20"/>
              <w:spacing w:after="0" w:line="210" w:lineRule="exact"/>
              <w:rPr>
                <w:sz w:val="20"/>
                <w:szCs w:val="20"/>
                <w:color w:val="auto"/>
              </w:rPr>
            </w:pPr>
            <w:r>
              <w:rPr>
                <w:rFonts w:ascii="Arial" w:cs="Arial" w:eastAsia="Arial" w:hAnsi="Arial"/>
                <w:sz w:val="22"/>
                <w:szCs w:val="22"/>
                <w:color w:val="auto"/>
              </w:rPr>
              <w:t>and</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w w:val="91"/>
              </w:rPr>
              <w:t>supplementary insurance, non-cash benefits from bicycles and</w:t>
            </w:r>
          </w:p>
        </w:tc>
        <w:tc>
          <w:tcPr>
            <w:tcW w:w="332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color w:val="auto"/>
              </w:rPr>
              <w:t>success of the Group.</w:t>
            </w:r>
          </w:p>
        </w:tc>
        <w:tc>
          <w:tcPr>
            <w:tcW w:w="0" w:type="dxa"/>
            <w:vAlign w:val="bottom"/>
          </w:tcPr>
          <w:p>
            <w:pPr>
              <w:spacing w:after="0"/>
              <w:rPr>
                <w:sz w:val="1"/>
                <w:szCs w:val="1"/>
                <w:color w:val="auto"/>
              </w:rPr>
            </w:pPr>
          </w:p>
        </w:tc>
      </w:tr>
      <w:tr>
        <w:trPr>
          <w:trHeight w:val="270"/>
        </w:trPr>
        <w:tc>
          <w:tcPr>
            <w:tcW w:w="2320" w:type="dxa"/>
            <w:vAlign w:val="bottom"/>
            <w:tcBorders>
              <w:bottom w:val="single" w:sz="8" w:color="70AD47"/>
              <w:right w:val="single" w:sz="8" w:color="70AD47"/>
            </w:tcBorders>
          </w:tcPr>
          <w:p>
            <w:pPr>
              <w:spacing w:after="0"/>
              <w:rPr>
                <w:sz w:val="23"/>
                <w:szCs w:val="23"/>
                <w:color w:val="auto"/>
              </w:rPr>
            </w:pPr>
          </w:p>
        </w:tc>
        <w:tc>
          <w:tcPr>
            <w:tcW w:w="5620" w:type="dxa"/>
            <w:vAlign w:val="bottom"/>
            <w:tcBorders>
              <w:bottom w:val="single" w:sz="8" w:color="70AD47"/>
              <w:right w:val="single" w:sz="8" w:color="70AD47"/>
            </w:tcBorders>
            <w:gridSpan w:val="2"/>
          </w:tcPr>
          <w:p>
            <w:pPr>
              <w:ind w:left="20"/>
              <w:spacing w:after="0"/>
              <w:rPr>
                <w:sz w:val="20"/>
                <w:szCs w:val="20"/>
                <w:color w:val="auto"/>
              </w:rPr>
            </w:pPr>
            <w:r>
              <w:rPr>
                <w:rFonts w:ascii="Arial" w:cs="Arial" w:eastAsia="Arial" w:hAnsi="Arial"/>
                <w:sz w:val="22"/>
                <w:szCs w:val="22"/>
                <w:color w:val="auto"/>
              </w:rPr>
              <w:t>travel allowances.</w:t>
            </w:r>
          </w:p>
        </w:tc>
        <w:tc>
          <w:tcPr>
            <w:tcW w:w="3320" w:type="dxa"/>
            <w:vAlign w:val="bottom"/>
            <w:tcBorders>
              <w:bottom w:val="single" w:sz="8" w:color="70AD47"/>
              <w:right w:val="single" w:sz="8" w:color="70AD47"/>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320" w:type="dxa"/>
            <w:vAlign w:val="bottom"/>
            <w:tcBorders>
              <w:right w:val="single" w:sz="8" w:color="70AD47"/>
            </w:tcBorders>
          </w:tcPr>
          <w:p>
            <w:pPr>
              <w:ind w:left="20"/>
              <w:spacing w:after="0" w:line="195" w:lineRule="exact"/>
              <w:rPr>
                <w:sz w:val="20"/>
                <w:szCs w:val="20"/>
                <w:color w:val="auto"/>
              </w:rPr>
            </w:pPr>
            <w:r>
              <w:rPr>
                <w:rFonts w:ascii="Arial" w:cs="Arial" w:eastAsia="Arial" w:hAnsi="Arial"/>
                <w:sz w:val="22"/>
                <w:szCs w:val="22"/>
                <w:b w:val="1"/>
                <w:bCs w:val="1"/>
                <w:color w:val="auto"/>
              </w:rPr>
              <w:t>Performance- related</w:t>
            </w:r>
          </w:p>
        </w:tc>
        <w:tc>
          <w:tcPr>
            <w:tcW w:w="360" w:type="dxa"/>
            <w:vAlign w:val="bottom"/>
          </w:tcPr>
          <w:p>
            <w:pPr>
              <w:spacing w:after="0"/>
              <w:rPr>
                <w:sz w:val="17"/>
                <w:szCs w:val="17"/>
                <w:color w:val="auto"/>
              </w:rPr>
            </w:pPr>
          </w:p>
        </w:tc>
        <w:tc>
          <w:tcPr>
            <w:tcW w:w="5260" w:type="dxa"/>
            <w:vAlign w:val="bottom"/>
            <w:tcBorders>
              <w:right w:val="single" w:sz="8" w:color="70AD47"/>
            </w:tcBorders>
          </w:tcPr>
          <w:p>
            <w:pPr>
              <w:spacing w:after="0"/>
              <w:rPr>
                <w:sz w:val="17"/>
                <w:szCs w:val="17"/>
                <w:color w:val="auto"/>
              </w:rPr>
            </w:pPr>
          </w:p>
        </w:tc>
        <w:tc>
          <w:tcPr>
            <w:tcW w:w="3320" w:type="dxa"/>
            <w:vAlign w:val="bottom"/>
            <w:tcBorders>
              <w:right w:val="single" w:sz="8" w:color="70AD47"/>
            </w:tcBorders>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2320" w:type="dxa"/>
            <w:vAlign w:val="bottom"/>
            <w:tcBorders>
              <w:bottom w:val="single" w:sz="8" w:color="70AD47"/>
              <w:right w:val="single" w:sz="8" w:color="70AD47"/>
            </w:tcBorders>
          </w:tcPr>
          <w:p>
            <w:pPr>
              <w:ind w:left="20"/>
              <w:spacing w:after="0"/>
              <w:rPr>
                <w:sz w:val="20"/>
                <w:szCs w:val="20"/>
                <w:color w:val="auto"/>
              </w:rPr>
            </w:pPr>
            <w:r>
              <w:rPr>
                <w:rFonts w:ascii="Arial" w:cs="Arial" w:eastAsia="Arial" w:hAnsi="Arial"/>
                <w:sz w:val="22"/>
                <w:szCs w:val="22"/>
                <w:b w:val="1"/>
                <w:bCs w:val="1"/>
                <w:color w:val="auto"/>
              </w:rPr>
              <w:t>Compensation</w:t>
            </w:r>
          </w:p>
        </w:tc>
        <w:tc>
          <w:tcPr>
            <w:tcW w:w="360" w:type="dxa"/>
            <w:vAlign w:val="bottom"/>
            <w:tcBorders>
              <w:bottom w:val="single" w:sz="8" w:color="70AD47"/>
            </w:tcBorders>
          </w:tcPr>
          <w:p>
            <w:pPr>
              <w:spacing w:after="0"/>
              <w:rPr>
                <w:sz w:val="24"/>
                <w:szCs w:val="24"/>
                <w:color w:val="auto"/>
              </w:rPr>
            </w:pPr>
          </w:p>
        </w:tc>
        <w:tc>
          <w:tcPr>
            <w:tcW w:w="5260" w:type="dxa"/>
            <w:vAlign w:val="bottom"/>
            <w:tcBorders>
              <w:bottom w:val="single" w:sz="8" w:color="70AD47"/>
              <w:right w:val="single" w:sz="8" w:color="70AD47"/>
            </w:tcBorders>
          </w:tcPr>
          <w:p>
            <w:pPr>
              <w:spacing w:after="0"/>
              <w:rPr>
                <w:sz w:val="24"/>
                <w:szCs w:val="24"/>
                <w:color w:val="auto"/>
              </w:rPr>
            </w:pPr>
          </w:p>
        </w:tc>
        <w:tc>
          <w:tcPr>
            <w:tcW w:w="3320" w:type="dxa"/>
            <w:vAlign w:val="bottom"/>
            <w:tcBorders>
              <w:bottom w:val="single" w:sz="8" w:color="70AD47"/>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320" w:type="dxa"/>
            <w:vAlign w:val="bottom"/>
            <w:tcBorders>
              <w:right w:val="single" w:sz="8" w:color="70AD47"/>
            </w:tcBorders>
          </w:tcPr>
          <w:p>
            <w:pPr>
              <w:ind w:left="20"/>
              <w:spacing w:after="0" w:line="203" w:lineRule="exact"/>
              <w:rPr>
                <w:sz w:val="20"/>
                <w:szCs w:val="20"/>
                <w:color w:val="auto"/>
              </w:rPr>
            </w:pPr>
            <w:r>
              <w:rPr>
                <w:rFonts w:ascii="Arial" w:cs="Arial" w:eastAsia="Arial" w:hAnsi="Arial"/>
                <w:sz w:val="22"/>
                <w:szCs w:val="22"/>
                <w:color w:val="auto"/>
              </w:rPr>
              <w:t>Short-term</w:t>
            </w:r>
          </w:p>
        </w:tc>
        <w:tc>
          <w:tcPr>
            <w:tcW w:w="360" w:type="dxa"/>
            <w:vAlign w:val="bottom"/>
          </w:tcPr>
          <w:p>
            <w:pPr>
              <w:ind w:left="20"/>
              <w:spacing w:after="0" w:line="203" w:lineRule="exact"/>
              <w:rPr>
                <w:sz w:val="20"/>
                <w:szCs w:val="20"/>
                <w:color w:val="auto"/>
              </w:rPr>
            </w:pPr>
            <w:r>
              <w:rPr>
                <w:rFonts w:ascii="Arial" w:cs="Arial" w:eastAsia="Arial" w:hAnsi="Arial"/>
                <w:sz w:val="18"/>
                <w:szCs w:val="18"/>
                <w:color w:val="auto"/>
              </w:rPr>
              <w:t>•</w:t>
            </w:r>
          </w:p>
        </w:tc>
        <w:tc>
          <w:tcPr>
            <w:tcW w:w="5260" w:type="dxa"/>
            <w:vAlign w:val="bottom"/>
            <w:tcBorders>
              <w:right w:val="single" w:sz="8" w:color="70AD47"/>
            </w:tcBorders>
          </w:tcPr>
          <w:p>
            <w:pPr>
              <w:ind w:left="300"/>
              <w:spacing w:after="0" w:line="203" w:lineRule="exact"/>
              <w:rPr>
                <w:sz w:val="20"/>
                <w:szCs w:val="20"/>
                <w:color w:val="auto"/>
              </w:rPr>
            </w:pPr>
            <w:r>
              <w:rPr>
                <w:rFonts w:ascii="Arial" w:cs="Arial" w:eastAsia="Arial" w:hAnsi="Arial"/>
                <w:sz w:val="22"/>
                <w:szCs w:val="22"/>
                <w:color w:val="auto"/>
              </w:rPr>
              <w:t>Target bonus</w:t>
            </w:r>
          </w:p>
        </w:tc>
        <w:tc>
          <w:tcPr>
            <w:tcW w:w="3320" w:type="dxa"/>
            <w:vAlign w:val="bottom"/>
            <w:tcBorders>
              <w:right w:val="single" w:sz="8" w:color="70AD47"/>
            </w:tcBorders>
          </w:tcPr>
          <w:p>
            <w:pPr>
              <w:ind w:left="20"/>
              <w:spacing w:after="0" w:line="203" w:lineRule="exact"/>
              <w:rPr>
                <w:sz w:val="20"/>
                <w:szCs w:val="20"/>
                <w:color w:val="auto"/>
              </w:rPr>
            </w:pPr>
            <w:r>
              <w:rPr>
                <w:rFonts w:ascii="Arial" w:cs="Arial" w:eastAsia="Arial" w:hAnsi="Arial"/>
                <w:sz w:val="22"/>
                <w:szCs w:val="22"/>
                <w:color w:val="auto"/>
              </w:rPr>
              <w:t>Incentivizes strong annual (non-</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color w:val="auto"/>
              </w:rPr>
              <w:t>performance-related</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5260" w:type="dxa"/>
            <w:vAlign w:val="bottom"/>
            <w:tcBorders>
              <w:right w:val="single" w:sz="8" w:color="70AD47"/>
            </w:tcBorders>
          </w:tcPr>
          <w:p>
            <w:pPr>
              <w:ind w:left="300"/>
              <w:spacing w:after="0" w:line="216" w:lineRule="exact"/>
              <w:rPr>
                <w:sz w:val="20"/>
                <w:szCs w:val="20"/>
                <w:color w:val="auto"/>
              </w:rPr>
            </w:pPr>
            <w:r>
              <w:rPr>
                <w:rFonts w:ascii="Arial" w:cs="Arial" w:eastAsia="Arial" w:hAnsi="Arial"/>
                <w:sz w:val="22"/>
                <w:szCs w:val="22"/>
                <w:color w:val="auto"/>
                <w:w w:val="96"/>
              </w:rPr>
              <w:t>Limit on payout amount: up to a maximum of 60% of</w:t>
            </w:r>
          </w:p>
        </w:tc>
        <w:tc>
          <w:tcPr>
            <w:tcW w:w="332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color w:val="auto"/>
                <w:w w:val="93"/>
              </w:rPr>
              <w:t>financial and financial) performance</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color w:val="auto"/>
              </w:rPr>
              <w:t>variable</w:t>
            </w: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rPr>
              <w:t>the amount of fixed compensation;</w:t>
            </w:r>
          </w:p>
        </w:tc>
        <w:tc>
          <w:tcPr>
            <w:tcW w:w="332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color w:val="auto"/>
              </w:rPr>
              <w:t>as the foundation of the Group's</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color w:val="auto"/>
                <w:w w:val="90"/>
              </w:rPr>
              <w:t>compensation (short-term</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5260" w:type="dxa"/>
            <w:vAlign w:val="bottom"/>
            <w:tcBorders>
              <w:right w:val="single" w:sz="8" w:color="70AD47"/>
            </w:tcBorders>
          </w:tcPr>
          <w:p>
            <w:pPr>
              <w:ind w:left="300"/>
              <w:spacing w:after="0" w:line="216" w:lineRule="exact"/>
              <w:rPr>
                <w:sz w:val="20"/>
                <w:szCs w:val="20"/>
                <w:color w:val="auto"/>
              </w:rPr>
            </w:pPr>
            <w:r>
              <w:rPr>
                <w:rFonts w:ascii="Arial" w:cs="Arial" w:eastAsia="Arial" w:hAnsi="Arial"/>
                <w:sz w:val="22"/>
                <w:szCs w:val="22"/>
                <w:color w:val="auto"/>
                <w:w w:val="89"/>
              </w:rPr>
              <w:t>Performance criteria: Company targets and ESG targets;</w:t>
            </w:r>
          </w:p>
        </w:tc>
        <w:tc>
          <w:tcPr>
            <w:tcW w:w="332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color w:val="auto"/>
                <w:w w:val="96"/>
              </w:rPr>
              <w:t>long-term strategy and sustainable</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color w:val="auto"/>
              </w:rPr>
              <w:t>incentive, STI)</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5260" w:type="dxa"/>
            <w:vAlign w:val="bottom"/>
            <w:tcBorders>
              <w:right w:val="single" w:sz="8" w:color="70AD47"/>
            </w:tcBorders>
          </w:tcPr>
          <w:p>
            <w:pPr>
              <w:ind w:left="300"/>
              <w:spacing w:after="0" w:line="216" w:lineRule="exact"/>
              <w:rPr>
                <w:sz w:val="20"/>
                <w:szCs w:val="20"/>
                <w:color w:val="auto"/>
              </w:rPr>
            </w:pPr>
            <w:r>
              <w:rPr>
                <w:rFonts w:ascii="Arial" w:cs="Arial" w:eastAsia="Arial" w:hAnsi="Arial"/>
                <w:sz w:val="22"/>
                <w:szCs w:val="22"/>
                <w:color w:val="auto"/>
              </w:rPr>
              <w:t>Of the STI, 50% is payable in cash in the month</w:t>
            </w:r>
          </w:p>
        </w:tc>
        <w:tc>
          <w:tcPr>
            <w:tcW w:w="332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color w:val="auto"/>
              </w:rPr>
              <w:t>value creation with achieving</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w w:val="96"/>
              </w:rPr>
              <w:t>following approval of the consolidated financial statements;</w:t>
            </w:r>
          </w:p>
        </w:tc>
        <w:tc>
          <w:tcPr>
            <w:tcW w:w="332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color w:val="auto"/>
              </w:rPr>
              <w:t>strategic sustainability targets.</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5260" w:type="dxa"/>
            <w:vAlign w:val="bottom"/>
            <w:tcBorders>
              <w:right w:val="single" w:sz="8" w:color="70AD47"/>
            </w:tcBorders>
          </w:tcPr>
          <w:p>
            <w:pPr>
              <w:ind w:left="300"/>
              <w:spacing w:after="0" w:line="216" w:lineRule="exact"/>
              <w:rPr>
                <w:sz w:val="20"/>
                <w:szCs w:val="20"/>
                <w:color w:val="auto"/>
              </w:rPr>
            </w:pPr>
            <w:r>
              <w:rPr>
                <w:rFonts w:ascii="Arial" w:cs="Arial" w:eastAsia="Arial" w:hAnsi="Arial"/>
                <w:sz w:val="22"/>
                <w:szCs w:val="22"/>
                <w:color w:val="auto"/>
                <w:w w:val="95"/>
              </w:rPr>
              <w:t>Of the STI, 50% is payable in cash one year after the</w:t>
            </w:r>
          </w:p>
        </w:tc>
        <w:tc>
          <w:tcPr>
            <w:tcW w:w="3320" w:type="dxa"/>
            <w:vAlign w:val="bottom"/>
            <w:tcBorders>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w w:val="90"/>
              </w:rPr>
              <w:t>end of the financial year to which the STI relates and subject to</w:t>
            </w:r>
          </w:p>
        </w:tc>
        <w:tc>
          <w:tcPr>
            <w:tcW w:w="3320" w:type="dxa"/>
            <w:vAlign w:val="bottom"/>
            <w:tcBorders>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w w:val="94"/>
              </w:rPr>
              <w:t>an adjustment in relation to the share price development one</w:t>
            </w:r>
          </w:p>
        </w:tc>
        <w:tc>
          <w:tcPr>
            <w:tcW w:w="3320" w:type="dxa"/>
            <w:vAlign w:val="bottom"/>
            <w:tcBorders>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rPr>
              <w:t>year following the date, when the STI achievement is</w:t>
            </w:r>
          </w:p>
        </w:tc>
        <w:tc>
          <w:tcPr>
            <w:tcW w:w="3320" w:type="dxa"/>
            <w:vAlign w:val="bottom"/>
            <w:tcBorders>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2320" w:type="dxa"/>
            <w:vAlign w:val="bottom"/>
            <w:tcBorders>
              <w:bottom w:val="single" w:sz="8" w:color="DBDBDB"/>
              <w:right w:val="single" w:sz="8" w:color="70AD47"/>
            </w:tcBorders>
          </w:tcPr>
          <w:p>
            <w:pPr>
              <w:spacing w:after="0"/>
              <w:rPr>
                <w:sz w:val="23"/>
                <w:szCs w:val="23"/>
                <w:color w:val="auto"/>
              </w:rPr>
            </w:pPr>
          </w:p>
        </w:tc>
        <w:tc>
          <w:tcPr>
            <w:tcW w:w="5620" w:type="dxa"/>
            <w:vAlign w:val="bottom"/>
            <w:tcBorders>
              <w:bottom w:val="single" w:sz="8" w:color="DBDBDB"/>
              <w:right w:val="single" w:sz="8" w:color="70AD47"/>
            </w:tcBorders>
            <w:gridSpan w:val="2"/>
          </w:tcPr>
          <w:p>
            <w:pPr>
              <w:ind w:left="20"/>
              <w:spacing w:after="0"/>
              <w:rPr>
                <w:sz w:val="20"/>
                <w:szCs w:val="20"/>
                <w:color w:val="auto"/>
              </w:rPr>
            </w:pPr>
            <w:r>
              <w:rPr>
                <w:rFonts w:ascii="Arial" w:cs="Arial" w:eastAsia="Arial" w:hAnsi="Arial"/>
                <w:sz w:val="22"/>
                <w:szCs w:val="22"/>
                <w:color w:val="auto"/>
              </w:rPr>
              <w:t>determined.</w:t>
            </w:r>
          </w:p>
        </w:tc>
        <w:tc>
          <w:tcPr>
            <w:tcW w:w="3320" w:type="dxa"/>
            <w:vAlign w:val="bottom"/>
            <w:tcBorders>
              <w:right w:val="single" w:sz="8" w:color="70AD47"/>
            </w:tcBorders>
            <w:vMerge w:val="restart"/>
          </w:tcPr>
          <w:p>
            <w:pPr>
              <w:ind w:left="20"/>
              <w:spacing w:after="0"/>
              <w:rPr>
                <w:sz w:val="20"/>
                <w:szCs w:val="20"/>
                <w:color w:val="auto"/>
              </w:rPr>
            </w:pPr>
            <w:r>
              <w:rPr>
                <w:rFonts w:ascii="Arial" w:cs="Arial" w:eastAsia="Arial" w:hAnsi="Arial"/>
                <w:sz w:val="22"/>
                <w:szCs w:val="22"/>
                <w:color w:val="auto"/>
              </w:rPr>
              <w:t>The LTI is intended to</w:t>
            </w:r>
          </w:p>
        </w:tc>
        <w:tc>
          <w:tcPr>
            <w:tcW w:w="0" w:type="dxa"/>
            <w:vAlign w:val="bottom"/>
          </w:tcPr>
          <w:p>
            <w:pPr>
              <w:spacing w:after="0"/>
              <w:rPr>
                <w:sz w:val="1"/>
                <w:szCs w:val="1"/>
                <w:color w:val="auto"/>
              </w:rPr>
            </w:pPr>
          </w:p>
        </w:tc>
      </w:tr>
      <w:tr>
        <w:trPr>
          <w:trHeight w:val="200"/>
        </w:trPr>
        <w:tc>
          <w:tcPr>
            <w:tcW w:w="2320" w:type="dxa"/>
            <w:vAlign w:val="bottom"/>
            <w:tcBorders>
              <w:right w:val="single" w:sz="8" w:color="70AD47"/>
            </w:tcBorders>
          </w:tcPr>
          <w:p>
            <w:pPr>
              <w:ind w:left="20"/>
              <w:spacing w:after="0" w:line="200" w:lineRule="exact"/>
              <w:rPr>
                <w:sz w:val="20"/>
                <w:szCs w:val="20"/>
                <w:color w:val="auto"/>
              </w:rPr>
            </w:pPr>
            <w:r>
              <w:rPr>
                <w:rFonts w:ascii="Arial" w:cs="Arial" w:eastAsia="Arial" w:hAnsi="Arial"/>
                <w:sz w:val="22"/>
                <w:szCs w:val="22"/>
                <w:color w:val="auto"/>
              </w:rPr>
              <w:t>Long-term</w:t>
            </w:r>
          </w:p>
        </w:tc>
        <w:tc>
          <w:tcPr>
            <w:tcW w:w="360" w:type="dxa"/>
            <w:vAlign w:val="bottom"/>
          </w:tcPr>
          <w:p>
            <w:pPr>
              <w:ind w:left="20"/>
              <w:spacing w:after="0" w:line="200" w:lineRule="exact"/>
              <w:rPr>
                <w:sz w:val="20"/>
                <w:szCs w:val="20"/>
                <w:color w:val="auto"/>
              </w:rPr>
            </w:pPr>
            <w:r>
              <w:rPr>
                <w:rFonts w:ascii="Arial" w:cs="Arial" w:eastAsia="Arial" w:hAnsi="Arial"/>
                <w:sz w:val="18"/>
                <w:szCs w:val="18"/>
                <w:color w:val="auto"/>
              </w:rPr>
              <w:t>•</w:t>
            </w:r>
          </w:p>
        </w:tc>
        <w:tc>
          <w:tcPr>
            <w:tcW w:w="5260" w:type="dxa"/>
            <w:vAlign w:val="bottom"/>
            <w:tcBorders>
              <w:right w:val="single" w:sz="8" w:color="70AD47"/>
            </w:tcBorders>
          </w:tcPr>
          <w:p>
            <w:pPr>
              <w:ind w:left="300"/>
              <w:spacing w:after="0" w:line="200" w:lineRule="exact"/>
              <w:rPr>
                <w:sz w:val="20"/>
                <w:szCs w:val="20"/>
                <w:color w:val="auto"/>
              </w:rPr>
            </w:pPr>
            <w:r>
              <w:rPr>
                <w:rFonts w:ascii="Arial" w:cs="Arial" w:eastAsia="Arial" w:hAnsi="Arial"/>
                <w:sz w:val="22"/>
                <w:szCs w:val="22"/>
                <w:color w:val="auto"/>
                <w:w w:val="99"/>
              </w:rPr>
              <w:t>Stock Option Program and/or Restricted Stock Unit</w:t>
            </w:r>
          </w:p>
        </w:tc>
        <w:tc>
          <w:tcPr>
            <w:tcW w:w="3320" w:type="dxa"/>
            <w:vAlign w:val="bottom"/>
            <w:tcBorders>
              <w:right w:val="single" w:sz="8" w:color="70AD47"/>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color w:val="auto"/>
              </w:rPr>
              <w:t>performance-related</w:t>
            </w: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rPr>
              <w:t>Program (RSUP);</w:t>
            </w:r>
          </w:p>
        </w:tc>
        <w:tc>
          <w:tcPr>
            <w:tcW w:w="332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color w:val="auto"/>
              </w:rPr>
              <w:t>promote the Management</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color w:val="auto"/>
              </w:rPr>
              <w:t>variable</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5260" w:type="dxa"/>
            <w:vAlign w:val="bottom"/>
            <w:tcBorders>
              <w:right w:val="single" w:sz="8" w:color="70AD47"/>
            </w:tcBorders>
          </w:tcPr>
          <w:p>
            <w:pPr>
              <w:ind w:left="300"/>
              <w:spacing w:after="0" w:line="216" w:lineRule="exact"/>
              <w:rPr>
                <w:sz w:val="20"/>
                <w:szCs w:val="20"/>
                <w:color w:val="auto"/>
              </w:rPr>
            </w:pPr>
            <w:r>
              <w:rPr>
                <w:rFonts w:ascii="Arial" w:cs="Arial" w:eastAsia="Arial" w:hAnsi="Arial"/>
                <w:sz w:val="22"/>
                <w:szCs w:val="22"/>
                <w:color w:val="auto"/>
                <w:w w:val="91"/>
              </w:rPr>
              <w:t>Performance targets: Relative share price development</w:t>
            </w:r>
          </w:p>
        </w:tc>
        <w:tc>
          <w:tcPr>
            <w:tcW w:w="332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color w:val="auto"/>
              </w:rPr>
              <w:t>Board's long-term</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color w:val="auto"/>
                <w:w w:val="92"/>
              </w:rPr>
              <w:t>compensation (long-term</w:t>
            </w: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rPr>
              <w:t>and absolute share price development;</w:t>
            </w:r>
          </w:p>
        </w:tc>
        <w:tc>
          <w:tcPr>
            <w:tcW w:w="332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color w:val="auto"/>
              </w:rPr>
              <w:t>commitment to the Group and its</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color w:val="auto"/>
              </w:rPr>
              <w:t>incentive, LTI)</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5260" w:type="dxa"/>
            <w:vAlign w:val="bottom"/>
            <w:tcBorders>
              <w:right w:val="single" w:sz="8" w:color="70AD47"/>
            </w:tcBorders>
          </w:tcPr>
          <w:p>
            <w:pPr>
              <w:ind w:left="300"/>
              <w:spacing w:after="0" w:line="216" w:lineRule="exact"/>
              <w:rPr>
                <w:sz w:val="20"/>
                <w:szCs w:val="20"/>
                <w:color w:val="auto"/>
              </w:rPr>
            </w:pPr>
            <w:r>
              <w:rPr>
                <w:rFonts w:ascii="Arial" w:cs="Arial" w:eastAsia="Arial" w:hAnsi="Arial"/>
                <w:sz w:val="22"/>
                <w:szCs w:val="22"/>
                <w:color w:val="auto"/>
                <w:w w:val="93"/>
              </w:rPr>
              <w:t>Waiting period: Four years after allocation of the stock</w:t>
            </w:r>
          </w:p>
        </w:tc>
        <w:tc>
          <w:tcPr>
            <w:tcW w:w="332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color w:val="auto"/>
              </w:rPr>
              <w:t>sustainable growth.</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w w:val="97"/>
              </w:rPr>
              <w:t>options or allocation of the remaining restricted stock units.</w:t>
            </w:r>
          </w:p>
        </w:tc>
        <w:tc>
          <w:tcPr>
            <w:tcW w:w="332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color w:val="auto"/>
              </w:rPr>
              <w:t>Therefore, the performance</w:t>
            </w:r>
          </w:p>
        </w:tc>
        <w:tc>
          <w:tcPr>
            <w:tcW w:w="0" w:type="dxa"/>
            <w:vAlign w:val="bottom"/>
          </w:tcPr>
          <w:p>
            <w:pPr>
              <w:spacing w:after="0"/>
              <w:rPr>
                <w:sz w:val="1"/>
                <w:szCs w:val="1"/>
                <w:color w:val="auto"/>
              </w:rPr>
            </w:pPr>
          </w:p>
        </w:tc>
      </w:tr>
      <w:tr>
        <w:trPr>
          <w:trHeight w:val="208"/>
        </w:trPr>
        <w:tc>
          <w:tcPr>
            <w:tcW w:w="2320" w:type="dxa"/>
            <w:vAlign w:val="bottom"/>
            <w:tcBorders>
              <w:right w:val="single" w:sz="8" w:color="70AD47"/>
            </w:tcBorders>
          </w:tcPr>
          <w:p>
            <w:pPr>
              <w:spacing w:after="0"/>
              <w:rPr>
                <w:sz w:val="18"/>
                <w:szCs w:val="18"/>
                <w:color w:val="auto"/>
              </w:rPr>
            </w:pPr>
          </w:p>
        </w:tc>
        <w:tc>
          <w:tcPr>
            <w:tcW w:w="360" w:type="dxa"/>
            <w:vAlign w:val="bottom"/>
          </w:tcPr>
          <w:p>
            <w:pPr>
              <w:spacing w:after="0"/>
              <w:rPr>
                <w:sz w:val="18"/>
                <w:szCs w:val="18"/>
                <w:color w:val="auto"/>
              </w:rPr>
            </w:pPr>
          </w:p>
        </w:tc>
        <w:tc>
          <w:tcPr>
            <w:tcW w:w="5260" w:type="dxa"/>
            <w:vAlign w:val="bottom"/>
            <w:tcBorders>
              <w:right w:val="single" w:sz="8" w:color="70AD47"/>
            </w:tcBorders>
          </w:tcPr>
          <w:p>
            <w:pPr>
              <w:spacing w:after="0"/>
              <w:rPr>
                <w:sz w:val="18"/>
                <w:szCs w:val="18"/>
                <w:color w:val="auto"/>
              </w:rPr>
            </w:pPr>
          </w:p>
        </w:tc>
        <w:tc>
          <w:tcPr>
            <w:tcW w:w="3320" w:type="dxa"/>
            <w:vAlign w:val="bottom"/>
            <w:tcBorders>
              <w:right w:val="single" w:sz="8" w:color="70AD47"/>
            </w:tcBorders>
          </w:tcPr>
          <w:p>
            <w:pPr>
              <w:ind w:left="20"/>
              <w:spacing w:after="0" w:line="208" w:lineRule="exact"/>
              <w:rPr>
                <w:sz w:val="20"/>
                <w:szCs w:val="20"/>
                <w:color w:val="auto"/>
              </w:rPr>
            </w:pPr>
            <w:r>
              <w:rPr>
                <w:rFonts w:ascii="Arial" w:cs="Arial" w:eastAsia="Arial" w:hAnsi="Arial"/>
                <w:sz w:val="22"/>
                <w:szCs w:val="22"/>
                <w:color w:val="auto"/>
                <w:w w:val="99"/>
              </w:rPr>
              <w:t>targets of the LTI are linked to the</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360" w:type="dxa"/>
            <w:vAlign w:val="bottom"/>
          </w:tcPr>
          <w:p>
            <w:pPr>
              <w:spacing w:after="0"/>
              <w:rPr>
                <w:sz w:val="18"/>
                <w:szCs w:val="18"/>
                <w:color w:val="auto"/>
              </w:rPr>
            </w:pPr>
          </w:p>
        </w:tc>
        <w:tc>
          <w:tcPr>
            <w:tcW w:w="5260" w:type="dxa"/>
            <w:vAlign w:val="bottom"/>
            <w:tcBorders>
              <w:right w:val="single" w:sz="8" w:color="70AD47"/>
            </w:tcBorders>
          </w:tcPr>
          <w:p>
            <w:pPr>
              <w:spacing w:after="0"/>
              <w:rPr>
                <w:sz w:val="18"/>
                <w:szCs w:val="18"/>
                <w:color w:val="auto"/>
              </w:rPr>
            </w:pPr>
          </w:p>
        </w:tc>
        <w:tc>
          <w:tcPr>
            <w:tcW w:w="332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color w:val="auto"/>
              </w:rPr>
              <w:t>Group’s long-term share price</w:t>
            </w:r>
          </w:p>
        </w:tc>
        <w:tc>
          <w:tcPr>
            <w:tcW w:w="0" w:type="dxa"/>
            <w:vAlign w:val="bottom"/>
          </w:tcPr>
          <w:p>
            <w:pPr>
              <w:spacing w:after="0"/>
              <w:rPr>
                <w:sz w:val="1"/>
                <w:szCs w:val="1"/>
                <w:color w:val="auto"/>
              </w:rPr>
            </w:pPr>
          </w:p>
        </w:tc>
      </w:tr>
      <w:tr>
        <w:trPr>
          <w:trHeight w:val="276"/>
        </w:trPr>
        <w:tc>
          <w:tcPr>
            <w:tcW w:w="2320" w:type="dxa"/>
            <w:vAlign w:val="bottom"/>
            <w:tcBorders>
              <w:bottom w:val="single" w:sz="8" w:color="70AD47"/>
              <w:right w:val="single" w:sz="8" w:color="70AD47"/>
            </w:tcBorders>
          </w:tcPr>
          <w:p>
            <w:pPr>
              <w:spacing w:after="0"/>
              <w:rPr>
                <w:sz w:val="24"/>
                <w:szCs w:val="24"/>
                <w:color w:val="auto"/>
              </w:rPr>
            </w:pPr>
          </w:p>
        </w:tc>
        <w:tc>
          <w:tcPr>
            <w:tcW w:w="360" w:type="dxa"/>
            <w:vAlign w:val="bottom"/>
            <w:tcBorders>
              <w:bottom w:val="single" w:sz="8" w:color="70AD47"/>
            </w:tcBorders>
          </w:tcPr>
          <w:p>
            <w:pPr>
              <w:spacing w:after="0"/>
              <w:rPr>
                <w:sz w:val="24"/>
                <w:szCs w:val="24"/>
                <w:color w:val="auto"/>
              </w:rPr>
            </w:pPr>
          </w:p>
        </w:tc>
        <w:tc>
          <w:tcPr>
            <w:tcW w:w="5260" w:type="dxa"/>
            <w:vAlign w:val="bottom"/>
            <w:tcBorders>
              <w:bottom w:val="single" w:sz="8" w:color="70AD47"/>
              <w:right w:val="single" w:sz="8" w:color="70AD47"/>
            </w:tcBorders>
          </w:tcPr>
          <w:p>
            <w:pPr>
              <w:spacing w:after="0"/>
              <w:rPr>
                <w:sz w:val="24"/>
                <w:szCs w:val="24"/>
                <w:color w:val="auto"/>
              </w:rPr>
            </w:pPr>
          </w:p>
        </w:tc>
        <w:tc>
          <w:tcPr>
            <w:tcW w:w="3320" w:type="dxa"/>
            <w:vAlign w:val="bottom"/>
            <w:tcBorders>
              <w:bottom w:val="single" w:sz="8" w:color="70AD47"/>
              <w:right w:val="single" w:sz="8" w:color="70AD47"/>
            </w:tcBorders>
          </w:tcPr>
          <w:p>
            <w:pPr>
              <w:ind w:left="20"/>
              <w:spacing w:after="0"/>
              <w:rPr>
                <w:sz w:val="20"/>
                <w:szCs w:val="20"/>
                <w:color w:val="auto"/>
              </w:rPr>
            </w:pPr>
            <w:r>
              <w:rPr>
                <w:rFonts w:ascii="Arial" w:cs="Arial" w:eastAsia="Arial" w:hAnsi="Arial"/>
                <w:sz w:val="22"/>
                <w:szCs w:val="22"/>
                <w:color w:val="auto"/>
              </w:rPr>
              <w:t>development.</w:t>
            </w:r>
          </w:p>
        </w:tc>
        <w:tc>
          <w:tcPr>
            <w:tcW w:w="0" w:type="dxa"/>
            <w:vAlign w:val="bottom"/>
          </w:tcPr>
          <w:p>
            <w:pPr>
              <w:spacing w:after="0"/>
              <w:rPr>
                <w:sz w:val="1"/>
                <w:szCs w:val="1"/>
                <w:color w:val="auto"/>
              </w:rPr>
            </w:pPr>
          </w:p>
        </w:tc>
      </w:tr>
      <w:tr>
        <w:trPr>
          <w:trHeight w:val="198"/>
        </w:trPr>
        <w:tc>
          <w:tcPr>
            <w:tcW w:w="2320" w:type="dxa"/>
            <w:vAlign w:val="bottom"/>
            <w:tcBorders>
              <w:right w:val="single" w:sz="8" w:color="70AD47"/>
            </w:tcBorders>
          </w:tcPr>
          <w:p>
            <w:pPr>
              <w:ind w:left="20"/>
              <w:spacing w:after="0" w:line="198" w:lineRule="exact"/>
              <w:rPr>
                <w:sz w:val="20"/>
                <w:szCs w:val="20"/>
                <w:color w:val="auto"/>
              </w:rPr>
            </w:pPr>
            <w:r>
              <w:rPr>
                <w:rFonts w:ascii="Arial" w:cs="Arial" w:eastAsia="Arial" w:hAnsi="Arial"/>
                <w:sz w:val="22"/>
                <w:szCs w:val="22"/>
                <w:b w:val="1"/>
                <w:bCs w:val="1"/>
                <w:color w:val="auto"/>
              </w:rPr>
              <w:t>Other</w:t>
            </w:r>
          </w:p>
        </w:tc>
        <w:tc>
          <w:tcPr>
            <w:tcW w:w="360" w:type="dxa"/>
            <w:vAlign w:val="bottom"/>
          </w:tcPr>
          <w:p>
            <w:pPr>
              <w:spacing w:after="0"/>
              <w:rPr>
                <w:sz w:val="17"/>
                <w:szCs w:val="17"/>
                <w:color w:val="auto"/>
              </w:rPr>
            </w:pPr>
          </w:p>
        </w:tc>
        <w:tc>
          <w:tcPr>
            <w:tcW w:w="5260" w:type="dxa"/>
            <w:vAlign w:val="bottom"/>
            <w:tcBorders>
              <w:right w:val="single" w:sz="8" w:color="70AD47"/>
            </w:tcBorders>
          </w:tcPr>
          <w:p>
            <w:pPr>
              <w:spacing w:after="0"/>
              <w:rPr>
                <w:sz w:val="17"/>
                <w:szCs w:val="17"/>
                <w:color w:val="auto"/>
              </w:rPr>
            </w:pPr>
          </w:p>
        </w:tc>
        <w:tc>
          <w:tcPr>
            <w:tcW w:w="3320" w:type="dxa"/>
            <w:vAlign w:val="bottom"/>
            <w:tcBorders>
              <w:right w:val="single" w:sz="8" w:color="70AD47"/>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b w:val="1"/>
                <w:bCs w:val="1"/>
                <w:color w:val="auto"/>
              </w:rPr>
              <w:t>Compensation</w:t>
            </w:r>
          </w:p>
        </w:tc>
        <w:tc>
          <w:tcPr>
            <w:tcW w:w="360" w:type="dxa"/>
            <w:vAlign w:val="bottom"/>
          </w:tcPr>
          <w:p>
            <w:pPr>
              <w:spacing w:after="0"/>
              <w:rPr>
                <w:sz w:val="18"/>
                <w:szCs w:val="18"/>
                <w:color w:val="auto"/>
              </w:rPr>
            </w:pPr>
          </w:p>
        </w:tc>
        <w:tc>
          <w:tcPr>
            <w:tcW w:w="5260" w:type="dxa"/>
            <w:vAlign w:val="bottom"/>
            <w:tcBorders>
              <w:right w:val="single" w:sz="8" w:color="70AD47"/>
            </w:tcBorders>
          </w:tcPr>
          <w:p>
            <w:pPr>
              <w:spacing w:after="0"/>
              <w:rPr>
                <w:sz w:val="18"/>
                <w:szCs w:val="18"/>
                <w:color w:val="auto"/>
              </w:rPr>
            </w:pPr>
          </w:p>
        </w:tc>
        <w:tc>
          <w:tcPr>
            <w:tcW w:w="3320" w:type="dxa"/>
            <w:vAlign w:val="bottom"/>
            <w:tcBorders>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320" w:type="dxa"/>
            <w:vAlign w:val="bottom"/>
            <w:tcBorders>
              <w:bottom w:val="single" w:sz="8" w:color="70AD47"/>
              <w:right w:val="single" w:sz="8" w:color="70AD47"/>
            </w:tcBorders>
          </w:tcPr>
          <w:p>
            <w:pPr>
              <w:ind w:left="20"/>
              <w:spacing w:after="0"/>
              <w:rPr>
                <w:sz w:val="20"/>
                <w:szCs w:val="20"/>
                <w:color w:val="auto"/>
              </w:rPr>
            </w:pPr>
            <w:r>
              <w:rPr>
                <w:rFonts w:ascii="Arial" w:cs="Arial" w:eastAsia="Arial" w:hAnsi="Arial"/>
                <w:sz w:val="22"/>
                <w:szCs w:val="22"/>
                <w:b w:val="1"/>
                <w:bCs w:val="1"/>
                <w:color w:val="auto"/>
              </w:rPr>
              <w:t>Rules</w:t>
            </w:r>
          </w:p>
        </w:tc>
        <w:tc>
          <w:tcPr>
            <w:tcW w:w="360" w:type="dxa"/>
            <w:vAlign w:val="bottom"/>
            <w:tcBorders>
              <w:bottom w:val="single" w:sz="8" w:color="70AD47"/>
            </w:tcBorders>
          </w:tcPr>
          <w:p>
            <w:pPr>
              <w:spacing w:after="0"/>
              <w:rPr>
                <w:sz w:val="24"/>
                <w:szCs w:val="24"/>
                <w:color w:val="auto"/>
              </w:rPr>
            </w:pPr>
          </w:p>
        </w:tc>
        <w:tc>
          <w:tcPr>
            <w:tcW w:w="5260" w:type="dxa"/>
            <w:vAlign w:val="bottom"/>
            <w:tcBorders>
              <w:bottom w:val="single" w:sz="8" w:color="70AD47"/>
              <w:right w:val="single" w:sz="8" w:color="70AD47"/>
            </w:tcBorders>
          </w:tcPr>
          <w:p>
            <w:pPr>
              <w:spacing w:after="0"/>
              <w:rPr>
                <w:sz w:val="24"/>
                <w:szCs w:val="24"/>
                <w:color w:val="auto"/>
              </w:rPr>
            </w:pPr>
          </w:p>
        </w:tc>
        <w:tc>
          <w:tcPr>
            <w:tcW w:w="3320" w:type="dxa"/>
            <w:vAlign w:val="bottom"/>
            <w:tcBorders>
              <w:bottom w:val="single" w:sz="8" w:color="70AD47"/>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320" w:top="1193"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53"/>
        </w:trPr>
        <w:tc>
          <w:tcPr>
            <w:tcW w:w="2320" w:type="dxa"/>
            <w:vAlign w:val="bottom"/>
            <w:tcBorders>
              <w:right w:val="single" w:sz="8" w:color="70AD47"/>
            </w:tcBorders>
          </w:tcPr>
          <w:p>
            <w:pPr>
              <w:ind w:left="20"/>
              <w:spacing w:after="0"/>
              <w:rPr>
                <w:sz w:val="20"/>
                <w:szCs w:val="20"/>
                <w:color w:val="auto"/>
              </w:rPr>
            </w:pPr>
            <w:r>
              <w:rPr>
                <w:rFonts w:ascii="Arial" w:cs="Arial" w:eastAsia="Arial" w:hAnsi="Arial"/>
                <w:sz w:val="22"/>
                <w:szCs w:val="22"/>
                <w:color w:val="auto"/>
              </w:rPr>
              <w:t>Target total</w:t>
            </w:r>
          </w:p>
        </w:tc>
        <w:tc>
          <w:tcPr>
            <w:tcW w:w="5620" w:type="dxa"/>
            <w:vAlign w:val="bottom"/>
            <w:tcBorders>
              <w:right w:val="single" w:sz="8" w:color="70AD47"/>
            </w:tcBorders>
            <w:gridSpan w:val="2"/>
          </w:tcPr>
          <w:p>
            <w:pPr>
              <w:ind w:left="20"/>
              <w:spacing w:after="0"/>
              <w:rPr>
                <w:sz w:val="20"/>
                <w:szCs w:val="20"/>
                <w:color w:val="auto"/>
              </w:rPr>
            </w:pPr>
            <w:r>
              <w:rPr>
                <w:rFonts w:ascii="Arial" w:cs="Arial" w:eastAsia="Arial" w:hAnsi="Arial"/>
                <w:sz w:val="22"/>
                <w:szCs w:val="22"/>
                <w:color w:val="auto"/>
              </w:rPr>
              <w:t>For each Management Board member for the upcoming</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color w:val="auto"/>
              </w:rPr>
              <w:t>compensation</w:t>
            </w: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rPr>
              <w:t>financial year the Supervisory Board sets Target Total</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w w:val="90"/>
              </w:rPr>
              <w:t>Compensation corresponding to the sum of fixed compensation</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rPr>
              <w:t>(~40%), target STI</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w w:val="89"/>
              </w:rPr>
              <w:t>(~20%) and target LTI (~40%, each as percentage of the Target</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rPr>
              <w:t>Total Compensation). Relative to the Target Total</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w w:val="93"/>
              </w:rPr>
              <w:t>Compensation the individual compensation components shall</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rPr>
              <w:t>reflect the following</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rPr>
              <w:t>percentage ranges.</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5420" w:type="dxa"/>
            <w:vAlign w:val="bottom"/>
            <w:tcBorders>
              <w:right w:val="single" w:sz="8" w:color="70AD47"/>
            </w:tcBorders>
          </w:tcPr>
          <w:p>
            <w:pPr>
              <w:ind w:left="460"/>
              <w:spacing w:after="0" w:line="216" w:lineRule="exact"/>
              <w:rPr>
                <w:sz w:val="20"/>
                <w:szCs w:val="20"/>
                <w:color w:val="auto"/>
              </w:rPr>
            </w:pPr>
            <w:r>
              <w:rPr>
                <w:rFonts w:ascii="Arial" w:cs="Arial" w:eastAsia="Arial" w:hAnsi="Arial"/>
                <w:sz w:val="22"/>
                <w:szCs w:val="22"/>
                <w:color w:val="auto"/>
              </w:rPr>
              <w:t>Chief Executive Officer</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5420" w:type="dxa"/>
            <w:vAlign w:val="bottom"/>
            <w:tcBorders>
              <w:right w:val="single" w:sz="8" w:color="70AD47"/>
            </w:tcBorders>
          </w:tcPr>
          <w:p>
            <w:pPr>
              <w:ind w:left="460"/>
              <w:spacing w:after="0" w:line="216" w:lineRule="exact"/>
              <w:rPr>
                <w:sz w:val="20"/>
                <w:szCs w:val="20"/>
                <w:color w:val="auto"/>
              </w:rPr>
            </w:pPr>
            <w:r>
              <w:rPr>
                <w:rFonts w:ascii="Arial" w:cs="Arial" w:eastAsia="Arial" w:hAnsi="Arial"/>
                <w:sz w:val="22"/>
                <w:szCs w:val="22"/>
                <w:color w:val="auto"/>
              </w:rPr>
              <w:t>Fixed compensation: 25-35%</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5420" w:type="dxa"/>
            <w:vAlign w:val="bottom"/>
            <w:tcBorders>
              <w:right w:val="single" w:sz="8" w:color="70AD47"/>
            </w:tcBorders>
          </w:tcPr>
          <w:p>
            <w:pPr>
              <w:ind w:left="460"/>
              <w:spacing w:after="0" w:line="216" w:lineRule="exact"/>
              <w:rPr>
                <w:sz w:val="20"/>
                <w:szCs w:val="20"/>
                <w:color w:val="auto"/>
              </w:rPr>
            </w:pPr>
            <w:r>
              <w:rPr>
                <w:rFonts w:ascii="Arial" w:cs="Arial" w:eastAsia="Arial" w:hAnsi="Arial"/>
                <w:sz w:val="22"/>
                <w:szCs w:val="22"/>
                <w:color w:val="auto"/>
              </w:rPr>
              <w:t>Variable compensation: 65-75%</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200" w:type="dxa"/>
            <w:vAlign w:val="bottom"/>
          </w:tcPr>
          <w:p>
            <w:pPr>
              <w:spacing w:after="0"/>
              <w:rPr>
                <w:sz w:val="18"/>
                <w:szCs w:val="18"/>
                <w:color w:val="auto"/>
              </w:rPr>
            </w:pPr>
          </w:p>
        </w:tc>
        <w:tc>
          <w:tcPr>
            <w:tcW w:w="5420" w:type="dxa"/>
            <w:vAlign w:val="bottom"/>
            <w:tcBorders>
              <w:right w:val="single" w:sz="8" w:color="70AD47"/>
            </w:tcBorders>
          </w:tcPr>
          <w:p>
            <w:pPr>
              <w:ind w:left="140"/>
              <w:spacing w:after="0" w:line="216" w:lineRule="exact"/>
              <w:rPr>
                <w:sz w:val="20"/>
                <w:szCs w:val="20"/>
                <w:color w:val="auto"/>
              </w:rPr>
            </w:pPr>
            <w:r>
              <w:rPr>
                <w:rFonts w:ascii="Arial" w:cs="Arial" w:eastAsia="Arial" w:hAnsi="Arial"/>
                <w:sz w:val="18"/>
                <w:szCs w:val="18"/>
                <w:color w:val="auto"/>
              </w:rPr>
              <w:t xml:space="preserve">•   </w:t>
            </w:r>
            <w:r>
              <w:rPr>
                <w:rFonts w:ascii="Arial" w:cs="Arial" w:eastAsia="Arial" w:hAnsi="Arial"/>
                <w:sz w:val="21"/>
                <w:szCs w:val="21"/>
                <w:color w:val="auto"/>
              </w:rPr>
              <w:t>Target STI: 12 bis 18%</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200" w:type="dxa"/>
            <w:vAlign w:val="bottom"/>
          </w:tcPr>
          <w:p>
            <w:pPr>
              <w:spacing w:after="0"/>
              <w:rPr>
                <w:sz w:val="18"/>
                <w:szCs w:val="18"/>
                <w:color w:val="auto"/>
              </w:rPr>
            </w:pPr>
          </w:p>
        </w:tc>
        <w:tc>
          <w:tcPr>
            <w:tcW w:w="5420" w:type="dxa"/>
            <w:vAlign w:val="bottom"/>
            <w:tcBorders>
              <w:right w:val="single" w:sz="8" w:color="70AD47"/>
            </w:tcBorders>
          </w:tcPr>
          <w:p>
            <w:pPr>
              <w:ind w:left="140"/>
              <w:spacing w:after="0" w:line="216" w:lineRule="exact"/>
              <w:rPr>
                <w:sz w:val="20"/>
                <w:szCs w:val="20"/>
                <w:color w:val="auto"/>
              </w:rPr>
            </w:pPr>
            <w:r>
              <w:rPr>
                <w:rFonts w:ascii="Arial" w:cs="Arial" w:eastAsia="Arial" w:hAnsi="Arial"/>
                <w:sz w:val="18"/>
                <w:szCs w:val="18"/>
                <w:color w:val="auto"/>
              </w:rPr>
              <w:t xml:space="preserve">•   </w:t>
            </w:r>
            <w:r>
              <w:rPr>
                <w:rFonts w:ascii="Arial" w:cs="Arial" w:eastAsia="Arial" w:hAnsi="Arial"/>
                <w:sz w:val="21"/>
                <w:szCs w:val="21"/>
                <w:color w:val="auto"/>
              </w:rPr>
              <w:t>Target LTI: 50 bis 60%</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5420" w:type="dxa"/>
            <w:vAlign w:val="bottom"/>
            <w:tcBorders>
              <w:right w:val="single" w:sz="8" w:color="70AD47"/>
            </w:tcBorders>
          </w:tcPr>
          <w:p>
            <w:pPr>
              <w:ind w:left="460"/>
              <w:spacing w:after="0" w:line="216" w:lineRule="exact"/>
              <w:rPr>
                <w:sz w:val="20"/>
                <w:szCs w:val="20"/>
                <w:color w:val="auto"/>
              </w:rPr>
            </w:pPr>
            <w:r>
              <w:rPr>
                <w:rFonts w:ascii="Arial" w:cs="Arial" w:eastAsia="Arial" w:hAnsi="Arial"/>
                <w:sz w:val="22"/>
                <w:szCs w:val="22"/>
                <w:color w:val="auto"/>
              </w:rPr>
              <w:t>Other Management Board members</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5420" w:type="dxa"/>
            <w:vAlign w:val="bottom"/>
            <w:tcBorders>
              <w:right w:val="single" w:sz="8" w:color="70AD47"/>
            </w:tcBorders>
          </w:tcPr>
          <w:p>
            <w:pPr>
              <w:ind w:left="460"/>
              <w:spacing w:after="0" w:line="216" w:lineRule="exact"/>
              <w:rPr>
                <w:sz w:val="20"/>
                <w:szCs w:val="20"/>
                <w:color w:val="auto"/>
              </w:rPr>
            </w:pPr>
            <w:r>
              <w:rPr>
                <w:rFonts w:ascii="Arial" w:cs="Arial" w:eastAsia="Arial" w:hAnsi="Arial"/>
                <w:sz w:val="22"/>
                <w:szCs w:val="22"/>
                <w:color w:val="auto"/>
              </w:rPr>
              <w:t>Fixed compensation: 35-45%</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5420" w:type="dxa"/>
            <w:vAlign w:val="bottom"/>
            <w:tcBorders>
              <w:right w:val="single" w:sz="8" w:color="70AD47"/>
            </w:tcBorders>
          </w:tcPr>
          <w:p>
            <w:pPr>
              <w:ind w:left="460"/>
              <w:spacing w:after="0" w:line="216" w:lineRule="exact"/>
              <w:rPr>
                <w:sz w:val="20"/>
                <w:szCs w:val="20"/>
                <w:color w:val="auto"/>
              </w:rPr>
            </w:pPr>
            <w:r>
              <w:rPr>
                <w:rFonts w:ascii="Arial" w:cs="Arial" w:eastAsia="Arial" w:hAnsi="Arial"/>
                <w:sz w:val="22"/>
                <w:szCs w:val="22"/>
                <w:color w:val="auto"/>
              </w:rPr>
              <w:t>Variable compensation: 55-65%</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200" w:type="dxa"/>
            <w:vAlign w:val="bottom"/>
          </w:tcPr>
          <w:p>
            <w:pPr>
              <w:spacing w:after="0"/>
              <w:rPr>
                <w:sz w:val="18"/>
                <w:szCs w:val="18"/>
                <w:color w:val="auto"/>
              </w:rPr>
            </w:pPr>
          </w:p>
        </w:tc>
        <w:tc>
          <w:tcPr>
            <w:tcW w:w="5420" w:type="dxa"/>
            <w:vAlign w:val="bottom"/>
            <w:tcBorders>
              <w:right w:val="single" w:sz="8" w:color="70AD47"/>
            </w:tcBorders>
          </w:tcPr>
          <w:p>
            <w:pPr>
              <w:ind w:left="140"/>
              <w:spacing w:after="0" w:line="216" w:lineRule="exact"/>
              <w:rPr>
                <w:sz w:val="20"/>
                <w:szCs w:val="20"/>
                <w:color w:val="auto"/>
              </w:rPr>
            </w:pPr>
            <w:r>
              <w:rPr>
                <w:rFonts w:ascii="Arial" w:cs="Arial" w:eastAsia="Arial" w:hAnsi="Arial"/>
                <w:sz w:val="18"/>
                <w:szCs w:val="18"/>
                <w:color w:val="auto"/>
              </w:rPr>
              <w:t xml:space="preserve">•   </w:t>
            </w:r>
            <w:r>
              <w:rPr>
                <w:rFonts w:ascii="Arial" w:cs="Arial" w:eastAsia="Arial" w:hAnsi="Arial"/>
                <w:sz w:val="21"/>
                <w:szCs w:val="21"/>
                <w:color w:val="auto"/>
              </w:rPr>
              <w:t>Target STI: 17 bis 23%</w:t>
            </w:r>
          </w:p>
        </w:tc>
        <w:tc>
          <w:tcPr>
            <w:tcW w:w="0" w:type="dxa"/>
            <w:vAlign w:val="bottom"/>
          </w:tcPr>
          <w:p>
            <w:pPr>
              <w:spacing w:after="0"/>
              <w:rPr>
                <w:sz w:val="1"/>
                <w:szCs w:val="1"/>
                <w:color w:val="auto"/>
              </w:rPr>
            </w:pPr>
          </w:p>
        </w:tc>
      </w:tr>
      <w:tr>
        <w:trPr>
          <w:trHeight w:val="276"/>
        </w:trPr>
        <w:tc>
          <w:tcPr>
            <w:tcW w:w="2320" w:type="dxa"/>
            <w:vAlign w:val="bottom"/>
            <w:tcBorders>
              <w:right w:val="single" w:sz="8" w:color="70AD47"/>
            </w:tcBorders>
            <w:vMerge w:val="restart"/>
          </w:tcPr>
          <w:p>
            <w:pPr>
              <w:ind w:left="20"/>
              <w:spacing w:after="0"/>
              <w:rPr>
                <w:sz w:val="20"/>
                <w:szCs w:val="20"/>
                <w:color w:val="auto"/>
              </w:rPr>
            </w:pPr>
            <w:r>
              <w:rPr>
                <w:rFonts w:ascii="Arial" w:cs="Arial" w:eastAsia="Arial" w:hAnsi="Arial"/>
                <w:sz w:val="22"/>
                <w:szCs w:val="22"/>
                <w:color w:val="auto"/>
              </w:rPr>
              <w:t>Maximum</w:t>
            </w:r>
          </w:p>
        </w:tc>
        <w:tc>
          <w:tcPr>
            <w:tcW w:w="200" w:type="dxa"/>
            <w:vAlign w:val="bottom"/>
            <w:tcBorders>
              <w:bottom w:val="single" w:sz="8" w:color="DBDBDB"/>
            </w:tcBorders>
          </w:tcPr>
          <w:p>
            <w:pPr>
              <w:spacing w:after="0"/>
              <w:rPr>
                <w:sz w:val="24"/>
                <w:szCs w:val="24"/>
                <w:color w:val="auto"/>
              </w:rPr>
            </w:pPr>
          </w:p>
        </w:tc>
        <w:tc>
          <w:tcPr>
            <w:tcW w:w="5420" w:type="dxa"/>
            <w:vAlign w:val="bottom"/>
            <w:tcBorders>
              <w:bottom w:val="single" w:sz="8" w:color="DBDBDB"/>
              <w:right w:val="single" w:sz="8" w:color="70AD47"/>
            </w:tcBorders>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21"/>
                <w:szCs w:val="21"/>
                <w:color w:val="auto"/>
              </w:rPr>
              <w:t>Target LTI: 30 bis 40%</w:t>
            </w:r>
          </w:p>
        </w:tc>
        <w:tc>
          <w:tcPr>
            <w:tcW w:w="0" w:type="dxa"/>
            <w:vAlign w:val="bottom"/>
          </w:tcPr>
          <w:p>
            <w:pPr>
              <w:spacing w:after="0"/>
              <w:rPr>
                <w:sz w:val="1"/>
                <w:szCs w:val="1"/>
                <w:color w:val="auto"/>
              </w:rPr>
            </w:pPr>
          </w:p>
        </w:tc>
      </w:tr>
      <w:tr>
        <w:trPr>
          <w:trHeight w:val="198"/>
        </w:trPr>
        <w:tc>
          <w:tcPr>
            <w:tcW w:w="2320" w:type="dxa"/>
            <w:vAlign w:val="bottom"/>
            <w:tcBorders>
              <w:right w:val="single" w:sz="8" w:color="70AD47"/>
            </w:tcBorders>
            <w:vMerge w:val="continue"/>
          </w:tcPr>
          <w:p>
            <w:pPr>
              <w:spacing w:after="0"/>
              <w:rPr>
                <w:sz w:val="17"/>
                <w:szCs w:val="17"/>
                <w:color w:val="auto"/>
              </w:rPr>
            </w:pPr>
          </w:p>
        </w:tc>
        <w:tc>
          <w:tcPr>
            <w:tcW w:w="5620" w:type="dxa"/>
            <w:vAlign w:val="bottom"/>
            <w:tcBorders>
              <w:right w:val="single" w:sz="8" w:color="70AD47"/>
            </w:tcBorders>
            <w:gridSpan w:val="2"/>
          </w:tcPr>
          <w:p>
            <w:pPr>
              <w:ind w:left="20"/>
              <w:spacing w:after="0" w:line="198" w:lineRule="exact"/>
              <w:rPr>
                <w:sz w:val="20"/>
                <w:szCs w:val="20"/>
                <w:color w:val="auto"/>
              </w:rPr>
            </w:pPr>
            <w:r>
              <w:rPr>
                <w:rFonts w:ascii="Arial" w:cs="Arial" w:eastAsia="Arial" w:hAnsi="Arial"/>
                <w:sz w:val="22"/>
                <w:szCs w:val="22"/>
                <w:color w:val="auto"/>
                <w:w w:val="94"/>
              </w:rPr>
              <w:t>Maximum compensation for the financial year in accordance</w:t>
            </w:r>
          </w:p>
        </w:tc>
        <w:tc>
          <w:tcPr>
            <w:tcW w:w="0" w:type="dxa"/>
            <w:vAlign w:val="bottom"/>
          </w:tcPr>
          <w:p>
            <w:pPr>
              <w:spacing w:after="0"/>
              <w:rPr>
                <w:sz w:val="1"/>
                <w:szCs w:val="1"/>
                <w:color w:val="auto"/>
              </w:rPr>
            </w:pPr>
          </w:p>
        </w:tc>
      </w:tr>
      <w:tr>
        <w:trPr>
          <w:trHeight w:val="222"/>
        </w:trPr>
        <w:tc>
          <w:tcPr>
            <w:tcW w:w="2320" w:type="dxa"/>
            <w:vAlign w:val="bottom"/>
            <w:tcBorders>
              <w:right w:val="single" w:sz="8" w:color="70AD47"/>
            </w:tcBorders>
          </w:tcPr>
          <w:p>
            <w:pPr>
              <w:ind w:left="20"/>
              <w:spacing w:after="0" w:line="222" w:lineRule="exact"/>
              <w:rPr>
                <w:sz w:val="20"/>
                <w:szCs w:val="20"/>
                <w:color w:val="auto"/>
              </w:rPr>
            </w:pPr>
            <w:r>
              <w:rPr>
                <w:rFonts w:ascii="Arial" w:cs="Arial" w:eastAsia="Arial" w:hAnsi="Arial"/>
                <w:sz w:val="22"/>
                <w:szCs w:val="22"/>
                <w:color w:val="auto"/>
              </w:rPr>
              <w:t>compensation</w:t>
            </w:r>
          </w:p>
        </w:tc>
        <w:tc>
          <w:tcPr>
            <w:tcW w:w="5620" w:type="dxa"/>
            <w:vAlign w:val="bottom"/>
            <w:tcBorders>
              <w:right w:val="single" w:sz="8" w:color="70AD47"/>
            </w:tcBorders>
            <w:gridSpan w:val="2"/>
          </w:tcPr>
          <w:p>
            <w:pPr>
              <w:ind w:left="20"/>
              <w:spacing w:after="0" w:line="222" w:lineRule="exact"/>
              <w:rPr>
                <w:sz w:val="20"/>
                <w:szCs w:val="20"/>
                <w:color w:val="auto"/>
              </w:rPr>
            </w:pPr>
            <w:r>
              <w:rPr>
                <w:rFonts w:ascii="Arial" w:cs="Arial" w:eastAsia="Arial" w:hAnsi="Arial"/>
                <w:sz w:val="22"/>
                <w:szCs w:val="22"/>
                <w:color w:val="auto"/>
              </w:rPr>
              <w:t>with Sec. 87a para. 1 sentence 2 no. 1 AktG:</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5420" w:type="dxa"/>
            <w:vAlign w:val="bottom"/>
            <w:tcBorders>
              <w:right w:val="single" w:sz="8" w:color="70AD47"/>
            </w:tcBorders>
          </w:tcPr>
          <w:p>
            <w:pPr>
              <w:ind w:left="460"/>
              <w:spacing w:after="0" w:line="216" w:lineRule="exact"/>
              <w:rPr>
                <w:sz w:val="20"/>
                <w:szCs w:val="20"/>
                <w:color w:val="auto"/>
              </w:rPr>
            </w:pPr>
            <w:r>
              <w:rPr>
                <w:rFonts w:ascii="Arial" w:cs="Arial" w:eastAsia="Arial" w:hAnsi="Arial"/>
                <w:sz w:val="22"/>
                <w:szCs w:val="22"/>
                <w:color w:val="auto"/>
              </w:rPr>
              <w:t>Chief Executive Officer (CEO): €20 million</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5420" w:type="dxa"/>
            <w:vAlign w:val="bottom"/>
            <w:tcBorders>
              <w:right w:val="single" w:sz="8" w:color="70AD47"/>
            </w:tcBorders>
          </w:tcPr>
          <w:p>
            <w:pPr>
              <w:ind w:left="460"/>
              <w:spacing w:after="0" w:line="216" w:lineRule="exact"/>
              <w:rPr>
                <w:sz w:val="20"/>
                <w:szCs w:val="20"/>
                <w:color w:val="auto"/>
              </w:rPr>
            </w:pPr>
            <w:r>
              <w:rPr>
                <w:rFonts w:ascii="Arial" w:cs="Arial" w:eastAsia="Arial" w:hAnsi="Arial"/>
                <w:sz w:val="22"/>
                <w:szCs w:val="22"/>
                <w:color w:val="auto"/>
              </w:rPr>
              <w:t>Other Management Board members: €10 million</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w w:val="94"/>
              </w:rPr>
              <w:t>Maximum compensation can only be achieved if the value of</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w w:val="92"/>
              </w:rPr>
              <w:t>the stock options granted under the LTI at the time of exercise</w:t>
            </w:r>
          </w:p>
        </w:tc>
        <w:tc>
          <w:tcPr>
            <w:tcW w:w="0" w:type="dxa"/>
            <w:vAlign w:val="bottom"/>
          </w:tcPr>
          <w:p>
            <w:pPr>
              <w:spacing w:after="0"/>
              <w:rPr>
                <w:sz w:val="1"/>
                <w:szCs w:val="1"/>
                <w:color w:val="auto"/>
              </w:rPr>
            </w:pPr>
          </w:p>
        </w:tc>
      </w:tr>
      <w:tr>
        <w:trPr>
          <w:trHeight w:val="276"/>
        </w:trPr>
        <w:tc>
          <w:tcPr>
            <w:tcW w:w="2320" w:type="dxa"/>
            <w:vAlign w:val="bottom"/>
            <w:tcBorders>
              <w:right w:val="single" w:sz="8" w:color="70AD47"/>
            </w:tcBorders>
            <w:vMerge w:val="restart"/>
          </w:tcPr>
          <w:p>
            <w:pPr>
              <w:ind w:left="20"/>
              <w:spacing w:after="0"/>
              <w:rPr>
                <w:sz w:val="20"/>
                <w:szCs w:val="20"/>
                <w:color w:val="auto"/>
              </w:rPr>
            </w:pPr>
            <w:r>
              <w:rPr>
                <w:rFonts w:ascii="Arial" w:cs="Arial" w:eastAsia="Arial" w:hAnsi="Arial"/>
                <w:sz w:val="22"/>
                <w:szCs w:val="22"/>
                <w:color w:val="auto"/>
              </w:rPr>
              <w:t>Further provisions</w:t>
            </w:r>
          </w:p>
        </w:tc>
        <w:tc>
          <w:tcPr>
            <w:tcW w:w="5620" w:type="dxa"/>
            <w:vAlign w:val="bottom"/>
            <w:tcBorders>
              <w:bottom w:val="single" w:sz="8" w:color="DBDBDB"/>
              <w:right w:val="single" w:sz="8" w:color="70AD47"/>
            </w:tcBorders>
            <w:gridSpan w:val="2"/>
          </w:tcPr>
          <w:p>
            <w:pPr>
              <w:ind w:left="20"/>
              <w:spacing w:after="0"/>
              <w:rPr>
                <w:sz w:val="20"/>
                <w:szCs w:val="20"/>
                <w:color w:val="auto"/>
              </w:rPr>
            </w:pPr>
            <w:r>
              <w:rPr>
                <w:rFonts w:ascii="Arial" w:cs="Arial" w:eastAsia="Arial" w:hAnsi="Arial"/>
                <w:sz w:val="22"/>
                <w:szCs w:val="22"/>
                <w:color w:val="auto"/>
                <w:w w:val="94"/>
              </w:rPr>
              <w:t>of the stock options is at least eight times the exercise price.</w:t>
            </w:r>
          </w:p>
        </w:tc>
        <w:tc>
          <w:tcPr>
            <w:tcW w:w="0" w:type="dxa"/>
            <w:vAlign w:val="bottom"/>
          </w:tcPr>
          <w:p>
            <w:pPr>
              <w:spacing w:after="0"/>
              <w:rPr>
                <w:sz w:val="1"/>
                <w:szCs w:val="1"/>
                <w:color w:val="auto"/>
              </w:rPr>
            </w:pPr>
          </w:p>
        </w:tc>
      </w:tr>
      <w:tr>
        <w:trPr>
          <w:trHeight w:val="203"/>
        </w:trPr>
        <w:tc>
          <w:tcPr>
            <w:tcW w:w="2320" w:type="dxa"/>
            <w:vAlign w:val="bottom"/>
            <w:tcBorders>
              <w:right w:val="single" w:sz="8" w:color="70AD47"/>
            </w:tcBorders>
            <w:vMerge w:val="continue"/>
          </w:tcPr>
          <w:p>
            <w:pPr>
              <w:spacing w:after="0"/>
              <w:rPr>
                <w:sz w:val="17"/>
                <w:szCs w:val="17"/>
                <w:color w:val="auto"/>
              </w:rPr>
            </w:pPr>
          </w:p>
        </w:tc>
        <w:tc>
          <w:tcPr>
            <w:tcW w:w="200" w:type="dxa"/>
            <w:vAlign w:val="bottom"/>
          </w:tcPr>
          <w:p>
            <w:pPr>
              <w:ind w:left="20"/>
              <w:spacing w:after="0" w:line="203" w:lineRule="exact"/>
              <w:rPr>
                <w:sz w:val="20"/>
                <w:szCs w:val="20"/>
                <w:color w:val="auto"/>
              </w:rPr>
            </w:pPr>
            <w:r>
              <w:rPr>
                <w:rFonts w:ascii="Arial" w:cs="Arial" w:eastAsia="Arial" w:hAnsi="Arial"/>
                <w:sz w:val="18"/>
                <w:szCs w:val="18"/>
                <w:color w:val="auto"/>
              </w:rPr>
              <w:t>•</w:t>
            </w:r>
          </w:p>
        </w:tc>
        <w:tc>
          <w:tcPr>
            <w:tcW w:w="5420" w:type="dxa"/>
            <w:vAlign w:val="bottom"/>
            <w:tcBorders>
              <w:right w:val="single" w:sz="8" w:color="70AD47"/>
            </w:tcBorders>
          </w:tcPr>
          <w:p>
            <w:pPr>
              <w:ind w:left="460"/>
              <w:spacing w:after="0" w:line="203" w:lineRule="exact"/>
              <w:rPr>
                <w:sz w:val="20"/>
                <w:szCs w:val="20"/>
                <w:color w:val="auto"/>
              </w:rPr>
            </w:pPr>
            <w:r>
              <w:rPr>
                <w:rFonts w:ascii="Arial" w:cs="Arial" w:eastAsia="Arial" w:hAnsi="Arial"/>
                <w:sz w:val="22"/>
                <w:szCs w:val="22"/>
                <w:color w:val="auto"/>
              </w:rPr>
              <w:t>Supervisory Board mandates within the BioNTech</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rPr>
              <w:t>group: fully compensated for with the compensation as a</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rPr>
              <w:t>member of the Management Board.</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5420" w:type="dxa"/>
            <w:vAlign w:val="bottom"/>
            <w:tcBorders>
              <w:right w:val="single" w:sz="8" w:color="70AD47"/>
            </w:tcBorders>
          </w:tcPr>
          <w:p>
            <w:pPr>
              <w:ind w:left="460"/>
              <w:spacing w:after="0" w:line="216" w:lineRule="exact"/>
              <w:rPr>
                <w:sz w:val="20"/>
                <w:szCs w:val="20"/>
                <w:color w:val="auto"/>
              </w:rPr>
            </w:pPr>
            <w:r>
              <w:rPr>
                <w:rFonts w:ascii="Arial" w:cs="Arial" w:eastAsia="Arial" w:hAnsi="Arial"/>
                <w:sz w:val="22"/>
                <w:szCs w:val="22"/>
                <w:color w:val="auto"/>
                <w:w w:val="98"/>
              </w:rPr>
              <w:t>Supervisory Board mandates outside the BioNTech</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w w:val="88"/>
              </w:rPr>
              <w:t>group: Supervisory Board has to approve and decides within the</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w w:val="89"/>
              </w:rPr>
              <w:t>scope of the approval whether and to what extent compensation</w:t>
            </w:r>
          </w:p>
        </w:tc>
        <w:tc>
          <w:tcPr>
            <w:tcW w:w="0" w:type="dxa"/>
            <w:vAlign w:val="bottom"/>
          </w:tcPr>
          <w:p>
            <w:pPr>
              <w:spacing w:after="0"/>
              <w:rPr>
                <w:sz w:val="1"/>
                <w:szCs w:val="1"/>
                <w:color w:val="auto"/>
              </w:rPr>
            </w:pP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w w:val="95"/>
              </w:rPr>
              <w:t>is to be offset against the compensation of the Management</w:t>
            </w:r>
          </w:p>
        </w:tc>
        <w:tc>
          <w:tcPr>
            <w:tcW w:w="0" w:type="dxa"/>
            <w:vAlign w:val="bottom"/>
          </w:tcPr>
          <w:p>
            <w:pPr>
              <w:spacing w:after="0"/>
              <w:rPr>
                <w:sz w:val="1"/>
                <w:szCs w:val="1"/>
                <w:color w:val="auto"/>
              </w:rPr>
            </w:pPr>
          </w:p>
        </w:tc>
      </w:tr>
      <w:tr>
        <w:trPr>
          <w:trHeight w:val="276"/>
        </w:trPr>
        <w:tc>
          <w:tcPr>
            <w:tcW w:w="2320" w:type="dxa"/>
            <w:vAlign w:val="bottom"/>
            <w:tcBorders>
              <w:bottom w:val="single" w:sz="8" w:color="DBDBDB"/>
              <w:right w:val="single" w:sz="8" w:color="70AD47"/>
            </w:tcBorders>
          </w:tcPr>
          <w:p>
            <w:pPr>
              <w:spacing w:after="0"/>
              <w:rPr>
                <w:sz w:val="24"/>
                <w:szCs w:val="24"/>
                <w:color w:val="auto"/>
              </w:rPr>
            </w:pPr>
          </w:p>
        </w:tc>
        <w:tc>
          <w:tcPr>
            <w:tcW w:w="5620" w:type="dxa"/>
            <w:vAlign w:val="bottom"/>
            <w:tcBorders>
              <w:bottom w:val="single" w:sz="8" w:color="DBDBDB"/>
              <w:right w:val="single" w:sz="8" w:color="70AD47"/>
            </w:tcBorders>
            <w:gridSpan w:val="2"/>
          </w:tcPr>
          <w:p>
            <w:pPr>
              <w:ind w:left="20"/>
              <w:spacing w:after="0"/>
              <w:rPr>
                <w:sz w:val="20"/>
                <w:szCs w:val="20"/>
                <w:color w:val="auto"/>
              </w:rPr>
            </w:pPr>
            <w:r>
              <w:rPr>
                <w:rFonts w:ascii="Arial" w:cs="Arial" w:eastAsia="Arial" w:hAnsi="Arial"/>
                <w:sz w:val="22"/>
                <w:szCs w:val="22"/>
                <w:color w:val="auto"/>
              </w:rPr>
              <w:t>Board member.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40575" cy="4792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0575" cy="4792345"/>
                    </a:xfrm>
                    <a:prstGeom prst="rect">
                      <a:avLst/>
                    </a:prstGeom>
                    <a:noFill/>
                  </pic:spPr>
                </pic:pic>
              </a:graphicData>
            </a:graphic>
          </wp:anchor>
        </w:drawing>
        <w:br w:type="column"/>
      </w:r>
    </w:p>
    <w:p>
      <w:pPr>
        <w:spacing w:after="0" w:line="17" w:lineRule="exact"/>
        <w:rPr>
          <w:sz w:val="20"/>
          <w:szCs w:val="20"/>
          <w:color w:val="auto"/>
        </w:rPr>
      </w:pPr>
    </w:p>
    <w:p>
      <w:pPr>
        <w:spacing w:after="0" w:line="249" w:lineRule="auto"/>
        <w:rPr>
          <w:sz w:val="20"/>
          <w:szCs w:val="20"/>
          <w:color w:val="auto"/>
        </w:rPr>
      </w:pPr>
      <w:r>
        <w:rPr>
          <w:rFonts w:ascii="Arial" w:cs="Arial" w:eastAsia="Arial" w:hAnsi="Arial"/>
          <w:sz w:val="19"/>
          <w:szCs w:val="19"/>
          <w:color w:val="auto"/>
        </w:rPr>
        <w:t>Sets targets to the compensation of the Management Board to ensure a well-weighted combination between fixed and variable compensation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249" w:lineRule="auto"/>
        <w:rPr>
          <w:sz w:val="20"/>
          <w:szCs w:val="20"/>
          <w:color w:val="auto"/>
        </w:rPr>
      </w:pPr>
      <w:r>
        <w:rPr>
          <w:rFonts w:ascii="Arial" w:cs="Arial" w:eastAsia="Arial" w:hAnsi="Arial"/>
          <w:sz w:val="19"/>
          <w:szCs w:val="19"/>
          <w:color w:val="auto"/>
        </w:rPr>
        <w:t>Caps the compensation of Management Board members to avoid uncontrollably high payouts and thus disproportionate costs and risks for the Group.</w:t>
      </w:r>
    </w:p>
    <w:p>
      <w:pPr>
        <w:spacing w:after="0" w:line="219" w:lineRule="exact"/>
        <w:rPr>
          <w:sz w:val="20"/>
          <w:szCs w:val="20"/>
          <w:color w:val="auto"/>
        </w:rPr>
      </w:pPr>
    </w:p>
    <w:p>
      <w:pPr>
        <w:ind w:right="20"/>
        <w:spacing w:after="0" w:line="249" w:lineRule="auto"/>
        <w:rPr>
          <w:sz w:val="20"/>
          <w:szCs w:val="20"/>
          <w:color w:val="auto"/>
        </w:rPr>
      </w:pPr>
      <w:r>
        <w:rPr>
          <w:rFonts w:ascii="Arial" w:cs="Arial" w:eastAsia="Arial" w:hAnsi="Arial"/>
          <w:sz w:val="19"/>
          <w:szCs w:val="19"/>
          <w:color w:val="auto"/>
        </w:rPr>
        <w:t>Further provisions also functions as a cap in case of different mandates within the BioNTech Group to avoid uncontrollably payouts and risks for the Group.</w:t>
      </w:r>
    </w:p>
    <w:p>
      <w:pPr>
        <w:spacing w:after="0" w:line="656" w:lineRule="exact"/>
        <w:rPr>
          <w:sz w:val="20"/>
          <w:szCs w:val="20"/>
          <w:color w:val="auto"/>
        </w:rPr>
      </w:pPr>
    </w:p>
    <w:p>
      <w:pPr>
        <w:sectPr>
          <w:pgSz w:w="11900" w:h="16838" w:orient="portrait"/>
          <w:cols w:equalWidth="0" w:num="2">
            <w:col w:w="7940" w:space="20"/>
            <w:col w:w="2540"/>
          </w:cols>
          <w:pgMar w:left="320" w:top="1161"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500"/>
          </w:cols>
          <w:pgMar w:left="320" w:top="1161" w:right="107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22"/>
        </w:trPr>
        <w:tc>
          <w:tcPr>
            <w:tcW w:w="2320" w:type="dxa"/>
            <w:vAlign w:val="bottom"/>
            <w:tcBorders>
              <w:top w:val="single" w:sz="8" w:color="DBDBDB"/>
              <w:right w:val="single" w:sz="8" w:color="70AD47"/>
            </w:tcBorders>
          </w:tcPr>
          <w:p>
            <w:pPr>
              <w:ind w:left="20"/>
              <w:spacing w:after="0" w:line="222" w:lineRule="exact"/>
              <w:rPr>
                <w:sz w:val="20"/>
                <w:szCs w:val="20"/>
                <w:color w:val="auto"/>
              </w:rPr>
            </w:pPr>
            <w:r>
              <w:rPr>
                <w:rFonts w:ascii="Arial" w:cs="Arial" w:eastAsia="Arial" w:hAnsi="Arial"/>
                <w:sz w:val="22"/>
                <w:szCs w:val="22"/>
                <w:color w:val="auto"/>
              </w:rPr>
              <w:t>Claw-back and</w:t>
            </w:r>
          </w:p>
        </w:tc>
        <w:tc>
          <w:tcPr>
            <w:tcW w:w="360" w:type="dxa"/>
            <w:vAlign w:val="bottom"/>
            <w:tcBorders>
              <w:top w:val="single" w:sz="8" w:color="DBDBDB"/>
            </w:tcBorders>
          </w:tcPr>
          <w:p>
            <w:pPr>
              <w:ind w:left="20"/>
              <w:spacing w:after="0"/>
              <w:rPr>
                <w:sz w:val="20"/>
                <w:szCs w:val="20"/>
                <w:color w:val="auto"/>
              </w:rPr>
            </w:pPr>
            <w:r>
              <w:rPr>
                <w:rFonts w:ascii="Arial" w:cs="Arial" w:eastAsia="Arial" w:hAnsi="Arial"/>
                <w:sz w:val="18"/>
                <w:szCs w:val="18"/>
                <w:color w:val="auto"/>
              </w:rPr>
              <w:t>•</w:t>
            </w:r>
          </w:p>
        </w:tc>
        <w:tc>
          <w:tcPr>
            <w:tcW w:w="5260" w:type="dxa"/>
            <w:vAlign w:val="bottom"/>
            <w:tcBorders>
              <w:top w:val="single" w:sz="8" w:color="DBDBDB"/>
              <w:right w:val="single" w:sz="8" w:color="70AD47"/>
            </w:tcBorders>
          </w:tcPr>
          <w:p>
            <w:pPr>
              <w:ind w:left="300"/>
              <w:spacing w:after="0" w:line="222" w:lineRule="exact"/>
              <w:rPr>
                <w:sz w:val="20"/>
                <w:szCs w:val="20"/>
                <w:color w:val="auto"/>
              </w:rPr>
            </w:pPr>
            <w:r>
              <w:rPr>
                <w:rFonts w:ascii="Arial" w:cs="Arial" w:eastAsia="Arial" w:hAnsi="Arial"/>
                <w:sz w:val="22"/>
                <w:szCs w:val="22"/>
                <w:color w:val="auto"/>
                <w:w w:val="90"/>
              </w:rPr>
              <w:t>Service contracts of Management Board members to be</w:t>
            </w:r>
          </w:p>
        </w:tc>
      </w:tr>
      <w:tr>
        <w:trPr>
          <w:trHeight w:val="216"/>
        </w:trPr>
        <w:tc>
          <w:tcPr>
            <w:tcW w:w="232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color w:val="auto"/>
              </w:rPr>
              <w:t>malus rules</w:t>
            </w: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w w:val="92"/>
              </w:rPr>
              <w:t>newly concluded or extended and the terms and conditions of</w:t>
            </w: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w w:val="94"/>
              </w:rPr>
              <w:t>the Stock Option Plans and the RSUPs will contain so-called</w:t>
            </w: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rPr>
              <w:t>malus and claw-back provisions entitling the Company to</w:t>
            </w: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w w:val="99"/>
              </w:rPr>
              <w:t>withhold or reclaim variable compensation components in</w:t>
            </w: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w w:val="94"/>
              </w:rPr>
              <w:t>whole or in part in the event of a breach by the Management</w:t>
            </w: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w w:val="99"/>
              </w:rPr>
              <w:t>Board member concerned of internal company policies or</w:t>
            </w: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rPr>
              <w:t>statutory obligations.</w:t>
            </w:r>
          </w:p>
        </w:tc>
      </w:tr>
      <w:tr>
        <w:trPr>
          <w:trHeight w:val="216"/>
        </w:trPr>
        <w:tc>
          <w:tcPr>
            <w:tcW w:w="2320" w:type="dxa"/>
            <w:vAlign w:val="bottom"/>
            <w:tcBorders>
              <w:right w:val="single" w:sz="8" w:color="70AD47"/>
            </w:tcBorders>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5260" w:type="dxa"/>
            <w:vAlign w:val="bottom"/>
            <w:tcBorders>
              <w:right w:val="single" w:sz="8" w:color="70AD47"/>
            </w:tcBorders>
          </w:tcPr>
          <w:p>
            <w:pPr>
              <w:ind w:left="300"/>
              <w:spacing w:after="0" w:line="216" w:lineRule="exact"/>
              <w:rPr>
                <w:sz w:val="20"/>
                <w:szCs w:val="20"/>
                <w:color w:val="auto"/>
              </w:rPr>
            </w:pPr>
            <w:r>
              <w:rPr>
                <w:rFonts w:ascii="Arial" w:cs="Arial" w:eastAsia="Arial" w:hAnsi="Arial"/>
                <w:sz w:val="22"/>
                <w:szCs w:val="22"/>
                <w:color w:val="auto"/>
                <w:w w:val="90"/>
              </w:rPr>
              <w:t>Service contracts of Management Board members to be</w:t>
            </w: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w w:val="92"/>
              </w:rPr>
              <w:t>newly concluded or extended and the terms and conditions of</w:t>
            </w: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rPr>
              <w:t>the Stock Option Plan will in future contain a provision</w:t>
            </w: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rPr>
              <w:t>obliging Management Board members to repay variable</w:t>
            </w: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w w:val="89"/>
              </w:rPr>
              <w:t>compensation already paid out if it transpires after payment that</w:t>
            </w:r>
          </w:p>
        </w:tc>
      </w:tr>
      <w:tr>
        <w:trPr>
          <w:trHeight w:val="274"/>
        </w:trPr>
        <w:tc>
          <w:tcPr>
            <w:tcW w:w="2320" w:type="dxa"/>
            <w:vAlign w:val="bottom"/>
            <w:tcBorders>
              <w:bottom w:val="single" w:sz="8" w:color="DBDBDB"/>
              <w:right w:val="single" w:sz="8" w:color="70AD47"/>
            </w:tcBorders>
          </w:tcPr>
          <w:p>
            <w:pPr>
              <w:spacing w:after="0"/>
              <w:rPr>
                <w:sz w:val="23"/>
                <w:szCs w:val="23"/>
                <w:color w:val="auto"/>
              </w:rPr>
            </w:pPr>
          </w:p>
        </w:tc>
        <w:tc>
          <w:tcPr>
            <w:tcW w:w="5620" w:type="dxa"/>
            <w:vAlign w:val="bottom"/>
            <w:tcBorders>
              <w:right w:val="single" w:sz="8" w:color="70AD47"/>
            </w:tcBorders>
            <w:gridSpan w:val="2"/>
          </w:tcPr>
          <w:p>
            <w:pPr>
              <w:ind w:left="20"/>
              <w:spacing w:after="0"/>
              <w:rPr>
                <w:sz w:val="20"/>
                <w:szCs w:val="20"/>
                <w:color w:val="auto"/>
              </w:rPr>
            </w:pPr>
            <w:r>
              <w:rPr>
                <w:rFonts w:ascii="Arial" w:cs="Arial" w:eastAsia="Arial" w:hAnsi="Arial"/>
                <w:sz w:val="22"/>
                <w:szCs w:val="22"/>
                <w:color w:val="auto"/>
                <w:w w:val="97"/>
              </w:rPr>
              <w:t>the basis for calculating the amount paid out was incorrect.</w:t>
            </w:r>
          </w:p>
        </w:tc>
      </w:tr>
      <w:tr>
        <w:trPr>
          <w:trHeight w:val="199"/>
        </w:trPr>
        <w:tc>
          <w:tcPr>
            <w:tcW w:w="2320" w:type="dxa"/>
            <w:vAlign w:val="bottom"/>
            <w:tcBorders>
              <w:right w:val="single" w:sz="8" w:color="70AD47"/>
            </w:tcBorders>
          </w:tcPr>
          <w:p>
            <w:pPr>
              <w:ind w:left="20"/>
              <w:spacing w:after="0" w:line="200" w:lineRule="exact"/>
              <w:rPr>
                <w:sz w:val="20"/>
                <w:szCs w:val="20"/>
                <w:color w:val="auto"/>
              </w:rPr>
            </w:pPr>
            <w:r>
              <w:rPr>
                <w:rFonts w:ascii="Arial" w:cs="Arial" w:eastAsia="Arial" w:hAnsi="Arial"/>
                <w:sz w:val="22"/>
                <w:szCs w:val="22"/>
                <w:color w:val="auto"/>
                <w:w w:val="95"/>
              </w:rPr>
              <w:t>Severance payment cap</w:t>
            </w:r>
          </w:p>
        </w:tc>
        <w:tc>
          <w:tcPr>
            <w:tcW w:w="5620" w:type="dxa"/>
            <w:vAlign w:val="bottom"/>
            <w:tcBorders>
              <w:right w:val="single" w:sz="8" w:color="70AD47"/>
            </w:tcBorders>
            <w:gridSpan w:val="2"/>
          </w:tcPr>
          <w:p>
            <w:pPr>
              <w:ind w:left="20"/>
              <w:spacing w:after="0" w:line="200" w:lineRule="exact"/>
              <w:rPr>
                <w:sz w:val="20"/>
                <w:szCs w:val="20"/>
                <w:color w:val="auto"/>
              </w:rPr>
            </w:pPr>
            <w:r>
              <w:rPr>
                <w:rFonts w:ascii="Arial" w:cs="Arial" w:eastAsia="Arial" w:hAnsi="Arial"/>
                <w:sz w:val="22"/>
                <w:szCs w:val="22"/>
                <w:color w:val="auto"/>
                <w:w w:val="98"/>
              </w:rPr>
              <w:t>In the event of premature termination, Management Board</w:t>
            </w:r>
          </w:p>
        </w:tc>
      </w:tr>
      <w:tr>
        <w:trPr>
          <w:trHeight w:val="208"/>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08" w:lineRule="exact"/>
              <w:rPr>
                <w:sz w:val="20"/>
                <w:szCs w:val="20"/>
                <w:color w:val="auto"/>
              </w:rPr>
            </w:pPr>
            <w:r>
              <w:rPr>
                <w:rFonts w:ascii="Arial" w:cs="Arial" w:eastAsia="Arial" w:hAnsi="Arial"/>
                <w:sz w:val="22"/>
                <w:szCs w:val="22"/>
                <w:color w:val="auto"/>
                <w:w w:val="88"/>
              </w:rPr>
              <w:t>members are granted a severance payment in the amount of the</w:t>
            </w: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w w:val="95"/>
              </w:rPr>
              <w:t>compensation expected to be owed by the Company for the</w:t>
            </w:r>
          </w:p>
        </w:tc>
      </w:tr>
      <w:tr>
        <w:trPr>
          <w:trHeight w:val="216"/>
        </w:trPr>
        <w:tc>
          <w:tcPr>
            <w:tcW w:w="2320" w:type="dxa"/>
            <w:vAlign w:val="bottom"/>
            <w:tcBorders>
              <w:right w:val="single" w:sz="8" w:color="70AD47"/>
            </w:tcBorders>
          </w:tcPr>
          <w:p>
            <w:pPr>
              <w:spacing w:after="0"/>
              <w:rPr>
                <w:sz w:val="18"/>
                <w:szCs w:val="18"/>
                <w:color w:val="auto"/>
              </w:rPr>
            </w:pPr>
          </w:p>
        </w:tc>
        <w:tc>
          <w:tcPr>
            <w:tcW w:w="5620" w:type="dxa"/>
            <w:vAlign w:val="bottom"/>
            <w:tcBorders>
              <w:right w:val="single" w:sz="8" w:color="70AD47"/>
            </w:tcBorders>
            <w:gridSpan w:val="2"/>
          </w:tcPr>
          <w:p>
            <w:pPr>
              <w:ind w:left="20"/>
              <w:spacing w:after="0" w:line="216" w:lineRule="exact"/>
              <w:rPr>
                <w:sz w:val="20"/>
                <w:szCs w:val="20"/>
                <w:color w:val="auto"/>
              </w:rPr>
            </w:pPr>
            <w:r>
              <w:rPr>
                <w:rFonts w:ascii="Arial" w:cs="Arial" w:eastAsia="Arial" w:hAnsi="Arial"/>
                <w:sz w:val="22"/>
                <w:szCs w:val="22"/>
                <w:color w:val="auto"/>
                <w:w w:val="92"/>
              </w:rPr>
              <w:t>remaining term of the employment contract, up to a maximum</w:t>
            </w:r>
          </w:p>
        </w:tc>
      </w:tr>
      <w:tr>
        <w:trPr>
          <w:trHeight w:val="274"/>
        </w:trPr>
        <w:tc>
          <w:tcPr>
            <w:tcW w:w="2320" w:type="dxa"/>
            <w:vAlign w:val="bottom"/>
            <w:tcBorders>
              <w:right w:val="single" w:sz="8" w:color="70AD47"/>
            </w:tcBorders>
          </w:tcPr>
          <w:p>
            <w:pPr>
              <w:spacing w:after="0"/>
              <w:rPr>
                <w:sz w:val="23"/>
                <w:szCs w:val="23"/>
                <w:color w:val="auto"/>
              </w:rPr>
            </w:pPr>
          </w:p>
        </w:tc>
        <w:tc>
          <w:tcPr>
            <w:tcW w:w="5620" w:type="dxa"/>
            <w:vAlign w:val="bottom"/>
            <w:tcBorders>
              <w:right w:val="single" w:sz="8" w:color="70AD47"/>
            </w:tcBorders>
            <w:gridSpan w:val="2"/>
          </w:tcPr>
          <w:p>
            <w:pPr>
              <w:ind w:left="20"/>
              <w:spacing w:after="0"/>
              <w:rPr>
                <w:sz w:val="20"/>
                <w:szCs w:val="20"/>
                <w:color w:val="auto"/>
              </w:rPr>
            </w:pPr>
            <w:r>
              <w:rPr>
                <w:rFonts w:ascii="Arial" w:cs="Arial" w:eastAsia="Arial" w:hAnsi="Arial"/>
                <w:sz w:val="22"/>
                <w:szCs w:val="22"/>
                <w:color w:val="auto"/>
              </w:rPr>
              <w:t>of two years' compensation.</w:t>
            </w:r>
          </w:p>
        </w:tc>
      </w:tr>
      <w:tr>
        <w:trPr>
          <w:trHeight w:val="233"/>
        </w:trPr>
        <w:tc>
          <w:tcPr>
            <w:tcW w:w="2320" w:type="dxa"/>
            <w:vAlign w:val="bottom"/>
            <w:tcBorders>
              <w:right w:val="single" w:sz="8" w:color="70AD47"/>
            </w:tcBorders>
          </w:tcPr>
          <w:p>
            <w:pPr>
              <w:spacing w:after="0"/>
              <w:rPr>
                <w:sz w:val="20"/>
                <w:szCs w:val="20"/>
                <w:color w:val="auto"/>
              </w:rPr>
            </w:pPr>
          </w:p>
        </w:tc>
        <w:tc>
          <w:tcPr>
            <w:tcW w:w="360" w:type="dxa"/>
            <w:vAlign w:val="bottom"/>
          </w:tcPr>
          <w:p>
            <w:pPr>
              <w:spacing w:after="0"/>
              <w:rPr>
                <w:sz w:val="20"/>
                <w:szCs w:val="20"/>
                <w:color w:val="auto"/>
              </w:rPr>
            </w:pPr>
          </w:p>
        </w:tc>
        <w:tc>
          <w:tcPr>
            <w:tcW w:w="5260" w:type="dxa"/>
            <w:vAlign w:val="bottom"/>
            <w:tcBorders>
              <w:right w:val="single" w:sz="8" w:color="70AD47"/>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40575" cy="2828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0575" cy="2828925"/>
                    </a:xfrm>
                    <a:prstGeom prst="rect">
                      <a:avLst/>
                    </a:prstGeom>
                    <a:noFill/>
                  </pic:spPr>
                </pic:pic>
              </a:graphicData>
            </a:graphic>
          </wp:anchor>
        </w:drawing>
        <w:br w:type="column"/>
      </w:r>
    </w:p>
    <w:p>
      <w:pPr>
        <w:ind w:right="720"/>
        <w:spacing w:after="0" w:line="218" w:lineRule="auto"/>
        <w:rPr>
          <w:sz w:val="20"/>
          <w:szCs w:val="20"/>
          <w:color w:val="auto"/>
        </w:rPr>
      </w:pPr>
      <w:r>
        <w:rPr>
          <w:rFonts w:ascii="Arial" w:cs="Arial" w:eastAsia="Arial" w:hAnsi="Arial"/>
          <w:sz w:val="22"/>
          <w:szCs w:val="22"/>
          <w:color w:val="auto"/>
        </w:rPr>
        <w:t>Ensures sustainable corporate development and ensures avoiding taking inappropriate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740"/>
        <w:spacing w:after="0" w:line="249" w:lineRule="auto"/>
        <w:rPr>
          <w:sz w:val="20"/>
          <w:szCs w:val="20"/>
          <w:color w:val="auto"/>
        </w:rPr>
      </w:pPr>
      <w:r>
        <w:rPr>
          <w:rFonts w:ascii="Arial" w:cs="Arial" w:eastAsia="Arial" w:hAnsi="Arial"/>
          <w:sz w:val="19"/>
          <w:szCs w:val="19"/>
          <w:color w:val="auto"/>
        </w:rPr>
        <w:t>Caps the compensation of Management Board members in the case of premature termination to avoid uncontrollably high payouts and risks for the Group.</w:t>
      </w:r>
    </w:p>
    <w:p>
      <w:pPr>
        <w:spacing w:after="0" w:line="211" w:lineRule="exact"/>
        <w:rPr>
          <w:sz w:val="20"/>
          <w:szCs w:val="20"/>
          <w:color w:val="auto"/>
        </w:rPr>
      </w:pPr>
    </w:p>
    <w:p>
      <w:pPr>
        <w:sectPr>
          <w:pgSz w:w="11900" w:h="16838" w:orient="portrait"/>
          <w:cols w:equalWidth="0" w:num="2">
            <w:col w:w="7940" w:space="20"/>
            <w:col w:w="3280"/>
          </w:cols>
          <w:pgMar w:left="320" w:top="1173" w:right="339" w:bottom="1440" w:gutter="0" w:footer="0" w:header="0"/>
        </w:sectPr>
      </w:pPr>
    </w:p>
    <w:p>
      <w:pPr>
        <w:spacing w:after="0" w:line="164"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19"/>
          <w:szCs w:val="19"/>
          <w:b w:val="1"/>
          <w:bCs w:val="1"/>
          <w:color w:val="auto"/>
        </w:rPr>
        <w:t>Terms of the Service Contracts in place during the Year Ended December 31, 2021</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9"/>
          <w:szCs w:val="19"/>
          <w:color w:val="231F20"/>
        </w:rPr>
        <w:t>The following sets forth the effective and termination dates of the current service agreements of our Management Board:</w:t>
      </w:r>
    </w:p>
    <w:p>
      <w:pPr>
        <w:spacing w:after="0" w:line="254" w:lineRule="exact"/>
        <w:rPr>
          <w:sz w:val="20"/>
          <w:szCs w:val="20"/>
          <w:color w:val="auto"/>
        </w:rPr>
      </w:pPr>
    </w:p>
    <w:p>
      <w:pPr>
        <w:ind w:left="960" w:hanging="314"/>
        <w:spacing w:after="0"/>
        <w:tabs>
          <w:tab w:leader="none" w:pos="960" w:val="left"/>
        </w:tabs>
        <w:numPr>
          <w:ilvl w:val="1"/>
          <w:numId w:val="17"/>
        </w:numPr>
        <w:rPr>
          <w:rFonts w:ascii="Arial" w:cs="Arial" w:eastAsia="Arial" w:hAnsi="Arial"/>
          <w:sz w:val="22"/>
          <w:szCs w:val="22"/>
          <w:color w:val="auto"/>
        </w:rPr>
      </w:pPr>
      <w:r>
        <w:rPr>
          <w:rFonts w:ascii="Arial" w:cs="Arial" w:eastAsia="Arial" w:hAnsi="Arial"/>
          <w:sz w:val="22"/>
          <w:szCs w:val="22"/>
          <w:color w:val="auto"/>
        </w:rPr>
        <w:t>Prof. Dr. med Ugur Sahin: September 1, 2019 – December 31, 2022</w:t>
      </w:r>
    </w:p>
    <w:p>
      <w:pPr>
        <w:spacing w:after="0" w:line="44" w:lineRule="exact"/>
        <w:rPr>
          <w:rFonts w:ascii="Arial" w:cs="Arial" w:eastAsia="Arial" w:hAnsi="Arial"/>
          <w:sz w:val="22"/>
          <w:szCs w:val="22"/>
          <w:color w:val="auto"/>
        </w:rPr>
      </w:pPr>
    </w:p>
    <w:p>
      <w:pPr>
        <w:ind w:left="960" w:hanging="314"/>
        <w:spacing w:after="0"/>
        <w:tabs>
          <w:tab w:leader="none" w:pos="960" w:val="left"/>
        </w:tabs>
        <w:numPr>
          <w:ilvl w:val="1"/>
          <w:numId w:val="17"/>
        </w:numPr>
        <w:rPr>
          <w:rFonts w:ascii="Arial" w:cs="Arial" w:eastAsia="Arial" w:hAnsi="Arial"/>
          <w:sz w:val="22"/>
          <w:szCs w:val="22"/>
          <w:color w:val="auto"/>
        </w:rPr>
      </w:pPr>
      <w:r>
        <w:rPr>
          <w:rFonts w:ascii="Arial" w:cs="Arial" w:eastAsia="Arial" w:hAnsi="Arial"/>
          <w:sz w:val="22"/>
          <w:szCs w:val="22"/>
          <w:color w:val="auto"/>
        </w:rPr>
        <w:t>Sean Marett: September 1, 2019 – September 30, 2022</w:t>
      </w:r>
    </w:p>
    <w:p>
      <w:pPr>
        <w:spacing w:after="0" w:line="44" w:lineRule="exact"/>
        <w:rPr>
          <w:rFonts w:ascii="Arial" w:cs="Arial" w:eastAsia="Arial" w:hAnsi="Arial"/>
          <w:sz w:val="22"/>
          <w:szCs w:val="22"/>
          <w:color w:val="auto"/>
        </w:rPr>
      </w:pPr>
    </w:p>
    <w:p>
      <w:pPr>
        <w:ind w:left="960" w:hanging="314"/>
        <w:spacing w:after="0"/>
        <w:tabs>
          <w:tab w:leader="none" w:pos="960" w:val="left"/>
        </w:tabs>
        <w:numPr>
          <w:ilvl w:val="1"/>
          <w:numId w:val="17"/>
        </w:numPr>
        <w:rPr>
          <w:rFonts w:ascii="Arial" w:cs="Arial" w:eastAsia="Arial" w:hAnsi="Arial"/>
          <w:sz w:val="22"/>
          <w:szCs w:val="22"/>
          <w:color w:val="auto"/>
        </w:rPr>
      </w:pPr>
      <w:r>
        <w:rPr>
          <w:rFonts w:ascii="Arial" w:cs="Arial" w:eastAsia="Arial" w:hAnsi="Arial"/>
          <w:sz w:val="22"/>
          <w:szCs w:val="22"/>
          <w:color w:val="auto"/>
        </w:rPr>
        <w:t>Dr. Sierk Poetting: September 1, 2019 – November 30, 2026 (renewed as of December 1, 2021)</w:t>
      </w:r>
    </w:p>
    <w:p>
      <w:pPr>
        <w:spacing w:after="0" w:line="44" w:lineRule="exact"/>
        <w:rPr>
          <w:rFonts w:ascii="Arial" w:cs="Arial" w:eastAsia="Arial" w:hAnsi="Arial"/>
          <w:sz w:val="22"/>
          <w:szCs w:val="22"/>
          <w:color w:val="auto"/>
        </w:rPr>
      </w:pPr>
    </w:p>
    <w:p>
      <w:pPr>
        <w:ind w:left="960" w:hanging="314"/>
        <w:spacing w:after="0"/>
        <w:tabs>
          <w:tab w:leader="none" w:pos="960" w:val="left"/>
        </w:tabs>
        <w:numPr>
          <w:ilvl w:val="1"/>
          <w:numId w:val="17"/>
        </w:numPr>
        <w:rPr>
          <w:rFonts w:ascii="Arial" w:cs="Arial" w:eastAsia="Arial" w:hAnsi="Arial"/>
          <w:sz w:val="19"/>
          <w:szCs w:val="19"/>
          <w:color w:val="auto"/>
        </w:rPr>
      </w:pPr>
      <w:r>
        <w:rPr>
          <w:rFonts w:ascii="Arial" w:cs="Arial" w:eastAsia="Arial" w:hAnsi="Arial"/>
          <w:sz w:val="19"/>
          <w:szCs w:val="19"/>
          <w:color w:val="auto"/>
        </w:rPr>
        <w:t>Prof. Özlem Türeci, M.D.: September 1, 2019 – May 31, 2022 (renewed as of March 1, 2022 until May 31, 2025)</w:t>
      </w:r>
    </w:p>
    <w:p>
      <w:pPr>
        <w:spacing w:after="0" w:line="78" w:lineRule="exact"/>
        <w:rPr>
          <w:rFonts w:ascii="Arial" w:cs="Arial" w:eastAsia="Arial" w:hAnsi="Arial"/>
          <w:sz w:val="19"/>
          <w:szCs w:val="19"/>
          <w:color w:val="auto"/>
        </w:rPr>
      </w:pPr>
    </w:p>
    <w:p>
      <w:pPr>
        <w:ind w:left="960" w:hanging="314"/>
        <w:spacing w:after="0"/>
        <w:tabs>
          <w:tab w:leader="none" w:pos="960" w:val="left"/>
        </w:tabs>
        <w:numPr>
          <w:ilvl w:val="1"/>
          <w:numId w:val="17"/>
        </w:numPr>
        <w:rPr>
          <w:rFonts w:ascii="Arial" w:cs="Arial" w:eastAsia="Arial" w:hAnsi="Arial"/>
          <w:sz w:val="22"/>
          <w:szCs w:val="22"/>
          <w:color w:val="auto"/>
        </w:rPr>
      </w:pPr>
      <w:r>
        <w:rPr>
          <w:rFonts w:ascii="Arial" w:cs="Arial" w:eastAsia="Arial" w:hAnsi="Arial"/>
          <w:sz w:val="22"/>
          <w:szCs w:val="22"/>
          <w:color w:val="auto"/>
        </w:rPr>
        <w:t>Ryan Richardson: January 1, 2020 – December 31, 2022</w:t>
      </w:r>
    </w:p>
    <w:p>
      <w:pPr>
        <w:spacing w:after="0" w:line="44" w:lineRule="exact"/>
        <w:rPr>
          <w:rFonts w:ascii="Arial" w:cs="Arial" w:eastAsia="Arial" w:hAnsi="Arial"/>
          <w:sz w:val="22"/>
          <w:szCs w:val="22"/>
          <w:color w:val="auto"/>
        </w:rPr>
      </w:pPr>
    </w:p>
    <w:p>
      <w:pPr>
        <w:ind w:left="960" w:hanging="314"/>
        <w:spacing w:after="0"/>
        <w:tabs>
          <w:tab w:leader="none" w:pos="960" w:val="left"/>
        </w:tabs>
        <w:numPr>
          <w:ilvl w:val="1"/>
          <w:numId w:val="17"/>
        </w:numPr>
        <w:rPr>
          <w:rFonts w:ascii="Arial" w:cs="Arial" w:eastAsia="Arial" w:hAnsi="Arial"/>
          <w:sz w:val="22"/>
          <w:szCs w:val="22"/>
          <w:color w:val="auto"/>
        </w:rPr>
      </w:pPr>
      <w:r>
        <w:rPr>
          <w:rFonts w:ascii="Arial" w:cs="Arial" w:eastAsia="Arial" w:hAnsi="Arial"/>
          <w:sz w:val="22"/>
          <w:szCs w:val="22"/>
          <w:color w:val="auto"/>
        </w:rPr>
        <w:t>Jens Holstein: July 1, 2021 – June 30, 2025</w:t>
      </w:r>
    </w:p>
    <w:p>
      <w:pPr>
        <w:spacing w:after="0" w:line="321" w:lineRule="exact"/>
        <w:rPr>
          <w:rFonts w:ascii="Arial" w:cs="Arial" w:eastAsia="Arial" w:hAnsi="Arial"/>
          <w:sz w:val="22"/>
          <w:szCs w:val="22"/>
          <w:color w:val="auto"/>
        </w:rPr>
      </w:pPr>
    </w:p>
    <w:p>
      <w:pPr>
        <w:ind w:left="380" w:hanging="372"/>
        <w:spacing w:after="0"/>
        <w:tabs>
          <w:tab w:leader="none" w:pos="380" w:val="left"/>
        </w:tabs>
        <w:numPr>
          <w:ilvl w:val="0"/>
          <w:numId w:val="17"/>
        </w:numPr>
        <w:rPr>
          <w:rFonts w:ascii="Arial" w:cs="Arial" w:eastAsia="Arial" w:hAnsi="Arial"/>
          <w:sz w:val="21"/>
          <w:szCs w:val="21"/>
          <w:b w:val="1"/>
          <w:bCs w:val="1"/>
          <w:color w:val="auto"/>
        </w:rPr>
      </w:pPr>
      <w:r>
        <w:rPr>
          <w:rFonts w:ascii="Arial" w:cs="Arial" w:eastAsia="Arial" w:hAnsi="Arial"/>
          <w:sz w:val="21"/>
          <w:szCs w:val="21"/>
          <w:b w:val="1"/>
          <w:bCs w:val="1"/>
          <w:color w:val="auto"/>
        </w:rPr>
        <w:t>Review of the Appropriateness of Management Board Compensation for the Year Ended December 31, 2021</w:t>
      </w:r>
    </w:p>
    <w:p>
      <w:pPr>
        <w:spacing w:after="0" w:line="197" w:lineRule="exact"/>
        <w:rPr>
          <w:sz w:val="20"/>
          <w:szCs w:val="20"/>
          <w:color w:val="auto"/>
        </w:rPr>
      </w:pPr>
    </w:p>
    <w:p>
      <w:pPr>
        <w:jc w:val="both"/>
        <w:ind w:left="640"/>
        <w:spacing w:after="0" w:line="222" w:lineRule="auto"/>
        <w:rPr>
          <w:sz w:val="20"/>
          <w:szCs w:val="20"/>
          <w:color w:val="auto"/>
        </w:rPr>
      </w:pPr>
      <w:r>
        <w:rPr>
          <w:rFonts w:ascii="Arial" w:cs="Arial" w:eastAsia="Arial" w:hAnsi="Arial"/>
          <w:sz w:val="21"/>
          <w:szCs w:val="21"/>
          <w:color w:val="auto"/>
        </w:rPr>
        <w:t>During the years ended December 31, 2021 and 2020, we underwent a major transformational process internally to develop and fully commercialize our COVID-19 vaccine. Consequently, during the year ended December 31, 2021 we emphasized bringing our production capabilities up to full speed to ensure worldwide support to meet the continued global vaccine supply needs. To promote the business strategy and the long-term development of BioNTech, we challenged our remuneration system during the year ended December 31, 2021. Following a thorough review, our Supervisory Board slightly modified the compensation system for the members of the Management Board and the remuneration system was approved by the AGM in June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173" w:right="339" w:bottom="1440" w:gutter="0" w:footer="0" w:header="0"/>
          <w:type w:val="continuous"/>
        </w:sectPr>
      </w:pPr>
    </w:p>
    <w:bookmarkStart w:id="21" w:name="page22"/>
    <w:bookmarkEnd w:id="21"/>
    <w:p>
      <w:pPr>
        <w:jc w:val="both"/>
        <w:ind w:left="640"/>
        <w:spacing w:after="0" w:line="257" w:lineRule="auto"/>
        <w:rPr>
          <w:sz w:val="20"/>
          <w:szCs w:val="20"/>
          <w:color w:val="auto"/>
        </w:rPr>
      </w:pPr>
      <w:r>
        <w:rPr>
          <w:rFonts w:ascii="Arial" w:cs="Arial" w:eastAsia="Arial" w:hAnsi="Arial"/>
          <w:sz w:val="19"/>
          <w:szCs w:val="19"/>
          <w:color w:val="auto"/>
        </w:rPr>
        <w:t>At the same AGM, the compensation of our Supervisory Board members was adjusted while generally retaining the system for the compensation of Supervisory Board members. A horizontal assessment comparing the remuneration system with data of comparable companies and a vertical assessment comparing it with the compensation of our employees (including the senior management) was performed for the years ended December 31, 2021 and 2020.</w:t>
      </w:r>
    </w:p>
    <w:p>
      <w:pPr>
        <w:spacing w:after="0" w:line="144" w:lineRule="exact"/>
        <w:rPr>
          <w:sz w:val="20"/>
          <w:szCs w:val="20"/>
          <w:color w:val="auto"/>
        </w:rPr>
      </w:pPr>
    </w:p>
    <w:p>
      <w:pPr>
        <w:jc w:val="both"/>
        <w:ind w:left="640"/>
        <w:spacing w:after="0" w:line="249" w:lineRule="auto"/>
        <w:rPr>
          <w:sz w:val="20"/>
          <w:szCs w:val="20"/>
          <w:color w:val="auto"/>
        </w:rPr>
      </w:pPr>
      <w:r>
        <w:rPr>
          <w:rFonts w:ascii="Arial" w:cs="Arial" w:eastAsia="Arial" w:hAnsi="Arial"/>
          <w:sz w:val="19"/>
          <w:szCs w:val="19"/>
          <w:color w:val="auto"/>
        </w:rPr>
        <w:t>During 2022, we plan to conduct a review of the remuneration system of the Management Board to ensure appropriateness and to challenge the compensation of the members of the Management Board. Taking the market position of BioNTech into account, this assessment will review our Management Board's compensation in the light of market practice. We have started to engage an external and independent compensation consultant to assess the compensation level and structure with both horizontal and vertical comparisons in line with the rules of our comprehensive remuneration system as approved by the AGM on June 22, 2021, which is available online on our website www.biontech.de.</w:t>
      </w:r>
    </w:p>
    <w:p>
      <w:pPr>
        <w:spacing w:after="0" w:line="254"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Remuneration during the Year Ended December 31, 2021</w:t>
      </w:r>
    </w:p>
    <w:p>
      <w:pPr>
        <w:spacing w:after="0" w:line="28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231F20"/>
        </w:rPr>
        <w:t>5</w:t>
      </w:r>
      <w:r>
        <w:rPr>
          <w:rFonts w:ascii="Arial" w:cs="Arial" w:eastAsia="Arial" w:hAnsi="Arial"/>
          <w:sz w:val="22"/>
          <w:szCs w:val="22"/>
          <w:b w:val="1"/>
          <w:bCs w:val="1"/>
          <w:color w:val="000000"/>
        </w:rPr>
        <w:t>.1</w:t>
      </w:r>
      <w:r>
        <w:rPr>
          <w:sz w:val="20"/>
          <w:szCs w:val="20"/>
          <w:color w:val="auto"/>
        </w:rPr>
        <w:tab/>
      </w:r>
      <w:r>
        <w:rPr>
          <w:rFonts w:ascii="Arial" w:cs="Arial" w:eastAsia="Arial" w:hAnsi="Arial"/>
          <w:sz w:val="19"/>
          <w:szCs w:val="19"/>
          <w:b w:val="1"/>
          <w:bCs w:val="1"/>
          <w:color w:val="auto"/>
        </w:rPr>
        <w:t>Remuneration Granted and Owed during the Year Ended December 31, 2021</w:t>
      </w:r>
    </w:p>
    <w:p>
      <w:pPr>
        <w:spacing w:after="0" w:line="185" w:lineRule="exact"/>
        <w:rPr>
          <w:sz w:val="20"/>
          <w:szCs w:val="20"/>
          <w:color w:val="auto"/>
        </w:rPr>
      </w:pPr>
    </w:p>
    <w:p>
      <w:pPr>
        <w:jc w:val="both"/>
        <w:ind w:left="640"/>
        <w:spacing w:after="0" w:line="224" w:lineRule="auto"/>
        <w:rPr>
          <w:sz w:val="20"/>
          <w:szCs w:val="20"/>
          <w:color w:val="auto"/>
        </w:rPr>
      </w:pPr>
      <w:r>
        <w:rPr>
          <w:rFonts w:ascii="Arial" w:cs="Arial" w:eastAsia="Arial" w:hAnsi="Arial"/>
          <w:sz w:val="21"/>
          <w:szCs w:val="21"/>
          <w:color w:val="auto"/>
        </w:rPr>
        <w:t>The total compensation granted or owed according to Sec. 162 para. 1 AktG to all members of the Management Board for the years ended December 31, 2021 and 2020 amounted to €3.2 million and €2.7 million. Compensation is considered granted if it either has been received by the Management Board members or the activities, to which the remuneration relates, have been performed. Compensation is considered owed, if the compensation components are legally due, but have not yet been received by the Management Board members. Hereinafter, if either one of the definitions applies, compensation is referred to only as being "granted and owed."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13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322"/>
        </w:trPr>
        <w:tc>
          <w:tcPr>
            <w:tcW w:w="2340" w:type="dxa"/>
            <w:vAlign w:val="bottom"/>
            <w:tcBorders>
              <w:right w:val="single" w:sz="8" w:color="70AD47"/>
            </w:tcBorders>
          </w:tcPr>
          <w:p>
            <w:pPr>
              <w:ind w:left="20"/>
              <w:spacing w:after="0"/>
              <w:rPr>
                <w:sz w:val="20"/>
                <w:szCs w:val="20"/>
                <w:color w:val="auto"/>
              </w:rPr>
            </w:pPr>
            <w:r>
              <w:rPr>
                <w:rFonts w:ascii="Arial" w:cs="Arial" w:eastAsia="Arial" w:hAnsi="Arial"/>
                <w:sz w:val="22"/>
                <w:szCs w:val="22"/>
                <w:i w:val="1"/>
                <w:iCs w:val="1"/>
                <w:color w:val="auto"/>
              </w:rPr>
              <w:t>in thousands</w:t>
            </w:r>
          </w:p>
        </w:tc>
        <w:tc>
          <w:tcPr>
            <w:tcW w:w="1120" w:type="dxa"/>
            <w:vAlign w:val="bottom"/>
            <w:tcBorders>
              <w:right w:val="single" w:sz="8" w:color="70AD47"/>
            </w:tcBorders>
          </w:tcPr>
          <w:p>
            <w:pPr>
              <w:spacing w:after="0"/>
              <w:rPr>
                <w:sz w:val="20"/>
                <w:szCs w:val="20"/>
                <w:color w:val="auto"/>
              </w:rPr>
            </w:pPr>
            <w:r>
              <w:rPr>
                <w:rFonts w:ascii="Arial" w:cs="Arial" w:eastAsia="Arial" w:hAnsi="Arial"/>
                <w:sz w:val="22"/>
                <w:szCs w:val="22"/>
                <w:b w:val="1"/>
                <w:bCs w:val="1"/>
                <w:color w:val="auto"/>
              </w:rPr>
              <w:t>Prof. Ugur</w:t>
            </w:r>
          </w:p>
        </w:tc>
        <w:tc>
          <w:tcPr>
            <w:tcW w:w="660" w:type="dxa"/>
            <w:vAlign w:val="bottom"/>
          </w:tcPr>
          <w:p>
            <w:pPr>
              <w:spacing w:after="0"/>
              <w:rPr>
                <w:sz w:val="20"/>
                <w:szCs w:val="20"/>
                <w:color w:val="auto"/>
              </w:rPr>
            </w:pPr>
            <w:r>
              <w:rPr>
                <w:rFonts w:ascii="Arial" w:cs="Arial" w:eastAsia="Arial" w:hAnsi="Arial"/>
                <w:sz w:val="22"/>
                <w:szCs w:val="22"/>
                <w:b w:val="1"/>
                <w:bCs w:val="1"/>
                <w:color w:val="auto"/>
              </w:rPr>
              <w:t>Sean</w:t>
            </w:r>
          </w:p>
        </w:tc>
        <w:tc>
          <w:tcPr>
            <w:tcW w:w="520" w:type="dxa"/>
            <w:vAlign w:val="bottom"/>
            <w:tcBorders>
              <w:right w:val="single" w:sz="8" w:color="70AD47"/>
            </w:tcBorders>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22"/>
                <w:szCs w:val="22"/>
                <w:b w:val="1"/>
                <w:bCs w:val="1"/>
                <w:color w:val="auto"/>
                <w:w w:val="94"/>
              </w:rPr>
              <w:t>Dr. Sierk</w:t>
            </w:r>
          </w:p>
        </w:tc>
        <w:tc>
          <w:tcPr>
            <w:tcW w:w="560" w:type="dxa"/>
            <w:vAlign w:val="bottom"/>
            <w:tcBorders>
              <w:right w:val="single" w:sz="8" w:color="70AD47"/>
            </w:tcBorders>
          </w:tcPr>
          <w:p>
            <w:pPr>
              <w:spacing w:after="0"/>
              <w:rPr>
                <w:sz w:val="24"/>
                <w:szCs w:val="24"/>
                <w:color w:val="auto"/>
              </w:rPr>
            </w:pPr>
          </w:p>
        </w:tc>
        <w:tc>
          <w:tcPr>
            <w:tcW w:w="1260" w:type="dxa"/>
            <w:vAlign w:val="bottom"/>
            <w:tcBorders>
              <w:right w:val="single" w:sz="8" w:color="70AD47"/>
            </w:tcBorders>
          </w:tcPr>
          <w:p>
            <w:pPr>
              <w:ind w:left="20"/>
              <w:spacing w:after="0"/>
              <w:rPr>
                <w:sz w:val="20"/>
                <w:szCs w:val="20"/>
                <w:color w:val="auto"/>
              </w:rPr>
            </w:pPr>
            <w:r>
              <w:rPr>
                <w:rFonts w:ascii="Arial" w:cs="Arial" w:eastAsia="Arial" w:hAnsi="Arial"/>
                <w:sz w:val="22"/>
                <w:szCs w:val="22"/>
                <w:b w:val="1"/>
                <w:bCs w:val="1"/>
                <w:color w:val="auto"/>
                <w:w w:val="98"/>
              </w:rPr>
              <w:t>Prof. Özlem</w:t>
            </w:r>
          </w:p>
        </w:tc>
        <w:tc>
          <w:tcPr>
            <w:tcW w:w="2160" w:type="dxa"/>
            <w:vAlign w:val="bottom"/>
            <w:tcBorders>
              <w:right w:val="single" w:sz="8" w:color="70AD47"/>
            </w:tcBorders>
          </w:tcPr>
          <w:p>
            <w:pPr>
              <w:jc w:val="right"/>
              <w:ind w:right="272"/>
              <w:spacing w:after="0"/>
              <w:rPr>
                <w:sz w:val="20"/>
                <w:szCs w:val="20"/>
                <w:color w:val="auto"/>
              </w:rPr>
            </w:pPr>
            <w:r>
              <w:rPr>
                <w:rFonts w:ascii="Arial" w:cs="Arial" w:eastAsia="Arial" w:hAnsi="Arial"/>
                <w:sz w:val="22"/>
                <w:szCs w:val="22"/>
                <w:b w:val="1"/>
                <w:bCs w:val="1"/>
                <w:color w:val="auto"/>
                <w:w w:val="86"/>
              </w:rPr>
              <w:t>Ryan Richardson</w:t>
            </w:r>
            <w:r>
              <w:rPr>
                <w:rFonts w:ascii="Arial" w:cs="Arial" w:eastAsia="Arial" w:hAnsi="Arial"/>
                <w:sz w:val="28"/>
                <w:szCs w:val="28"/>
                <w:b w:val="1"/>
                <w:bCs w:val="1"/>
                <w:color w:val="auto"/>
                <w:w w:val="86"/>
                <w:vertAlign w:val="superscript"/>
              </w:rPr>
              <w:t>(1)</w:t>
            </w:r>
          </w:p>
        </w:tc>
        <w:tc>
          <w:tcPr>
            <w:tcW w:w="1720" w:type="dxa"/>
            <w:vAlign w:val="bottom"/>
            <w:tcBorders>
              <w:right w:val="single" w:sz="8" w:color="70AD47"/>
            </w:tcBorders>
          </w:tcPr>
          <w:p>
            <w:pPr>
              <w:jc w:val="right"/>
              <w:ind w:right="212"/>
              <w:spacing w:after="0"/>
              <w:rPr>
                <w:sz w:val="20"/>
                <w:szCs w:val="20"/>
                <w:color w:val="auto"/>
              </w:rPr>
            </w:pPr>
            <w:r>
              <w:rPr>
                <w:rFonts w:ascii="Arial" w:cs="Arial" w:eastAsia="Arial" w:hAnsi="Arial"/>
                <w:sz w:val="22"/>
                <w:szCs w:val="22"/>
                <w:b w:val="1"/>
                <w:bCs w:val="1"/>
                <w:color w:val="auto"/>
                <w:w w:val="83"/>
              </w:rPr>
              <w:t>Jens Holstein</w:t>
            </w:r>
            <w:r>
              <w:rPr>
                <w:rFonts w:ascii="Arial" w:cs="Arial" w:eastAsia="Arial" w:hAnsi="Arial"/>
                <w:sz w:val="28"/>
                <w:szCs w:val="28"/>
                <w:b w:val="1"/>
                <w:bCs w:val="1"/>
                <w:color w:val="auto"/>
                <w:w w:val="83"/>
                <w:vertAlign w:val="superscript"/>
              </w:rPr>
              <w:t>(2)</w:t>
            </w:r>
          </w:p>
        </w:tc>
      </w:tr>
      <w:tr>
        <w:trPr>
          <w:trHeight w:val="216"/>
        </w:trPr>
        <w:tc>
          <w:tcPr>
            <w:tcW w:w="2340" w:type="dxa"/>
            <w:vAlign w:val="bottom"/>
            <w:tcBorders>
              <w:right w:val="single" w:sz="8" w:color="70AD47"/>
            </w:tcBorders>
          </w:tcPr>
          <w:p>
            <w:pPr>
              <w:spacing w:after="0"/>
              <w:rPr>
                <w:sz w:val="18"/>
                <w:szCs w:val="18"/>
                <w:color w:val="auto"/>
              </w:rPr>
            </w:pPr>
          </w:p>
        </w:tc>
        <w:tc>
          <w:tcPr>
            <w:tcW w:w="1120" w:type="dxa"/>
            <w:vAlign w:val="bottom"/>
            <w:tcBorders>
              <w:right w:val="single" w:sz="8" w:color="70AD47"/>
            </w:tcBorders>
          </w:tcPr>
          <w:p>
            <w:pPr>
              <w:spacing w:after="0" w:line="216" w:lineRule="exact"/>
              <w:rPr>
                <w:sz w:val="20"/>
                <w:szCs w:val="20"/>
                <w:color w:val="auto"/>
              </w:rPr>
            </w:pPr>
            <w:r>
              <w:rPr>
                <w:rFonts w:ascii="Arial" w:cs="Arial" w:eastAsia="Arial" w:hAnsi="Arial"/>
                <w:sz w:val="22"/>
                <w:szCs w:val="22"/>
                <w:b w:val="1"/>
                <w:bCs w:val="1"/>
                <w:color w:val="auto"/>
              </w:rPr>
              <w:t>Sahin,</w:t>
            </w:r>
          </w:p>
        </w:tc>
        <w:tc>
          <w:tcPr>
            <w:tcW w:w="660" w:type="dxa"/>
            <w:vAlign w:val="bottom"/>
          </w:tcPr>
          <w:p>
            <w:pPr>
              <w:spacing w:after="0" w:line="216" w:lineRule="exact"/>
              <w:rPr>
                <w:sz w:val="20"/>
                <w:szCs w:val="20"/>
                <w:color w:val="auto"/>
              </w:rPr>
            </w:pPr>
            <w:r>
              <w:rPr>
                <w:rFonts w:ascii="Arial" w:cs="Arial" w:eastAsia="Arial" w:hAnsi="Arial"/>
                <w:sz w:val="22"/>
                <w:szCs w:val="22"/>
                <w:b w:val="1"/>
                <w:bCs w:val="1"/>
                <w:color w:val="auto"/>
                <w:w w:val="96"/>
              </w:rPr>
              <w:t>Marett</w:t>
            </w:r>
          </w:p>
        </w:tc>
        <w:tc>
          <w:tcPr>
            <w:tcW w:w="520" w:type="dxa"/>
            <w:vAlign w:val="bottom"/>
            <w:tcBorders>
              <w:right w:val="single" w:sz="8" w:color="70AD47"/>
            </w:tcBorders>
          </w:tcPr>
          <w:p>
            <w:pPr>
              <w:spacing w:after="0"/>
              <w:rPr>
                <w:sz w:val="18"/>
                <w:szCs w:val="18"/>
                <w:color w:val="auto"/>
              </w:rPr>
            </w:pPr>
          </w:p>
        </w:tc>
        <w:tc>
          <w:tcPr>
            <w:tcW w:w="900" w:type="dxa"/>
            <w:vAlign w:val="bottom"/>
          </w:tcPr>
          <w:p>
            <w:pPr>
              <w:ind w:left="20"/>
              <w:spacing w:after="0" w:line="216" w:lineRule="exact"/>
              <w:rPr>
                <w:sz w:val="20"/>
                <w:szCs w:val="20"/>
                <w:color w:val="auto"/>
              </w:rPr>
            </w:pPr>
            <w:r>
              <w:rPr>
                <w:rFonts w:ascii="Arial" w:cs="Arial" w:eastAsia="Arial" w:hAnsi="Arial"/>
                <w:sz w:val="22"/>
                <w:szCs w:val="22"/>
                <w:b w:val="1"/>
                <w:bCs w:val="1"/>
                <w:color w:val="auto"/>
                <w:w w:val="97"/>
              </w:rPr>
              <w:t>Poetting</w:t>
            </w:r>
          </w:p>
        </w:tc>
        <w:tc>
          <w:tcPr>
            <w:tcW w:w="560" w:type="dxa"/>
            <w:vAlign w:val="bottom"/>
            <w:tcBorders>
              <w:right w:val="single" w:sz="8" w:color="70AD47"/>
            </w:tcBorders>
          </w:tcPr>
          <w:p>
            <w:pPr>
              <w:spacing w:after="0"/>
              <w:rPr>
                <w:sz w:val="18"/>
                <w:szCs w:val="18"/>
                <w:color w:val="auto"/>
              </w:rPr>
            </w:pPr>
          </w:p>
        </w:tc>
        <w:tc>
          <w:tcPr>
            <w:tcW w:w="126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b w:val="1"/>
                <w:bCs w:val="1"/>
                <w:color w:val="auto"/>
                <w:w w:val="96"/>
              </w:rPr>
              <w:t>Türeci, M.D.</w:t>
            </w:r>
          </w:p>
        </w:tc>
        <w:tc>
          <w:tcPr>
            <w:tcW w:w="2160" w:type="dxa"/>
            <w:vAlign w:val="bottom"/>
            <w:tcBorders>
              <w:right w:val="single" w:sz="8" w:color="70AD47"/>
            </w:tcBorders>
          </w:tcPr>
          <w:p>
            <w:pPr>
              <w:spacing w:after="0"/>
              <w:rPr>
                <w:sz w:val="18"/>
                <w:szCs w:val="18"/>
                <w:color w:val="auto"/>
              </w:rPr>
            </w:pPr>
          </w:p>
        </w:tc>
        <w:tc>
          <w:tcPr>
            <w:tcW w:w="1720" w:type="dxa"/>
            <w:vAlign w:val="bottom"/>
            <w:tcBorders>
              <w:right w:val="single" w:sz="8" w:color="70AD47"/>
            </w:tcBorders>
          </w:tcPr>
          <w:p>
            <w:pPr>
              <w:spacing w:after="0"/>
              <w:rPr>
                <w:sz w:val="18"/>
                <w:szCs w:val="18"/>
                <w:color w:val="auto"/>
              </w:rPr>
            </w:pPr>
          </w:p>
        </w:tc>
      </w:tr>
      <w:tr>
        <w:trPr>
          <w:trHeight w:val="282"/>
        </w:trPr>
        <w:tc>
          <w:tcPr>
            <w:tcW w:w="2340" w:type="dxa"/>
            <w:vAlign w:val="bottom"/>
            <w:tcBorders>
              <w:bottom w:val="single" w:sz="8" w:color="70AD47"/>
              <w:right w:val="single" w:sz="8" w:color="70AD47"/>
            </w:tcBorders>
          </w:tcPr>
          <w:p>
            <w:pPr>
              <w:spacing w:after="0"/>
              <w:rPr>
                <w:sz w:val="24"/>
                <w:szCs w:val="24"/>
                <w:color w:val="auto"/>
              </w:rPr>
            </w:pPr>
          </w:p>
        </w:tc>
        <w:tc>
          <w:tcPr>
            <w:tcW w:w="1120" w:type="dxa"/>
            <w:vAlign w:val="bottom"/>
            <w:tcBorders>
              <w:bottom w:val="single" w:sz="8" w:color="70AD47"/>
              <w:right w:val="single" w:sz="8" w:color="70AD47"/>
            </w:tcBorders>
          </w:tcPr>
          <w:p>
            <w:pPr>
              <w:spacing w:after="0"/>
              <w:rPr>
                <w:sz w:val="20"/>
                <w:szCs w:val="20"/>
                <w:color w:val="auto"/>
              </w:rPr>
            </w:pPr>
            <w:r>
              <w:rPr>
                <w:rFonts w:ascii="Arial" w:cs="Arial" w:eastAsia="Arial" w:hAnsi="Arial"/>
                <w:sz w:val="22"/>
                <w:szCs w:val="22"/>
                <w:b w:val="1"/>
                <w:bCs w:val="1"/>
                <w:color w:val="auto"/>
              </w:rPr>
              <w:t>M.D.</w:t>
            </w:r>
          </w:p>
        </w:tc>
        <w:tc>
          <w:tcPr>
            <w:tcW w:w="660" w:type="dxa"/>
            <w:vAlign w:val="bottom"/>
            <w:tcBorders>
              <w:bottom w:val="single" w:sz="8" w:color="70AD47"/>
            </w:tcBorders>
          </w:tcPr>
          <w:p>
            <w:pPr>
              <w:spacing w:after="0"/>
              <w:rPr>
                <w:sz w:val="24"/>
                <w:szCs w:val="24"/>
                <w:color w:val="auto"/>
              </w:rPr>
            </w:pPr>
          </w:p>
        </w:tc>
        <w:tc>
          <w:tcPr>
            <w:tcW w:w="520" w:type="dxa"/>
            <w:vAlign w:val="bottom"/>
            <w:tcBorders>
              <w:bottom w:val="single" w:sz="8" w:color="70AD47"/>
              <w:right w:val="single" w:sz="8" w:color="70AD47"/>
            </w:tcBorders>
          </w:tcPr>
          <w:p>
            <w:pPr>
              <w:spacing w:after="0"/>
              <w:rPr>
                <w:sz w:val="24"/>
                <w:szCs w:val="24"/>
                <w:color w:val="auto"/>
              </w:rPr>
            </w:pPr>
          </w:p>
        </w:tc>
        <w:tc>
          <w:tcPr>
            <w:tcW w:w="900" w:type="dxa"/>
            <w:vAlign w:val="bottom"/>
            <w:tcBorders>
              <w:bottom w:val="single" w:sz="8" w:color="70AD47"/>
            </w:tcBorders>
          </w:tcPr>
          <w:p>
            <w:pPr>
              <w:spacing w:after="0"/>
              <w:rPr>
                <w:sz w:val="24"/>
                <w:szCs w:val="24"/>
                <w:color w:val="auto"/>
              </w:rPr>
            </w:pPr>
          </w:p>
        </w:tc>
        <w:tc>
          <w:tcPr>
            <w:tcW w:w="560" w:type="dxa"/>
            <w:vAlign w:val="bottom"/>
            <w:tcBorders>
              <w:bottom w:val="single" w:sz="8" w:color="70AD47"/>
              <w:right w:val="single" w:sz="8" w:color="70AD47"/>
            </w:tcBorders>
          </w:tcPr>
          <w:p>
            <w:pPr>
              <w:spacing w:after="0"/>
              <w:rPr>
                <w:sz w:val="24"/>
                <w:szCs w:val="24"/>
                <w:color w:val="auto"/>
              </w:rPr>
            </w:pPr>
          </w:p>
        </w:tc>
        <w:tc>
          <w:tcPr>
            <w:tcW w:w="1260" w:type="dxa"/>
            <w:vAlign w:val="bottom"/>
            <w:tcBorders>
              <w:bottom w:val="single" w:sz="8" w:color="70AD47"/>
              <w:right w:val="single" w:sz="8" w:color="70AD47"/>
            </w:tcBorders>
          </w:tcPr>
          <w:p>
            <w:pPr>
              <w:spacing w:after="0"/>
              <w:rPr>
                <w:sz w:val="24"/>
                <w:szCs w:val="24"/>
                <w:color w:val="auto"/>
              </w:rPr>
            </w:pPr>
          </w:p>
        </w:tc>
        <w:tc>
          <w:tcPr>
            <w:tcW w:w="2160" w:type="dxa"/>
            <w:vAlign w:val="bottom"/>
            <w:tcBorders>
              <w:bottom w:val="single" w:sz="8" w:color="70AD47"/>
              <w:right w:val="single" w:sz="8" w:color="70AD47"/>
            </w:tcBorders>
          </w:tcPr>
          <w:p>
            <w:pPr>
              <w:spacing w:after="0"/>
              <w:rPr>
                <w:sz w:val="24"/>
                <w:szCs w:val="24"/>
                <w:color w:val="auto"/>
              </w:rPr>
            </w:pPr>
          </w:p>
        </w:tc>
        <w:tc>
          <w:tcPr>
            <w:tcW w:w="1720" w:type="dxa"/>
            <w:vAlign w:val="bottom"/>
            <w:tcBorders>
              <w:bottom w:val="single" w:sz="8" w:color="70AD47"/>
              <w:right w:val="single" w:sz="8" w:color="70AD47"/>
            </w:tcBorders>
          </w:tcPr>
          <w:p>
            <w:pPr>
              <w:spacing w:after="0"/>
              <w:rPr>
                <w:sz w:val="24"/>
                <w:szCs w:val="24"/>
                <w:color w:val="auto"/>
              </w:rPr>
            </w:pPr>
          </w:p>
        </w:tc>
      </w:tr>
      <w:tr>
        <w:trPr>
          <w:trHeight w:val="506"/>
        </w:trPr>
        <w:tc>
          <w:tcPr>
            <w:tcW w:w="2340" w:type="dxa"/>
            <w:vAlign w:val="bottom"/>
            <w:tcBorders>
              <w:right w:val="single" w:sz="8" w:color="70AD47"/>
            </w:tcBorders>
          </w:tcPr>
          <w:p>
            <w:pPr>
              <w:ind w:left="20"/>
              <w:spacing w:after="0"/>
              <w:rPr>
                <w:sz w:val="20"/>
                <w:szCs w:val="20"/>
                <w:color w:val="auto"/>
              </w:rPr>
            </w:pPr>
            <w:r>
              <w:rPr>
                <w:rFonts w:ascii="Arial" w:cs="Arial" w:eastAsia="Arial" w:hAnsi="Arial"/>
                <w:sz w:val="22"/>
                <w:szCs w:val="22"/>
                <w:b w:val="1"/>
                <w:bCs w:val="1"/>
                <w:color w:val="auto"/>
              </w:rPr>
              <w:t>Fixed compensation</w:t>
            </w:r>
          </w:p>
        </w:tc>
        <w:tc>
          <w:tcPr>
            <w:tcW w:w="1120" w:type="dxa"/>
            <w:vAlign w:val="bottom"/>
            <w:tcBorders>
              <w:right w:val="single" w:sz="8" w:color="70AD47"/>
            </w:tcBorders>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Borders>
              <w:right w:val="single" w:sz="8" w:color="70AD47"/>
            </w:tcBorders>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Borders>
              <w:right w:val="single" w:sz="8" w:color="70AD47"/>
            </w:tcBorders>
          </w:tcPr>
          <w:p>
            <w:pPr>
              <w:spacing w:after="0"/>
              <w:rPr>
                <w:sz w:val="24"/>
                <w:szCs w:val="24"/>
                <w:color w:val="auto"/>
              </w:rPr>
            </w:pPr>
          </w:p>
        </w:tc>
        <w:tc>
          <w:tcPr>
            <w:tcW w:w="1260" w:type="dxa"/>
            <w:vAlign w:val="bottom"/>
            <w:tcBorders>
              <w:right w:val="single" w:sz="8" w:color="70AD47"/>
            </w:tcBorders>
          </w:tcPr>
          <w:p>
            <w:pPr>
              <w:spacing w:after="0"/>
              <w:rPr>
                <w:sz w:val="24"/>
                <w:szCs w:val="24"/>
                <w:color w:val="auto"/>
              </w:rPr>
            </w:pPr>
          </w:p>
        </w:tc>
        <w:tc>
          <w:tcPr>
            <w:tcW w:w="2160" w:type="dxa"/>
            <w:vAlign w:val="bottom"/>
            <w:tcBorders>
              <w:right w:val="single" w:sz="8" w:color="70AD47"/>
            </w:tcBorders>
          </w:tcPr>
          <w:p>
            <w:pPr>
              <w:spacing w:after="0"/>
              <w:rPr>
                <w:sz w:val="24"/>
                <w:szCs w:val="24"/>
                <w:color w:val="auto"/>
              </w:rPr>
            </w:pPr>
          </w:p>
        </w:tc>
        <w:tc>
          <w:tcPr>
            <w:tcW w:w="1720" w:type="dxa"/>
            <w:vAlign w:val="bottom"/>
            <w:tcBorders>
              <w:right w:val="single" w:sz="8" w:color="70AD47"/>
            </w:tcBorders>
          </w:tcPr>
          <w:p>
            <w:pPr>
              <w:spacing w:after="0"/>
              <w:rPr>
                <w:sz w:val="24"/>
                <w:szCs w:val="24"/>
                <w:color w:val="auto"/>
              </w:rPr>
            </w:pPr>
          </w:p>
        </w:tc>
      </w:tr>
      <w:tr>
        <w:trPr>
          <w:trHeight w:val="272"/>
        </w:trPr>
        <w:tc>
          <w:tcPr>
            <w:tcW w:w="2340" w:type="dxa"/>
            <w:vAlign w:val="bottom"/>
            <w:tcBorders>
              <w:right w:val="single" w:sz="8" w:color="70AD47"/>
            </w:tcBorders>
            <w:shd w:val="clear" w:color="auto" w:fill="C6E0B4"/>
          </w:tcPr>
          <w:p>
            <w:pPr>
              <w:ind w:left="20"/>
              <w:spacing w:after="0"/>
              <w:rPr>
                <w:sz w:val="20"/>
                <w:szCs w:val="20"/>
                <w:color w:val="auto"/>
              </w:rPr>
            </w:pPr>
            <w:r>
              <w:rPr>
                <w:rFonts w:ascii="Arial" w:cs="Arial" w:eastAsia="Arial" w:hAnsi="Arial"/>
                <w:sz w:val="22"/>
                <w:szCs w:val="22"/>
                <w:color w:val="auto"/>
              </w:rPr>
              <w:t>2021</w:t>
            </w:r>
          </w:p>
        </w:tc>
        <w:tc>
          <w:tcPr>
            <w:tcW w:w="11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360 €</w:t>
            </w:r>
          </w:p>
        </w:tc>
        <w:tc>
          <w:tcPr>
            <w:tcW w:w="660" w:type="dxa"/>
            <w:vAlign w:val="bottom"/>
            <w:shd w:val="clear" w:color="auto" w:fill="C6E0B4"/>
          </w:tcPr>
          <w:p>
            <w:pPr>
              <w:spacing w:after="0"/>
              <w:rPr>
                <w:sz w:val="23"/>
                <w:szCs w:val="23"/>
                <w:color w:val="auto"/>
              </w:rPr>
            </w:pPr>
          </w:p>
        </w:tc>
        <w:tc>
          <w:tcPr>
            <w:tcW w:w="5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w w:val="83"/>
              </w:rPr>
              <w:t>400 €</w:t>
            </w:r>
          </w:p>
        </w:tc>
        <w:tc>
          <w:tcPr>
            <w:tcW w:w="900" w:type="dxa"/>
            <w:vAlign w:val="bottom"/>
            <w:shd w:val="clear" w:color="auto" w:fill="C6E0B4"/>
          </w:tcPr>
          <w:p>
            <w:pPr>
              <w:spacing w:after="0"/>
              <w:rPr>
                <w:sz w:val="23"/>
                <w:szCs w:val="23"/>
                <w:color w:val="auto"/>
              </w:rPr>
            </w:pPr>
          </w:p>
        </w:tc>
        <w:tc>
          <w:tcPr>
            <w:tcW w:w="5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w w:val="90"/>
              </w:rPr>
              <w:t>376 €</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360 €</w:t>
            </w:r>
          </w:p>
        </w:tc>
        <w:tc>
          <w:tcPr>
            <w:tcW w:w="21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320 €</w:t>
            </w:r>
          </w:p>
        </w:tc>
        <w:tc>
          <w:tcPr>
            <w:tcW w:w="17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275 €</w:t>
            </w:r>
          </w:p>
        </w:tc>
      </w:tr>
      <w:tr>
        <w:trPr>
          <w:trHeight w:val="254"/>
        </w:trPr>
        <w:tc>
          <w:tcPr>
            <w:tcW w:w="2340" w:type="dxa"/>
            <w:vAlign w:val="bottom"/>
            <w:tcBorders>
              <w:right w:val="single" w:sz="8" w:color="70AD47"/>
            </w:tcBorders>
          </w:tcPr>
          <w:p>
            <w:pPr>
              <w:ind w:left="20"/>
              <w:spacing w:after="0"/>
              <w:rPr>
                <w:sz w:val="20"/>
                <w:szCs w:val="20"/>
                <w:color w:val="auto"/>
              </w:rPr>
            </w:pPr>
            <w:r>
              <w:rPr>
                <w:rFonts w:ascii="Arial" w:cs="Arial" w:eastAsia="Arial" w:hAnsi="Arial"/>
                <w:sz w:val="22"/>
                <w:szCs w:val="22"/>
                <w:color w:val="auto"/>
              </w:rPr>
              <w:t>2020</w:t>
            </w:r>
          </w:p>
        </w:tc>
        <w:tc>
          <w:tcPr>
            <w:tcW w:w="112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360</w:t>
            </w:r>
          </w:p>
        </w:tc>
        <w:tc>
          <w:tcPr>
            <w:tcW w:w="660" w:type="dxa"/>
            <w:vAlign w:val="bottom"/>
          </w:tcPr>
          <w:p>
            <w:pPr>
              <w:spacing w:after="0"/>
              <w:rPr>
                <w:sz w:val="22"/>
                <w:szCs w:val="22"/>
                <w:color w:val="auto"/>
              </w:rPr>
            </w:pPr>
          </w:p>
        </w:tc>
        <w:tc>
          <w:tcPr>
            <w:tcW w:w="52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400</w:t>
            </w:r>
          </w:p>
        </w:tc>
        <w:tc>
          <w:tcPr>
            <w:tcW w:w="900" w:type="dxa"/>
            <w:vAlign w:val="bottom"/>
          </w:tcPr>
          <w:p>
            <w:pPr>
              <w:spacing w:after="0"/>
              <w:rPr>
                <w:sz w:val="22"/>
                <w:szCs w:val="22"/>
                <w:color w:val="auto"/>
              </w:rPr>
            </w:pPr>
          </w:p>
        </w:tc>
        <w:tc>
          <w:tcPr>
            <w:tcW w:w="56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360</w:t>
            </w:r>
          </w:p>
        </w:tc>
        <w:tc>
          <w:tcPr>
            <w:tcW w:w="126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360</w:t>
            </w:r>
          </w:p>
        </w:tc>
        <w:tc>
          <w:tcPr>
            <w:tcW w:w="216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320</w:t>
            </w:r>
          </w:p>
        </w:tc>
        <w:tc>
          <w:tcPr>
            <w:tcW w:w="172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w:t>
            </w:r>
          </w:p>
        </w:tc>
      </w:tr>
      <w:tr>
        <w:trPr>
          <w:trHeight w:val="286"/>
        </w:trPr>
        <w:tc>
          <w:tcPr>
            <w:tcW w:w="2340" w:type="dxa"/>
            <w:vAlign w:val="bottom"/>
            <w:tcBorders>
              <w:right w:val="single" w:sz="8" w:color="70AD47"/>
            </w:tcBorders>
          </w:tcPr>
          <w:p>
            <w:pPr>
              <w:ind w:left="20"/>
              <w:spacing w:after="0" w:line="285" w:lineRule="exact"/>
              <w:rPr>
                <w:sz w:val="20"/>
                <w:szCs w:val="20"/>
                <w:color w:val="auto"/>
              </w:rPr>
            </w:pPr>
            <w:r>
              <w:rPr>
                <w:rFonts w:ascii="Arial" w:cs="Arial" w:eastAsia="Arial" w:hAnsi="Arial"/>
                <w:sz w:val="22"/>
                <w:szCs w:val="22"/>
                <w:b w:val="1"/>
                <w:bCs w:val="1"/>
                <w:color w:val="auto"/>
              </w:rPr>
              <w:t>Fringe benefits</w:t>
            </w:r>
            <w:r>
              <w:rPr>
                <w:rFonts w:ascii="Arial" w:cs="Arial" w:eastAsia="Arial" w:hAnsi="Arial"/>
                <w:sz w:val="28"/>
                <w:szCs w:val="28"/>
                <w:color w:val="auto"/>
                <w:vertAlign w:val="superscript"/>
              </w:rPr>
              <w:t>(3)</w:t>
            </w:r>
          </w:p>
        </w:tc>
        <w:tc>
          <w:tcPr>
            <w:tcW w:w="1120" w:type="dxa"/>
            <w:vAlign w:val="bottom"/>
            <w:tcBorders>
              <w:right w:val="single" w:sz="8" w:color="70AD47"/>
            </w:tcBorders>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Borders>
              <w:right w:val="single" w:sz="8" w:color="70AD47"/>
            </w:tcBorders>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Borders>
              <w:right w:val="single" w:sz="8" w:color="70AD47"/>
            </w:tcBorders>
          </w:tcPr>
          <w:p>
            <w:pPr>
              <w:spacing w:after="0"/>
              <w:rPr>
                <w:sz w:val="24"/>
                <w:szCs w:val="24"/>
                <w:color w:val="auto"/>
              </w:rPr>
            </w:pPr>
          </w:p>
        </w:tc>
        <w:tc>
          <w:tcPr>
            <w:tcW w:w="1260" w:type="dxa"/>
            <w:vAlign w:val="bottom"/>
            <w:tcBorders>
              <w:right w:val="single" w:sz="8" w:color="70AD47"/>
            </w:tcBorders>
          </w:tcPr>
          <w:p>
            <w:pPr>
              <w:spacing w:after="0"/>
              <w:rPr>
                <w:sz w:val="24"/>
                <w:szCs w:val="24"/>
                <w:color w:val="auto"/>
              </w:rPr>
            </w:pPr>
          </w:p>
        </w:tc>
        <w:tc>
          <w:tcPr>
            <w:tcW w:w="2160" w:type="dxa"/>
            <w:vAlign w:val="bottom"/>
            <w:tcBorders>
              <w:right w:val="single" w:sz="8" w:color="70AD47"/>
            </w:tcBorders>
          </w:tcPr>
          <w:p>
            <w:pPr>
              <w:spacing w:after="0"/>
              <w:rPr>
                <w:sz w:val="24"/>
                <w:szCs w:val="24"/>
                <w:color w:val="auto"/>
              </w:rPr>
            </w:pPr>
          </w:p>
        </w:tc>
        <w:tc>
          <w:tcPr>
            <w:tcW w:w="1720" w:type="dxa"/>
            <w:vAlign w:val="bottom"/>
            <w:tcBorders>
              <w:right w:val="single" w:sz="8" w:color="70AD47"/>
            </w:tcBorders>
          </w:tcPr>
          <w:p>
            <w:pPr>
              <w:spacing w:after="0"/>
              <w:rPr>
                <w:sz w:val="24"/>
                <w:szCs w:val="24"/>
                <w:color w:val="auto"/>
              </w:rPr>
            </w:pPr>
          </w:p>
        </w:tc>
      </w:tr>
      <w:tr>
        <w:trPr>
          <w:trHeight w:val="270"/>
        </w:trPr>
        <w:tc>
          <w:tcPr>
            <w:tcW w:w="2340" w:type="dxa"/>
            <w:vAlign w:val="bottom"/>
            <w:tcBorders>
              <w:right w:val="single" w:sz="8" w:color="70AD47"/>
            </w:tcBorders>
            <w:shd w:val="clear" w:color="auto" w:fill="C6E0B4"/>
          </w:tcPr>
          <w:p>
            <w:pPr>
              <w:ind w:left="20"/>
              <w:spacing w:after="0"/>
              <w:rPr>
                <w:sz w:val="20"/>
                <w:szCs w:val="20"/>
                <w:color w:val="auto"/>
              </w:rPr>
            </w:pPr>
            <w:r>
              <w:rPr>
                <w:rFonts w:ascii="Arial" w:cs="Arial" w:eastAsia="Arial" w:hAnsi="Arial"/>
                <w:sz w:val="22"/>
                <w:szCs w:val="22"/>
                <w:color w:val="auto"/>
              </w:rPr>
              <w:t>2021</w:t>
            </w:r>
          </w:p>
        </w:tc>
        <w:tc>
          <w:tcPr>
            <w:tcW w:w="11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6</w:t>
            </w:r>
          </w:p>
        </w:tc>
        <w:tc>
          <w:tcPr>
            <w:tcW w:w="660" w:type="dxa"/>
            <w:vAlign w:val="bottom"/>
            <w:shd w:val="clear" w:color="auto" w:fill="C6E0B4"/>
          </w:tcPr>
          <w:p>
            <w:pPr>
              <w:spacing w:after="0"/>
              <w:rPr>
                <w:sz w:val="23"/>
                <w:szCs w:val="23"/>
                <w:color w:val="auto"/>
              </w:rPr>
            </w:pPr>
          </w:p>
        </w:tc>
        <w:tc>
          <w:tcPr>
            <w:tcW w:w="5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22</w:t>
            </w:r>
          </w:p>
        </w:tc>
        <w:tc>
          <w:tcPr>
            <w:tcW w:w="900" w:type="dxa"/>
            <w:vAlign w:val="bottom"/>
            <w:shd w:val="clear" w:color="auto" w:fill="C6E0B4"/>
          </w:tcPr>
          <w:p>
            <w:pPr>
              <w:spacing w:after="0"/>
              <w:rPr>
                <w:sz w:val="23"/>
                <w:szCs w:val="23"/>
                <w:color w:val="auto"/>
              </w:rPr>
            </w:pPr>
          </w:p>
        </w:tc>
        <w:tc>
          <w:tcPr>
            <w:tcW w:w="5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4</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w:t>
            </w:r>
          </w:p>
        </w:tc>
        <w:tc>
          <w:tcPr>
            <w:tcW w:w="21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16</w:t>
            </w:r>
          </w:p>
        </w:tc>
        <w:tc>
          <w:tcPr>
            <w:tcW w:w="17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3</w:t>
            </w:r>
          </w:p>
        </w:tc>
      </w:tr>
      <w:tr>
        <w:trPr>
          <w:trHeight w:val="256"/>
        </w:trPr>
        <w:tc>
          <w:tcPr>
            <w:tcW w:w="2340" w:type="dxa"/>
            <w:vAlign w:val="bottom"/>
            <w:tcBorders>
              <w:right w:val="single" w:sz="8" w:color="70AD47"/>
            </w:tcBorders>
          </w:tcPr>
          <w:p>
            <w:pPr>
              <w:ind w:left="20"/>
              <w:spacing w:after="0"/>
              <w:rPr>
                <w:sz w:val="20"/>
                <w:szCs w:val="20"/>
                <w:color w:val="auto"/>
              </w:rPr>
            </w:pPr>
            <w:r>
              <w:rPr>
                <w:rFonts w:ascii="Arial" w:cs="Arial" w:eastAsia="Arial" w:hAnsi="Arial"/>
                <w:sz w:val="22"/>
                <w:szCs w:val="22"/>
                <w:color w:val="auto"/>
              </w:rPr>
              <w:t>2020</w:t>
            </w:r>
          </w:p>
        </w:tc>
        <w:tc>
          <w:tcPr>
            <w:tcW w:w="112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6</w:t>
            </w:r>
          </w:p>
        </w:tc>
        <w:tc>
          <w:tcPr>
            <w:tcW w:w="660" w:type="dxa"/>
            <w:vAlign w:val="bottom"/>
          </w:tcPr>
          <w:p>
            <w:pPr>
              <w:spacing w:after="0"/>
              <w:rPr>
                <w:sz w:val="22"/>
                <w:szCs w:val="22"/>
                <w:color w:val="auto"/>
              </w:rPr>
            </w:pPr>
          </w:p>
        </w:tc>
        <w:tc>
          <w:tcPr>
            <w:tcW w:w="52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11</w:t>
            </w:r>
          </w:p>
        </w:tc>
        <w:tc>
          <w:tcPr>
            <w:tcW w:w="900" w:type="dxa"/>
            <w:vAlign w:val="bottom"/>
          </w:tcPr>
          <w:p>
            <w:pPr>
              <w:spacing w:after="0"/>
              <w:rPr>
                <w:sz w:val="22"/>
                <w:szCs w:val="22"/>
                <w:color w:val="auto"/>
              </w:rPr>
            </w:pPr>
          </w:p>
        </w:tc>
        <w:tc>
          <w:tcPr>
            <w:tcW w:w="56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11</w:t>
            </w:r>
          </w:p>
        </w:tc>
        <w:tc>
          <w:tcPr>
            <w:tcW w:w="126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3</w:t>
            </w:r>
          </w:p>
        </w:tc>
        <w:tc>
          <w:tcPr>
            <w:tcW w:w="216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4</w:t>
            </w:r>
          </w:p>
        </w:tc>
        <w:tc>
          <w:tcPr>
            <w:tcW w:w="172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w:t>
            </w:r>
          </w:p>
        </w:tc>
      </w:tr>
      <w:tr>
        <w:trPr>
          <w:trHeight w:val="216"/>
        </w:trPr>
        <w:tc>
          <w:tcPr>
            <w:tcW w:w="2340" w:type="dxa"/>
            <w:vAlign w:val="bottom"/>
            <w:tcBorders>
              <w:right w:val="single" w:sz="8" w:color="70AD47"/>
            </w:tcBorders>
          </w:tcPr>
          <w:p>
            <w:pPr>
              <w:ind w:left="20"/>
              <w:spacing w:after="0" w:line="217" w:lineRule="exact"/>
              <w:rPr>
                <w:sz w:val="20"/>
                <w:szCs w:val="20"/>
                <w:color w:val="auto"/>
              </w:rPr>
            </w:pPr>
            <w:r>
              <w:rPr>
                <w:rFonts w:ascii="Arial" w:cs="Arial" w:eastAsia="Arial" w:hAnsi="Arial"/>
                <w:sz w:val="22"/>
                <w:szCs w:val="22"/>
                <w:b w:val="1"/>
                <w:bCs w:val="1"/>
                <w:color w:val="auto"/>
              </w:rPr>
              <w:t>Short-term incentive -</w:t>
            </w:r>
          </w:p>
        </w:tc>
        <w:tc>
          <w:tcPr>
            <w:tcW w:w="1120" w:type="dxa"/>
            <w:vAlign w:val="bottom"/>
            <w:tcBorders>
              <w:right w:val="single" w:sz="8" w:color="70AD47"/>
            </w:tcBorders>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Borders>
              <w:right w:val="single" w:sz="8" w:color="70AD47"/>
            </w:tcBorders>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Borders>
              <w:right w:val="single" w:sz="8" w:color="70AD47"/>
            </w:tcBorders>
          </w:tcPr>
          <w:p>
            <w:pPr>
              <w:spacing w:after="0"/>
              <w:rPr>
                <w:sz w:val="18"/>
                <w:szCs w:val="18"/>
                <w:color w:val="auto"/>
              </w:rPr>
            </w:pPr>
          </w:p>
        </w:tc>
        <w:tc>
          <w:tcPr>
            <w:tcW w:w="1260" w:type="dxa"/>
            <w:vAlign w:val="bottom"/>
            <w:tcBorders>
              <w:right w:val="single" w:sz="8" w:color="70AD47"/>
            </w:tcBorders>
          </w:tcPr>
          <w:p>
            <w:pPr>
              <w:spacing w:after="0"/>
              <w:rPr>
                <w:sz w:val="18"/>
                <w:szCs w:val="18"/>
                <w:color w:val="auto"/>
              </w:rPr>
            </w:pPr>
          </w:p>
        </w:tc>
        <w:tc>
          <w:tcPr>
            <w:tcW w:w="2160" w:type="dxa"/>
            <w:vAlign w:val="bottom"/>
            <w:tcBorders>
              <w:right w:val="single" w:sz="8" w:color="70AD47"/>
            </w:tcBorders>
          </w:tcPr>
          <w:p>
            <w:pPr>
              <w:spacing w:after="0"/>
              <w:rPr>
                <w:sz w:val="18"/>
                <w:szCs w:val="18"/>
                <w:color w:val="auto"/>
              </w:rPr>
            </w:pPr>
          </w:p>
        </w:tc>
        <w:tc>
          <w:tcPr>
            <w:tcW w:w="1720" w:type="dxa"/>
            <w:vAlign w:val="bottom"/>
            <w:tcBorders>
              <w:right w:val="single" w:sz="8" w:color="70AD47"/>
            </w:tcBorders>
          </w:tcPr>
          <w:p>
            <w:pPr>
              <w:spacing w:after="0"/>
              <w:rPr>
                <w:sz w:val="18"/>
                <w:szCs w:val="18"/>
                <w:color w:val="auto"/>
              </w:rPr>
            </w:pPr>
          </w:p>
        </w:tc>
      </w:tr>
      <w:tr>
        <w:trPr>
          <w:trHeight w:val="216"/>
        </w:trPr>
        <w:tc>
          <w:tcPr>
            <w:tcW w:w="234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b w:val="1"/>
                <w:bCs w:val="1"/>
                <w:color w:val="auto"/>
              </w:rPr>
              <w:t>first</w:t>
            </w:r>
          </w:p>
        </w:tc>
        <w:tc>
          <w:tcPr>
            <w:tcW w:w="1120" w:type="dxa"/>
            <w:vAlign w:val="bottom"/>
            <w:tcBorders>
              <w:right w:val="single" w:sz="8" w:color="70AD47"/>
            </w:tcBorders>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Borders>
              <w:right w:val="single" w:sz="8" w:color="70AD47"/>
            </w:tcBorders>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Borders>
              <w:right w:val="single" w:sz="8" w:color="70AD47"/>
            </w:tcBorders>
          </w:tcPr>
          <w:p>
            <w:pPr>
              <w:spacing w:after="0"/>
              <w:rPr>
                <w:sz w:val="18"/>
                <w:szCs w:val="18"/>
                <w:color w:val="auto"/>
              </w:rPr>
            </w:pPr>
          </w:p>
        </w:tc>
        <w:tc>
          <w:tcPr>
            <w:tcW w:w="1260" w:type="dxa"/>
            <w:vAlign w:val="bottom"/>
            <w:tcBorders>
              <w:right w:val="single" w:sz="8" w:color="70AD47"/>
            </w:tcBorders>
          </w:tcPr>
          <w:p>
            <w:pPr>
              <w:spacing w:after="0"/>
              <w:rPr>
                <w:sz w:val="18"/>
                <w:szCs w:val="18"/>
                <w:color w:val="auto"/>
              </w:rPr>
            </w:pPr>
          </w:p>
        </w:tc>
        <w:tc>
          <w:tcPr>
            <w:tcW w:w="2160" w:type="dxa"/>
            <w:vAlign w:val="bottom"/>
            <w:tcBorders>
              <w:right w:val="single" w:sz="8" w:color="70AD47"/>
            </w:tcBorders>
          </w:tcPr>
          <w:p>
            <w:pPr>
              <w:spacing w:after="0"/>
              <w:rPr>
                <w:sz w:val="18"/>
                <w:szCs w:val="18"/>
                <w:color w:val="auto"/>
              </w:rPr>
            </w:pPr>
          </w:p>
        </w:tc>
        <w:tc>
          <w:tcPr>
            <w:tcW w:w="1720" w:type="dxa"/>
            <w:vAlign w:val="bottom"/>
            <w:tcBorders>
              <w:right w:val="single" w:sz="8" w:color="70AD47"/>
            </w:tcBorders>
          </w:tcPr>
          <w:p>
            <w:pPr>
              <w:spacing w:after="0"/>
              <w:rPr>
                <w:sz w:val="18"/>
                <w:szCs w:val="18"/>
                <w:color w:val="auto"/>
              </w:rPr>
            </w:pPr>
          </w:p>
        </w:tc>
      </w:tr>
      <w:tr>
        <w:trPr>
          <w:trHeight w:val="284"/>
        </w:trPr>
        <w:tc>
          <w:tcPr>
            <w:tcW w:w="2340" w:type="dxa"/>
            <w:vAlign w:val="bottom"/>
            <w:tcBorders>
              <w:right w:val="single" w:sz="8" w:color="70AD47"/>
            </w:tcBorders>
          </w:tcPr>
          <w:p>
            <w:pPr>
              <w:ind w:left="20"/>
              <w:spacing w:after="0" w:line="284" w:lineRule="exact"/>
              <w:rPr>
                <w:sz w:val="20"/>
                <w:szCs w:val="20"/>
                <w:color w:val="auto"/>
              </w:rPr>
            </w:pPr>
            <w:r>
              <w:rPr>
                <w:rFonts w:ascii="Arial" w:cs="Arial" w:eastAsia="Arial" w:hAnsi="Arial"/>
                <w:sz w:val="22"/>
                <w:szCs w:val="22"/>
                <w:b w:val="1"/>
                <w:bCs w:val="1"/>
                <w:color w:val="auto"/>
              </w:rPr>
              <w:t>installment</w:t>
            </w:r>
            <w:r>
              <w:rPr>
                <w:rFonts w:ascii="Arial" w:cs="Arial" w:eastAsia="Arial" w:hAnsi="Arial"/>
                <w:sz w:val="28"/>
                <w:szCs w:val="28"/>
                <w:color w:val="auto"/>
                <w:vertAlign w:val="superscript"/>
              </w:rPr>
              <w:t>(4)</w:t>
            </w:r>
          </w:p>
        </w:tc>
        <w:tc>
          <w:tcPr>
            <w:tcW w:w="1120" w:type="dxa"/>
            <w:vAlign w:val="bottom"/>
            <w:tcBorders>
              <w:right w:val="single" w:sz="8" w:color="70AD47"/>
            </w:tcBorders>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Borders>
              <w:right w:val="single" w:sz="8" w:color="70AD47"/>
            </w:tcBorders>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Borders>
              <w:right w:val="single" w:sz="8" w:color="70AD47"/>
            </w:tcBorders>
          </w:tcPr>
          <w:p>
            <w:pPr>
              <w:spacing w:after="0"/>
              <w:rPr>
                <w:sz w:val="24"/>
                <w:szCs w:val="24"/>
                <w:color w:val="auto"/>
              </w:rPr>
            </w:pPr>
          </w:p>
        </w:tc>
        <w:tc>
          <w:tcPr>
            <w:tcW w:w="1260" w:type="dxa"/>
            <w:vAlign w:val="bottom"/>
            <w:tcBorders>
              <w:right w:val="single" w:sz="8" w:color="70AD47"/>
            </w:tcBorders>
          </w:tcPr>
          <w:p>
            <w:pPr>
              <w:spacing w:after="0"/>
              <w:rPr>
                <w:sz w:val="24"/>
                <w:szCs w:val="24"/>
                <w:color w:val="auto"/>
              </w:rPr>
            </w:pPr>
          </w:p>
        </w:tc>
        <w:tc>
          <w:tcPr>
            <w:tcW w:w="2160" w:type="dxa"/>
            <w:vAlign w:val="bottom"/>
            <w:tcBorders>
              <w:right w:val="single" w:sz="8" w:color="70AD47"/>
            </w:tcBorders>
          </w:tcPr>
          <w:p>
            <w:pPr>
              <w:spacing w:after="0"/>
              <w:rPr>
                <w:sz w:val="24"/>
                <w:szCs w:val="24"/>
                <w:color w:val="auto"/>
              </w:rPr>
            </w:pPr>
          </w:p>
        </w:tc>
        <w:tc>
          <w:tcPr>
            <w:tcW w:w="1720" w:type="dxa"/>
            <w:vAlign w:val="bottom"/>
            <w:tcBorders>
              <w:right w:val="single" w:sz="8" w:color="70AD47"/>
            </w:tcBorders>
          </w:tcPr>
          <w:p>
            <w:pPr>
              <w:spacing w:after="0"/>
              <w:rPr>
                <w:sz w:val="24"/>
                <w:szCs w:val="24"/>
                <w:color w:val="auto"/>
              </w:rPr>
            </w:pPr>
          </w:p>
        </w:tc>
      </w:tr>
      <w:tr>
        <w:trPr>
          <w:trHeight w:val="270"/>
        </w:trPr>
        <w:tc>
          <w:tcPr>
            <w:tcW w:w="2340" w:type="dxa"/>
            <w:vAlign w:val="bottom"/>
            <w:tcBorders>
              <w:right w:val="single" w:sz="8" w:color="70AD47"/>
            </w:tcBorders>
            <w:shd w:val="clear" w:color="auto" w:fill="C6E0B4"/>
          </w:tcPr>
          <w:p>
            <w:pPr>
              <w:ind w:left="20"/>
              <w:spacing w:after="0"/>
              <w:rPr>
                <w:sz w:val="20"/>
                <w:szCs w:val="20"/>
                <w:color w:val="auto"/>
              </w:rPr>
            </w:pPr>
            <w:r>
              <w:rPr>
                <w:rFonts w:ascii="Arial" w:cs="Arial" w:eastAsia="Arial" w:hAnsi="Arial"/>
                <w:sz w:val="22"/>
                <w:szCs w:val="22"/>
                <w:color w:val="auto"/>
              </w:rPr>
              <w:t>2021</w:t>
            </w:r>
          </w:p>
        </w:tc>
        <w:tc>
          <w:tcPr>
            <w:tcW w:w="11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90</w:t>
            </w:r>
          </w:p>
        </w:tc>
        <w:tc>
          <w:tcPr>
            <w:tcW w:w="660" w:type="dxa"/>
            <w:vAlign w:val="bottom"/>
            <w:shd w:val="clear" w:color="auto" w:fill="C6E0B4"/>
          </w:tcPr>
          <w:p>
            <w:pPr>
              <w:spacing w:after="0"/>
              <w:rPr>
                <w:sz w:val="23"/>
                <w:szCs w:val="23"/>
                <w:color w:val="auto"/>
              </w:rPr>
            </w:pPr>
          </w:p>
        </w:tc>
        <w:tc>
          <w:tcPr>
            <w:tcW w:w="5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100</w:t>
            </w:r>
          </w:p>
        </w:tc>
        <w:tc>
          <w:tcPr>
            <w:tcW w:w="900" w:type="dxa"/>
            <w:vAlign w:val="bottom"/>
            <w:shd w:val="clear" w:color="auto" w:fill="C6E0B4"/>
          </w:tcPr>
          <w:p>
            <w:pPr>
              <w:spacing w:after="0"/>
              <w:rPr>
                <w:sz w:val="23"/>
                <w:szCs w:val="23"/>
                <w:color w:val="auto"/>
              </w:rPr>
            </w:pPr>
          </w:p>
        </w:tc>
        <w:tc>
          <w:tcPr>
            <w:tcW w:w="5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90</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90</w:t>
            </w:r>
          </w:p>
        </w:tc>
        <w:tc>
          <w:tcPr>
            <w:tcW w:w="21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80</w:t>
            </w:r>
          </w:p>
        </w:tc>
        <w:tc>
          <w:tcPr>
            <w:tcW w:w="17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75</w:t>
            </w:r>
          </w:p>
        </w:tc>
      </w:tr>
      <w:tr>
        <w:trPr>
          <w:trHeight w:val="256"/>
        </w:trPr>
        <w:tc>
          <w:tcPr>
            <w:tcW w:w="2340" w:type="dxa"/>
            <w:vAlign w:val="bottom"/>
            <w:tcBorders>
              <w:right w:val="single" w:sz="8" w:color="70AD47"/>
            </w:tcBorders>
          </w:tcPr>
          <w:p>
            <w:pPr>
              <w:ind w:left="20"/>
              <w:spacing w:after="0"/>
              <w:rPr>
                <w:sz w:val="20"/>
                <w:szCs w:val="20"/>
                <w:color w:val="auto"/>
              </w:rPr>
            </w:pPr>
            <w:r>
              <w:rPr>
                <w:rFonts w:ascii="Arial" w:cs="Arial" w:eastAsia="Arial" w:hAnsi="Arial"/>
                <w:sz w:val="22"/>
                <w:szCs w:val="22"/>
                <w:color w:val="auto"/>
              </w:rPr>
              <w:t>2020</w:t>
            </w:r>
          </w:p>
        </w:tc>
        <w:tc>
          <w:tcPr>
            <w:tcW w:w="112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90</w:t>
            </w:r>
          </w:p>
        </w:tc>
        <w:tc>
          <w:tcPr>
            <w:tcW w:w="660" w:type="dxa"/>
            <w:vAlign w:val="bottom"/>
          </w:tcPr>
          <w:p>
            <w:pPr>
              <w:spacing w:after="0"/>
              <w:rPr>
                <w:sz w:val="22"/>
                <w:szCs w:val="22"/>
                <w:color w:val="auto"/>
              </w:rPr>
            </w:pPr>
          </w:p>
        </w:tc>
        <w:tc>
          <w:tcPr>
            <w:tcW w:w="52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100</w:t>
            </w:r>
          </w:p>
        </w:tc>
        <w:tc>
          <w:tcPr>
            <w:tcW w:w="900" w:type="dxa"/>
            <w:vAlign w:val="bottom"/>
          </w:tcPr>
          <w:p>
            <w:pPr>
              <w:spacing w:after="0"/>
              <w:rPr>
                <w:sz w:val="22"/>
                <w:szCs w:val="22"/>
                <w:color w:val="auto"/>
              </w:rPr>
            </w:pPr>
          </w:p>
        </w:tc>
        <w:tc>
          <w:tcPr>
            <w:tcW w:w="56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90</w:t>
            </w:r>
          </w:p>
        </w:tc>
        <w:tc>
          <w:tcPr>
            <w:tcW w:w="126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90</w:t>
            </w:r>
          </w:p>
        </w:tc>
        <w:tc>
          <w:tcPr>
            <w:tcW w:w="216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80</w:t>
            </w:r>
          </w:p>
        </w:tc>
        <w:tc>
          <w:tcPr>
            <w:tcW w:w="172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w:t>
            </w:r>
          </w:p>
        </w:tc>
      </w:tr>
      <w:tr>
        <w:trPr>
          <w:trHeight w:val="216"/>
        </w:trPr>
        <w:tc>
          <w:tcPr>
            <w:tcW w:w="2340" w:type="dxa"/>
            <w:vAlign w:val="bottom"/>
            <w:tcBorders>
              <w:right w:val="single" w:sz="8" w:color="70AD47"/>
            </w:tcBorders>
          </w:tcPr>
          <w:p>
            <w:pPr>
              <w:ind w:left="20"/>
              <w:spacing w:after="0" w:line="217" w:lineRule="exact"/>
              <w:rPr>
                <w:sz w:val="20"/>
                <w:szCs w:val="20"/>
                <w:color w:val="auto"/>
              </w:rPr>
            </w:pPr>
            <w:r>
              <w:rPr>
                <w:rFonts w:ascii="Arial" w:cs="Arial" w:eastAsia="Arial" w:hAnsi="Arial"/>
                <w:sz w:val="22"/>
                <w:szCs w:val="22"/>
                <w:b w:val="1"/>
                <w:bCs w:val="1"/>
                <w:color w:val="auto"/>
                <w:w w:val="98"/>
              </w:rPr>
              <w:t>Short-term incentive –</w:t>
            </w:r>
          </w:p>
        </w:tc>
        <w:tc>
          <w:tcPr>
            <w:tcW w:w="1120" w:type="dxa"/>
            <w:vAlign w:val="bottom"/>
            <w:tcBorders>
              <w:right w:val="single" w:sz="8" w:color="70AD47"/>
            </w:tcBorders>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Borders>
              <w:right w:val="single" w:sz="8" w:color="70AD47"/>
            </w:tcBorders>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Borders>
              <w:right w:val="single" w:sz="8" w:color="70AD47"/>
            </w:tcBorders>
          </w:tcPr>
          <w:p>
            <w:pPr>
              <w:spacing w:after="0"/>
              <w:rPr>
                <w:sz w:val="18"/>
                <w:szCs w:val="18"/>
                <w:color w:val="auto"/>
              </w:rPr>
            </w:pPr>
          </w:p>
        </w:tc>
        <w:tc>
          <w:tcPr>
            <w:tcW w:w="1260" w:type="dxa"/>
            <w:vAlign w:val="bottom"/>
            <w:tcBorders>
              <w:right w:val="single" w:sz="8" w:color="70AD47"/>
            </w:tcBorders>
          </w:tcPr>
          <w:p>
            <w:pPr>
              <w:spacing w:after="0"/>
              <w:rPr>
                <w:sz w:val="18"/>
                <w:szCs w:val="18"/>
                <w:color w:val="auto"/>
              </w:rPr>
            </w:pPr>
          </w:p>
        </w:tc>
        <w:tc>
          <w:tcPr>
            <w:tcW w:w="2160" w:type="dxa"/>
            <w:vAlign w:val="bottom"/>
            <w:tcBorders>
              <w:right w:val="single" w:sz="8" w:color="70AD47"/>
            </w:tcBorders>
          </w:tcPr>
          <w:p>
            <w:pPr>
              <w:spacing w:after="0"/>
              <w:rPr>
                <w:sz w:val="18"/>
                <w:szCs w:val="18"/>
                <w:color w:val="auto"/>
              </w:rPr>
            </w:pPr>
          </w:p>
        </w:tc>
        <w:tc>
          <w:tcPr>
            <w:tcW w:w="1720" w:type="dxa"/>
            <w:vAlign w:val="bottom"/>
            <w:tcBorders>
              <w:right w:val="single" w:sz="8" w:color="70AD47"/>
            </w:tcBorders>
          </w:tcPr>
          <w:p>
            <w:pPr>
              <w:spacing w:after="0"/>
              <w:rPr>
                <w:sz w:val="18"/>
                <w:szCs w:val="18"/>
                <w:color w:val="auto"/>
              </w:rPr>
            </w:pPr>
          </w:p>
        </w:tc>
      </w:tr>
      <w:tr>
        <w:trPr>
          <w:trHeight w:val="284"/>
        </w:trPr>
        <w:tc>
          <w:tcPr>
            <w:tcW w:w="2340" w:type="dxa"/>
            <w:vAlign w:val="bottom"/>
            <w:tcBorders>
              <w:right w:val="single" w:sz="8" w:color="70AD47"/>
            </w:tcBorders>
          </w:tcPr>
          <w:p>
            <w:pPr>
              <w:ind w:left="20"/>
              <w:spacing w:after="0" w:line="284" w:lineRule="exact"/>
              <w:rPr>
                <w:sz w:val="20"/>
                <w:szCs w:val="20"/>
                <w:color w:val="auto"/>
              </w:rPr>
            </w:pPr>
            <w:r>
              <w:rPr>
                <w:rFonts w:ascii="Arial" w:cs="Arial" w:eastAsia="Arial" w:hAnsi="Arial"/>
                <w:sz w:val="22"/>
                <w:szCs w:val="22"/>
                <w:b w:val="1"/>
                <w:bCs w:val="1"/>
                <w:color w:val="auto"/>
              </w:rPr>
              <w:t>second Installment</w:t>
            </w:r>
            <w:r>
              <w:rPr>
                <w:rFonts w:ascii="Arial" w:cs="Arial" w:eastAsia="Arial" w:hAnsi="Arial"/>
                <w:sz w:val="28"/>
                <w:szCs w:val="28"/>
                <w:color w:val="auto"/>
                <w:vertAlign w:val="superscript"/>
              </w:rPr>
              <w:t>(5)</w:t>
            </w:r>
          </w:p>
        </w:tc>
        <w:tc>
          <w:tcPr>
            <w:tcW w:w="1120" w:type="dxa"/>
            <w:vAlign w:val="bottom"/>
            <w:tcBorders>
              <w:right w:val="single" w:sz="8" w:color="70AD47"/>
            </w:tcBorders>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Borders>
              <w:right w:val="single" w:sz="8" w:color="70AD47"/>
            </w:tcBorders>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Borders>
              <w:right w:val="single" w:sz="8" w:color="70AD47"/>
            </w:tcBorders>
          </w:tcPr>
          <w:p>
            <w:pPr>
              <w:spacing w:after="0"/>
              <w:rPr>
                <w:sz w:val="24"/>
                <w:szCs w:val="24"/>
                <w:color w:val="auto"/>
              </w:rPr>
            </w:pPr>
          </w:p>
        </w:tc>
        <w:tc>
          <w:tcPr>
            <w:tcW w:w="1260" w:type="dxa"/>
            <w:vAlign w:val="bottom"/>
            <w:tcBorders>
              <w:right w:val="single" w:sz="8" w:color="70AD47"/>
            </w:tcBorders>
          </w:tcPr>
          <w:p>
            <w:pPr>
              <w:spacing w:after="0"/>
              <w:rPr>
                <w:sz w:val="24"/>
                <w:szCs w:val="24"/>
                <w:color w:val="auto"/>
              </w:rPr>
            </w:pPr>
          </w:p>
        </w:tc>
        <w:tc>
          <w:tcPr>
            <w:tcW w:w="2160" w:type="dxa"/>
            <w:vAlign w:val="bottom"/>
            <w:tcBorders>
              <w:right w:val="single" w:sz="8" w:color="70AD47"/>
            </w:tcBorders>
          </w:tcPr>
          <w:p>
            <w:pPr>
              <w:spacing w:after="0"/>
              <w:rPr>
                <w:sz w:val="24"/>
                <w:szCs w:val="24"/>
                <w:color w:val="auto"/>
              </w:rPr>
            </w:pPr>
          </w:p>
        </w:tc>
        <w:tc>
          <w:tcPr>
            <w:tcW w:w="1720" w:type="dxa"/>
            <w:vAlign w:val="bottom"/>
            <w:tcBorders>
              <w:right w:val="single" w:sz="8" w:color="70AD47"/>
            </w:tcBorders>
          </w:tcPr>
          <w:p>
            <w:pPr>
              <w:spacing w:after="0"/>
              <w:rPr>
                <w:sz w:val="24"/>
                <w:szCs w:val="24"/>
                <w:color w:val="auto"/>
              </w:rPr>
            </w:pPr>
          </w:p>
        </w:tc>
      </w:tr>
      <w:tr>
        <w:trPr>
          <w:trHeight w:val="270"/>
        </w:trPr>
        <w:tc>
          <w:tcPr>
            <w:tcW w:w="2340" w:type="dxa"/>
            <w:vAlign w:val="bottom"/>
            <w:tcBorders>
              <w:right w:val="single" w:sz="8" w:color="70AD47"/>
            </w:tcBorders>
            <w:shd w:val="clear" w:color="auto" w:fill="C6E0B4"/>
          </w:tcPr>
          <w:p>
            <w:pPr>
              <w:ind w:left="20"/>
              <w:spacing w:after="0"/>
              <w:rPr>
                <w:sz w:val="20"/>
                <w:szCs w:val="20"/>
                <w:color w:val="auto"/>
              </w:rPr>
            </w:pPr>
            <w:r>
              <w:rPr>
                <w:rFonts w:ascii="Arial" w:cs="Arial" w:eastAsia="Arial" w:hAnsi="Arial"/>
                <w:sz w:val="22"/>
                <w:szCs w:val="22"/>
                <w:color w:val="auto"/>
              </w:rPr>
              <w:t>2021</w:t>
            </w:r>
          </w:p>
        </w:tc>
        <w:tc>
          <w:tcPr>
            <w:tcW w:w="11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90</w:t>
            </w:r>
          </w:p>
        </w:tc>
        <w:tc>
          <w:tcPr>
            <w:tcW w:w="660" w:type="dxa"/>
            <w:vAlign w:val="bottom"/>
            <w:shd w:val="clear" w:color="auto" w:fill="C6E0B4"/>
          </w:tcPr>
          <w:p>
            <w:pPr>
              <w:spacing w:after="0"/>
              <w:rPr>
                <w:sz w:val="23"/>
                <w:szCs w:val="23"/>
                <w:color w:val="auto"/>
              </w:rPr>
            </w:pPr>
          </w:p>
        </w:tc>
        <w:tc>
          <w:tcPr>
            <w:tcW w:w="5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100</w:t>
            </w:r>
          </w:p>
        </w:tc>
        <w:tc>
          <w:tcPr>
            <w:tcW w:w="900" w:type="dxa"/>
            <w:vAlign w:val="bottom"/>
            <w:shd w:val="clear" w:color="auto" w:fill="C6E0B4"/>
          </w:tcPr>
          <w:p>
            <w:pPr>
              <w:spacing w:after="0"/>
              <w:rPr>
                <w:sz w:val="23"/>
                <w:szCs w:val="23"/>
                <w:color w:val="auto"/>
              </w:rPr>
            </w:pPr>
          </w:p>
        </w:tc>
        <w:tc>
          <w:tcPr>
            <w:tcW w:w="5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90</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90</w:t>
            </w:r>
          </w:p>
        </w:tc>
        <w:tc>
          <w:tcPr>
            <w:tcW w:w="21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80</w:t>
            </w:r>
          </w:p>
        </w:tc>
        <w:tc>
          <w:tcPr>
            <w:tcW w:w="17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75</w:t>
            </w:r>
          </w:p>
        </w:tc>
      </w:tr>
      <w:tr>
        <w:trPr>
          <w:trHeight w:val="256"/>
        </w:trPr>
        <w:tc>
          <w:tcPr>
            <w:tcW w:w="2340" w:type="dxa"/>
            <w:vAlign w:val="bottom"/>
            <w:tcBorders>
              <w:right w:val="single" w:sz="8" w:color="70AD47"/>
            </w:tcBorders>
          </w:tcPr>
          <w:p>
            <w:pPr>
              <w:ind w:left="20"/>
              <w:spacing w:after="0"/>
              <w:rPr>
                <w:sz w:val="20"/>
                <w:szCs w:val="20"/>
                <w:color w:val="auto"/>
              </w:rPr>
            </w:pPr>
            <w:r>
              <w:rPr>
                <w:rFonts w:ascii="Arial" w:cs="Arial" w:eastAsia="Arial" w:hAnsi="Arial"/>
                <w:sz w:val="22"/>
                <w:szCs w:val="22"/>
                <w:color w:val="auto"/>
              </w:rPr>
              <w:t>2020</w:t>
            </w:r>
          </w:p>
        </w:tc>
        <w:tc>
          <w:tcPr>
            <w:tcW w:w="112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90</w:t>
            </w:r>
          </w:p>
        </w:tc>
        <w:tc>
          <w:tcPr>
            <w:tcW w:w="660" w:type="dxa"/>
            <w:vAlign w:val="bottom"/>
          </w:tcPr>
          <w:p>
            <w:pPr>
              <w:spacing w:after="0"/>
              <w:rPr>
                <w:sz w:val="22"/>
                <w:szCs w:val="22"/>
                <w:color w:val="auto"/>
              </w:rPr>
            </w:pPr>
          </w:p>
        </w:tc>
        <w:tc>
          <w:tcPr>
            <w:tcW w:w="52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100</w:t>
            </w:r>
          </w:p>
        </w:tc>
        <w:tc>
          <w:tcPr>
            <w:tcW w:w="900" w:type="dxa"/>
            <w:vAlign w:val="bottom"/>
          </w:tcPr>
          <w:p>
            <w:pPr>
              <w:spacing w:after="0"/>
              <w:rPr>
                <w:sz w:val="22"/>
                <w:szCs w:val="22"/>
                <w:color w:val="auto"/>
              </w:rPr>
            </w:pPr>
          </w:p>
        </w:tc>
        <w:tc>
          <w:tcPr>
            <w:tcW w:w="56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90</w:t>
            </w:r>
          </w:p>
        </w:tc>
        <w:tc>
          <w:tcPr>
            <w:tcW w:w="126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90</w:t>
            </w:r>
          </w:p>
        </w:tc>
        <w:tc>
          <w:tcPr>
            <w:tcW w:w="216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80</w:t>
            </w:r>
          </w:p>
        </w:tc>
        <w:tc>
          <w:tcPr>
            <w:tcW w:w="172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w:t>
            </w:r>
          </w:p>
        </w:tc>
      </w:tr>
      <w:tr>
        <w:trPr>
          <w:trHeight w:val="216"/>
        </w:trPr>
        <w:tc>
          <w:tcPr>
            <w:tcW w:w="2340" w:type="dxa"/>
            <w:vAlign w:val="bottom"/>
            <w:tcBorders>
              <w:right w:val="single" w:sz="8" w:color="70AD47"/>
            </w:tcBorders>
          </w:tcPr>
          <w:p>
            <w:pPr>
              <w:ind w:left="20"/>
              <w:spacing w:after="0" w:line="217" w:lineRule="exact"/>
              <w:rPr>
                <w:sz w:val="20"/>
                <w:szCs w:val="20"/>
                <w:color w:val="auto"/>
              </w:rPr>
            </w:pPr>
            <w:r>
              <w:rPr>
                <w:rFonts w:ascii="Arial" w:cs="Arial" w:eastAsia="Arial" w:hAnsi="Arial"/>
                <w:sz w:val="22"/>
                <w:szCs w:val="22"/>
                <w:b w:val="1"/>
                <w:bCs w:val="1"/>
                <w:color w:val="auto"/>
                <w:w w:val="94"/>
              </w:rPr>
              <w:t>Share-based payments</w:t>
            </w:r>
          </w:p>
        </w:tc>
        <w:tc>
          <w:tcPr>
            <w:tcW w:w="1120" w:type="dxa"/>
            <w:vAlign w:val="bottom"/>
            <w:tcBorders>
              <w:right w:val="single" w:sz="8" w:color="70AD47"/>
            </w:tcBorders>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Borders>
              <w:right w:val="single" w:sz="8" w:color="70AD47"/>
            </w:tcBorders>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Borders>
              <w:right w:val="single" w:sz="8" w:color="70AD47"/>
            </w:tcBorders>
          </w:tcPr>
          <w:p>
            <w:pPr>
              <w:spacing w:after="0"/>
              <w:rPr>
                <w:sz w:val="18"/>
                <w:szCs w:val="18"/>
                <w:color w:val="auto"/>
              </w:rPr>
            </w:pPr>
          </w:p>
        </w:tc>
        <w:tc>
          <w:tcPr>
            <w:tcW w:w="1260" w:type="dxa"/>
            <w:vAlign w:val="bottom"/>
            <w:tcBorders>
              <w:right w:val="single" w:sz="8" w:color="70AD47"/>
            </w:tcBorders>
          </w:tcPr>
          <w:p>
            <w:pPr>
              <w:spacing w:after="0"/>
              <w:rPr>
                <w:sz w:val="18"/>
                <w:szCs w:val="18"/>
                <w:color w:val="auto"/>
              </w:rPr>
            </w:pPr>
          </w:p>
        </w:tc>
        <w:tc>
          <w:tcPr>
            <w:tcW w:w="2160" w:type="dxa"/>
            <w:vAlign w:val="bottom"/>
            <w:tcBorders>
              <w:right w:val="single" w:sz="8" w:color="70AD47"/>
            </w:tcBorders>
          </w:tcPr>
          <w:p>
            <w:pPr>
              <w:spacing w:after="0"/>
              <w:rPr>
                <w:sz w:val="18"/>
                <w:szCs w:val="18"/>
                <w:color w:val="auto"/>
              </w:rPr>
            </w:pPr>
          </w:p>
        </w:tc>
        <w:tc>
          <w:tcPr>
            <w:tcW w:w="1720" w:type="dxa"/>
            <w:vAlign w:val="bottom"/>
            <w:tcBorders>
              <w:right w:val="single" w:sz="8" w:color="70AD47"/>
            </w:tcBorders>
          </w:tcPr>
          <w:p>
            <w:pPr>
              <w:spacing w:after="0"/>
              <w:rPr>
                <w:sz w:val="18"/>
                <w:szCs w:val="18"/>
                <w:color w:val="auto"/>
              </w:rPr>
            </w:pPr>
          </w:p>
        </w:tc>
      </w:tr>
      <w:tr>
        <w:trPr>
          <w:trHeight w:val="216"/>
        </w:trPr>
        <w:tc>
          <w:tcPr>
            <w:tcW w:w="234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b w:val="1"/>
                <w:bCs w:val="1"/>
                <w:color w:val="auto"/>
              </w:rPr>
              <w:t>(incl. long-term</w:t>
            </w:r>
          </w:p>
        </w:tc>
        <w:tc>
          <w:tcPr>
            <w:tcW w:w="1120" w:type="dxa"/>
            <w:vAlign w:val="bottom"/>
            <w:tcBorders>
              <w:right w:val="single" w:sz="8" w:color="70AD47"/>
            </w:tcBorders>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Borders>
              <w:right w:val="single" w:sz="8" w:color="70AD47"/>
            </w:tcBorders>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Borders>
              <w:right w:val="single" w:sz="8" w:color="70AD47"/>
            </w:tcBorders>
          </w:tcPr>
          <w:p>
            <w:pPr>
              <w:spacing w:after="0"/>
              <w:rPr>
                <w:sz w:val="18"/>
                <w:szCs w:val="18"/>
                <w:color w:val="auto"/>
              </w:rPr>
            </w:pPr>
          </w:p>
        </w:tc>
        <w:tc>
          <w:tcPr>
            <w:tcW w:w="1260" w:type="dxa"/>
            <w:vAlign w:val="bottom"/>
            <w:tcBorders>
              <w:right w:val="single" w:sz="8" w:color="70AD47"/>
            </w:tcBorders>
          </w:tcPr>
          <w:p>
            <w:pPr>
              <w:spacing w:after="0"/>
              <w:rPr>
                <w:sz w:val="18"/>
                <w:szCs w:val="18"/>
                <w:color w:val="auto"/>
              </w:rPr>
            </w:pPr>
          </w:p>
        </w:tc>
        <w:tc>
          <w:tcPr>
            <w:tcW w:w="2160" w:type="dxa"/>
            <w:vAlign w:val="bottom"/>
            <w:tcBorders>
              <w:right w:val="single" w:sz="8" w:color="70AD47"/>
            </w:tcBorders>
          </w:tcPr>
          <w:p>
            <w:pPr>
              <w:spacing w:after="0"/>
              <w:rPr>
                <w:sz w:val="18"/>
                <w:szCs w:val="18"/>
                <w:color w:val="auto"/>
              </w:rPr>
            </w:pPr>
          </w:p>
        </w:tc>
        <w:tc>
          <w:tcPr>
            <w:tcW w:w="1720" w:type="dxa"/>
            <w:vAlign w:val="bottom"/>
            <w:tcBorders>
              <w:right w:val="single" w:sz="8" w:color="70AD47"/>
            </w:tcBorders>
          </w:tcPr>
          <w:p>
            <w:pPr>
              <w:spacing w:after="0"/>
              <w:rPr>
                <w:sz w:val="18"/>
                <w:szCs w:val="18"/>
                <w:color w:val="auto"/>
              </w:rPr>
            </w:pPr>
          </w:p>
        </w:tc>
      </w:tr>
      <w:tr>
        <w:trPr>
          <w:trHeight w:val="283"/>
        </w:trPr>
        <w:tc>
          <w:tcPr>
            <w:tcW w:w="2340" w:type="dxa"/>
            <w:vAlign w:val="bottom"/>
            <w:tcBorders>
              <w:right w:val="single" w:sz="8" w:color="70AD47"/>
            </w:tcBorders>
          </w:tcPr>
          <w:p>
            <w:pPr>
              <w:ind w:left="20"/>
              <w:spacing w:after="0" w:line="284" w:lineRule="exact"/>
              <w:rPr>
                <w:sz w:val="20"/>
                <w:szCs w:val="20"/>
                <w:color w:val="auto"/>
              </w:rPr>
            </w:pPr>
            <w:r>
              <w:rPr>
                <w:rFonts w:ascii="Arial" w:cs="Arial" w:eastAsia="Arial" w:hAnsi="Arial"/>
                <w:sz w:val="22"/>
                <w:szCs w:val="22"/>
                <w:b w:val="1"/>
                <w:bCs w:val="1"/>
                <w:color w:val="auto"/>
              </w:rPr>
              <w:t xml:space="preserve">incentive) </w:t>
            </w:r>
            <w:r>
              <w:rPr>
                <w:rFonts w:ascii="Arial" w:cs="Arial" w:eastAsia="Arial" w:hAnsi="Arial"/>
                <w:sz w:val="28"/>
                <w:szCs w:val="28"/>
                <w:color w:val="auto"/>
                <w:vertAlign w:val="superscript"/>
              </w:rPr>
              <w:t>(6)</w:t>
            </w:r>
          </w:p>
        </w:tc>
        <w:tc>
          <w:tcPr>
            <w:tcW w:w="1120" w:type="dxa"/>
            <w:vAlign w:val="bottom"/>
            <w:tcBorders>
              <w:right w:val="single" w:sz="8" w:color="70AD47"/>
            </w:tcBorders>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Borders>
              <w:right w:val="single" w:sz="8" w:color="70AD47"/>
            </w:tcBorders>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Borders>
              <w:right w:val="single" w:sz="8" w:color="70AD47"/>
            </w:tcBorders>
          </w:tcPr>
          <w:p>
            <w:pPr>
              <w:spacing w:after="0"/>
              <w:rPr>
                <w:sz w:val="24"/>
                <w:szCs w:val="24"/>
                <w:color w:val="auto"/>
              </w:rPr>
            </w:pPr>
          </w:p>
        </w:tc>
        <w:tc>
          <w:tcPr>
            <w:tcW w:w="1260" w:type="dxa"/>
            <w:vAlign w:val="bottom"/>
            <w:tcBorders>
              <w:right w:val="single" w:sz="8" w:color="70AD47"/>
            </w:tcBorders>
          </w:tcPr>
          <w:p>
            <w:pPr>
              <w:spacing w:after="0"/>
              <w:rPr>
                <w:sz w:val="24"/>
                <w:szCs w:val="24"/>
                <w:color w:val="auto"/>
              </w:rPr>
            </w:pPr>
          </w:p>
        </w:tc>
        <w:tc>
          <w:tcPr>
            <w:tcW w:w="2160" w:type="dxa"/>
            <w:vAlign w:val="bottom"/>
            <w:tcBorders>
              <w:right w:val="single" w:sz="8" w:color="70AD47"/>
            </w:tcBorders>
          </w:tcPr>
          <w:p>
            <w:pPr>
              <w:spacing w:after="0"/>
              <w:rPr>
                <w:sz w:val="24"/>
                <w:szCs w:val="24"/>
                <w:color w:val="auto"/>
              </w:rPr>
            </w:pPr>
          </w:p>
        </w:tc>
        <w:tc>
          <w:tcPr>
            <w:tcW w:w="1720" w:type="dxa"/>
            <w:vAlign w:val="bottom"/>
            <w:tcBorders>
              <w:right w:val="single" w:sz="8" w:color="70AD47"/>
            </w:tcBorders>
          </w:tcPr>
          <w:p>
            <w:pPr>
              <w:spacing w:after="0"/>
              <w:rPr>
                <w:sz w:val="24"/>
                <w:szCs w:val="24"/>
                <w:color w:val="auto"/>
              </w:rPr>
            </w:pPr>
          </w:p>
        </w:tc>
      </w:tr>
      <w:tr>
        <w:trPr>
          <w:trHeight w:val="270"/>
        </w:trPr>
        <w:tc>
          <w:tcPr>
            <w:tcW w:w="2340" w:type="dxa"/>
            <w:vAlign w:val="bottom"/>
            <w:tcBorders>
              <w:right w:val="single" w:sz="8" w:color="70AD47"/>
            </w:tcBorders>
            <w:shd w:val="clear" w:color="auto" w:fill="C6E0B4"/>
          </w:tcPr>
          <w:p>
            <w:pPr>
              <w:ind w:left="20"/>
              <w:spacing w:after="0"/>
              <w:rPr>
                <w:sz w:val="20"/>
                <w:szCs w:val="20"/>
                <w:color w:val="auto"/>
              </w:rPr>
            </w:pPr>
            <w:r>
              <w:rPr>
                <w:rFonts w:ascii="Arial" w:cs="Arial" w:eastAsia="Arial" w:hAnsi="Arial"/>
                <w:sz w:val="22"/>
                <w:szCs w:val="22"/>
                <w:color w:val="auto"/>
              </w:rPr>
              <w:t>2021</w:t>
            </w:r>
          </w:p>
        </w:tc>
        <w:tc>
          <w:tcPr>
            <w:tcW w:w="11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w:t>
            </w:r>
          </w:p>
        </w:tc>
        <w:tc>
          <w:tcPr>
            <w:tcW w:w="660" w:type="dxa"/>
            <w:vAlign w:val="bottom"/>
            <w:shd w:val="clear" w:color="auto" w:fill="C6E0B4"/>
          </w:tcPr>
          <w:p>
            <w:pPr>
              <w:spacing w:after="0"/>
              <w:rPr>
                <w:sz w:val="23"/>
                <w:szCs w:val="23"/>
                <w:color w:val="auto"/>
              </w:rPr>
            </w:pPr>
          </w:p>
        </w:tc>
        <w:tc>
          <w:tcPr>
            <w:tcW w:w="5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w:t>
            </w:r>
          </w:p>
        </w:tc>
        <w:tc>
          <w:tcPr>
            <w:tcW w:w="900" w:type="dxa"/>
            <w:vAlign w:val="bottom"/>
            <w:shd w:val="clear" w:color="auto" w:fill="C6E0B4"/>
          </w:tcPr>
          <w:p>
            <w:pPr>
              <w:spacing w:after="0"/>
              <w:rPr>
                <w:sz w:val="23"/>
                <w:szCs w:val="23"/>
                <w:color w:val="auto"/>
              </w:rPr>
            </w:pPr>
          </w:p>
        </w:tc>
        <w:tc>
          <w:tcPr>
            <w:tcW w:w="5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w:t>
            </w:r>
          </w:p>
        </w:tc>
        <w:tc>
          <w:tcPr>
            <w:tcW w:w="21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w:t>
            </w:r>
          </w:p>
        </w:tc>
        <w:tc>
          <w:tcPr>
            <w:tcW w:w="17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color w:val="auto"/>
              </w:rPr>
              <w:t>—</w:t>
            </w:r>
          </w:p>
        </w:tc>
      </w:tr>
      <w:tr>
        <w:trPr>
          <w:trHeight w:val="256"/>
        </w:trPr>
        <w:tc>
          <w:tcPr>
            <w:tcW w:w="2340" w:type="dxa"/>
            <w:vAlign w:val="bottom"/>
            <w:tcBorders>
              <w:right w:val="single" w:sz="8" w:color="70AD47"/>
            </w:tcBorders>
          </w:tcPr>
          <w:p>
            <w:pPr>
              <w:ind w:left="20"/>
              <w:spacing w:after="0"/>
              <w:rPr>
                <w:sz w:val="20"/>
                <w:szCs w:val="20"/>
                <w:color w:val="auto"/>
              </w:rPr>
            </w:pPr>
            <w:r>
              <w:rPr>
                <w:rFonts w:ascii="Arial" w:cs="Arial" w:eastAsia="Arial" w:hAnsi="Arial"/>
                <w:sz w:val="22"/>
                <w:szCs w:val="22"/>
                <w:color w:val="auto"/>
              </w:rPr>
              <w:t>2020</w:t>
            </w:r>
          </w:p>
        </w:tc>
        <w:tc>
          <w:tcPr>
            <w:tcW w:w="112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w:t>
            </w:r>
          </w:p>
        </w:tc>
        <w:tc>
          <w:tcPr>
            <w:tcW w:w="660" w:type="dxa"/>
            <w:vAlign w:val="bottom"/>
          </w:tcPr>
          <w:p>
            <w:pPr>
              <w:spacing w:after="0"/>
              <w:rPr>
                <w:sz w:val="22"/>
                <w:szCs w:val="22"/>
                <w:color w:val="auto"/>
              </w:rPr>
            </w:pPr>
          </w:p>
        </w:tc>
        <w:tc>
          <w:tcPr>
            <w:tcW w:w="52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w:t>
            </w:r>
          </w:p>
        </w:tc>
        <w:tc>
          <w:tcPr>
            <w:tcW w:w="900" w:type="dxa"/>
            <w:vAlign w:val="bottom"/>
          </w:tcPr>
          <w:p>
            <w:pPr>
              <w:spacing w:after="0"/>
              <w:rPr>
                <w:sz w:val="22"/>
                <w:szCs w:val="22"/>
                <w:color w:val="auto"/>
              </w:rPr>
            </w:pPr>
          </w:p>
        </w:tc>
        <w:tc>
          <w:tcPr>
            <w:tcW w:w="56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w:t>
            </w:r>
          </w:p>
        </w:tc>
        <w:tc>
          <w:tcPr>
            <w:tcW w:w="126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w:t>
            </w:r>
          </w:p>
        </w:tc>
        <w:tc>
          <w:tcPr>
            <w:tcW w:w="216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w:t>
            </w:r>
          </w:p>
        </w:tc>
        <w:tc>
          <w:tcPr>
            <w:tcW w:w="1720" w:type="dxa"/>
            <w:vAlign w:val="bottom"/>
            <w:tcBorders>
              <w:right w:val="single" w:sz="8" w:color="70AD47"/>
            </w:tcBorders>
          </w:tcPr>
          <w:p>
            <w:pPr>
              <w:jc w:val="right"/>
              <w:spacing w:after="0"/>
              <w:rPr>
                <w:sz w:val="20"/>
                <w:szCs w:val="20"/>
                <w:color w:val="auto"/>
              </w:rPr>
            </w:pPr>
            <w:r>
              <w:rPr>
                <w:rFonts w:ascii="Arial" w:cs="Arial" w:eastAsia="Arial" w:hAnsi="Arial"/>
                <w:sz w:val="22"/>
                <w:szCs w:val="22"/>
                <w:color w:val="auto"/>
              </w:rPr>
              <w:t>—</w:t>
            </w:r>
          </w:p>
        </w:tc>
      </w:tr>
      <w:tr>
        <w:trPr>
          <w:trHeight w:val="282"/>
        </w:trPr>
        <w:tc>
          <w:tcPr>
            <w:tcW w:w="2340" w:type="dxa"/>
            <w:vAlign w:val="bottom"/>
            <w:tcBorders>
              <w:right w:val="single" w:sz="8" w:color="70AD47"/>
            </w:tcBorders>
          </w:tcPr>
          <w:p>
            <w:pPr>
              <w:ind w:left="20"/>
              <w:spacing w:after="0"/>
              <w:rPr>
                <w:sz w:val="20"/>
                <w:szCs w:val="20"/>
                <w:color w:val="auto"/>
              </w:rPr>
            </w:pPr>
            <w:r>
              <w:rPr>
                <w:rFonts w:ascii="Arial" w:cs="Arial" w:eastAsia="Arial" w:hAnsi="Arial"/>
                <w:sz w:val="22"/>
                <w:szCs w:val="22"/>
                <w:b w:val="1"/>
                <w:bCs w:val="1"/>
                <w:color w:val="auto"/>
              </w:rPr>
              <w:t>Total</w:t>
            </w:r>
          </w:p>
        </w:tc>
        <w:tc>
          <w:tcPr>
            <w:tcW w:w="1120" w:type="dxa"/>
            <w:vAlign w:val="bottom"/>
            <w:tcBorders>
              <w:right w:val="single" w:sz="8" w:color="70AD47"/>
            </w:tcBorders>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Borders>
              <w:right w:val="single" w:sz="8" w:color="70AD47"/>
            </w:tcBorders>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Borders>
              <w:right w:val="single" w:sz="8" w:color="70AD47"/>
            </w:tcBorders>
          </w:tcPr>
          <w:p>
            <w:pPr>
              <w:spacing w:after="0"/>
              <w:rPr>
                <w:sz w:val="24"/>
                <w:szCs w:val="24"/>
                <w:color w:val="auto"/>
              </w:rPr>
            </w:pPr>
          </w:p>
        </w:tc>
        <w:tc>
          <w:tcPr>
            <w:tcW w:w="1260" w:type="dxa"/>
            <w:vAlign w:val="bottom"/>
            <w:tcBorders>
              <w:right w:val="single" w:sz="8" w:color="70AD47"/>
            </w:tcBorders>
          </w:tcPr>
          <w:p>
            <w:pPr>
              <w:spacing w:after="0"/>
              <w:rPr>
                <w:sz w:val="24"/>
                <w:szCs w:val="24"/>
                <w:color w:val="auto"/>
              </w:rPr>
            </w:pPr>
          </w:p>
        </w:tc>
        <w:tc>
          <w:tcPr>
            <w:tcW w:w="2160" w:type="dxa"/>
            <w:vAlign w:val="bottom"/>
            <w:tcBorders>
              <w:right w:val="single" w:sz="8" w:color="70AD47"/>
            </w:tcBorders>
          </w:tcPr>
          <w:p>
            <w:pPr>
              <w:spacing w:after="0"/>
              <w:rPr>
                <w:sz w:val="24"/>
                <w:szCs w:val="24"/>
                <w:color w:val="auto"/>
              </w:rPr>
            </w:pPr>
          </w:p>
        </w:tc>
        <w:tc>
          <w:tcPr>
            <w:tcW w:w="1720" w:type="dxa"/>
            <w:vAlign w:val="bottom"/>
            <w:tcBorders>
              <w:right w:val="single" w:sz="8" w:color="70AD47"/>
            </w:tcBorders>
          </w:tcPr>
          <w:p>
            <w:pPr>
              <w:spacing w:after="0"/>
              <w:rPr>
                <w:sz w:val="24"/>
                <w:szCs w:val="24"/>
                <w:color w:val="auto"/>
              </w:rPr>
            </w:pPr>
          </w:p>
        </w:tc>
      </w:tr>
      <w:tr>
        <w:trPr>
          <w:trHeight w:val="272"/>
        </w:trPr>
        <w:tc>
          <w:tcPr>
            <w:tcW w:w="2340" w:type="dxa"/>
            <w:vAlign w:val="bottom"/>
            <w:tcBorders>
              <w:right w:val="single" w:sz="8" w:color="70AD47"/>
            </w:tcBorders>
            <w:shd w:val="clear" w:color="auto" w:fill="C6E0B4"/>
          </w:tcPr>
          <w:p>
            <w:pPr>
              <w:ind w:left="20"/>
              <w:spacing w:after="0"/>
              <w:rPr>
                <w:sz w:val="20"/>
                <w:szCs w:val="20"/>
                <w:color w:val="auto"/>
              </w:rPr>
            </w:pPr>
            <w:r>
              <w:rPr>
                <w:rFonts w:ascii="Arial" w:cs="Arial" w:eastAsia="Arial" w:hAnsi="Arial"/>
                <w:sz w:val="22"/>
                <w:szCs w:val="22"/>
                <w:b w:val="1"/>
                <w:bCs w:val="1"/>
                <w:color w:val="auto"/>
              </w:rPr>
              <w:t>2021</w:t>
            </w:r>
          </w:p>
        </w:tc>
        <w:tc>
          <w:tcPr>
            <w:tcW w:w="11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b w:val="1"/>
                <w:bCs w:val="1"/>
                <w:color w:val="auto"/>
              </w:rPr>
              <w:t>546 €</w:t>
            </w:r>
          </w:p>
        </w:tc>
        <w:tc>
          <w:tcPr>
            <w:tcW w:w="660" w:type="dxa"/>
            <w:vAlign w:val="bottom"/>
            <w:shd w:val="clear" w:color="auto" w:fill="C6E0B4"/>
          </w:tcPr>
          <w:p>
            <w:pPr>
              <w:spacing w:after="0"/>
              <w:rPr>
                <w:sz w:val="23"/>
                <w:szCs w:val="23"/>
                <w:color w:val="auto"/>
              </w:rPr>
            </w:pPr>
          </w:p>
        </w:tc>
        <w:tc>
          <w:tcPr>
            <w:tcW w:w="5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b w:val="1"/>
                <w:bCs w:val="1"/>
                <w:color w:val="auto"/>
                <w:w w:val="83"/>
              </w:rPr>
              <w:t>622 €</w:t>
            </w:r>
          </w:p>
        </w:tc>
        <w:tc>
          <w:tcPr>
            <w:tcW w:w="900" w:type="dxa"/>
            <w:vAlign w:val="bottom"/>
            <w:shd w:val="clear" w:color="auto" w:fill="C6E0B4"/>
          </w:tcPr>
          <w:p>
            <w:pPr>
              <w:spacing w:after="0"/>
              <w:rPr>
                <w:sz w:val="23"/>
                <w:szCs w:val="23"/>
                <w:color w:val="auto"/>
              </w:rPr>
            </w:pPr>
          </w:p>
        </w:tc>
        <w:tc>
          <w:tcPr>
            <w:tcW w:w="5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b w:val="1"/>
                <w:bCs w:val="1"/>
                <w:color w:val="auto"/>
                <w:w w:val="90"/>
              </w:rPr>
              <w:t>560 €</w:t>
            </w:r>
          </w:p>
        </w:tc>
        <w:tc>
          <w:tcPr>
            <w:tcW w:w="12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b w:val="1"/>
                <w:bCs w:val="1"/>
                <w:color w:val="auto"/>
              </w:rPr>
              <w:t>540 €</w:t>
            </w:r>
          </w:p>
        </w:tc>
        <w:tc>
          <w:tcPr>
            <w:tcW w:w="216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b w:val="1"/>
                <w:bCs w:val="1"/>
                <w:color w:val="auto"/>
              </w:rPr>
              <w:t>496 €</w:t>
            </w:r>
          </w:p>
        </w:tc>
        <w:tc>
          <w:tcPr>
            <w:tcW w:w="1720" w:type="dxa"/>
            <w:vAlign w:val="bottom"/>
            <w:tcBorders>
              <w:right w:val="single" w:sz="8" w:color="70AD47"/>
            </w:tcBorders>
            <w:shd w:val="clear" w:color="auto" w:fill="C6E0B4"/>
          </w:tcPr>
          <w:p>
            <w:pPr>
              <w:jc w:val="right"/>
              <w:spacing w:after="0"/>
              <w:rPr>
                <w:sz w:val="20"/>
                <w:szCs w:val="20"/>
                <w:color w:val="auto"/>
              </w:rPr>
            </w:pPr>
            <w:r>
              <w:rPr>
                <w:rFonts w:ascii="Arial" w:cs="Arial" w:eastAsia="Arial" w:hAnsi="Arial"/>
                <w:sz w:val="22"/>
                <w:szCs w:val="22"/>
                <w:b w:val="1"/>
                <w:bCs w:val="1"/>
                <w:color w:val="auto"/>
              </w:rPr>
              <w:t>428 €</w:t>
            </w:r>
          </w:p>
        </w:tc>
      </w:tr>
      <w:tr>
        <w:trPr>
          <w:trHeight w:val="270"/>
        </w:trPr>
        <w:tc>
          <w:tcPr>
            <w:tcW w:w="2340" w:type="dxa"/>
            <w:vAlign w:val="bottom"/>
            <w:tcBorders>
              <w:bottom w:val="single" w:sz="8" w:color="70AD47"/>
              <w:right w:val="single" w:sz="8" w:color="70AD47"/>
            </w:tcBorders>
          </w:tcPr>
          <w:p>
            <w:pPr>
              <w:ind w:left="20"/>
              <w:spacing w:after="0"/>
              <w:rPr>
                <w:sz w:val="20"/>
                <w:szCs w:val="20"/>
                <w:color w:val="auto"/>
              </w:rPr>
            </w:pPr>
            <w:r>
              <w:rPr>
                <w:rFonts w:ascii="Arial" w:cs="Arial" w:eastAsia="Arial" w:hAnsi="Arial"/>
                <w:sz w:val="22"/>
                <w:szCs w:val="22"/>
                <w:b w:val="1"/>
                <w:bCs w:val="1"/>
                <w:color w:val="auto"/>
              </w:rPr>
              <w:t>2020</w:t>
            </w:r>
          </w:p>
        </w:tc>
        <w:tc>
          <w:tcPr>
            <w:tcW w:w="11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22"/>
                <w:szCs w:val="22"/>
                <w:b w:val="1"/>
                <w:bCs w:val="1"/>
                <w:color w:val="auto"/>
              </w:rPr>
              <w:t>546 €</w:t>
            </w:r>
          </w:p>
        </w:tc>
        <w:tc>
          <w:tcPr>
            <w:tcW w:w="660" w:type="dxa"/>
            <w:vAlign w:val="bottom"/>
            <w:tcBorders>
              <w:bottom w:val="single" w:sz="8" w:color="70AD47"/>
            </w:tcBorders>
          </w:tcPr>
          <w:p>
            <w:pPr>
              <w:spacing w:after="0"/>
              <w:rPr>
                <w:sz w:val="23"/>
                <w:szCs w:val="23"/>
                <w:color w:val="auto"/>
              </w:rPr>
            </w:pPr>
          </w:p>
        </w:tc>
        <w:tc>
          <w:tcPr>
            <w:tcW w:w="5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22"/>
                <w:szCs w:val="22"/>
                <w:b w:val="1"/>
                <w:bCs w:val="1"/>
                <w:color w:val="auto"/>
                <w:w w:val="83"/>
              </w:rPr>
              <w:t>611 €</w:t>
            </w:r>
          </w:p>
        </w:tc>
        <w:tc>
          <w:tcPr>
            <w:tcW w:w="900" w:type="dxa"/>
            <w:vAlign w:val="bottom"/>
            <w:tcBorders>
              <w:bottom w:val="single" w:sz="8" w:color="70AD47"/>
            </w:tcBorders>
          </w:tcPr>
          <w:p>
            <w:pPr>
              <w:spacing w:after="0"/>
              <w:rPr>
                <w:sz w:val="23"/>
                <w:szCs w:val="23"/>
                <w:color w:val="auto"/>
              </w:rPr>
            </w:pPr>
          </w:p>
        </w:tc>
        <w:tc>
          <w:tcPr>
            <w:tcW w:w="56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22"/>
                <w:szCs w:val="22"/>
                <w:b w:val="1"/>
                <w:bCs w:val="1"/>
                <w:color w:val="auto"/>
                <w:w w:val="90"/>
              </w:rPr>
              <w:t>551 €</w:t>
            </w:r>
          </w:p>
        </w:tc>
        <w:tc>
          <w:tcPr>
            <w:tcW w:w="126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22"/>
                <w:szCs w:val="22"/>
                <w:b w:val="1"/>
                <w:bCs w:val="1"/>
                <w:color w:val="auto"/>
              </w:rPr>
              <w:t>543 €</w:t>
            </w:r>
          </w:p>
        </w:tc>
        <w:tc>
          <w:tcPr>
            <w:tcW w:w="216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22"/>
                <w:szCs w:val="22"/>
                <w:b w:val="1"/>
                <w:bCs w:val="1"/>
                <w:color w:val="auto"/>
              </w:rPr>
              <w:t>484 €</w:t>
            </w:r>
          </w:p>
        </w:tc>
        <w:tc>
          <w:tcPr>
            <w:tcW w:w="1720" w:type="dxa"/>
            <w:vAlign w:val="bottom"/>
            <w:tcBorders>
              <w:bottom w:val="single" w:sz="8" w:color="70AD47"/>
              <w:right w:val="single" w:sz="8" w:color="70AD47"/>
            </w:tcBorders>
          </w:tcPr>
          <w:p>
            <w:pPr>
              <w:jc w:val="right"/>
              <w:spacing w:after="0"/>
              <w:rPr>
                <w:sz w:val="20"/>
                <w:szCs w:val="20"/>
                <w:color w:val="auto"/>
              </w:rPr>
            </w:pPr>
            <w:r>
              <w:rPr>
                <w:rFonts w:ascii="Arial" w:cs="Arial" w:eastAsia="Arial" w:hAnsi="Arial"/>
                <w:sz w:val="22"/>
                <w:szCs w:val="22"/>
                <w:b w:val="1"/>
                <w:bCs w:val="1"/>
                <w:color w:val="auto"/>
              </w:rPr>
              <w:t>— €</w:t>
            </w:r>
          </w:p>
        </w:tc>
      </w:tr>
    </w:tbl>
    <w:p>
      <w:pPr>
        <w:spacing w:after="0" w:line="262" w:lineRule="exact"/>
        <w:rPr>
          <w:sz w:val="20"/>
          <w:szCs w:val="20"/>
          <w:color w:val="auto"/>
        </w:rPr>
      </w:pPr>
    </w:p>
    <w:p>
      <w:pPr>
        <w:ind w:firstLine="8"/>
        <w:spacing w:after="0" w:line="204" w:lineRule="auto"/>
        <w:tabs>
          <w:tab w:leader="none" w:pos="390" w:val="left"/>
        </w:tabs>
        <w:numPr>
          <w:ilvl w:val="0"/>
          <w:numId w:val="19"/>
        </w:numPr>
        <w:rPr>
          <w:rFonts w:ascii="Arial" w:cs="Arial" w:eastAsia="Arial" w:hAnsi="Arial"/>
          <w:sz w:val="28"/>
          <w:szCs w:val="28"/>
          <w:color w:val="auto"/>
          <w:vertAlign w:val="superscript"/>
        </w:rPr>
      </w:pPr>
      <w:r>
        <w:rPr>
          <w:rFonts w:ascii="Arial" w:cs="Arial" w:eastAsia="Arial" w:hAnsi="Arial"/>
          <w:sz w:val="22"/>
          <w:szCs w:val="22"/>
          <w:color w:val="auto"/>
        </w:rPr>
        <w:t>Ryan Richardson was appointed to the Management Board as Chief Strategy Officer (CSO) and Managing Director effective as of January 12, 2020.</w:t>
      </w:r>
    </w:p>
    <w:p>
      <w:pPr>
        <w:spacing w:after="0" w:line="134" w:lineRule="exact"/>
        <w:rPr>
          <w:rFonts w:ascii="Arial" w:cs="Arial" w:eastAsia="Arial" w:hAnsi="Arial"/>
          <w:sz w:val="28"/>
          <w:szCs w:val="28"/>
          <w:color w:val="auto"/>
          <w:vertAlign w:val="superscript"/>
        </w:rPr>
      </w:pPr>
    </w:p>
    <w:p>
      <w:pPr>
        <w:ind w:left="220" w:hanging="212"/>
        <w:spacing w:after="0"/>
        <w:tabs>
          <w:tab w:leader="none" w:pos="220" w:val="left"/>
        </w:tabs>
        <w:numPr>
          <w:ilvl w:val="0"/>
          <w:numId w:val="19"/>
        </w:numPr>
        <w:rPr>
          <w:rFonts w:ascii="Arial" w:cs="Arial" w:eastAsia="Arial" w:hAnsi="Arial"/>
          <w:sz w:val="26"/>
          <w:szCs w:val="26"/>
          <w:color w:val="auto"/>
          <w:vertAlign w:val="superscript"/>
        </w:rPr>
      </w:pPr>
      <w:r>
        <w:rPr>
          <w:rFonts w:ascii="Arial" w:cs="Arial" w:eastAsia="Arial" w:hAnsi="Arial"/>
          <w:sz w:val="20"/>
          <w:szCs w:val="20"/>
          <w:color w:val="auto"/>
        </w:rPr>
        <w:t>Jens Holstein was appointed to the Management Board as Chief Financial Officer (CFO) effective as of July 1, 2021.</w:t>
      </w:r>
    </w:p>
    <w:p>
      <w:pPr>
        <w:spacing w:after="0" w:line="110" w:lineRule="exact"/>
        <w:rPr>
          <w:rFonts w:ascii="Arial" w:cs="Arial" w:eastAsia="Arial" w:hAnsi="Arial"/>
          <w:sz w:val="26"/>
          <w:szCs w:val="26"/>
          <w:color w:val="auto"/>
          <w:vertAlign w:val="superscript"/>
        </w:rPr>
      </w:pPr>
    </w:p>
    <w:p>
      <w:pPr>
        <w:ind w:left="380" w:hanging="372"/>
        <w:spacing w:after="0"/>
        <w:tabs>
          <w:tab w:leader="none" w:pos="380" w:val="left"/>
        </w:tabs>
        <w:numPr>
          <w:ilvl w:val="0"/>
          <w:numId w:val="19"/>
        </w:numPr>
        <w:rPr>
          <w:rFonts w:ascii="Arial" w:cs="Arial" w:eastAsia="Arial" w:hAnsi="Arial"/>
          <w:sz w:val="28"/>
          <w:szCs w:val="28"/>
          <w:color w:val="auto"/>
          <w:vertAlign w:val="superscript"/>
        </w:rPr>
      </w:pPr>
      <w:r>
        <w:rPr>
          <w:rFonts w:ascii="Arial" w:cs="Arial" w:eastAsia="Arial" w:hAnsi="Arial"/>
          <w:sz w:val="22"/>
          <w:szCs w:val="22"/>
          <w:color w:val="auto"/>
        </w:rPr>
        <w:t>Includes social security, health and additional insurance, company bike and travel expenses.</w:t>
      </w:r>
    </w:p>
    <w:p>
      <w:pPr>
        <w:spacing w:after="0" w:line="157" w:lineRule="exact"/>
        <w:rPr>
          <w:rFonts w:ascii="Arial" w:cs="Arial" w:eastAsia="Arial" w:hAnsi="Arial"/>
          <w:sz w:val="28"/>
          <w:szCs w:val="28"/>
          <w:color w:val="auto"/>
          <w:vertAlign w:val="superscript"/>
        </w:rPr>
      </w:pPr>
    </w:p>
    <w:p>
      <w:pPr>
        <w:jc w:val="both"/>
        <w:ind w:firstLine="8"/>
        <w:spacing w:after="0" w:line="204" w:lineRule="auto"/>
        <w:tabs>
          <w:tab w:leader="none" w:pos="481" w:val="left"/>
        </w:tabs>
        <w:numPr>
          <w:ilvl w:val="0"/>
          <w:numId w:val="19"/>
        </w:numPr>
        <w:rPr>
          <w:rFonts w:ascii="Arial" w:cs="Arial" w:eastAsia="Arial" w:hAnsi="Arial"/>
          <w:sz w:val="28"/>
          <w:szCs w:val="28"/>
          <w:color w:val="auto"/>
          <w:vertAlign w:val="superscript"/>
        </w:rPr>
      </w:pPr>
      <w:r>
        <w:rPr>
          <w:rFonts w:ascii="Arial" w:cs="Arial" w:eastAsia="Arial" w:hAnsi="Arial"/>
          <w:sz w:val="22"/>
          <w:szCs w:val="22"/>
          <w:color w:val="auto"/>
        </w:rPr>
        <w:t>The first installment of the STI for the year ended December 31, 2021, will be paid out in April 2022, the month after approval of the consolidated financial statements. The first installment of the STI for the year ended December 31, 2021 was considered granted and owed in 2021, the year in which the activity, to which the remuneration relates, has been performed. The first installment of the STI for the year ended December 31, 2020 was considered granted and owed in 2020 and was paid out in January 2021.</w:t>
      </w:r>
    </w:p>
    <w:p>
      <w:pPr>
        <w:spacing w:after="0" w:line="162" w:lineRule="exact"/>
        <w:rPr>
          <w:rFonts w:ascii="Arial" w:cs="Arial" w:eastAsia="Arial" w:hAnsi="Arial"/>
          <w:sz w:val="28"/>
          <w:szCs w:val="28"/>
          <w:color w:val="auto"/>
          <w:vertAlign w:val="superscript"/>
        </w:rPr>
      </w:pPr>
    </w:p>
    <w:p>
      <w:pPr>
        <w:ind w:right="20" w:firstLine="8"/>
        <w:spacing w:after="0" w:line="204" w:lineRule="auto"/>
        <w:tabs>
          <w:tab w:leader="none" w:pos="404" w:val="left"/>
        </w:tabs>
        <w:numPr>
          <w:ilvl w:val="0"/>
          <w:numId w:val="19"/>
        </w:numPr>
        <w:rPr>
          <w:rFonts w:ascii="Arial" w:cs="Arial" w:eastAsia="Arial" w:hAnsi="Arial"/>
          <w:sz w:val="28"/>
          <w:szCs w:val="28"/>
          <w:color w:val="auto"/>
          <w:vertAlign w:val="superscript"/>
        </w:rPr>
      </w:pPr>
      <w:r>
        <w:rPr>
          <w:rFonts w:ascii="Arial" w:cs="Arial" w:eastAsia="Arial" w:hAnsi="Arial"/>
          <w:sz w:val="22"/>
          <w:szCs w:val="22"/>
          <w:color w:val="auto"/>
        </w:rPr>
        <w:t>The second installment of the STI for the year ended December 31, 2021 was also considered granted and owed in 2021, as the Management Board had already completely performed the activity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073" w:right="339" w:bottom="1440" w:gutter="0" w:footer="0" w:header="0"/>
        </w:sectPr>
      </w:pPr>
    </w:p>
    <w:bookmarkStart w:id="23" w:name="page24"/>
    <w:bookmarkEnd w:id="23"/>
    <w:p>
      <w:pPr>
        <w:jc w:val="both"/>
        <w:spacing w:after="0" w:line="216" w:lineRule="auto"/>
        <w:rPr>
          <w:sz w:val="20"/>
          <w:szCs w:val="20"/>
          <w:color w:val="auto"/>
        </w:rPr>
      </w:pPr>
      <w:r>
        <w:rPr>
          <w:rFonts w:ascii="Arial" w:cs="Arial" w:eastAsia="Arial" w:hAnsi="Arial"/>
          <w:sz w:val="22"/>
          <w:szCs w:val="22"/>
          <w:color w:val="auto"/>
        </w:rPr>
        <w:t>which it relates. It will be paid out in February 2023 subject to an adjustment due to the share-price development. The second installment of the STI for the year ended December 31, 2020 was considered granted and owed in 2020 and was paid out in December 2021 with adjustments due to the share-price development. The amounts ultimately paid were as follows: Prof. Ugur Sahin, M.D. €221 thousand, Sean Marett €245 thousand, Dr. Sierk Poetting €221 thousand, Prof. Özlem Türeci, M.D. €221 thousand and Ryan Richardson €196 thousand.</w:t>
      </w:r>
    </w:p>
    <w:p>
      <w:pPr>
        <w:spacing w:after="0" w:line="158" w:lineRule="exact"/>
        <w:rPr>
          <w:sz w:val="20"/>
          <w:szCs w:val="20"/>
          <w:color w:val="auto"/>
        </w:rPr>
      </w:pPr>
    </w:p>
    <w:p>
      <w:pPr>
        <w:jc w:val="both"/>
        <w:ind w:firstLine="8"/>
        <w:spacing w:after="0" w:line="214" w:lineRule="auto"/>
        <w:tabs>
          <w:tab w:leader="none" w:pos="416" w:val="left"/>
        </w:tabs>
        <w:numPr>
          <w:ilvl w:val="0"/>
          <w:numId w:val="20"/>
        </w:numPr>
        <w:rPr>
          <w:rFonts w:ascii="Arial" w:cs="Arial" w:eastAsia="Arial" w:hAnsi="Arial"/>
          <w:sz w:val="27"/>
          <w:szCs w:val="27"/>
          <w:color w:val="auto"/>
          <w:vertAlign w:val="superscript"/>
        </w:rPr>
      </w:pPr>
      <w:r>
        <w:rPr>
          <w:rFonts w:ascii="Arial" w:cs="Arial" w:eastAsia="Arial" w:hAnsi="Arial"/>
          <w:sz w:val="21"/>
          <w:szCs w:val="21"/>
          <w:color w:val="auto"/>
        </w:rPr>
        <w:t>Explanations on our share-based payment arrangements are given in section 6 and include the LTI arrangements and a one-time signing bonus agreed with Jens Holstein as outlined in detail under section 5.4. The benefits from our share-based payment arrangements are considered as granted and owed when the underlying performance and service requirements are considered fulfilled. During the year ended December 31, 2021, no performance and service requirements to a share-based payment arrangement (incl. long-term incentive) were considered fulfilled.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For the years ended December 31, 2021 and 2020 we did not make use of the malus and claw-back provisions, which would entitle us to withhold or reclaim variable compensation components in whole or in part as no event incurred which would be considered a breach in this respect.</w:t>
      </w:r>
    </w:p>
    <w:p>
      <w:pPr>
        <w:spacing w:after="0" w:line="159"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For the years ended December 31, 2021 and 2020, there was no event of termination of the Management Board service contracts. According to this, we did not use the termination related rules and regulations, i.e., outstanding variable compensation components to the period up to termination shall be granted and in the event of premature termination due to evocation of the appointment the Board member shall receive a severance payment.</w:t>
      </w:r>
    </w:p>
    <w:p>
      <w:pPr>
        <w:spacing w:after="0" w:line="161" w:lineRule="exact"/>
        <w:rPr>
          <w:sz w:val="20"/>
          <w:szCs w:val="20"/>
          <w:color w:val="auto"/>
        </w:rPr>
      </w:pPr>
    </w:p>
    <w:p>
      <w:pPr>
        <w:jc w:val="both"/>
        <w:ind w:right="20"/>
        <w:spacing w:after="0" w:line="298" w:lineRule="auto"/>
        <w:rPr>
          <w:sz w:val="20"/>
          <w:szCs w:val="20"/>
          <w:color w:val="auto"/>
        </w:rPr>
      </w:pPr>
      <w:r>
        <w:rPr>
          <w:rFonts w:ascii="Arial" w:cs="Arial" w:eastAsia="Arial" w:hAnsi="Arial"/>
          <w:sz w:val="19"/>
          <w:szCs w:val="19"/>
          <w:color w:val="auto"/>
        </w:rPr>
        <w:t>A detailed description of the malus and claw-back as well as termination provisions are included in our comprehensive remuneration system as approved by the AGM on June 22, 2021, which is available online on our website www.biontech.de.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131" w:right="339" w:bottom="1440" w:gutter="0" w:footer="0" w:header="0"/>
        </w:sectPr>
      </w:pPr>
    </w:p>
    <w:bookmarkStart w:id="24" w:name="page25"/>
    <w:bookmarkEnd w:id="24"/>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Fixed Compensation and Fringe Benefits</w:t>
      </w:r>
    </w:p>
    <w:p>
      <w:pPr>
        <w:spacing w:after="0" w:line="185" w:lineRule="exact"/>
        <w:rPr>
          <w:sz w:val="20"/>
          <w:szCs w:val="20"/>
          <w:color w:val="auto"/>
        </w:rPr>
      </w:pPr>
    </w:p>
    <w:p>
      <w:pPr>
        <w:jc w:val="both"/>
        <w:ind w:left="640"/>
        <w:spacing w:after="0" w:line="221" w:lineRule="auto"/>
        <w:rPr>
          <w:sz w:val="20"/>
          <w:szCs w:val="20"/>
          <w:color w:val="auto"/>
        </w:rPr>
      </w:pPr>
      <w:r>
        <w:rPr>
          <w:rFonts w:ascii="Arial" w:cs="Arial" w:eastAsia="Arial" w:hAnsi="Arial"/>
          <w:sz w:val="21"/>
          <w:szCs w:val="21"/>
          <w:color w:val="auto"/>
        </w:rPr>
        <w:t>Effective September 1, 2019, the annual fixed compensation for our Management Board members, Prof. Ugur Sahin, Sean Marett and Prof. Özlem Türeci was €360,000, €400,000 and €360,000, respectively. Effective January 1, 2020, the annual fixed compensation of Ryan Richardson is €320,000. All agreements led to the respective effective annual fixed compensation during the year ended December 31, 2021. Effective December 1, 2021, Dr. Sierk Poetting's annual fixed compensation was increased from €360,000 to €550,000 which led to an effective annual fixed compensation of €375,833 during the year ended December 31, 2021. Effective as of his appointment to the Management Board on July 1, 2021, Jens Holstein's annual fixed compensation was €550,000 which led to an effective annual fixed compensation of €275,000 during the year ended December 31, 2021.</w:t>
      </w:r>
    </w:p>
    <w:p>
      <w:pPr>
        <w:spacing w:after="0" w:line="165" w:lineRule="exact"/>
        <w:rPr>
          <w:sz w:val="20"/>
          <w:szCs w:val="20"/>
          <w:color w:val="auto"/>
        </w:rPr>
      </w:pPr>
    </w:p>
    <w:p>
      <w:pPr>
        <w:jc w:val="both"/>
        <w:ind w:left="640"/>
        <w:spacing w:after="0" w:line="214" w:lineRule="auto"/>
        <w:rPr>
          <w:sz w:val="20"/>
          <w:szCs w:val="20"/>
          <w:color w:val="auto"/>
        </w:rPr>
      </w:pPr>
      <w:r>
        <w:rPr>
          <w:rFonts w:ascii="Arial" w:cs="Arial" w:eastAsia="Arial" w:hAnsi="Arial"/>
          <w:sz w:val="22"/>
          <w:szCs w:val="22"/>
          <w:color w:val="auto"/>
        </w:rPr>
        <w:t>The fixed compensation is paid out in twelve monthly installments as a salary. Other components of the fixed ompensation include fringe benefits such as allowances for health and long-term care insurance and supplementary insurance, non-cash benefits from bicycle and travel allowances. The Management Board of BioNTech SE benefits from our D&amp;O insurance policy. The expenses of our D&amp;O insurance are not considered compensation as it is concluded in our own interest covering risks for our Management Board, our Supervisory Board as well as senior executives and managing directors of BioNTech group entities.</w:t>
      </w:r>
    </w:p>
    <w:p>
      <w:pPr>
        <w:spacing w:after="0" w:line="26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9"/>
          <w:szCs w:val="19"/>
          <w:b w:val="1"/>
          <w:bCs w:val="1"/>
          <w:color w:val="auto"/>
        </w:rPr>
        <w:t>Short-Term Incentive Compensation (STI)</w:t>
      </w:r>
    </w:p>
    <w:p>
      <w:pPr>
        <w:spacing w:after="0" w:line="293" w:lineRule="exact"/>
        <w:rPr>
          <w:sz w:val="20"/>
          <w:szCs w:val="20"/>
          <w:color w:val="auto"/>
        </w:rPr>
      </w:pPr>
    </w:p>
    <w:p>
      <w:pPr>
        <w:jc w:val="both"/>
        <w:ind w:left="640"/>
        <w:spacing w:after="0" w:line="249" w:lineRule="auto"/>
        <w:rPr>
          <w:sz w:val="20"/>
          <w:szCs w:val="20"/>
          <w:color w:val="auto"/>
        </w:rPr>
      </w:pPr>
      <w:r>
        <w:rPr>
          <w:rFonts w:ascii="Arial" w:cs="Arial" w:eastAsia="Arial" w:hAnsi="Arial"/>
          <w:sz w:val="19"/>
          <w:szCs w:val="19"/>
          <w:color w:val="auto"/>
        </w:rPr>
        <w:t>The STI is a performance-related bonus with a one-year assessment period. The old service agreements with our Management Board provide for short-term incentive compensation of up to a maximum of 50% of the annual base salary; the new compensation system provides for STI amounts to a maximum of 60% of the amount of the fixed compensation per year. The payout amount of the short-term incentive compensation depends on the achievement of certain financial performance criteria and non-financial performance criteria (performance targets) of the Group in a particular financial year, which goals are set uniformly for all members of the Management Board.</w:t>
      </w:r>
    </w:p>
    <w:p>
      <w:pPr>
        <w:spacing w:after="0" w:line="260" w:lineRule="exact"/>
        <w:rPr>
          <w:sz w:val="20"/>
          <w:szCs w:val="20"/>
          <w:color w:val="auto"/>
        </w:rPr>
      </w:pPr>
    </w:p>
    <w:p>
      <w:pPr>
        <w:jc w:val="both"/>
        <w:ind w:left="640"/>
        <w:spacing w:after="0" w:line="298" w:lineRule="auto"/>
        <w:rPr>
          <w:sz w:val="20"/>
          <w:szCs w:val="20"/>
          <w:color w:val="auto"/>
        </w:rPr>
      </w:pPr>
      <w:r>
        <w:rPr>
          <w:rFonts w:ascii="Arial" w:cs="Arial" w:eastAsia="Arial" w:hAnsi="Arial"/>
          <w:sz w:val="19"/>
          <w:szCs w:val="19"/>
          <w:color w:val="auto"/>
        </w:rPr>
        <w:t>A detailed description of the STI and potential performance targets are included in our comprehensive remuneration ystem as approved by the AGM on June 22, 2021, which is available online on our website www.biontech.de.</w:t>
      </w:r>
    </w:p>
    <w:p>
      <w:pPr>
        <w:spacing w:after="0" w:line="213" w:lineRule="exact"/>
        <w:rPr>
          <w:sz w:val="20"/>
          <w:szCs w:val="20"/>
          <w:color w:val="auto"/>
        </w:rPr>
      </w:pPr>
    </w:p>
    <w:p>
      <w:pPr>
        <w:jc w:val="both"/>
        <w:ind w:left="640"/>
        <w:spacing w:after="0" w:line="214" w:lineRule="auto"/>
        <w:rPr>
          <w:sz w:val="20"/>
          <w:szCs w:val="20"/>
          <w:color w:val="auto"/>
        </w:rPr>
      </w:pPr>
      <w:r>
        <w:rPr>
          <w:rFonts w:ascii="Arial" w:cs="Arial" w:eastAsia="Arial" w:hAnsi="Arial"/>
          <w:sz w:val="22"/>
          <w:szCs w:val="22"/>
          <w:color w:val="auto"/>
        </w:rPr>
        <w:t>Effective January 1, 2020, the maximum short-term incentive compensation for our Management Board members, Prof. Ugur Sahin, Sean Marett, Dr. Sierk Poetting and Prof. Özlem Türeci was 50% of their annual fixed compensation. The same applied to Ryan Richardson's maximum short-term incentive compensation effective since January 1, 2020. Effective July 1, 2021, the maximum short-term incentive compensation for Jens Holstein was defined as €300,000. Effective January 1, 2022, the maximum short-term incentive compensation for Dr. Sierk Poetting has been increased to €300,000.</w:t>
      </w:r>
    </w:p>
    <w:p>
      <w:pPr>
        <w:spacing w:after="0" w:line="267" w:lineRule="exact"/>
        <w:rPr>
          <w:sz w:val="20"/>
          <w:szCs w:val="20"/>
          <w:color w:val="auto"/>
        </w:rPr>
      </w:pPr>
    </w:p>
    <w:p>
      <w:pPr>
        <w:jc w:val="both"/>
        <w:ind w:left="640"/>
        <w:spacing w:after="0" w:line="218" w:lineRule="auto"/>
        <w:rPr>
          <w:sz w:val="20"/>
          <w:szCs w:val="20"/>
          <w:color w:val="auto"/>
        </w:rPr>
      </w:pPr>
      <w:r>
        <w:rPr>
          <w:rFonts w:ascii="Arial" w:cs="Arial" w:eastAsia="Arial" w:hAnsi="Arial"/>
          <w:sz w:val="22"/>
          <w:szCs w:val="22"/>
          <w:color w:val="auto"/>
        </w:rPr>
        <w:t>The performance targets defined by our Supervisory Board for the year ended December 31, 2021 were derived from the strategic and operational objectives of the Company rather than financial performance as continued development was the main emphasis in the year ended December 31, 2021. As shown in the table below, the ambitious and measurable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5" w:lineRule="exact"/>
        <w:rPr>
          <w:sz w:val="20"/>
          <w:szCs w:val="20"/>
          <w:color w:val="auto"/>
        </w:rPr>
      </w:pPr>
    </w:p>
    <w:p>
      <w:pPr>
        <w:ind w:left="620"/>
        <w:spacing w:after="0" w:line="232" w:lineRule="auto"/>
        <w:rPr>
          <w:sz w:val="20"/>
          <w:szCs w:val="20"/>
          <w:color w:val="auto"/>
        </w:rPr>
      </w:pPr>
      <w:r>
        <w:rPr>
          <w:rFonts w:ascii="Arial" w:cs="Arial" w:eastAsia="Arial" w:hAnsi="Arial"/>
          <w:sz w:val="22"/>
          <w:szCs w:val="22"/>
          <w:color w:val="auto"/>
        </w:rPr>
        <w:t>targets include various Company Goals as well as an ESG Target and were defined in line with the applicable compensation system.</w:t>
      </w:r>
    </w:p>
    <w:p>
      <w:pPr>
        <w:spacing w:after="0" w:line="267" w:lineRule="exact"/>
        <w:rPr>
          <w:sz w:val="20"/>
          <w:szCs w:val="20"/>
          <w:color w:val="auto"/>
        </w:rPr>
      </w:pPr>
    </w:p>
    <w:p>
      <w:pPr>
        <w:ind w:left="620"/>
        <w:spacing w:after="0" w:line="298" w:lineRule="auto"/>
        <w:rPr>
          <w:sz w:val="20"/>
          <w:szCs w:val="20"/>
          <w:color w:val="auto"/>
        </w:rPr>
      </w:pPr>
      <w:r>
        <w:rPr>
          <w:rFonts w:ascii="Arial" w:cs="Arial" w:eastAsia="Arial" w:hAnsi="Arial"/>
          <w:sz w:val="19"/>
          <w:szCs w:val="19"/>
          <w:color w:val="auto"/>
        </w:rPr>
        <w:t>The determination on the actual achievement of the performance targets, which was made by the Supervisory Board in its reasonable discretion in the beginning of the 2022 financial year, is shown in the following table and explained below.</w:t>
      </w:r>
    </w:p>
    <w:p>
      <w:pPr>
        <w:sectPr>
          <w:pgSz w:w="11900" w:h="16838" w:orient="portrait"/>
          <w:cols w:equalWidth="0" w:num="1">
            <w:col w:w="11220"/>
          </w:cols>
          <w:pgMar w:left="340" w:top="1440" w:right="339" w:bottom="1440" w:gutter="0" w:footer="0" w:header="0"/>
        </w:sectPr>
      </w:pPr>
    </w:p>
    <w:p>
      <w:pPr>
        <w:spacing w:after="0" w:line="153"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Performance Targets 2021 Financial Year</w:t>
      </w:r>
    </w:p>
    <w:p>
      <w:pPr>
        <w:spacing w:after="0" w:line="239" w:lineRule="exact"/>
        <w:rPr>
          <w:sz w:val="20"/>
          <w:szCs w:val="20"/>
          <w:color w:val="auto"/>
        </w:rPr>
      </w:pPr>
    </w:p>
    <w:p>
      <w:pPr>
        <w:ind w:left="880" w:right="1880"/>
        <w:spacing w:after="0" w:line="232" w:lineRule="auto"/>
        <w:rPr>
          <w:sz w:val="20"/>
          <w:szCs w:val="20"/>
          <w:color w:val="auto"/>
        </w:rPr>
      </w:pPr>
      <w:r>
        <w:rPr>
          <w:rFonts w:ascii="Arial" w:cs="Arial" w:eastAsia="Arial" w:hAnsi="Arial"/>
          <w:sz w:val="22"/>
          <w:szCs w:val="22"/>
          <w:color w:val="auto"/>
        </w:rPr>
        <w:t>Release and sell / distribute 3 billion COMIRNATY® doses</w:t>
      </w:r>
    </w:p>
    <w:p>
      <w:pPr>
        <w:spacing w:after="0" w:line="1" w:lineRule="exact"/>
        <w:rPr>
          <w:sz w:val="20"/>
          <w:szCs w:val="20"/>
          <w:color w:val="auto"/>
        </w:rPr>
      </w:pPr>
    </w:p>
    <w:p>
      <w:pPr>
        <w:ind w:left="880" w:right="1920"/>
        <w:spacing w:after="0" w:line="211" w:lineRule="auto"/>
        <w:rPr>
          <w:sz w:val="20"/>
          <w:szCs w:val="20"/>
          <w:color w:val="auto"/>
        </w:rPr>
      </w:pPr>
      <w:r>
        <w:rPr>
          <w:rFonts w:ascii="Arial" w:cs="Arial" w:eastAsia="Arial" w:hAnsi="Arial"/>
          <w:sz w:val="22"/>
          <w:szCs w:val="22"/>
          <w:color w:val="auto"/>
        </w:rPr>
        <w:t>Develop explicit transformation plans and implement quick wins:</w:t>
      </w:r>
    </w:p>
    <w:p>
      <w:pPr>
        <w:ind w:left="1020" w:hanging="137"/>
        <w:spacing w:after="0" w:line="205" w:lineRule="auto"/>
        <w:tabs>
          <w:tab w:leader="none" w:pos="10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Manufacturing network plan</w:t>
      </w:r>
    </w:p>
    <w:p>
      <w:pPr>
        <w:ind w:left="1020" w:hanging="137"/>
        <w:spacing w:after="0" w:line="204" w:lineRule="auto"/>
        <w:tabs>
          <w:tab w:leader="none" w:pos="10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Integrated oncology acceleration plan</w:t>
      </w:r>
    </w:p>
    <w:p>
      <w:pPr>
        <w:ind w:left="1020" w:hanging="137"/>
        <w:spacing w:after="0" w:line="182" w:lineRule="auto"/>
        <w:tabs>
          <w:tab w:leader="none" w:pos="10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Integrated infectious disease acceleration plan</w:t>
      </w:r>
    </w:p>
    <w:p>
      <w:pPr>
        <w:jc w:val="center"/>
        <w:ind w:right="3920"/>
        <w:spacing w:after="0" w:line="184" w:lineRule="auto"/>
        <w:rPr>
          <w:sz w:val="20"/>
          <w:szCs w:val="20"/>
          <w:color w:val="auto"/>
        </w:rPr>
      </w:pPr>
      <w:r>
        <w:rPr>
          <w:rFonts w:ascii="Arial" w:cs="Arial" w:eastAsia="Arial" w:hAnsi="Arial"/>
          <w:sz w:val="18"/>
          <w:szCs w:val="18"/>
          <w:color w:val="auto"/>
          <w:vertAlign w:val="superscript"/>
        </w:rPr>
        <w:t>Company</w:t>
      </w:r>
      <w:r>
        <w:rPr>
          <w:rFonts w:ascii="Arial" w:cs="Arial" w:eastAsia="Arial" w:hAnsi="Arial"/>
          <w:sz w:val="13"/>
          <w:szCs w:val="13"/>
          <w:color w:val="auto"/>
        </w:rPr>
        <w:t xml:space="preserve"> • Integrated digitalization plan</w:t>
      </w:r>
    </w:p>
    <w:p>
      <w:pPr>
        <w:jc w:val="center"/>
        <w:ind w:right="3900"/>
        <w:spacing w:after="0"/>
        <w:tabs>
          <w:tab w:leader="none" w:pos="180" w:val="left"/>
        </w:tabs>
        <w:rPr>
          <w:sz w:val="20"/>
          <w:szCs w:val="20"/>
          <w:color w:val="auto"/>
        </w:rPr>
      </w:pPr>
      <w:r>
        <w:rPr>
          <w:rFonts w:ascii="Arial" w:cs="Arial" w:eastAsia="Arial" w:hAnsi="Arial"/>
          <w:sz w:val="34"/>
          <w:szCs w:val="34"/>
          <w:color w:val="auto"/>
          <w:vertAlign w:val="superscript"/>
        </w:rPr>
        <w:t>Goals</w:t>
      </w:r>
      <w:r>
        <w:rPr>
          <w:sz w:val="20"/>
          <w:szCs w:val="20"/>
          <w:color w:val="auto"/>
        </w:rPr>
        <w:tab/>
      </w:r>
      <w:r>
        <w:rPr>
          <w:rFonts w:ascii="Arial" w:cs="Arial" w:eastAsia="Arial" w:hAnsi="Arial"/>
          <w:sz w:val="19"/>
          <w:szCs w:val="19"/>
          <w:color w:val="auto"/>
        </w:rPr>
        <w:t>• Integrated automation plan</w:t>
      </w:r>
    </w:p>
    <w:p>
      <w:pPr>
        <w:ind w:left="1020" w:hanging="137"/>
        <w:spacing w:after="0" w:line="205" w:lineRule="auto"/>
        <w:tabs>
          <w:tab w:leader="none" w:pos="10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Global commercial strategy</w:t>
      </w:r>
    </w:p>
    <w:p>
      <w:pPr>
        <w:ind w:left="1020" w:hanging="137"/>
        <w:spacing w:after="0" w:line="204" w:lineRule="auto"/>
        <w:tabs>
          <w:tab w:leader="none" w:pos="10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Globale Unternehmensstrategie</w:t>
      </w:r>
    </w:p>
    <w:p>
      <w:pPr>
        <w:ind w:left="1020" w:hanging="137"/>
        <w:spacing w:after="0"/>
        <w:tabs>
          <w:tab w:leader="none" w:pos="10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Business support and processes</w:t>
      </w:r>
    </w:p>
    <w:p>
      <w:pPr>
        <w:spacing w:after="0" w:line="3" w:lineRule="exact"/>
        <w:rPr>
          <w:sz w:val="20"/>
          <w:szCs w:val="20"/>
          <w:color w:val="auto"/>
        </w:rPr>
      </w:pPr>
    </w:p>
    <w:p>
      <w:pPr>
        <w:ind w:left="880"/>
        <w:spacing w:after="0" w:line="230" w:lineRule="auto"/>
        <w:rPr>
          <w:sz w:val="20"/>
          <w:szCs w:val="20"/>
          <w:color w:val="auto"/>
        </w:rPr>
      </w:pPr>
      <w:r>
        <w:rPr>
          <w:rFonts w:ascii="Arial" w:cs="Arial" w:eastAsia="Arial" w:hAnsi="Arial"/>
          <w:sz w:val="22"/>
          <w:szCs w:val="22"/>
          <w:color w:val="auto"/>
        </w:rPr>
        <w:t>Establish Singapore and China Headquarter and China Joint Venture (JV) + Tech Transfer</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66"/>
        </w:trPr>
        <w:tc>
          <w:tcPr>
            <w:tcW w:w="540" w:type="dxa"/>
            <w:vAlign w:val="bottom"/>
          </w:tcPr>
          <w:p>
            <w:pPr>
              <w:spacing w:after="0"/>
              <w:rPr>
                <w:sz w:val="23"/>
                <w:szCs w:val="23"/>
                <w:color w:val="auto"/>
              </w:rPr>
            </w:pPr>
          </w:p>
        </w:tc>
        <w:tc>
          <w:tcPr>
            <w:tcW w:w="4740" w:type="dxa"/>
            <w:vAlign w:val="bottom"/>
          </w:tcPr>
          <w:p>
            <w:pPr>
              <w:ind w:left="120"/>
              <w:spacing w:after="0"/>
              <w:rPr>
                <w:sz w:val="20"/>
                <w:szCs w:val="20"/>
                <w:color w:val="auto"/>
              </w:rPr>
            </w:pPr>
            <w:r>
              <w:rPr>
                <w:rFonts w:ascii="Arial" w:cs="Arial" w:eastAsia="Arial" w:hAnsi="Arial"/>
                <w:sz w:val="22"/>
                <w:szCs w:val="22"/>
                <w:color w:val="auto"/>
                <w:w w:val="89"/>
              </w:rPr>
              <w:t>Reach a specified number of clinical trials milestones</w:t>
            </w:r>
          </w:p>
        </w:tc>
        <w:tc>
          <w:tcPr>
            <w:tcW w:w="0" w:type="dxa"/>
            <w:vAlign w:val="bottom"/>
          </w:tcPr>
          <w:p>
            <w:pPr>
              <w:spacing w:after="0"/>
              <w:rPr>
                <w:sz w:val="1"/>
                <w:szCs w:val="1"/>
                <w:color w:val="auto"/>
              </w:rPr>
            </w:pPr>
          </w:p>
        </w:tc>
      </w:tr>
      <w:tr>
        <w:trPr>
          <w:trHeight w:val="216"/>
        </w:trPr>
        <w:tc>
          <w:tcPr>
            <w:tcW w:w="540" w:type="dxa"/>
            <w:vAlign w:val="bottom"/>
            <w:vMerge w:val="restart"/>
          </w:tcPr>
          <w:p>
            <w:pPr>
              <w:spacing w:after="0"/>
              <w:rPr>
                <w:sz w:val="20"/>
                <w:szCs w:val="20"/>
                <w:color w:val="auto"/>
              </w:rPr>
            </w:pPr>
            <w:r>
              <w:rPr>
                <w:rFonts w:ascii="Arial" w:cs="Arial" w:eastAsia="Arial" w:hAnsi="Arial"/>
                <w:sz w:val="22"/>
                <w:szCs w:val="22"/>
                <w:color w:val="auto"/>
              </w:rPr>
              <w:t>ESG</w:t>
            </w:r>
          </w:p>
        </w:tc>
        <w:tc>
          <w:tcPr>
            <w:tcW w:w="4740" w:type="dxa"/>
            <w:vAlign w:val="bottom"/>
          </w:tcPr>
          <w:p>
            <w:pPr>
              <w:ind w:left="120"/>
              <w:spacing w:after="0" w:line="216" w:lineRule="exact"/>
              <w:rPr>
                <w:sz w:val="20"/>
                <w:szCs w:val="20"/>
                <w:color w:val="auto"/>
              </w:rPr>
            </w:pPr>
            <w:r>
              <w:rPr>
                <w:rFonts w:ascii="Arial" w:cs="Arial" w:eastAsia="Arial" w:hAnsi="Arial"/>
                <w:sz w:val="22"/>
                <w:szCs w:val="22"/>
                <w:color w:val="auto"/>
                <w:w w:val="94"/>
              </w:rPr>
              <w:t>Achieve C+ rating for ESG (Environment / Social /</w:t>
            </w:r>
          </w:p>
        </w:tc>
        <w:tc>
          <w:tcPr>
            <w:tcW w:w="0" w:type="dxa"/>
            <w:vAlign w:val="bottom"/>
          </w:tcPr>
          <w:p>
            <w:pPr>
              <w:spacing w:after="0"/>
              <w:rPr>
                <w:sz w:val="1"/>
                <w:szCs w:val="1"/>
                <w:color w:val="auto"/>
              </w:rPr>
            </w:pPr>
          </w:p>
        </w:tc>
      </w:tr>
      <w:tr>
        <w:trPr>
          <w:trHeight w:val="166"/>
        </w:trPr>
        <w:tc>
          <w:tcPr>
            <w:tcW w:w="540" w:type="dxa"/>
            <w:vAlign w:val="bottom"/>
            <w:vMerge w:val="continue"/>
          </w:tcPr>
          <w:p>
            <w:pPr>
              <w:spacing w:after="0"/>
              <w:rPr>
                <w:sz w:val="14"/>
                <w:szCs w:val="14"/>
                <w:color w:val="auto"/>
              </w:rPr>
            </w:pPr>
          </w:p>
        </w:tc>
        <w:tc>
          <w:tcPr>
            <w:tcW w:w="4740" w:type="dxa"/>
            <w:vAlign w:val="bottom"/>
            <w:vMerge w:val="restart"/>
          </w:tcPr>
          <w:p>
            <w:pPr>
              <w:ind w:left="120"/>
              <w:spacing w:after="0"/>
              <w:rPr>
                <w:sz w:val="20"/>
                <w:szCs w:val="20"/>
                <w:color w:val="auto"/>
              </w:rPr>
            </w:pPr>
            <w:r>
              <w:rPr>
                <w:rFonts w:ascii="Arial" w:cs="Arial" w:eastAsia="Arial" w:hAnsi="Arial"/>
                <w:sz w:val="22"/>
                <w:szCs w:val="22"/>
                <w:color w:val="auto"/>
              </w:rPr>
              <w:t>Governance)</w:t>
            </w:r>
          </w:p>
        </w:tc>
        <w:tc>
          <w:tcPr>
            <w:tcW w:w="0" w:type="dxa"/>
            <w:vAlign w:val="bottom"/>
          </w:tcPr>
          <w:p>
            <w:pPr>
              <w:spacing w:after="0"/>
              <w:rPr>
                <w:sz w:val="1"/>
                <w:szCs w:val="1"/>
                <w:color w:val="auto"/>
              </w:rPr>
            </w:pPr>
          </w:p>
        </w:tc>
      </w:tr>
      <w:tr>
        <w:trPr>
          <w:trHeight w:val="98"/>
        </w:trPr>
        <w:tc>
          <w:tcPr>
            <w:tcW w:w="540" w:type="dxa"/>
            <w:vAlign w:val="bottom"/>
          </w:tcPr>
          <w:p>
            <w:pPr>
              <w:spacing w:after="0"/>
              <w:rPr>
                <w:sz w:val="8"/>
                <w:szCs w:val="8"/>
                <w:color w:val="auto"/>
              </w:rPr>
            </w:pPr>
          </w:p>
        </w:tc>
        <w:tc>
          <w:tcPr>
            <w:tcW w:w="4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540" w:type="dxa"/>
            <w:vAlign w:val="bottom"/>
          </w:tcPr>
          <w:p>
            <w:pPr>
              <w:spacing w:after="0"/>
              <w:rPr>
                <w:sz w:val="24"/>
                <w:szCs w:val="24"/>
                <w:color w:val="auto"/>
              </w:rPr>
            </w:pPr>
          </w:p>
        </w:tc>
        <w:tc>
          <w:tcPr>
            <w:tcW w:w="4740" w:type="dxa"/>
            <w:vAlign w:val="bottom"/>
          </w:tcPr>
          <w:p>
            <w:pPr>
              <w:ind w:left="120"/>
              <w:spacing w:after="0"/>
              <w:rPr>
                <w:sz w:val="20"/>
                <w:szCs w:val="20"/>
                <w:color w:val="auto"/>
              </w:rPr>
            </w:pPr>
            <w:r>
              <w:rPr>
                <w:rFonts w:ascii="Arial" w:cs="Arial" w:eastAsia="Arial" w:hAnsi="Arial"/>
                <w:sz w:val="22"/>
                <w:szCs w:val="22"/>
                <w:b w:val="1"/>
                <w:bCs w:val="1"/>
                <w:color w:val="auto"/>
              </w:rPr>
              <w:t>Total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right="380" w:firstLine="96"/>
        <w:spacing w:after="0" w:line="235" w:lineRule="auto"/>
        <w:rPr>
          <w:sz w:val="20"/>
          <w:szCs w:val="20"/>
          <w:color w:val="auto"/>
        </w:rPr>
      </w:pPr>
      <w:r>
        <w:rPr>
          <w:rFonts w:ascii="Arial" w:cs="Arial" w:eastAsia="Arial" w:hAnsi="Arial"/>
          <w:sz w:val="22"/>
          <w:szCs w:val="22"/>
          <w:b w:val="1"/>
          <w:bCs w:val="1"/>
          <w:color w:val="auto"/>
        </w:rPr>
        <w:t>Relative Achievement Weighting</w:t>
      </w:r>
    </w:p>
    <w:p>
      <w:pPr>
        <w:spacing w:after="0" w:line="105" w:lineRule="exact"/>
        <w:rPr>
          <w:sz w:val="20"/>
          <w:szCs w:val="20"/>
          <w:color w:val="auto"/>
        </w:rPr>
      </w:pPr>
    </w:p>
    <w:p>
      <w:pPr>
        <w:ind w:left="260"/>
        <w:spacing w:after="0"/>
        <w:tabs>
          <w:tab w:leader="none" w:pos="20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22"/>
          <w:szCs w:val="22"/>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60"/>
        <w:spacing w:after="0"/>
        <w:tabs>
          <w:tab w:leader="none" w:pos="2040" w:val="left"/>
        </w:tabs>
        <w:rPr>
          <w:sz w:val="20"/>
          <w:szCs w:val="20"/>
          <w:color w:val="auto"/>
        </w:rPr>
      </w:pPr>
      <w:r>
        <w:rPr>
          <w:rFonts w:ascii="Arial" w:cs="Arial" w:eastAsia="Arial" w:hAnsi="Arial"/>
          <w:sz w:val="22"/>
          <w:szCs w:val="22"/>
          <w:color w:val="auto"/>
        </w:rPr>
        <w:t>40%</w:t>
      </w:r>
      <w:r>
        <w:rPr>
          <w:sz w:val="20"/>
          <w:szCs w:val="20"/>
          <w:color w:val="auto"/>
        </w:rPr>
        <w:tab/>
      </w:r>
      <w:r>
        <w:rPr>
          <w:rFonts w:ascii="Arial" w:cs="Arial" w:eastAsia="Arial" w:hAnsi="Arial"/>
          <w:sz w:val="22"/>
          <w:szCs w:val="22"/>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200" w:type="dxa"/>
        <w:tblCellMar>
          <w:top w:w="0" w:type="dxa"/>
          <w:left w:w="0" w:type="dxa"/>
          <w:bottom w:w="0" w:type="dxa"/>
          <w:right w:w="0" w:type="dxa"/>
        </w:tblCellMar>
      </w:tblPr>
      <w:tr>
        <w:trPr>
          <w:trHeight w:val="274"/>
        </w:trPr>
        <w:tc>
          <w:tcPr>
            <w:tcW w:w="1180" w:type="dxa"/>
            <w:vAlign w:val="bottom"/>
          </w:tcPr>
          <w:p>
            <w:pPr>
              <w:jc w:val="center"/>
              <w:ind w:right="552"/>
              <w:spacing w:after="0"/>
              <w:rPr>
                <w:sz w:val="20"/>
                <w:szCs w:val="20"/>
                <w:color w:val="auto"/>
              </w:rPr>
            </w:pPr>
            <w:r>
              <w:rPr>
                <w:rFonts w:ascii="Arial" w:cs="Arial" w:eastAsia="Arial" w:hAnsi="Arial"/>
                <w:sz w:val="22"/>
                <w:szCs w:val="22"/>
                <w:color w:val="auto"/>
                <w:w w:val="90"/>
              </w:rPr>
              <w:t>10%</w:t>
            </w:r>
          </w:p>
        </w:tc>
        <w:tc>
          <w:tcPr>
            <w:tcW w:w="1200" w:type="dxa"/>
            <w:vAlign w:val="bottom"/>
          </w:tcPr>
          <w:p>
            <w:pPr>
              <w:jc w:val="center"/>
              <w:ind w:left="552"/>
              <w:spacing w:after="0"/>
              <w:rPr>
                <w:sz w:val="20"/>
                <w:szCs w:val="20"/>
                <w:color w:val="auto"/>
              </w:rPr>
            </w:pPr>
            <w:r>
              <w:rPr>
                <w:rFonts w:ascii="Arial" w:cs="Arial" w:eastAsia="Arial" w:hAnsi="Arial"/>
                <w:sz w:val="22"/>
                <w:szCs w:val="22"/>
                <w:color w:val="auto"/>
                <w:w w:val="88"/>
              </w:rPr>
              <w:t>100%</w:t>
            </w:r>
          </w:p>
        </w:tc>
      </w:tr>
      <w:tr>
        <w:trPr>
          <w:trHeight w:val="378"/>
        </w:trPr>
        <w:tc>
          <w:tcPr>
            <w:tcW w:w="1180" w:type="dxa"/>
            <w:vAlign w:val="bottom"/>
          </w:tcPr>
          <w:p>
            <w:pPr>
              <w:jc w:val="center"/>
              <w:ind w:right="552"/>
              <w:spacing w:after="0"/>
              <w:rPr>
                <w:sz w:val="20"/>
                <w:szCs w:val="20"/>
                <w:color w:val="auto"/>
              </w:rPr>
            </w:pPr>
            <w:r>
              <w:rPr>
                <w:rFonts w:ascii="Arial" w:cs="Arial" w:eastAsia="Arial" w:hAnsi="Arial"/>
                <w:sz w:val="22"/>
                <w:szCs w:val="22"/>
                <w:color w:val="auto"/>
                <w:w w:val="90"/>
              </w:rPr>
              <w:t>15%</w:t>
            </w:r>
          </w:p>
        </w:tc>
        <w:tc>
          <w:tcPr>
            <w:tcW w:w="1200" w:type="dxa"/>
            <w:vAlign w:val="bottom"/>
          </w:tcPr>
          <w:p>
            <w:pPr>
              <w:jc w:val="center"/>
              <w:ind w:left="552"/>
              <w:spacing w:after="0"/>
              <w:rPr>
                <w:sz w:val="20"/>
                <w:szCs w:val="20"/>
                <w:color w:val="auto"/>
              </w:rPr>
            </w:pPr>
            <w:r>
              <w:rPr>
                <w:rFonts w:ascii="Arial" w:cs="Arial" w:eastAsia="Arial" w:hAnsi="Arial"/>
                <w:sz w:val="22"/>
                <w:szCs w:val="22"/>
                <w:color w:val="auto"/>
                <w:w w:val="88"/>
              </w:rPr>
              <w:t>100%</w:t>
            </w:r>
          </w:p>
        </w:tc>
      </w:tr>
      <w:tr>
        <w:trPr>
          <w:trHeight w:val="378"/>
        </w:trPr>
        <w:tc>
          <w:tcPr>
            <w:tcW w:w="1180" w:type="dxa"/>
            <w:vAlign w:val="bottom"/>
          </w:tcPr>
          <w:p>
            <w:pPr>
              <w:jc w:val="center"/>
              <w:ind w:right="552"/>
              <w:spacing w:after="0"/>
              <w:rPr>
                <w:sz w:val="20"/>
                <w:szCs w:val="20"/>
                <w:color w:val="auto"/>
              </w:rPr>
            </w:pPr>
            <w:r>
              <w:rPr>
                <w:rFonts w:ascii="Arial" w:cs="Arial" w:eastAsia="Arial" w:hAnsi="Arial"/>
                <w:sz w:val="22"/>
                <w:szCs w:val="22"/>
                <w:color w:val="auto"/>
                <w:w w:val="90"/>
              </w:rPr>
              <w:t>20%</w:t>
            </w:r>
          </w:p>
        </w:tc>
        <w:tc>
          <w:tcPr>
            <w:tcW w:w="1200" w:type="dxa"/>
            <w:vAlign w:val="bottom"/>
          </w:tcPr>
          <w:p>
            <w:pPr>
              <w:jc w:val="center"/>
              <w:ind w:left="552"/>
              <w:spacing w:after="0"/>
              <w:rPr>
                <w:sz w:val="20"/>
                <w:szCs w:val="20"/>
                <w:color w:val="auto"/>
              </w:rPr>
            </w:pPr>
            <w:r>
              <w:rPr>
                <w:rFonts w:ascii="Arial" w:cs="Arial" w:eastAsia="Arial" w:hAnsi="Arial"/>
                <w:sz w:val="22"/>
                <w:szCs w:val="22"/>
                <w:color w:val="auto"/>
                <w:w w:val="88"/>
              </w:rPr>
              <w:t>100%</w:t>
            </w:r>
          </w:p>
        </w:tc>
      </w:tr>
      <w:tr>
        <w:trPr>
          <w:trHeight w:val="378"/>
        </w:trPr>
        <w:tc>
          <w:tcPr>
            <w:tcW w:w="1180" w:type="dxa"/>
            <w:vAlign w:val="bottom"/>
          </w:tcPr>
          <w:p>
            <w:pPr>
              <w:jc w:val="center"/>
              <w:ind w:right="532"/>
              <w:spacing w:after="0"/>
              <w:rPr>
                <w:sz w:val="20"/>
                <w:szCs w:val="20"/>
                <w:color w:val="auto"/>
              </w:rPr>
            </w:pPr>
            <w:r>
              <w:rPr>
                <w:rFonts w:ascii="Arial" w:cs="Arial" w:eastAsia="Arial" w:hAnsi="Arial"/>
                <w:sz w:val="22"/>
                <w:szCs w:val="22"/>
                <w:b w:val="1"/>
                <w:bCs w:val="1"/>
                <w:color w:val="auto"/>
                <w:w w:val="95"/>
              </w:rPr>
              <w:t>100%</w:t>
            </w:r>
          </w:p>
        </w:tc>
        <w:tc>
          <w:tcPr>
            <w:tcW w:w="1200" w:type="dxa"/>
            <w:vAlign w:val="bottom"/>
          </w:tcPr>
          <w:p>
            <w:pPr>
              <w:jc w:val="center"/>
              <w:ind w:left="552"/>
              <w:spacing w:after="0"/>
              <w:rPr>
                <w:sz w:val="20"/>
                <w:szCs w:val="20"/>
                <w:color w:val="auto"/>
              </w:rPr>
            </w:pPr>
            <w:r>
              <w:rPr>
                <w:rFonts w:ascii="Arial" w:cs="Arial" w:eastAsia="Arial" w:hAnsi="Arial"/>
                <w:sz w:val="22"/>
                <w:szCs w:val="22"/>
                <w:b w:val="1"/>
                <w:bCs w:val="1"/>
                <w:color w:val="auto"/>
                <w:w w:val="95"/>
              </w:rPr>
              <w:t>100%</w:t>
            </w:r>
          </w:p>
        </w:tc>
      </w:tr>
    </w:tbl>
    <w:p>
      <w:pPr>
        <w:spacing w:after="0" w:line="200" w:lineRule="exact"/>
        <w:rPr>
          <w:sz w:val="20"/>
          <w:szCs w:val="20"/>
          <w:color w:val="auto"/>
        </w:rPr>
      </w:pPr>
    </w:p>
    <w:p>
      <w:pPr>
        <w:sectPr>
          <w:pgSz w:w="11900" w:h="16838" w:orient="portrait"/>
          <w:cols w:equalWidth="0" w:num="2">
            <w:col w:w="7420" w:space="500"/>
            <w:col w:w="3300"/>
          </w:cols>
          <w:pgMar w:left="340" w:top="1440" w:right="339" w:bottom="1440" w:gutter="0" w:footer="0" w:header="0"/>
          <w:type w:val="continuous"/>
        </w:sectPr>
      </w:pPr>
    </w:p>
    <w:p>
      <w:pPr>
        <w:spacing w:after="0" w:line="309" w:lineRule="exact"/>
        <w:rPr>
          <w:sz w:val="20"/>
          <w:szCs w:val="20"/>
          <w:color w:val="auto"/>
        </w:rPr>
      </w:pPr>
    </w:p>
    <w:p>
      <w:pPr>
        <w:jc w:val="both"/>
        <w:ind w:left="620"/>
        <w:spacing w:after="0" w:line="216" w:lineRule="auto"/>
        <w:rPr>
          <w:sz w:val="20"/>
          <w:szCs w:val="20"/>
          <w:color w:val="auto"/>
        </w:rPr>
      </w:pPr>
      <w:r>
        <w:rPr>
          <w:rFonts w:ascii="Arial" w:cs="Arial" w:eastAsia="Arial" w:hAnsi="Arial"/>
          <w:sz w:val="22"/>
          <w:szCs w:val="22"/>
          <w:color w:val="auto"/>
        </w:rPr>
        <w:t>Considering the strong development of our year ended December 31, 2021 and the positive overall development, our Supervisory Board at its due discretion considered the manufacturing target to be fully achieved as 98% of the three billion doses set as manufacturing capacity target for the year ended December 31, 2021 were released. In addition, for strategic reasons, it was decided not to implement the technology transfer with China as this can only take place once marketing approval had been granted.</w:t>
      </w:r>
    </w:p>
    <w:p>
      <w:pPr>
        <w:spacing w:after="0" w:line="158" w:lineRule="exact"/>
        <w:rPr>
          <w:sz w:val="20"/>
          <w:szCs w:val="20"/>
          <w:color w:val="auto"/>
        </w:rPr>
      </w:pPr>
    </w:p>
    <w:p>
      <w:pPr>
        <w:jc w:val="both"/>
        <w:ind w:left="620"/>
        <w:spacing w:after="0" w:line="232" w:lineRule="auto"/>
        <w:rPr>
          <w:sz w:val="20"/>
          <w:szCs w:val="20"/>
          <w:color w:val="auto"/>
        </w:rPr>
      </w:pPr>
      <w:r>
        <w:rPr>
          <w:rFonts w:ascii="Arial" w:cs="Arial" w:eastAsia="Arial" w:hAnsi="Arial"/>
          <w:sz w:val="22"/>
          <w:szCs w:val="22"/>
          <w:color w:val="auto"/>
        </w:rPr>
        <w:t>The determination on the actual achievement of the performance targets by the Supervisory Board for the year ended December 31, 2020 was also 100%.</w:t>
      </w:r>
    </w:p>
    <w:p>
      <w:pPr>
        <w:spacing w:after="0" w:line="159" w:lineRule="exact"/>
        <w:rPr>
          <w:sz w:val="20"/>
          <w:szCs w:val="20"/>
          <w:color w:val="auto"/>
        </w:rPr>
      </w:pPr>
    </w:p>
    <w:p>
      <w:pPr>
        <w:jc w:val="both"/>
        <w:ind w:left="620"/>
        <w:spacing w:after="0" w:line="216" w:lineRule="auto"/>
        <w:rPr>
          <w:sz w:val="20"/>
          <w:szCs w:val="20"/>
          <w:color w:val="auto"/>
        </w:rPr>
      </w:pPr>
      <w:r>
        <w:rPr>
          <w:rFonts w:ascii="Arial" w:cs="Arial" w:eastAsia="Arial" w:hAnsi="Arial"/>
          <w:sz w:val="22"/>
          <w:szCs w:val="22"/>
          <w:color w:val="auto"/>
        </w:rPr>
        <w:t>The first installment of the STI for the year ended December 31, 2021, will be paid out in April 2022, the month after approval of the consolidated financial statements. The first installment of the STI for the year ended December 31, 2021 was considered granted and owed in 2021, the year in which the activity, to which the remuneration relates, has been performed.The first installment of the STI for the year ended December 31, 2020 was considered granted and owed in 2020 and was paid out in January 2021.</w:t>
      </w:r>
    </w:p>
    <w:p>
      <w:pPr>
        <w:spacing w:after="0" w:line="158" w:lineRule="exact"/>
        <w:rPr>
          <w:sz w:val="20"/>
          <w:szCs w:val="20"/>
          <w:color w:val="auto"/>
        </w:rPr>
      </w:pPr>
    </w:p>
    <w:p>
      <w:pPr>
        <w:jc w:val="both"/>
        <w:ind w:left="620"/>
        <w:spacing w:after="0" w:line="216" w:lineRule="auto"/>
        <w:rPr>
          <w:sz w:val="20"/>
          <w:szCs w:val="20"/>
          <w:color w:val="auto"/>
        </w:rPr>
      </w:pPr>
      <w:r>
        <w:rPr>
          <w:rFonts w:ascii="Arial" w:cs="Arial" w:eastAsia="Arial" w:hAnsi="Arial"/>
          <w:sz w:val="22"/>
          <w:szCs w:val="22"/>
          <w:color w:val="auto"/>
        </w:rPr>
        <w:t>The second installment of the STI for the year ended December 31, 2021 was also considered granted and owed in 2021, as the Management Board had already completely performed the activity to which it relates. It will be paid out in February 2023 subject to an adjustment due to the share-price development. The second installment of the STI for the year ended December 31, 2020 was considered granted and owed in 2020 and was paid out in December 2021 with adjustments due to the share-price development.</w:t>
      </w:r>
    </w:p>
    <w:p>
      <w:pPr>
        <w:sectPr>
          <w:pgSz w:w="11900" w:h="16838" w:orient="portrait"/>
          <w:cols w:equalWidth="0" w:num="1">
            <w:col w:w="11220"/>
          </w:cols>
          <w:pgMar w:left="34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20"/>
          </w:cols>
          <w:pgMar w:left="340" w:top="1440" w:right="339" w:bottom="1440" w:gutter="0" w:footer="0" w:header="0"/>
          <w:type w:val="continuous"/>
        </w:sectPr>
      </w:pPr>
    </w:p>
    <w:bookmarkStart w:id="26" w:name="page27"/>
    <w:bookmarkEnd w:id="26"/>
    <w:p>
      <w:pPr>
        <w:jc w:val="both"/>
        <w:ind w:left="640"/>
        <w:spacing w:after="0" w:line="257" w:lineRule="auto"/>
        <w:rPr>
          <w:sz w:val="20"/>
          <w:szCs w:val="20"/>
          <w:color w:val="auto"/>
        </w:rPr>
      </w:pPr>
      <w:r>
        <w:rPr>
          <w:rFonts w:ascii="Arial" w:cs="Arial" w:eastAsia="Arial" w:hAnsi="Arial"/>
          <w:sz w:val="19"/>
          <w:szCs w:val="19"/>
          <w:color w:val="auto"/>
        </w:rPr>
        <w:t>Unchanged between the old service agreements and the new compensation scheme, the second installment of the STI is subject to adjustments in relation to the development of the share price between the determination date, when the STI achievement is determined, and the respective anniversary of that date (i.e., in the event of an increase or decrease in the share price, the payment amount is multiplied by the factor of the development of the share price).</w:t>
      </w:r>
    </w:p>
    <w:p>
      <w:pPr>
        <w:spacing w:after="0" w:line="144" w:lineRule="exact"/>
        <w:rPr>
          <w:sz w:val="20"/>
          <w:szCs w:val="20"/>
          <w:color w:val="auto"/>
        </w:rPr>
      </w:pPr>
    </w:p>
    <w:p>
      <w:pPr>
        <w:jc w:val="both"/>
        <w:ind w:left="640" w:right="20"/>
        <w:spacing w:after="0" w:line="232" w:lineRule="auto"/>
        <w:rPr>
          <w:sz w:val="20"/>
          <w:szCs w:val="20"/>
          <w:color w:val="auto"/>
        </w:rPr>
      </w:pPr>
      <w:r>
        <w:rPr>
          <w:rFonts w:ascii="Arial" w:cs="Arial" w:eastAsia="Arial" w:hAnsi="Arial"/>
          <w:sz w:val="22"/>
          <w:szCs w:val="22"/>
          <w:color w:val="auto"/>
        </w:rPr>
        <w:t>The following table summarizes the overall target achievement and the resulting bonus payout amount per Management Board member.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40" w:type="dxa"/>
            <w:vAlign w:val="bottom"/>
            <w:tcBorders>
              <w:right w:val="single" w:sz="8" w:color="70AD47"/>
            </w:tcBorders>
          </w:tcPr>
          <w:p>
            <w:pPr>
              <w:jc w:val="center"/>
              <w:spacing w:after="0"/>
              <w:rPr>
                <w:sz w:val="20"/>
                <w:szCs w:val="20"/>
                <w:color w:val="auto"/>
              </w:rPr>
            </w:pPr>
            <w:r>
              <w:rPr>
                <w:rFonts w:ascii="Arial" w:cs="Arial" w:eastAsia="Arial" w:hAnsi="Arial"/>
                <w:sz w:val="22"/>
                <w:szCs w:val="22"/>
                <w:b w:val="1"/>
                <w:bCs w:val="1"/>
                <w:color w:val="auto"/>
                <w:w w:val="89"/>
              </w:rPr>
              <w:t>Short-Term Incentive Compensation</w:t>
            </w:r>
          </w:p>
        </w:tc>
        <w:tc>
          <w:tcPr>
            <w:tcW w:w="1360" w:type="dxa"/>
            <w:vAlign w:val="bottom"/>
            <w:tcBorders>
              <w:right w:val="single" w:sz="8" w:color="70AD47"/>
            </w:tcBorders>
            <w:vMerge w:val="restart"/>
          </w:tcPr>
          <w:p>
            <w:pPr>
              <w:jc w:val="center"/>
              <w:spacing w:after="0"/>
              <w:rPr>
                <w:sz w:val="20"/>
                <w:szCs w:val="20"/>
                <w:color w:val="auto"/>
              </w:rPr>
            </w:pPr>
            <w:r>
              <w:rPr>
                <w:rFonts w:ascii="Arial" w:cs="Arial" w:eastAsia="Arial" w:hAnsi="Arial"/>
                <w:sz w:val="22"/>
                <w:szCs w:val="22"/>
                <w:b w:val="1"/>
                <w:bCs w:val="1"/>
                <w:color w:val="auto"/>
                <w:w w:val="88"/>
              </w:rPr>
              <w:t>Relative to</w:t>
            </w:r>
          </w:p>
        </w:tc>
        <w:tc>
          <w:tcPr>
            <w:tcW w:w="2440" w:type="dxa"/>
            <w:vAlign w:val="bottom"/>
            <w:tcBorders>
              <w:right w:val="single" w:sz="8" w:color="70AD47"/>
            </w:tcBorders>
            <w:gridSpan w:val="2"/>
          </w:tcPr>
          <w:p>
            <w:pPr>
              <w:jc w:val="center"/>
              <w:spacing w:after="0"/>
              <w:rPr>
                <w:sz w:val="20"/>
                <w:szCs w:val="20"/>
                <w:color w:val="auto"/>
              </w:rPr>
            </w:pPr>
            <w:r>
              <w:rPr>
                <w:rFonts w:ascii="Arial" w:cs="Arial" w:eastAsia="Arial" w:hAnsi="Arial"/>
                <w:sz w:val="22"/>
                <w:szCs w:val="22"/>
                <w:b w:val="1"/>
                <w:bCs w:val="1"/>
                <w:color w:val="auto"/>
                <w:w w:val="87"/>
              </w:rPr>
              <w:t>Compensation</w:t>
            </w:r>
          </w:p>
        </w:tc>
        <w:tc>
          <w:tcPr>
            <w:tcW w:w="1260" w:type="dxa"/>
            <w:vAlign w:val="bottom"/>
            <w:tcBorders>
              <w:right w:val="single" w:sz="8" w:color="70AD47"/>
            </w:tcBorders>
          </w:tcPr>
          <w:p>
            <w:pPr>
              <w:jc w:val="center"/>
              <w:spacing w:after="0"/>
              <w:rPr>
                <w:sz w:val="20"/>
                <w:szCs w:val="20"/>
                <w:color w:val="auto"/>
              </w:rPr>
            </w:pPr>
            <w:r>
              <w:rPr>
                <w:rFonts w:ascii="Arial" w:cs="Arial" w:eastAsia="Arial" w:hAnsi="Arial"/>
                <w:sz w:val="22"/>
                <w:szCs w:val="22"/>
                <w:b w:val="1"/>
                <w:bCs w:val="1"/>
                <w:color w:val="auto"/>
                <w:w w:val="93"/>
              </w:rPr>
              <w:t>Overall</w:t>
            </w:r>
          </w:p>
        </w:tc>
        <w:tc>
          <w:tcPr>
            <w:tcW w:w="2540" w:type="dxa"/>
            <w:vAlign w:val="bottom"/>
            <w:tcBorders>
              <w:right w:val="single" w:sz="8" w:color="70AD47"/>
            </w:tcBorders>
            <w:gridSpan w:val="2"/>
          </w:tcPr>
          <w:p>
            <w:pPr>
              <w:jc w:val="center"/>
              <w:spacing w:after="0"/>
              <w:rPr>
                <w:sz w:val="20"/>
                <w:szCs w:val="20"/>
                <w:color w:val="auto"/>
              </w:rPr>
            </w:pPr>
            <w:r>
              <w:rPr>
                <w:rFonts w:ascii="Arial" w:cs="Arial" w:eastAsia="Arial" w:hAnsi="Arial"/>
                <w:sz w:val="22"/>
                <w:szCs w:val="22"/>
                <w:b w:val="1"/>
                <w:bCs w:val="1"/>
                <w:color w:val="auto"/>
                <w:w w:val="92"/>
              </w:rPr>
              <w:t>STI Payment (in</w:t>
            </w:r>
          </w:p>
        </w:tc>
        <w:tc>
          <w:tcPr>
            <w:tcW w:w="0" w:type="dxa"/>
            <w:vAlign w:val="bottom"/>
          </w:tcPr>
          <w:p>
            <w:pPr>
              <w:spacing w:after="0"/>
              <w:rPr>
                <w:sz w:val="1"/>
                <w:szCs w:val="1"/>
                <w:color w:val="auto"/>
              </w:rPr>
            </w:pPr>
          </w:p>
        </w:tc>
      </w:tr>
      <w:tr>
        <w:trPr>
          <w:trHeight w:val="216"/>
        </w:trPr>
        <w:tc>
          <w:tcPr>
            <w:tcW w:w="3640" w:type="dxa"/>
            <w:vAlign w:val="bottom"/>
            <w:tcBorders>
              <w:right w:val="single" w:sz="8" w:color="70AD47"/>
            </w:tcBorders>
          </w:tcPr>
          <w:p>
            <w:pPr>
              <w:jc w:val="center"/>
              <w:spacing w:after="0" w:line="216" w:lineRule="exact"/>
              <w:rPr>
                <w:sz w:val="20"/>
                <w:szCs w:val="20"/>
                <w:color w:val="auto"/>
              </w:rPr>
            </w:pPr>
            <w:r>
              <w:rPr>
                <w:rFonts w:ascii="Arial" w:cs="Arial" w:eastAsia="Arial" w:hAnsi="Arial"/>
                <w:sz w:val="22"/>
                <w:szCs w:val="22"/>
                <w:b w:val="1"/>
                <w:bCs w:val="1"/>
                <w:color w:val="auto"/>
                <w:w w:val="89"/>
              </w:rPr>
              <w:t>(STI) for the year ended December 31,</w:t>
            </w:r>
          </w:p>
        </w:tc>
        <w:tc>
          <w:tcPr>
            <w:tcW w:w="1360" w:type="dxa"/>
            <w:vAlign w:val="bottom"/>
            <w:tcBorders>
              <w:right w:val="single" w:sz="8" w:color="70AD47"/>
            </w:tcBorders>
            <w:vMerge w:val="continue"/>
          </w:tcPr>
          <w:p>
            <w:pPr>
              <w:spacing w:after="0"/>
              <w:rPr>
                <w:sz w:val="18"/>
                <w:szCs w:val="18"/>
                <w:color w:val="auto"/>
              </w:rPr>
            </w:pPr>
          </w:p>
        </w:tc>
        <w:tc>
          <w:tcPr>
            <w:tcW w:w="2440" w:type="dxa"/>
            <w:vAlign w:val="bottom"/>
            <w:tcBorders>
              <w:right w:val="single" w:sz="8" w:color="70AD47"/>
            </w:tcBorders>
            <w:gridSpan w:val="2"/>
          </w:tcPr>
          <w:p>
            <w:pPr>
              <w:jc w:val="center"/>
              <w:spacing w:after="0" w:line="216" w:lineRule="exact"/>
              <w:rPr>
                <w:sz w:val="20"/>
                <w:szCs w:val="20"/>
                <w:color w:val="auto"/>
              </w:rPr>
            </w:pPr>
            <w:r>
              <w:rPr>
                <w:rFonts w:ascii="Arial" w:cs="Arial" w:eastAsia="Arial" w:hAnsi="Arial"/>
                <w:sz w:val="22"/>
                <w:szCs w:val="22"/>
                <w:b w:val="1"/>
                <w:bCs w:val="1"/>
                <w:color w:val="auto"/>
                <w:w w:val="95"/>
              </w:rPr>
              <w:t>Corridor</w:t>
            </w:r>
          </w:p>
        </w:tc>
        <w:tc>
          <w:tcPr>
            <w:tcW w:w="1260" w:type="dxa"/>
            <w:vAlign w:val="bottom"/>
            <w:tcBorders>
              <w:right w:val="single" w:sz="8" w:color="70AD47"/>
            </w:tcBorders>
          </w:tcPr>
          <w:p>
            <w:pPr>
              <w:jc w:val="center"/>
              <w:spacing w:after="0" w:line="216" w:lineRule="exact"/>
              <w:rPr>
                <w:sz w:val="20"/>
                <w:szCs w:val="20"/>
                <w:color w:val="auto"/>
              </w:rPr>
            </w:pPr>
            <w:r>
              <w:rPr>
                <w:rFonts w:ascii="Arial" w:cs="Arial" w:eastAsia="Arial" w:hAnsi="Arial"/>
                <w:sz w:val="22"/>
                <w:szCs w:val="22"/>
                <w:b w:val="1"/>
                <w:bCs w:val="1"/>
                <w:color w:val="auto"/>
                <w:w w:val="89"/>
              </w:rPr>
              <w:t>Target</w:t>
            </w:r>
          </w:p>
        </w:tc>
        <w:tc>
          <w:tcPr>
            <w:tcW w:w="2540" w:type="dxa"/>
            <w:vAlign w:val="bottom"/>
            <w:tcBorders>
              <w:right w:val="single" w:sz="8" w:color="70AD47"/>
            </w:tcBorders>
            <w:gridSpan w:val="2"/>
          </w:tcPr>
          <w:p>
            <w:pPr>
              <w:jc w:val="center"/>
              <w:spacing w:after="0" w:line="216" w:lineRule="exact"/>
              <w:rPr>
                <w:sz w:val="20"/>
                <w:szCs w:val="20"/>
                <w:color w:val="auto"/>
              </w:rPr>
            </w:pPr>
            <w:r>
              <w:rPr>
                <w:rFonts w:ascii="Arial" w:cs="Arial" w:eastAsia="Arial" w:hAnsi="Arial"/>
                <w:sz w:val="22"/>
                <w:szCs w:val="22"/>
                <w:b w:val="1"/>
                <w:bCs w:val="1"/>
                <w:color w:val="auto"/>
                <w:w w:val="86"/>
              </w:rPr>
              <w:t>thousand)</w:t>
            </w:r>
          </w:p>
        </w:tc>
        <w:tc>
          <w:tcPr>
            <w:tcW w:w="0" w:type="dxa"/>
            <w:vAlign w:val="bottom"/>
          </w:tcPr>
          <w:p>
            <w:pPr>
              <w:spacing w:after="0"/>
              <w:rPr>
                <w:sz w:val="1"/>
                <w:szCs w:val="1"/>
                <w:color w:val="auto"/>
              </w:rPr>
            </w:pPr>
          </w:p>
        </w:tc>
      </w:tr>
      <w:tr>
        <w:trPr>
          <w:trHeight w:val="67"/>
        </w:trPr>
        <w:tc>
          <w:tcPr>
            <w:tcW w:w="3640" w:type="dxa"/>
            <w:vAlign w:val="bottom"/>
            <w:tcBorders>
              <w:right w:val="single" w:sz="8" w:color="70AD47"/>
            </w:tcBorders>
            <w:vMerge w:val="restart"/>
          </w:tcPr>
          <w:p>
            <w:pPr>
              <w:jc w:val="center"/>
              <w:spacing w:after="0"/>
              <w:rPr>
                <w:sz w:val="20"/>
                <w:szCs w:val="20"/>
                <w:color w:val="auto"/>
              </w:rPr>
            </w:pPr>
            <w:r>
              <w:rPr>
                <w:rFonts w:ascii="Arial" w:cs="Arial" w:eastAsia="Arial" w:hAnsi="Arial"/>
                <w:sz w:val="22"/>
                <w:szCs w:val="22"/>
                <w:b w:val="1"/>
                <w:bCs w:val="1"/>
                <w:color w:val="auto"/>
                <w:w w:val="85"/>
              </w:rPr>
              <w:t>2021</w:t>
            </w:r>
          </w:p>
        </w:tc>
        <w:tc>
          <w:tcPr>
            <w:tcW w:w="1360" w:type="dxa"/>
            <w:vAlign w:val="bottom"/>
            <w:tcBorders>
              <w:right w:val="single" w:sz="8" w:color="70AD47"/>
            </w:tcBorders>
            <w:vMerge w:val="restart"/>
          </w:tcPr>
          <w:p>
            <w:pPr>
              <w:jc w:val="center"/>
              <w:spacing w:after="0" w:line="202" w:lineRule="exact"/>
              <w:rPr>
                <w:sz w:val="20"/>
                <w:szCs w:val="20"/>
                <w:color w:val="auto"/>
              </w:rPr>
            </w:pPr>
            <w:r>
              <w:rPr>
                <w:rFonts w:ascii="Arial" w:cs="Arial" w:eastAsia="Arial" w:hAnsi="Arial"/>
                <w:sz w:val="22"/>
                <w:szCs w:val="22"/>
                <w:b w:val="1"/>
                <w:bCs w:val="1"/>
                <w:color w:val="auto"/>
                <w:w w:val="89"/>
              </w:rPr>
              <w:t>fixed</w:t>
            </w:r>
          </w:p>
        </w:tc>
        <w:tc>
          <w:tcPr>
            <w:tcW w:w="1220" w:type="dxa"/>
            <w:vAlign w:val="bottom"/>
            <w:tcBorders>
              <w:bottom w:val="single" w:sz="8" w:color="70AD47"/>
            </w:tcBorders>
          </w:tcPr>
          <w:p>
            <w:pPr>
              <w:spacing w:after="0"/>
              <w:rPr>
                <w:sz w:val="5"/>
                <w:szCs w:val="5"/>
                <w:color w:val="auto"/>
              </w:rPr>
            </w:pPr>
          </w:p>
        </w:tc>
        <w:tc>
          <w:tcPr>
            <w:tcW w:w="1220" w:type="dxa"/>
            <w:vAlign w:val="bottom"/>
            <w:tcBorders>
              <w:bottom w:val="single" w:sz="8" w:color="70AD47"/>
              <w:right w:val="single" w:sz="8" w:color="70AD47"/>
            </w:tcBorders>
          </w:tcPr>
          <w:p>
            <w:pPr>
              <w:spacing w:after="0"/>
              <w:rPr>
                <w:sz w:val="5"/>
                <w:szCs w:val="5"/>
                <w:color w:val="auto"/>
              </w:rPr>
            </w:pPr>
          </w:p>
        </w:tc>
        <w:tc>
          <w:tcPr>
            <w:tcW w:w="1260" w:type="dxa"/>
            <w:vAlign w:val="bottom"/>
            <w:tcBorders>
              <w:right w:val="single" w:sz="8" w:color="70AD47"/>
            </w:tcBorders>
            <w:vMerge w:val="restart"/>
          </w:tcPr>
          <w:p>
            <w:pPr>
              <w:jc w:val="center"/>
              <w:spacing w:after="0"/>
              <w:rPr>
                <w:sz w:val="20"/>
                <w:szCs w:val="20"/>
                <w:color w:val="auto"/>
              </w:rPr>
            </w:pPr>
            <w:r>
              <w:rPr>
                <w:rFonts w:ascii="Arial" w:cs="Arial" w:eastAsia="Arial" w:hAnsi="Arial"/>
                <w:sz w:val="22"/>
                <w:szCs w:val="22"/>
                <w:b w:val="1"/>
                <w:bCs w:val="1"/>
                <w:color w:val="auto"/>
                <w:w w:val="87"/>
              </w:rPr>
              <w:t>Achievement</w:t>
            </w:r>
          </w:p>
        </w:tc>
        <w:tc>
          <w:tcPr>
            <w:tcW w:w="1200" w:type="dxa"/>
            <w:vAlign w:val="bottom"/>
            <w:tcBorders>
              <w:bottom w:val="single" w:sz="8" w:color="70AD47"/>
            </w:tcBorders>
          </w:tcPr>
          <w:p>
            <w:pPr>
              <w:spacing w:after="0"/>
              <w:rPr>
                <w:sz w:val="5"/>
                <w:szCs w:val="5"/>
                <w:color w:val="auto"/>
              </w:rPr>
            </w:pPr>
          </w:p>
        </w:tc>
        <w:tc>
          <w:tcPr>
            <w:tcW w:w="1340" w:type="dxa"/>
            <w:vAlign w:val="bottom"/>
            <w:tcBorders>
              <w:bottom w:val="single" w:sz="8" w:color="70AD47"/>
              <w:right w:val="single" w:sz="8" w:color="70AD47"/>
            </w:tcBorders>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3640" w:type="dxa"/>
            <w:vAlign w:val="bottom"/>
            <w:tcBorders>
              <w:right w:val="single" w:sz="8" w:color="70AD47"/>
            </w:tcBorders>
            <w:vMerge w:val="continue"/>
          </w:tcPr>
          <w:p>
            <w:pPr>
              <w:spacing w:after="0"/>
              <w:rPr>
                <w:sz w:val="9"/>
                <w:szCs w:val="9"/>
                <w:color w:val="auto"/>
              </w:rPr>
            </w:pPr>
          </w:p>
        </w:tc>
        <w:tc>
          <w:tcPr>
            <w:tcW w:w="1360" w:type="dxa"/>
            <w:vAlign w:val="bottom"/>
            <w:tcBorders>
              <w:right w:val="single" w:sz="8" w:color="70AD47"/>
            </w:tcBorders>
            <w:vMerge w:val="continue"/>
          </w:tcPr>
          <w:p>
            <w:pPr>
              <w:spacing w:after="0"/>
              <w:rPr>
                <w:sz w:val="9"/>
                <w:szCs w:val="9"/>
                <w:color w:val="auto"/>
              </w:rPr>
            </w:pPr>
          </w:p>
        </w:tc>
        <w:tc>
          <w:tcPr>
            <w:tcW w:w="1220" w:type="dxa"/>
            <w:vAlign w:val="bottom"/>
            <w:tcBorders>
              <w:right w:val="single" w:sz="8" w:color="70AD47"/>
            </w:tcBorders>
            <w:vMerge w:val="restart"/>
          </w:tcPr>
          <w:p>
            <w:pPr>
              <w:ind w:left="60"/>
              <w:spacing w:after="0" w:line="195" w:lineRule="exact"/>
              <w:rPr>
                <w:sz w:val="20"/>
                <w:szCs w:val="20"/>
                <w:color w:val="auto"/>
              </w:rPr>
            </w:pPr>
            <w:r>
              <w:rPr>
                <w:rFonts w:ascii="Arial" w:cs="Arial" w:eastAsia="Arial" w:hAnsi="Arial"/>
                <w:sz w:val="22"/>
                <w:szCs w:val="22"/>
                <w:color w:val="auto"/>
                <w:w w:val="99"/>
              </w:rPr>
              <w:t>Lower Limit</w:t>
            </w:r>
          </w:p>
        </w:tc>
        <w:tc>
          <w:tcPr>
            <w:tcW w:w="1220" w:type="dxa"/>
            <w:vAlign w:val="bottom"/>
            <w:tcBorders>
              <w:right w:val="single" w:sz="8" w:color="70AD47"/>
            </w:tcBorders>
            <w:vMerge w:val="restart"/>
          </w:tcPr>
          <w:p>
            <w:pPr>
              <w:ind w:left="60"/>
              <w:spacing w:after="0" w:line="195" w:lineRule="exact"/>
              <w:rPr>
                <w:sz w:val="20"/>
                <w:szCs w:val="20"/>
                <w:color w:val="auto"/>
              </w:rPr>
            </w:pPr>
            <w:r>
              <w:rPr>
                <w:rFonts w:ascii="Arial" w:cs="Arial" w:eastAsia="Arial" w:hAnsi="Arial"/>
                <w:sz w:val="22"/>
                <w:szCs w:val="22"/>
                <w:color w:val="auto"/>
                <w:w w:val="99"/>
              </w:rPr>
              <w:t>Upper Limit</w:t>
            </w:r>
          </w:p>
        </w:tc>
        <w:tc>
          <w:tcPr>
            <w:tcW w:w="1260" w:type="dxa"/>
            <w:vAlign w:val="bottom"/>
            <w:tcBorders>
              <w:right w:val="single" w:sz="8" w:color="70AD47"/>
            </w:tcBorders>
            <w:vMerge w:val="continue"/>
          </w:tcPr>
          <w:p>
            <w:pPr>
              <w:spacing w:after="0"/>
              <w:rPr>
                <w:sz w:val="9"/>
                <w:szCs w:val="9"/>
                <w:color w:val="auto"/>
              </w:rPr>
            </w:pPr>
          </w:p>
        </w:tc>
        <w:tc>
          <w:tcPr>
            <w:tcW w:w="1200" w:type="dxa"/>
            <w:vAlign w:val="bottom"/>
            <w:tcBorders>
              <w:right w:val="single" w:sz="8" w:color="70AD47"/>
            </w:tcBorders>
            <w:vMerge w:val="restart"/>
          </w:tcPr>
          <w:p>
            <w:pPr>
              <w:jc w:val="center"/>
              <w:spacing w:after="0" w:line="195" w:lineRule="exact"/>
              <w:rPr>
                <w:sz w:val="20"/>
                <w:szCs w:val="20"/>
                <w:color w:val="auto"/>
              </w:rPr>
            </w:pPr>
            <w:r>
              <w:rPr>
                <w:rFonts w:ascii="Arial" w:cs="Arial" w:eastAsia="Arial" w:hAnsi="Arial"/>
                <w:sz w:val="22"/>
                <w:szCs w:val="22"/>
                <w:b w:val="1"/>
                <w:bCs w:val="1"/>
                <w:color w:val="auto"/>
                <w:w w:val="91"/>
              </w:rPr>
              <w:t>Thereof</w:t>
            </w:r>
          </w:p>
        </w:tc>
        <w:tc>
          <w:tcPr>
            <w:tcW w:w="1340" w:type="dxa"/>
            <w:vAlign w:val="bottom"/>
            <w:tcBorders>
              <w:right w:val="single" w:sz="8" w:color="70AD47"/>
            </w:tcBorders>
            <w:vMerge w:val="restart"/>
          </w:tcPr>
          <w:p>
            <w:pPr>
              <w:jc w:val="center"/>
              <w:spacing w:after="0" w:line="195" w:lineRule="exact"/>
              <w:rPr>
                <w:sz w:val="20"/>
                <w:szCs w:val="20"/>
                <w:color w:val="auto"/>
              </w:rPr>
            </w:pPr>
            <w:r>
              <w:rPr>
                <w:rFonts w:ascii="Arial" w:cs="Arial" w:eastAsia="Arial" w:hAnsi="Arial"/>
                <w:sz w:val="22"/>
                <w:szCs w:val="22"/>
                <w:b w:val="1"/>
                <w:bCs w:val="1"/>
                <w:color w:val="auto"/>
                <w:w w:val="89"/>
              </w:rPr>
              <w:t>Thereof</w:t>
            </w:r>
          </w:p>
        </w:tc>
        <w:tc>
          <w:tcPr>
            <w:tcW w:w="0" w:type="dxa"/>
            <w:vAlign w:val="bottom"/>
          </w:tcPr>
          <w:p>
            <w:pPr>
              <w:spacing w:after="0"/>
              <w:rPr>
                <w:sz w:val="1"/>
                <w:szCs w:val="1"/>
                <w:color w:val="auto"/>
              </w:rPr>
            </w:pPr>
          </w:p>
        </w:tc>
      </w:tr>
      <w:tr>
        <w:trPr>
          <w:trHeight w:val="81"/>
        </w:trPr>
        <w:tc>
          <w:tcPr>
            <w:tcW w:w="3640" w:type="dxa"/>
            <w:vAlign w:val="bottom"/>
            <w:tcBorders>
              <w:right w:val="single" w:sz="8" w:color="70AD47"/>
            </w:tcBorders>
            <w:vMerge w:val="continue"/>
          </w:tcPr>
          <w:p>
            <w:pPr>
              <w:spacing w:after="0"/>
              <w:rPr>
                <w:sz w:val="7"/>
                <w:szCs w:val="7"/>
                <w:color w:val="auto"/>
              </w:rPr>
            </w:pPr>
          </w:p>
        </w:tc>
        <w:tc>
          <w:tcPr>
            <w:tcW w:w="1360" w:type="dxa"/>
            <w:vAlign w:val="bottom"/>
            <w:tcBorders>
              <w:right w:val="single" w:sz="8" w:color="70AD47"/>
            </w:tcBorders>
            <w:vMerge w:val="restart"/>
          </w:tcPr>
          <w:p>
            <w:pPr>
              <w:jc w:val="center"/>
              <w:spacing w:after="0"/>
              <w:rPr>
                <w:sz w:val="20"/>
                <w:szCs w:val="20"/>
                <w:color w:val="auto"/>
              </w:rPr>
            </w:pPr>
            <w:r>
              <w:rPr>
                <w:rFonts w:ascii="Arial" w:cs="Arial" w:eastAsia="Arial" w:hAnsi="Arial"/>
                <w:sz w:val="22"/>
                <w:szCs w:val="22"/>
                <w:b w:val="1"/>
                <w:bCs w:val="1"/>
                <w:color w:val="auto"/>
                <w:w w:val="84"/>
              </w:rPr>
              <w:t>compensation</w:t>
            </w:r>
          </w:p>
        </w:tc>
        <w:tc>
          <w:tcPr>
            <w:tcW w:w="1220" w:type="dxa"/>
            <w:vAlign w:val="bottom"/>
            <w:tcBorders>
              <w:right w:val="single" w:sz="8" w:color="70AD47"/>
            </w:tcBorders>
            <w:vMerge w:val="continue"/>
          </w:tcPr>
          <w:p>
            <w:pPr>
              <w:spacing w:after="0"/>
              <w:rPr>
                <w:sz w:val="7"/>
                <w:szCs w:val="7"/>
                <w:color w:val="auto"/>
              </w:rPr>
            </w:pPr>
          </w:p>
        </w:tc>
        <w:tc>
          <w:tcPr>
            <w:tcW w:w="1220" w:type="dxa"/>
            <w:vAlign w:val="bottom"/>
            <w:tcBorders>
              <w:right w:val="single" w:sz="8" w:color="70AD47"/>
            </w:tcBorders>
            <w:vMerge w:val="continue"/>
          </w:tcPr>
          <w:p>
            <w:pPr>
              <w:spacing w:after="0"/>
              <w:rPr>
                <w:sz w:val="7"/>
                <w:szCs w:val="7"/>
                <w:color w:val="auto"/>
              </w:rPr>
            </w:pPr>
          </w:p>
        </w:tc>
        <w:tc>
          <w:tcPr>
            <w:tcW w:w="1260" w:type="dxa"/>
            <w:vAlign w:val="bottom"/>
            <w:tcBorders>
              <w:right w:val="single" w:sz="8" w:color="70AD47"/>
            </w:tcBorders>
            <w:vMerge w:val="continue"/>
          </w:tcPr>
          <w:p>
            <w:pPr>
              <w:spacing w:after="0"/>
              <w:rPr>
                <w:sz w:val="7"/>
                <w:szCs w:val="7"/>
                <w:color w:val="auto"/>
              </w:rPr>
            </w:pPr>
          </w:p>
        </w:tc>
        <w:tc>
          <w:tcPr>
            <w:tcW w:w="1200" w:type="dxa"/>
            <w:vAlign w:val="bottom"/>
            <w:tcBorders>
              <w:right w:val="single" w:sz="8" w:color="70AD47"/>
            </w:tcBorders>
            <w:vMerge w:val="continue"/>
          </w:tcPr>
          <w:p>
            <w:pPr>
              <w:spacing w:after="0"/>
              <w:rPr>
                <w:sz w:val="7"/>
                <w:szCs w:val="7"/>
                <w:color w:val="auto"/>
              </w:rPr>
            </w:pPr>
          </w:p>
        </w:tc>
        <w:tc>
          <w:tcPr>
            <w:tcW w:w="1340" w:type="dxa"/>
            <w:vAlign w:val="bottom"/>
            <w:tcBorders>
              <w:right w:val="single" w:sz="8" w:color="70AD47"/>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640" w:type="dxa"/>
            <w:vAlign w:val="bottom"/>
            <w:tcBorders>
              <w:right w:val="single" w:sz="8" w:color="70AD47"/>
            </w:tcBorders>
          </w:tcPr>
          <w:p>
            <w:pPr>
              <w:spacing w:after="0"/>
              <w:rPr>
                <w:sz w:val="18"/>
                <w:szCs w:val="18"/>
                <w:color w:val="auto"/>
              </w:rPr>
            </w:pPr>
          </w:p>
        </w:tc>
        <w:tc>
          <w:tcPr>
            <w:tcW w:w="1360" w:type="dxa"/>
            <w:vAlign w:val="bottom"/>
            <w:tcBorders>
              <w:right w:val="single" w:sz="8" w:color="70AD47"/>
            </w:tcBorders>
            <w:vMerge w:val="continue"/>
          </w:tcPr>
          <w:p>
            <w:pPr>
              <w:spacing w:after="0"/>
              <w:rPr>
                <w:sz w:val="18"/>
                <w:szCs w:val="18"/>
                <w:color w:val="auto"/>
              </w:rPr>
            </w:pPr>
          </w:p>
        </w:tc>
        <w:tc>
          <w:tcPr>
            <w:tcW w:w="1220" w:type="dxa"/>
            <w:vAlign w:val="bottom"/>
            <w:tcBorders>
              <w:right w:val="single" w:sz="8" w:color="70AD47"/>
            </w:tcBorders>
          </w:tcPr>
          <w:p>
            <w:pPr>
              <w:jc w:val="center"/>
              <w:spacing w:after="0" w:line="216" w:lineRule="exact"/>
              <w:rPr>
                <w:sz w:val="20"/>
                <w:szCs w:val="20"/>
                <w:color w:val="auto"/>
              </w:rPr>
            </w:pPr>
            <w:r>
              <w:rPr>
                <w:rFonts w:ascii="Arial" w:cs="Arial" w:eastAsia="Arial" w:hAnsi="Arial"/>
                <w:sz w:val="22"/>
                <w:szCs w:val="22"/>
                <w:color w:val="auto"/>
                <w:w w:val="94"/>
              </w:rPr>
              <w:t>(0%)</w:t>
            </w:r>
          </w:p>
        </w:tc>
        <w:tc>
          <w:tcPr>
            <w:tcW w:w="1220" w:type="dxa"/>
            <w:vAlign w:val="bottom"/>
            <w:tcBorders>
              <w:right w:val="single" w:sz="8" w:color="70AD47"/>
            </w:tcBorders>
          </w:tcPr>
          <w:p>
            <w:pPr>
              <w:jc w:val="center"/>
              <w:spacing w:after="0" w:line="216" w:lineRule="exact"/>
              <w:rPr>
                <w:sz w:val="20"/>
                <w:szCs w:val="20"/>
                <w:color w:val="auto"/>
              </w:rPr>
            </w:pPr>
            <w:r>
              <w:rPr>
                <w:rFonts w:ascii="Arial" w:cs="Arial" w:eastAsia="Arial" w:hAnsi="Arial"/>
                <w:sz w:val="22"/>
                <w:szCs w:val="22"/>
                <w:color w:val="auto"/>
                <w:w w:val="90"/>
              </w:rPr>
              <w:t>(100%)</w:t>
            </w:r>
          </w:p>
        </w:tc>
        <w:tc>
          <w:tcPr>
            <w:tcW w:w="1260" w:type="dxa"/>
            <w:vAlign w:val="bottom"/>
            <w:tcBorders>
              <w:right w:val="single" w:sz="8" w:color="70AD47"/>
            </w:tcBorders>
          </w:tcPr>
          <w:p>
            <w:pPr>
              <w:spacing w:after="0"/>
              <w:rPr>
                <w:sz w:val="18"/>
                <w:szCs w:val="18"/>
                <w:color w:val="auto"/>
              </w:rPr>
            </w:pPr>
          </w:p>
        </w:tc>
        <w:tc>
          <w:tcPr>
            <w:tcW w:w="1200" w:type="dxa"/>
            <w:vAlign w:val="bottom"/>
            <w:tcBorders>
              <w:right w:val="single" w:sz="8" w:color="70AD47"/>
            </w:tcBorders>
          </w:tcPr>
          <w:p>
            <w:pPr>
              <w:jc w:val="center"/>
              <w:spacing w:after="0" w:line="216" w:lineRule="exact"/>
              <w:rPr>
                <w:sz w:val="20"/>
                <w:szCs w:val="20"/>
                <w:color w:val="auto"/>
              </w:rPr>
            </w:pPr>
            <w:r>
              <w:rPr>
                <w:rFonts w:ascii="Arial" w:cs="Arial" w:eastAsia="Arial" w:hAnsi="Arial"/>
                <w:sz w:val="22"/>
                <w:szCs w:val="22"/>
                <w:b w:val="1"/>
                <w:bCs w:val="1"/>
                <w:color w:val="auto"/>
                <w:w w:val="96"/>
              </w:rPr>
              <w:t>First</w:t>
            </w:r>
          </w:p>
        </w:tc>
        <w:tc>
          <w:tcPr>
            <w:tcW w:w="1340" w:type="dxa"/>
            <w:vAlign w:val="bottom"/>
            <w:tcBorders>
              <w:right w:val="single" w:sz="8" w:color="70AD47"/>
            </w:tcBorders>
          </w:tcPr>
          <w:p>
            <w:pPr>
              <w:jc w:val="center"/>
              <w:spacing w:after="0" w:line="216" w:lineRule="exact"/>
              <w:rPr>
                <w:sz w:val="20"/>
                <w:szCs w:val="20"/>
                <w:color w:val="auto"/>
              </w:rPr>
            </w:pPr>
            <w:r>
              <w:rPr>
                <w:rFonts w:ascii="Arial" w:cs="Arial" w:eastAsia="Arial" w:hAnsi="Arial"/>
                <w:sz w:val="22"/>
                <w:szCs w:val="22"/>
                <w:b w:val="1"/>
                <w:bCs w:val="1"/>
                <w:color w:val="auto"/>
                <w:w w:val="82"/>
              </w:rPr>
              <w:t>Second</w:t>
            </w:r>
          </w:p>
        </w:tc>
        <w:tc>
          <w:tcPr>
            <w:tcW w:w="0" w:type="dxa"/>
            <w:vAlign w:val="bottom"/>
          </w:tcPr>
          <w:p>
            <w:pPr>
              <w:spacing w:after="0"/>
              <w:rPr>
                <w:sz w:val="1"/>
                <w:szCs w:val="1"/>
                <w:color w:val="auto"/>
              </w:rPr>
            </w:pPr>
          </w:p>
        </w:tc>
      </w:tr>
      <w:tr>
        <w:trPr>
          <w:trHeight w:val="216"/>
        </w:trPr>
        <w:tc>
          <w:tcPr>
            <w:tcW w:w="3640" w:type="dxa"/>
            <w:vAlign w:val="bottom"/>
            <w:tcBorders>
              <w:right w:val="single" w:sz="8" w:color="70AD47"/>
            </w:tcBorders>
          </w:tcPr>
          <w:p>
            <w:pPr>
              <w:spacing w:after="0"/>
              <w:rPr>
                <w:sz w:val="18"/>
                <w:szCs w:val="18"/>
                <w:color w:val="auto"/>
              </w:rPr>
            </w:pPr>
          </w:p>
        </w:tc>
        <w:tc>
          <w:tcPr>
            <w:tcW w:w="1360" w:type="dxa"/>
            <w:vAlign w:val="bottom"/>
            <w:tcBorders>
              <w:right w:val="single" w:sz="8" w:color="70AD47"/>
            </w:tcBorders>
          </w:tcPr>
          <w:p>
            <w:pPr>
              <w:jc w:val="center"/>
              <w:spacing w:after="0" w:line="216" w:lineRule="exact"/>
              <w:rPr>
                <w:sz w:val="20"/>
                <w:szCs w:val="20"/>
                <w:color w:val="auto"/>
              </w:rPr>
            </w:pPr>
            <w:r>
              <w:rPr>
                <w:rFonts w:ascii="Arial" w:cs="Arial" w:eastAsia="Arial" w:hAnsi="Arial"/>
                <w:sz w:val="22"/>
                <w:szCs w:val="22"/>
                <w:b w:val="1"/>
                <w:bCs w:val="1"/>
                <w:color w:val="auto"/>
                <w:w w:val="96"/>
              </w:rPr>
              <w:t>(in %)</w:t>
            </w:r>
          </w:p>
        </w:tc>
        <w:tc>
          <w:tcPr>
            <w:tcW w:w="1220" w:type="dxa"/>
            <w:vAlign w:val="bottom"/>
            <w:tcBorders>
              <w:right w:val="single" w:sz="8" w:color="70AD47"/>
            </w:tcBorders>
          </w:tcPr>
          <w:p>
            <w:pPr>
              <w:spacing w:after="0"/>
              <w:rPr>
                <w:sz w:val="18"/>
                <w:szCs w:val="18"/>
                <w:color w:val="auto"/>
              </w:rPr>
            </w:pPr>
          </w:p>
        </w:tc>
        <w:tc>
          <w:tcPr>
            <w:tcW w:w="1220" w:type="dxa"/>
            <w:vAlign w:val="bottom"/>
            <w:tcBorders>
              <w:right w:val="single" w:sz="8" w:color="70AD47"/>
            </w:tcBorders>
          </w:tcPr>
          <w:p>
            <w:pPr>
              <w:spacing w:after="0"/>
              <w:rPr>
                <w:sz w:val="18"/>
                <w:szCs w:val="18"/>
                <w:color w:val="auto"/>
              </w:rPr>
            </w:pPr>
          </w:p>
        </w:tc>
        <w:tc>
          <w:tcPr>
            <w:tcW w:w="1260" w:type="dxa"/>
            <w:vAlign w:val="bottom"/>
            <w:tcBorders>
              <w:right w:val="single" w:sz="8" w:color="70AD47"/>
            </w:tcBorders>
          </w:tcPr>
          <w:p>
            <w:pPr>
              <w:spacing w:after="0"/>
              <w:rPr>
                <w:sz w:val="18"/>
                <w:szCs w:val="18"/>
                <w:color w:val="auto"/>
              </w:rPr>
            </w:pPr>
          </w:p>
        </w:tc>
        <w:tc>
          <w:tcPr>
            <w:tcW w:w="1200" w:type="dxa"/>
            <w:vAlign w:val="bottom"/>
            <w:tcBorders>
              <w:right w:val="single" w:sz="8" w:color="70AD47"/>
            </w:tcBorders>
          </w:tcPr>
          <w:p>
            <w:pPr>
              <w:jc w:val="center"/>
              <w:spacing w:after="0" w:line="216" w:lineRule="exact"/>
              <w:rPr>
                <w:sz w:val="20"/>
                <w:szCs w:val="20"/>
                <w:color w:val="auto"/>
              </w:rPr>
            </w:pPr>
            <w:r>
              <w:rPr>
                <w:rFonts w:ascii="Arial" w:cs="Arial" w:eastAsia="Arial" w:hAnsi="Arial"/>
                <w:sz w:val="22"/>
                <w:szCs w:val="22"/>
                <w:b w:val="1"/>
                <w:bCs w:val="1"/>
                <w:color w:val="auto"/>
                <w:w w:val="91"/>
              </w:rPr>
              <w:t>Installment</w:t>
            </w:r>
          </w:p>
        </w:tc>
        <w:tc>
          <w:tcPr>
            <w:tcW w:w="1340" w:type="dxa"/>
            <w:vAlign w:val="bottom"/>
            <w:tcBorders>
              <w:right w:val="single" w:sz="8" w:color="70AD47"/>
            </w:tcBorders>
          </w:tcPr>
          <w:p>
            <w:pPr>
              <w:jc w:val="center"/>
              <w:spacing w:after="0" w:line="216" w:lineRule="exact"/>
              <w:rPr>
                <w:sz w:val="20"/>
                <w:szCs w:val="20"/>
                <w:color w:val="auto"/>
              </w:rPr>
            </w:pPr>
            <w:r>
              <w:rPr>
                <w:rFonts w:ascii="Arial" w:cs="Arial" w:eastAsia="Arial" w:hAnsi="Arial"/>
                <w:sz w:val="22"/>
                <w:szCs w:val="22"/>
                <w:b w:val="1"/>
                <w:bCs w:val="1"/>
                <w:color w:val="auto"/>
                <w:w w:val="91"/>
              </w:rPr>
              <w:t>Installment</w:t>
            </w:r>
          </w:p>
        </w:tc>
        <w:tc>
          <w:tcPr>
            <w:tcW w:w="0" w:type="dxa"/>
            <w:vAlign w:val="bottom"/>
          </w:tcPr>
          <w:p>
            <w:pPr>
              <w:spacing w:after="0"/>
              <w:rPr>
                <w:sz w:val="1"/>
                <w:szCs w:val="1"/>
                <w:color w:val="auto"/>
              </w:rPr>
            </w:pPr>
          </w:p>
        </w:tc>
      </w:tr>
      <w:tr>
        <w:trPr>
          <w:trHeight w:val="216"/>
        </w:trPr>
        <w:tc>
          <w:tcPr>
            <w:tcW w:w="3640" w:type="dxa"/>
            <w:vAlign w:val="bottom"/>
            <w:tcBorders>
              <w:right w:val="single" w:sz="8" w:color="70AD47"/>
            </w:tcBorders>
          </w:tcPr>
          <w:p>
            <w:pPr>
              <w:spacing w:after="0"/>
              <w:rPr>
                <w:sz w:val="18"/>
                <w:szCs w:val="18"/>
                <w:color w:val="auto"/>
              </w:rPr>
            </w:pPr>
          </w:p>
        </w:tc>
        <w:tc>
          <w:tcPr>
            <w:tcW w:w="1360" w:type="dxa"/>
            <w:vAlign w:val="bottom"/>
            <w:tcBorders>
              <w:right w:val="single" w:sz="8" w:color="70AD47"/>
            </w:tcBorders>
          </w:tcPr>
          <w:p>
            <w:pPr>
              <w:spacing w:after="0"/>
              <w:rPr>
                <w:sz w:val="18"/>
                <w:szCs w:val="18"/>
                <w:color w:val="auto"/>
              </w:rPr>
            </w:pPr>
          </w:p>
        </w:tc>
        <w:tc>
          <w:tcPr>
            <w:tcW w:w="1220" w:type="dxa"/>
            <w:vAlign w:val="bottom"/>
            <w:tcBorders>
              <w:right w:val="single" w:sz="8" w:color="70AD47"/>
            </w:tcBorders>
          </w:tcPr>
          <w:p>
            <w:pPr>
              <w:spacing w:after="0"/>
              <w:rPr>
                <w:sz w:val="18"/>
                <w:szCs w:val="18"/>
                <w:color w:val="auto"/>
              </w:rPr>
            </w:pPr>
          </w:p>
        </w:tc>
        <w:tc>
          <w:tcPr>
            <w:tcW w:w="1220" w:type="dxa"/>
            <w:vAlign w:val="bottom"/>
            <w:tcBorders>
              <w:right w:val="single" w:sz="8" w:color="70AD47"/>
            </w:tcBorders>
          </w:tcPr>
          <w:p>
            <w:pPr>
              <w:spacing w:after="0"/>
              <w:rPr>
                <w:sz w:val="18"/>
                <w:szCs w:val="18"/>
                <w:color w:val="auto"/>
              </w:rPr>
            </w:pPr>
          </w:p>
        </w:tc>
        <w:tc>
          <w:tcPr>
            <w:tcW w:w="1260" w:type="dxa"/>
            <w:vAlign w:val="bottom"/>
            <w:tcBorders>
              <w:right w:val="single" w:sz="8" w:color="70AD47"/>
            </w:tcBorders>
          </w:tcPr>
          <w:p>
            <w:pPr>
              <w:spacing w:after="0"/>
              <w:rPr>
                <w:sz w:val="18"/>
                <w:szCs w:val="18"/>
                <w:color w:val="auto"/>
              </w:rPr>
            </w:pPr>
          </w:p>
        </w:tc>
        <w:tc>
          <w:tcPr>
            <w:tcW w:w="1200" w:type="dxa"/>
            <w:vAlign w:val="bottom"/>
            <w:tcBorders>
              <w:right w:val="single" w:sz="8" w:color="70AD47"/>
            </w:tcBorders>
          </w:tcPr>
          <w:p>
            <w:pPr>
              <w:jc w:val="center"/>
              <w:spacing w:after="0" w:line="216" w:lineRule="exact"/>
              <w:rPr>
                <w:sz w:val="20"/>
                <w:szCs w:val="20"/>
                <w:color w:val="auto"/>
              </w:rPr>
            </w:pPr>
            <w:r>
              <w:rPr>
                <w:rFonts w:ascii="Arial" w:cs="Arial" w:eastAsia="Arial" w:hAnsi="Arial"/>
                <w:sz w:val="22"/>
                <w:szCs w:val="22"/>
                <w:b w:val="1"/>
                <w:bCs w:val="1"/>
                <w:color w:val="auto"/>
                <w:w w:val="87"/>
              </w:rPr>
              <w:t>to be</w:t>
            </w:r>
          </w:p>
        </w:tc>
        <w:tc>
          <w:tcPr>
            <w:tcW w:w="1340" w:type="dxa"/>
            <w:vAlign w:val="bottom"/>
            <w:tcBorders>
              <w:right w:val="single" w:sz="8" w:color="70AD47"/>
            </w:tcBorders>
          </w:tcPr>
          <w:p>
            <w:pPr>
              <w:jc w:val="center"/>
              <w:spacing w:after="0" w:line="216" w:lineRule="exact"/>
              <w:rPr>
                <w:sz w:val="20"/>
                <w:szCs w:val="20"/>
                <w:color w:val="auto"/>
              </w:rPr>
            </w:pPr>
            <w:r>
              <w:rPr>
                <w:rFonts w:ascii="Arial" w:cs="Arial" w:eastAsia="Arial" w:hAnsi="Arial"/>
                <w:sz w:val="22"/>
                <w:szCs w:val="22"/>
                <w:b w:val="1"/>
                <w:bCs w:val="1"/>
                <w:color w:val="auto"/>
                <w:w w:val="88"/>
              </w:rPr>
              <w:t>deferred</w:t>
            </w:r>
          </w:p>
        </w:tc>
        <w:tc>
          <w:tcPr>
            <w:tcW w:w="0" w:type="dxa"/>
            <w:vAlign w:val="bottom"/>
          </w:tcPr>
          <w:p>
            <w:pPr>
              <w:spacing w:after="0"/>
              <w:rPr>
                <w:sz w:val="1"/>
                <w:szCs w:val="1"/>
                <w:color w:val="auto"/>
              </w:rPr>
            </w:pPr>
          </w:p>
        </w:tc>
      </w:tr>
      <w:tr>
        <w:trPr>
          <w:trHeight w:val="216"/>
        </w:trPr>
        <w:tc>
          <w:tcPr>
            <w:tcW w:w="3640" w:type="dxa"/>
            <w:vAlign w:val="bottom"/>
            <w:tcBorders>
              <w:right w:val="single" w:sz="8" w:color="70AD47"/>
            </w:tcBorders>
          </w:tcPr>
          <w:p>
            <w:pPr>
              <w:spacing w:after="0"/>
              <w:rPr>
                <w:sz w:val="18"/>
                <w:szCs w:val="18"/>
                <w:color w:val="auto"/>
              </w:rPr>
            </w:pPr>
          </w:p>
        </w:tc>
        <w:tc>
          <w:tcPr>
            <w:tcW w:w="1360" w:type="dxa"/>
            <w:vAlign w:val="bottom"/>
            <w:tcBorders>
              <w:right w:val="single" w:sz="8" w:color="70AD47"/>
            </w:tcBorders>
          </w:tcPr>
          <w:p>
            <w:pPr>
              <w:spacing w:after="0"/>
              <w:rPr>
                <w:sz w:val="18"/>
                <w:szCs w:val="18"/>
                <w:color w:val="auto"/>
              </w:rPr>
            </w:pPr>
          </w:p>
        </w:tc>
        <w:tc>
          <w:tcPr>
            <w:tcW w:w="1220" w:type="dxa"/>
            <w:vAlign w:val="bottom"/>
            <w:tcBorders>
              <w:right w:val="single" w:sz="8" w:color="70AD47"/>
            </w:tcBorders>
          </w:tcPr>
          <w:p>
            <w:pPr>
              <w:spacing w:after="0"/>
              <w:rPr>
                <w:sz w:val="18"/>
                <w:szCs w:val="18"/>
                <w:color w:val="auto"/>
              </w:rPr>
            </w:pPr>
          </w:p>
        </w:tc>
        <w:tc>
          <w:tcPr>
            <w:tcW w:w="1220" w:type="dxa"/>
            <w:vAlign w:val="bottom"/>
            <w:tcBorders>
              <w:right w:val="single" w:sz="8" w:color="70AD47"/>
            </w:tcBorders>
          </w:tcPr>
          <w:p>
            <w:pPr>
              <w:spacing w:after="0"/>
              <w:rPr>
                <w:sz w:val="18"/>
                <w:szCs w:val="18"/>
                <w:color w:val="auto"/>
              </w:rPr>
            </w:pPr>
          </w:p>
        </w:tc>
        <w:tc>
          <w:tcPr>
            <w:tcW w:w="1260" w:type="dxa"/>
            <w:vAlign w:val="bottom"/>
            <w:tcBorders>
              <w:right w:val="single" w:sz="8" w:color="70AD47"/>
            </w:tcBorders>
          </w:tcPr>
          <w:p>
            <w:pPr>
              <w:spacing w:after="0"/>
              <w:rPr>
                <w:sz w:val="18"/>
                <w:szCs w:val="18"/>
                <w:color w:val="auto"/>
              </w:rPr>
            </w:pPr>
          </w:p>
        </w:tc>
        <w:tc>
          <w:tcPr>
            <w:tcW w:w="1200" w:type="dxa"/>
            <w:vAlign w:val="bottom"/>
            <w:tcBorders>
              <w:right w:val="single" w:sz="8" w:color="70AD47"/>
            </w:tcBorders>
          </w:tcPr>
          <w:p>
            <w:pPr>
              <w:jc w:val="center"/>
              <w:spacing w:after="0" w:line="216" w:lineRule="exact"/>
              <w:rPr>
                <w:sz w:val="20"/>
                <w:szCs w:val="20"/>
                <w:color w:val="auto"/>
              </w:rPr>
            </w:pPr>
            <w:r>
              <w:rPr>
                <w:rFonts w:ascii="Arial" w:cs="Arial" w:eastAsia="Arial" w:hAnsi="Arial"/>
                <w:sz w:val="22"/>
                <w:szCs w:val="22"/>
                <w:b w:val="1"/>
                <w:bCs w:val="1"/>
                <w:color w:val="auto"/>
                <w:w w:val="88"/>
              </w:rPr>
              <w:t>paid out in</w:t>
            </w:r>
          </w:p>
        </w:tc>
        <w:tc>
          <w:tcPr>
            <w:tcW w:w="1340" w:type="dxa"/>
            <w:vAlign w:val="bottom"/>
            <w:tcBorders>
              <w:right w:val="single" w:sz="8" w:color="70AD47"/>
            </w:tcBorders>
          </w:tcPr>
          <w:p>
            <w:pPr>
              <w:jc w:val="center"/>
              <w:spacing w:after="0" w:line="216" w:lineRule="exact"/>
              <w:rPr>
                <w:sz w:val="20"/>
                <w:szCs w:val="20"/>
                <w:color w:val="auto"/>
              </w:rPr>
            </w:pPr>
            <w:r>
              <w:rPr>
                <w:rFonts w:ascii="Arial" w:cs="Arial" w:eastAsia="Arial" w:hAnsi="Arial"/>
                <w:sz w:val="22"/>
                <w:szCs w:val="22"/>
                <w:b w:val="1"/>
                <w:bCs w:val="1"/>
                <w:color w:val="auto"/>
                <w:w w:val="87"/>
              </w:rPr>
              <w:t>and to be</w:t>
            </w:r>
          </w:p>
        </w:tc>
        <w:tc>
          <w:tcPr>
            <w:tcW w:w="0" w:type="dxa"/>
            <w:vAlign w:val="bottom"/>
          </w:tcPr>
          <w:p>
            <w:pPr>
              <w:spacing w:after="0"/>
              <w:rPr>
                <w:sz w:val="1"/>
                <w:szCs w:val="1"/>
                <w:color w:val="auto"/>
              </w:rPr>
            </w:pPr>
          </w:p>
        </w:tc>
      </w:tr>
      <w:tr>
        <w:trPr>
          <w:trHeight w:val="216"/>
        </w:trPr>
        <w:tc>
          <w:tcPr>
            <w:tcW w:w="3640" w:type="dxa"/>
            <w:vAlign w:val="bottom"/>
            <w:tcBorders>
              <w:right w:val="single" w:sz="8" w:color="70AD47"/>
            </w:tcBorders>
          </w:tcPr>
          <w:p>
            <w:pPr>
              <w:spacing w:after="0"/>
              <w:rPr>
                <w:sz w:val="18"/>
                <w:szCs w:val="18"/>
                <w:color w:val="auto"/>
              </w:rPr>
            </w:pPr>
          </w:p>
        </w:tc>
        <w:tc>
          <w:tcPr>
            <w:tcW w:w="1360" w:type="dxa"/>
            <w:vAlign w:val="bottom"/>
            <w:tcBorders>
              <w:right w:val="single" w:sz="8" w:color="70AD47"/>
            </w:tcBorders>
          </w:tcPr>
          <w:p>
            <w:pPr>
              <w:spacing w:after="0"/>
              <w:rPr>
                <w:sz w:val="18"/>
                <w:szCs w:val="18"/>
                <w:color w:val="auto"/>
              </w:rPr>
            </w:pPr>
          </w:p>
        </w:tc>
        <w:tc>
          <w:tcPr>
            <w:tcW w:w="1220" w:type="dxa"/>
            <w:vAlign w:val="bottom"/>
            <w:tcBorders>
              <w:right w:val="single" w:sz="8" w:color="70AD47"/>
            </w:tcBorders>
          </w:tcPr>
          <w:p>
            <w:pPr>
              <w:spacing w:after="0"/>
              <w:rPr>
                <w:sz w:val="18"/>
                <w:szCs w:val="18"/>
                <w:color w:val="auto"/>
              </w:rPr>
            </w:pPr>
          </w:p>
        </w:tc>
        <w:tc>
          <w:tcPr>
            <w:tcW w:w="1220" w:type="dxa"/>
            <w:vAlign w:val="bottom"/>
            <w:tcBorders>
              <w:right w:val="single" w:sz="8" w:color="70AD47"/>
            </w:tcBorders>
          </w:tcPr>
          <w:p>
            <w:pPr>
              <w:spacing w:after="0"/>
              <w:rPr>
                <w:sz w:val="18"/>
                <w:szCs w:val="18"/>
                <w:color w:val="auto"/>
              </w:rPr>
            </w:pPr>
          </w:p>
        </w:tc>
        <w:tc>
          <w:tcPr>
            <w:tcW w:w="1260" w:type="dxa"/>
            <w:vAlign w:val="bottom"/>
            <w:tcBorders>
              <w:right w:val="single" w:sz="8" w:color="70AD47"/>
            </w:tcBorders>
          </w:tcPr>
          <w:p>
            <w:pPr>
              <w:spacing w:after="0"/>
              <w:rPr>
                <w:sz w:val="18"/>
                <w:szCs w:val="18"/>
                <w:color w:val="auto"/>
              </w:rPr>
            </w:pPr>
          </w:p>
        </w:tc>
        <w:tc>
          <w:tcPr>
            <w:tcW w:w="1200" w:type="dxa"/>
            <w:vAlign w:val="bottom"/>
            <w:tcBorders>
              <w:right w:val="single" w:sz="8" w:color="70AD47"/>
            </w:tcBorders>
          </w:tcPr>
          <w:p>
            <w:pPr>
              <w:jc w:val="center"/>
              <w:spacing w:after="0" w:line="216" w:lineRule="exact"/>
              <w:rPr>
                <w:sz w:val="20"/>
                <w:szCs w:val="20"/>
                <w:color w:val="auto"/>
              </w:rPr>
            </w:pPr>
            <w:r>
              <w:rPr>
                <w:rFonts w:ascii="Arial" w:cs="Arial" w:eastAsia="Arial" w:hAnsi="Arial"/>
                <w:sz w:val="22"/>
                <w:szCs w:val="22"/>
                <w:b w:val="1"/>
                <w:bCs w:val="1"/>
                <w:color w:val="auto"/>
                <w:w w:val="93"/>
              </w:rPr>
              <w:t>April 2022</w:t>
            </w:r>
          </w:p>
        </w:tc>
        <w:tc>
          <w:tcPr>
            <w:tcW w:w="1340" w:type="dxa"/>
            <w:vAlign w:val="bottom"/>
            <w:tcBorders>
              <w:right w:val="single" w:sz="8" w:color="70AD47"/>
            </w:tcBorders>
          </w:tcPr>
          <w:p>
            <w:pPr>
              <w:jc w:val="center"/>
              <w:spacing w:after="0" w:line="216" w:lineRule="exact"/>
              <w:rPr>
                <w:sz w:val="20"/>
                <w:szCs w:val="20"/>
                <w:color w:val="auto"/>
              </w:rPr>
            </w:pPr>
            <w:r>
              <w:rPr>
                <w:rFonts w:ascii="Arial" w:cs="Arial" w:eastAsia="Arial" w:hAnsi="Arial"/>
                <w:sz w:val="22"/>
                <w:szCs w:val="22"/>
                <w:b w:val="1"/>
                <w:bCs w:val="1"/>
                <w:color w:val="auto"/>
                <w:w w:val="89"/>
              </w:rPr>
              <w:t>paid out in</w:t>
            </w:r>
          </w:p>
        </w:tc>
        <w:tc>
          <w:tcPr>
            <w:tcW w:w="0" w:type="dxa"/>
            <w:vAlign w:val="bottom"/>
          </w:tcPr>
          <w:p>
            <w:pPr>
              <w:spacing w:after="0"/>
              <w:rPr>
                <w:sz w:val="1"/>
                <w:szCs w:val="1"/>
                <w:color w:val="auto"/>
              </w:rPr>
            </w:pPr>
          </w:p>
        </w:tc>
      </w:tr>
      <w:tr>
        <w:trPr>
          <w:trHeight w:val="216"/>
        </w:trPr>
        <w:tc>
          <w:tcPr>
            <w:tcW w:w="3640" w:type="dxa"/>
            <w:vAlign w:val="bottom"/>
            <w:tcBorders>
              <w:right w:val="single" w:sz="8" w:color="70AD47"/>
            </w:tcBorders>
          </w:tcPr>
          <w:p>
            <w:pPr>
              <w:spacing w:after="0"/>
              <w:rPr>
                <w:sz w:val="18"/>
                <w:szCs w:val="18"/>
                <w:color w:val="auto"/>
              </w:rPr>
            </w:pPr>
          </w:p>
        </w:tc>
        <w:tc>
          <w:tcPr>
            <w:tcW w:w="1360" w:type="dxa"/>
            <w:vAlign w:val="bottom"/>
            <w:tcBorders>
              <w:right w:val="single" w:sz="8" w:color="70AD47"/>
            </w:tcBorders>
          </w:tcPr>
          <w:p>
            <w:pPr>
              <w:spacing w:after="0"/>
              <w:rPr>
                <w:sz w:val="18"/>
                <w:szCs w:val="18"/>
                <w:color w:val="auto"/>
              </w:rPr>
            </w:pPr>
          </w:p>
        </w:tc>
        <w:tc>
          <w:tcPr>
            <w:tcW w:w="1220" w:type="dxa"/>
            <w:vAlign w:val="bottom"/>
            <w:tcBorders>
              <w:right w:val="single" w:sz="8" w:color="70AD47"/>
            </w:tcBorders>
          </w:tcPr>
          <w:p>
            <w:pPr>
              <w:spacing w:after="0"/>
              <w:rPr>
                <w:sz w:val="18"/>
                <w:szCs w:val="18"/>
                <w:color w:val="auto"/>
              </w:rPr>
            </w:pPr>
          </w:p>
        </w:tc>
        <w:tc>
          <w:tcPr>
            <w:tcW w:w="1220" w:type="dxa"/>
            <w:vAlign w:val="bottom"/>
            <w:tcBorders>
              <w:right w:val="single" w:sz="8" w:color="70AD47"/>
            </w:tcBorders>
          </w:tcPr>
          <w:p>
            <w:pPr>
              <w:spacing w:after="0"/>
              <w:rPr>
                <w:sz w:val="18"/>
                <w:szCs w:val="18"/>
                <w:color w:val="auto"/>
              </w:rPr>
            </w:pPr>
          </w:p>
        </w:tc>
        <w:tc>
          <w:tcPr>
            <w:tcW w:w="1260" w:type="dxa"/>
            <w:vAlign w:val="bottom"/>
            <w:tcBorders>
              <w:right w:val="single" w:sz="8" w:color="70AD47"/>
            </w:tcBorders>
          </w:tcPr>
          <w:p>
            <w:pPr>
              <w:spacing w:after="0"/>
              <w:rPr>
                <w:sz w:val="18"/>
                <w:szCs w:val="18"/>
                <w:color w:val="auto"/>
              </w:rPr>
            </w:pPr>
          </w:p>
        </w:tc>
        <w:tc>
          <w:tcPr>
            <w:tcW w:w="1200" w:type="dxa"/>
            <w:vAlign w:val="bottom"/>
            <w:tcBorders>
              <w:right w:val="single" w:sz="8" w:color="70AD47"/>
            </w:tcBorders>
          </w:tcPr>
          <w:p>
            <w:pPr>
              <w:spacing w:after="0"/>
              <w:rPr>
                <w:sz w:val="18"/>
                <w:szCs w:val="18"/>
                <w:color w:val="auto"/>
              </w:rPr>
            </w:pPr>
          </w:p>
        </w:tc>
        <w:tc>
          <w:tcPr>
            <w:tcW w:w="1340" w:type="dxa"/>
            <w:vAlign w:val="bottom"/>
            <w:tcBorders>
              <w:right w:val="single" w:sz="8" w:color="70AD47"/>
            </w:tcBorders>
          </w:tcPr>
          <w:p>
            <w:pPr>
              <w:jc w:val="center"/>
              <w:spacing w:after="0" w:line="216" w:lineRule="exact"/>
              <w:rPr>
                <w:sz w:val="20"/>
                <w:szCs w:val="20"/>
                <w:color w:val="auto"/>
              </w:rPr>
            </w:pPr>
            <w:r>
              <w:rPr>
                <w:rFonts w:ascii="Arial" w:cs="Arial" w:eastAsia="Arial" w:hAnsi="Arial"/>
                <w:sz w:val="22"/>
                <w:szCs w:val="22"/>
                <w:b w:val="1"/>
                <w:bCs w:val="1"/>
                <w:color w:val="auto"/>
                <w:w w:val="93"/>
              </w:rPr>
              <w:t>February</w:t>
            </w:r>
          </w:p>
        </w:tc>
        <w:tc>
          <w:tcPr>
            <w:tcW w:w="0" w:type="dxa"/>
            <w:vAlign w:val="bottom"/>
          </w:tcPr>
          <w:p>
            <w:pPr>
              <w:spacing w:after="0"/>
              <w:rPr>
                <w:sz w:val="1"/>
                <w:szCs w:val="1"/>
                <w:color w:val="auto"/>
              </w:rPr>
            </w:pPr>
          </w:p>
        </w:tc>
      </w:tr>
      <w:tr>
        <w:trPr>
          <w:trHeight w:val="371"/>
        </w:trPr>
        <w:tc>
          <w:tcPr>
            <w:tcW w:w="3640" w:type="dxa"/>
            <w:vAlign w:val="bottom"/>
            <w:tcBorders>
              <w:right w:val="single" w:sz="8" w:color="70AD47"/>
            </w:tcBorders>
          </w:tcPr>
          <w:p>
            <w:pPr>
              <w:spacing w:after="0"/>
              <w:rPr>
                <w:sz w:val="24"/>
                <w:szCs w:val="24"/>
                <w:color w:val="auto"/>
              </w:rPr>
            </w:pPr>
          </w:p>
        </w:tc>
        <w:tc>
          <w:tcPr>
            <w:tcW w:w="1360" w:type="dxa"/>
            <w:vAlign w:val="bottom"/>
            <w:tcBorders>
              <w:right w:val="single" w:sz="8" w:color="70AD47"/>
            </w:tcBorders>
          </w:tcPr>
          <w:p>
            <w:pPr>
              <w:spacing w:after="0"/>
              <w:rPr>
                <w:sz w:val="24"/>
                <w:szCs w:val="24"/>
                <w:color w:val="auto"/>
              </w:rPr>
            </w:pPr>
          </w:p>
        </w:tc>
        <w:tc>
          <w:tcPr>
            <w:tcW w:w="1220" w:type="dxa"/>
            <w:vAlign w:val="bottom"/>
            <w:tcBorders>
              <w:right w:val="single" w:sz="8" w:color="70AD47"/>
            </w:tcBorders>
          </w:tcPr>
          <w:p>
            <w:pPr>
              <w:spacing w:after="0"/>
              <w:rPr>
                <w:sz w:val="24"/>
                <w:szCs w:val="24"/>
                <w:color w:val="auto"/>
              </w:rPr>
            </w:pPr>
          </w:p>
        </w:tc>
        <w:tc>
          <w:tcPr>
            <w:tcW w:w="1220" w:type="dxa"/>
            <w:vAlign w:val="bottom"/>
            <w:tcBorders>
              <w:right w:val="single" w:sz="8" w:color="70AD47"/>
            </w:tcBorders>
          </w:tcPr>
          <w:p>
            <w:pPr>
              <w:spacing w:after="0"/>
              <w:rPr>
                <w:sz w:val="24"/>
                <w:szCs w:val="24"/>
                <w:color w:val="auto"/>
              </w:rPr>
            </w:pPr>
          </w:p>
        </w:tc>
        <w:tc>
          <w:tcPr>
            <w:tcW w:w="1260" w:type="dxa"/>
            <w:vAlign w:val="bottom"/>
            <w:tcBorders>
              <w:right w:val="single" w:sz="8" w:color="70AD47"/>
            </w:tcBorders>
          </w:tcPr>
          <w:p>
            <w:pPr>
              <w:spacing w:after="0"/>
              <w:rPr>
                <w:sz w:val="24"/>
                <w:szCs w:val="24"/>
                <w:color w:val="auto"/>
              </w:rPr>
            </w:pPr>
          </w:p>
        </w:tc>
        <w:tc>
          <w:tcPr>
            <w:tcW w:w="1200" w:type="dxa"/>
            <w:vAlign w:val="bottom"/>
            <w:tcBorders>
              <w:right w:val="single" w:sz="8" w:color="70AD47"/>
            </w:tcBorders>
          </w:tcPr>
          <w:p>
            <w:pPr>
              <w:spacing w:after="0"/>
              <w:rPr>
                <w:sz w:val="24"/>
                <w:szCs w:val="24"/>
                <w:color w:val="auto"/>
              </w:rPr>
            </w:pPr>
          </w:p>
        </w:tc>
        <w:tc>
          <w:tcPr>
            <w:tcW w:w="1340" w:type="dxa"/>
            <w:vAlign w:val="bottom"/>
            <w:tcBorders>
              <w:right w:val="single" w:sz="8" w:color="70AD47"/>
            </w:tcBorders>
          </w:tcPr>
          <w:p>
            <w:pPr>
              <w:jc w:val="center"/>
              <w:spacing w:after="0"/>
              <w:rPr>
                <w:sz w:val="20"/>
                <w:szCs w:val="20"/>
                <w:color w:val="auto"/>
              </w:rPr>
            </w:pPr>
            <w:r>
              <w:rPr>
                <w:rFonts w:ascii="Arial" w:cs="Arial" w:eastAsia="Arial" w:hAnsi="Arial"/>
                <w:sz w:val="22"/>
                <w:szCs w:val="22"/>
                <w:b w:val="1"/>
                <w:bCs w:val="1"/>
                <w:color w:val="auto"/>
                <w:w w:val="82"/>
              </w:rPr>
              <w:t xml:space="preserve">2023 </w:t>
            </w:r>
            <w:r>
              <w:rPr>
                <w:rFonts w:ascii="Arial" w:cs="Arial" w:eastAsia="Arial" w:hAnsi="Arial"/>
                <w:sz w:val="28"/>
                <w:szCs w:val="28"/>
                <w:b w:val="1"/>
                <w:bCs w:val="1"/>
                <w:color w:val="auto"/>
                <w:w w:val="82"/>
                <w:vertAlign w:val="superscript"/>
              </w:rPr>
              <w:t>(2)</w:t>
            </w:r>
          </w:p>
        </w:tc>
        <w:tc>
          <w:tcPr>
            <w:tcW w:w="0" w:type="dxa"/>
            <w:vAlign w:val="bottom"/>
          </w:tcPr>
          <w:p>
            <w:pPr>
              <w:spacing w:after="0"/>
              <w:rPr>
                <w:sz w:val="1"/>
                <w:szCs w:val="1"/>
                <w:color w:val="auto"/>
              </w:rPr>
            </w:pPr>
          </w:p>
        </w:tc>
      </w:tr>
      <w:tr>
        <w:trPr>
          <w:trHeight w:val="331"/>
        </w:trPr>
        <w:tc>
          <w:tcPr>
            <w:tcW w:w="3640" w:type="dxa"/>
            <w:vAlign w:val="bottom"/>
            <w:tcBorders>
              <w:bottom w:val="single" w:sz="8" w:color="70AD47"/>
              <w:right w:val="single" w:sz="8" w:color="70AD47"/>
            </w:tcBorders>
          </w:tcPr>
          <w:p>
            <w:pPr>
              <w:spacing w:after="0"/>
              <w:rPr>
                <w:sz w:val="24"/>
                <w:szCs w:val="24"/>
                <w:color w:val="auto"/>
              </w:rPr>
            </w:pPr>
          </w:p>
        </w:tc>
        <w:tc>
          <w:tcPr>
            <w:tcW w:w="1360" w:type="dxa"/>
            <w:vAlign w:val="bottom"/>
            <w:tcBorders>
              <w:bottom w:val="single" w:sz="8" w:color="70AD47"/>
              <w:right w:val="single" w:sz="8" w:color="70AD47"/>
            </w:tcBorders>
          </w:tcPr>
          <w:p>
            <w:pPr>
              <w:spacing w:after="0"/>
              <w:rPr>
                <w:sz w:val="24"/>
                <w:szCs w:val="24"/>
                <w:color w:val="auto"/>
              </w:rPr>
            </w:pPr>
          </w:p>
        </w:tc>
        <w:tc>
          <w:tcPr>
            <w:tcW w:w="1220" w:type="dxa"/>
            <w:vAlign w:val="bottom"/>
            <w:tcBorders>
              <w:bottom w:val="single" w:sz="8" w:color="70AD47"/>
              <w:right w:val="single" w:sz="8" w:color="70AD47"/>
            </w:tcBorders>
          </w:tcPr>
          <w:p>
            <w:pPr>
              <w:spacing w:after="0"/>
              <w:rPr>
                <w:sz w:val="24"/>
                <w:szCs w:val="24"/>
                <w:color w:val="auto"/>
              </w:rPr>
            </w:pPr>
          </w:p>
        </w:tc>
        <w:tc>
          <w:tcPr>
            <w:tcW w:w="1220" w:type="dxa"/>
            <w:vAlign w:val="bottom"/>
            <w:tcBorders>
              <w:bottom w:val="single" w:sz="8" w:color="70AD47"/>
              <w:right w:val="single" w:sz="8" w:color="70AD47"/>
            </w:tcBorders>
          </w:tcPr>
          <w:p>
            <w:pPr>
              <w:spacing w:after="0"/>
              <w:rPr>
                <w:sz w:val="24"/>
                <w:szCs w:val="24"/>
                <w:color w:val="auto"/>
              </w:rPr>
            </w:pPr>
          </w:p>
        </w:tc>
        <w:tc>
          <w:tcPr>
            <w:tcW w:w="1260" w:type="dxa"/>
            <w:vAlign w:val="bottom"/>
            <w:tcBorders>
              <w:bottom w:val="single" w:sz="8" w:color="70AD47"/>
              <w:right w:val="single" w:sz="8" w:color="70AD47"/>
            </w:tcBorders>
          </w:tcPr>
          <w:p>
            <w:pPr>
              <w:spacing w:after="0"/>
              <w:rPr>
                <w:sz w:val="24"/>
                <w:szCs w:val="24"/>
                <w:color w:val="auto"/>
              </w:rPr>
            </w:pPr>
          </w:p>
        </w:tc>
        <w:tc>
          <w:tcPr>
            <w:tcW w:w="1200" w:type="dxa"/>
            <w:vAlign w:val="bottom"/>
            <w:tcBorders>
              <w:bottom w:val="single" w:sz="8" w:color="70AD47"/>
              <w:right w:val="single" w:sz="8" w:color="70AD47"/>
            </w:tcBorders>
          </w:tcPr>
          <w:p>
            <w:pPr>
              <w:spacing w:after="0"/>
              <w:rPr>
                <w:sz w:val="24"/>
                <w:szCs w:val="24"/>
                <w:color w:val="auto"/>
              </w:rPr>
            </w:pPr>
          </w:p>
        </w:tc>
        <w:tc>
          <w:tcPr>
            <w:tcW w:w="1340" w:type="dxa"/>
            <w:vAlign w:val="bottom"/>
            <w:tcBorders>
              <w:bottom w:val="single" w:sz="8" w:color="70AD47"/>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91"/>
              </w:rPr>
              <w:t>Prof. Ugur Sahin, M.D.</w:t>
            </w:r>
          </w:p>
        </w:tc>
        <w:tc>
          <w:tcPr>
            <w:tcW w:w="136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90"/>
              </w:rPr>
              <w:t>50%</w:t>
            </w:r>
          </w:p>
        </w:tc>
        <w:tc>
          <w:tcPr>
            <w:tcW w:w="122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99"/>
              </w:rPr>
              <w:t>—</w:t>
            </w:r>
          </w:p>
        </w:tc>
        <w:tc>
          <w:tcPr>
            <w:tcW w:w="122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7"/>
              </w:rPr>
              <w:t>180</w:t>
            </w:r>
          </w:p>
        </w:tc>
        <w:tc>
          <w:tcPr>
            <w:tcW w:w="126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100%</w:t>
            </w:r>
          </w:p>
        </w:tc>
        <w:tc>
          <w:tcPr>
            <w:tcW w:w="12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9"/>
              </w:rPr>
              <w:t>90</w:t>
            </w:r>
          </w:p>
        </w:tc>
        <w:tc>
          <w:tcPr>
            <w:tcW w:w="13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9"/>
              </w:rPr>
              <w:t>90</w:t>
            </w:r>
          </w:p>
        </w:tc>
        <w:tc>
          <w:tcPr>
            <w:tcW w:w="0" w:type="dxa"/>
            <w:vAlign w:val="bottom"/>
          </w:tcPr>
          <w:p>
            <w:pPr>
              <w:spacing w:after="0"/>
              <w:rPr>
                <w:sz w:val="1"/>
                <w:szCs w:val="1"/>
                <w:color w:val="auto"/>
              </w:rPr>
            </w:pPr>
          </w:p>
        </w:tc>
      </w:tr>
      <w:tr>
        <w:trPr>
          <w:trHeight w:val="270"/>
        </w:trPr>
        <w:tc>
          <w:tcPr>
            <w:tcW w:w="36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Sean Marett</w:t>
            </w:r>
          </w:p>
        </w:tc>
        <w:tc>
          <w:tcPr>
            <w:tcW w:w="136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90"/>
              </w:rPr>
              <w:t>50%</w:t>
            </w:r>
          </w:p>
        </w:tc>
        <w:tc>
          <w:tcPr>
            <w:tcW w:w="122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99"/>
              </w:rPr>
              <w:t>—</w:t>
            </w:r>
          </w:p>
        </w:tc>
        <w:tc>
          <w:tcPr>
            <w:tcW w:w="122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7"/>
              </w:rPr>
              <w:t>200</w:t>
            </w:r>
          </w:p>
        </w:tc>
        <w:tc>
          <w:tcPr>
            <w:tcW w:w="126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100%</w:t>
            </w:r>
          </w:p>
        </w:tc>
        <w:tc>
          <w:tcPr>
            <w:tcW w:w="12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92"/>
              </w:rPr>
              <w:t>100</w:t>
            </w:r>
          </w:p>
        </w:tc>
        <w:tc>
          <w:tcPr>
            <w:tcW w:w="13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7"/>
              </w:rPr>
              <w:t>100</w:t>
            </w:r>
          </w:p>
        </w:tc>
        <w:tc>
          <w:tcPr>
            <w:tcW w:w="0" w:type="dxa"/>
            <w:vAlign w:val="bottom"/>
          </w:tcPr>
          <w:p>
            <w:pPr>
              <w:spacing w:after="0"/>
              <w:rPr>
                <w:sz w:val="1"/>
                <w:szCs w:val="1"/>
                <w:color w:val="auto"/>
              </w:rPr>
            </w:pPr>
          </w:p>
        </w:tc>
      </w:tr>
      <w:tr>
        <w:trPr>
          <w:trHeight w:val="270"/>
        </w:trPr>
        <w:tc>
          <w:tcPr>
            <w:tcW w:w="36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9"/>
              </w:rPr>
              <w:t>Dr. Sierk Poetting</w:t>
            </w:r>
          </w:p>
        </w:tc>
        <w:tc>
          <w:tcPr>
            <w:tcW w:w="136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90"/>
              </w:rPr>
              <w:t>48%</w:t>
            </w:r>
          </w:p>
        </w:tc>
        <w:tc>
          <w:tcPr>
            <w:tcW w:w="122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99"/>
              </w:rPr>
              <w:t>—</w:t>
            </w:r>
          </w:p>
        </w:tc>
        <w:tc>
          <w:tcPr>
            <w:tcW w:w="122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7"/>
              </w:rPr>
              <w:t>180</w:t>
            </w:r>
          </w:p>
        </w:tc>
        <w:tc>
          <w:tcPr>
            <w:tcW w:w="126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100%</w:t>
            </w:r>
          </w:p>
        </w:tc>
        <w:tc>
          <w:tcPr>
            <w:tcW w:w="12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9"/>
              </w:rPr>
              <w:t>90</w:t>
            </w:r>
          </w:p>
        </w:tc>
        <w:tc>
          <w:tcPr>
            <w:tcW w:w="13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9"/>
              </w:rPr>
              <w:t>90</w:t>
            </w:r>
          </w:p>
        </w:tc>
        <w:tc>
          <w:tcPr>
            <w:tcW w:w="0" w:type="dxa"/>
            <w:vAlign w:val="bottom"/>
          </w:tcPr>
          <w:p>
            <w:pPr>
              <w:spacing w:after="0"/>
              <w:rPr>
                <w:sz w:val="1"/>
                <w:szCs w:val="1"/>
                <w:color w:val="auto"/>
              </w:rPr>
            </w:pPr>
          </w:p>
        </w:tc>
      </w:tr>
      <w:tr>
        <w:trPr>
          <w:trHeight w:val="270"/>
        </w:trPr>
        <w:tc>
          <w:tcPr>
            <w:tcW w:w="36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91"/>
              </w:rPr>
              <w:t>Prof. Özlem Türeci, M.D.</w:t>
            </w:r>
          </w:p>
        </w:tc>
        <w:tc>
          <w:tcPr>
            <w:tcW w:w="136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90"/>
              </w:rPr>
              <w:t>50%</w:t>
            </w:r>
          </w:p>
        </w:tc>
        <w:tc>
          <w:tcPr>
            <w:tcW w:w="122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99"/>
              </w:rPr>
              <w:t>—</w:t>
            </w:r>
          </w:p>
        </w:tc>
        <w:tc>
          <w:tcPr>
            <w:tcW w:w="122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7"/>
              </w:rPr>
              <w:t>180</w:t>
            </w:r>
          </w:p>
        </w:tc>
        <w:tc>
          <w:tcPr>
            <w:tcW w:w="126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100%</w:t>
            </w:r>
          </w:p>
        </w:tc>
        <w:tc>
          <w:tcPr>
            <w:tcW w:w="12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9"/>
              </w:rPr>
              <w:t>90</w:t>
            </w:r>
          </w:p>
        </w:tc>
        <w:tc>
          <w:tcPr>
            <w:tcW w:w="13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9"/>
              </w:rPr>
              <w:t>90</w:t>
            </w:r>
          </w:p>
        </w:tc>
        <w:tc>
          <w:tcPr>
            <w:tcW w:w="0" w:type="dxa"/>
            <w:vAlign w:val="bottom"/>
          </w:tcPr>
          <w:p>
            <w:pPr>
              <w:spacing w:after="0"/>
              <w:rPr>
                <w:sz w:val="1"/>
                <w:szCs w:val="1"/>
                <w:color w:val="auto"/>
              </w:rPr>
            </w:pPr>
          </w:p>
        </w:tc>
      </w:tr>
      <w:tr>
        <w:trPr>
          <w:trHeight w:val="262"/>
        </w:trPr>
        <w:tc>
          <w:tcPr>
            <w:tcW w:w="36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Ryan Richardson</w:t>
            </w:r>
          </w:p>
        </w:tc>
        <w:tc>
          <w:tcPr>
            <w:tcW w:w="136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90"/>
              </w:rPr>
              <w:t>50%</w:t>
            </w:r>
          </w:p>
        </w:tc>
        <w:tc>
          <w:tcPr>
            <w:tcW w:w="122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99"/>
              </w:rPr>
              <w:t>—</w:t>
            </w:r>
          </w:p>
        </w:tc>
        <w:tc>
          <w:tcPr>
            <w:tcW w:w="122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7"/>
              </w:rPr>
              <w:t>160</w:t>
            </w:r>
          </w:p>
        </w:tc>
        <w:tc>
          <w:tcPr>
            <w:tcW w:w="126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100%</w:t>
            </w:r>
          </w:p>
        </w:tc>
        <w:tc>
          <w:tcPr>
            <w:tcW w:w="12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9"/>
              </w:rPr>
              <w:t>80</w:t>
            </w:r>
          </w:p>
        </w:tc>
        <w:tc>
          <w:tcPr>
            <w:tcW w:w="13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9"/>
              </w:rPr>
              <w:t>80</w:t>
            </w:r>
          </w:p>
        </w:tc>
        <w:tc>
          <w:tcPr>
            <w:tcW w:w="0" w:type="dxa"/>
            <w:vAlign w:val="bottom"/>
          </w:tcPr>
          <w:p>
            <w:pPr>
              <w:spacing w:after="0"/>
              <w:rPr>
                <w:sz w:val="1"/>
                <w:szCs w:val="1"/>
                <w:color w:val="auto"/>
              </w:rPr>
            </w:pPr>
          </w:p>
        </w:tc>
      </w:tr>
      <w:tr>
        <w:trPr>
          <w:trHeight w:val="286"/>
        </w:trPr>
        <w:tc>
          <w:tcPr>
            <w:tcW w:w="3640" w:type="dxa"/>
            <w:vAlign w:val="bottom"/>
            <w:tcBorders>
              <w:bottom w:val="single" w:sz="8" w:color="70AD47"/>
              <w:right w:val="single" w:sz="8" w:color="70AD47"/>
            </w:tcBorders>
          </w:tcPr>
          <w:p>
            <w:pPr>
              <w:jc w:val="center"/>
              <w:spacing w:after="0" w:line="285" w:lineRule="exact"/>
              <w:rPr>
                <w:sz w:val="20"/>
                <w:szCs w:val="20"/>
                <w:color w:val="auto"/>
              </w:rPr>
            </w:pPr>
            <w:r>
              <w:rPr>
                <w:rFonts w:ascii="Arial" w:cs="Arial" w:eastAsia="Arial" w:hAnsi="Arial"/>
                <w:sz w:val="22"/>
                <w:szCs w:val="22"/>
                <w:color w:val="auto"/>
                <w:w w:val="86"/>
              </w:rPr>
              <w:t>Jens Holstein</w:t>
            </w:r>
            <w:r>
              <w:rPr>
                <w:rFonts w:ascii="Arial" w:cs="Arial" w:eastAsia="Arial" w:hAnsi="Arial"/>
                <w:sz w:val="28"/>
                <w:szCs w:val="28"/>
                <w:color w:val="auto"/>
                <w:w w:val="86"/>
                <w:vertAlign w:val="superscript"/>
              </w:rPr>
              <w:t>(1)</w:t>
            </w:r>
          </w:p>
        </w:tc>
        <w:tc>
          <w:tcPr>
            <w:tcW w:w="1360" w:type="dxa"/>
            <w:vAlign w:val="bottom"/>
            <w:tcBorders>
              <w:bottom w:val="single" w:sz="8" w:color="70AD47"/>
              <w:right w:val="single" w:sz="8" w:color="70AD47"/>
            </w:tcBorders>
          </w:tcPr>
          <w:p>
            <w:pPr>
              <w:jc w:val="center"/>
              <w:spacing w:after="0"/>
              <w:rPr>
                <w:sz w:val="20"/>
                <w:szCs w:val="20"/>
                <w:color w:val="auto"/>
              </w:rPr>
            </w:pPr>
            <w:r>
              <w:rPr>
                <w:rFonts w:ascii="Arial" w:cs="Arial" w:eastAsia="Arial" w:hAnsi="Arial"/>
                <w:sz w:val="22"/>
                <w:szCs w:val="22"/>
                <w:color w:val="auto"/>
                <w:w w:val="90"/>
              </w:rPr>
              <w:t>55%</w:t>
            </w:r>
          </w:p>
        </w:tc>
        <w:tc>
          <w:tcPr>
            <w:tcW w:w="1220" w:type="dxa"/>
            <w:vAlign w:val="bottom"/>
            <w:tcBorders>
              <w:bottom w:val="single" w:sz="8" w:color="70AD47"/>
              <w:right w:val="single" w:sz="8" w:color="70AD47"/>
            </w:tcBorders>
          </w:tcPr>
          <w:p>
            <w:pPr>
              <w:jc w:val="center"/>
              <w:spacing w:after="0"/>
              <w:rPr>
                <w:sz w:val="20"/>
                <w:szCs w:val="20"/>
                <w:color w:val="auto"/>
              </w:rPr>
            </w:pPr>
            <w:r>
              <w:rPr>
                <w:rFonts w:ascii="Arial" w:cs="Arial" w:eastAsia="Arial" w:hAnsi="Arial"/>
                <w:sz w:val="22"/>
                <w:szCs w:val="22"/>
                <w:color w:val="auto"/>
                <w:w w:val="99"/>
              </w:rPr>
              <w:t>—</w:t>
            </w:r>
          </w:p>
        </w:tc>
        <w:tc>
          <w:tcPr>
            <w:tcW w:w="1220" w:type="dxa"/>
            <w:vAlign w:val="bottom"/>
            <w:tcBorders>
              <w:bottom w:val="single" w:sz="8" w:color="70AD47"/>
              <w:right w:val="single" w:sz="8" w:color="70AD47"/>
            </w:tcBorders>
          </w:tcPr>
          <w:p>
            <w:pPr>
              <w:jc w:val="center"/>
              <w:spacing w:after="0"/>
              <w:rPr>
                <w:sz w:val="20"/>
                <w:szCs w:val="20"/>
                <w:color w:val="auto"/>
              </w:rPr>
            </w:pPr>
            <w:r>
              <w:rPr>
                <w:rFonts w:ascii="Arial" w:cs="Arial" w:eastAsia="Arial" w:hAnsi="Arial"/>
                <w:sz w:val="22"/>
                <w:szCs w:val="22"/>
                <w:color w:val="auto"/>
                <w:w w:val="87"/>
              </w:rPr>
              <w:t>150</w:t>
            </w:r>
          </w:p>
        </w:tc>
        <w:tc>
          <w:tcPr>
            <w:tcW w:w="1260" w:type="dxa"/>
            <w:vAlign w:val="bottom"/>
            <w:tcBorders>
              <w:bottom w:val="single" w:sz="8" w:color="70AD47"/>
              <w:right w:val="single" w:sz="8" w:color="70AD47"/>
            </w:tcBorders>
          </w:tcPr>
          <w:p>
            <w:pPr>
              <w:jc w:val="center"/>
              <w:spacing w:after="0"/>
              <w:rPr>
                <w:sz w:val="20"/>
                <w:szCs w:val="20"/>
                <w:color w:val="auto"/>
              </w:rPr>
            </w:pPr>
            <w:r>
              <w:rPr>
                <w:rFonts w:ascii="Arial" w:cs="Arial" w:eastAsia="Arial" w:hAnsi="Arial"/>
                <w:sz w:val="22"/>
                <w:szCs w:val="22"/>
                <w:color w:val="auto"/>
                <w:w w:val="88"/>
              </w:rPr>
              <w:t>100%</w:t>
            </w:r>
          </w:p>
        </w:tc>
        <w:tc>
          <w:tcPr>
            <w:tcW w:w="1200" w:type="dxa"/>
            <w:vAlign w:val="bottom"/>
            <w:tcBorders>
              <w:bottom w:val="single" w:sz="8" w:color="70AD47"/>
              <w:right w:val="single" w:sz="8" w:color="70AD47"/>
            </w:tcBorders>
          </w:tcPr>
          <w:p>
            <w:pPr>
              <w:jc w:val="center"/>
              <w:spacing w:after="0"/>
              <w:rPr>
                <w:sz w:val="20"/>
                <w:szCs w:val="20"/>
                <w:color w:val="auto"/>
              </w:rPr>
            </w:pPr>
            <w:r>
              <w:rPr>
                <w:rFonts w:ascii="Arial" w:cs="Arial" w:eastAsia="Arial" w:hAnsi="Arial"/>
                <w:sz w:val="22"/>
                <w:szCs w:val="22"/>
                <w:color w:val="auto"/>
                <w:w w:val="89"/>
              </w:rPr>
              <w:t>75</w:t>
            </w:r>
          </w:p>
        </w:tc>
        <w:tc>
          <w:tcPr>
            <w:tcW w:w="1340" w:type="dxa"/>
            <w:vAlign w:val="bottom"/>
            <w:tcBorders>
              <w:bottom w:val="single" w:sz="8" w:color="70AD47"/>
              <w:right w:val="single" w:sz="8" w:color="70AD47"/>
            </w:tcBorders>
          </w:tcPr>
          <w:p>
            <w:pPr>
              <w:jc w:val="center"/>
              <w:spacing w:after="0"/>
              <w:rPr>
                <w:sz w:val="20"/>
                <w:szCs w:val="20"/>
                <w:color w:val="auto"/>
              </w:rPr>
            </w:pPr>
            <w:r>
              <w:rPr>
                <w:rFonts w:ascii="Arial" w:cs="Arial" w:eastAsia="Arial" w:hAnsi="Arial"/>
                <w:sz w:val="22"/>
                <w:szCs w:val="22"/>
                <w:color w:val="auto"/>
                <w:w w:val="89"/>
              </w:rPr>
              <w:t>75</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firstLine="8"/>
        <w:spacing w:after="0" w:line="204" w:lineRule="auto"/>
        <w:tabs>
          <w:tab w:leader="none" w:pos="476" w:val="left"/>
        </w:tabs>
        <w:numPr>
          <w:ilvl w:val="0"/>
          <w:numId w:val="23"/>
        </w:numPr>
        <w:rPr>
          <w:rFonts w:ascii="Arial" w:cs="Arial" w:eastAsia="Arial" w:hAnsi="Arial"/>
          <w:sz w:val="28"/>
          <w:szCs w:val="28"/>
          <w:color w:val="auto"/>
          <w:vertAlign w:val="superscript"/>
        </w:rPr>
      </w:pPr>
      <w:r>
        <w:rPr>
          <w:rFonts w:ascii="Arial" w:cs="Arial" w:eastAsia="Arial" w:hAnsi="Arial"/>
          <w:sz w:val="22"/>
          <w:szCs w:val="22"/>
          <w:color w:val="auto"/>
        </w:rPr>
        <w:t>Effective July 1, 2021, the maximum short-term incentive compensation for Jens Holstein was defined as € 300.000 which was applied on a pro-rata basis for the year ended December 31, 2021.</w:t>
      </w:r>
    </w:p>
    <w:p>
      <w:pPr>
        <w:spacing w:after="0" w:line="159" w:lineRule="exact"/>
        <w:rPr>
          <w:rFonts w:ascii="Arial" w:cs="Arial" w:eastAsia="Arial" w:hAnsi="Arial"/>
          <w:sz w:val="28"/>
          <w:szCs w:val="28"/>
          <w:color w:val="auto"/>
          <w:vertAlign w:val="superscript"/>
        </w:rPr>
      </w:pPr>
    </w:p>
    <w:p>
      <w:pPr>
        <w:ind w:firstLine="8"/>
        <w:spacing w:after="0" w:line="204" w:lineRule="auto"/>
        <w:tabs>
          <w:tab w:leader="none" w:pos="464" w:val="left"/>
        </w:tabs>
        <w:numPr>
          <w:ilvl w:val="0"/>
          <w:numId w:val="23"/>
        </w:numPr>
        <w:rPr>
          <w:rFonts w:ascii="Arial" w:cs="Arial" w:eastAsia="Arial" w:hAnsi="Arial"/>
          <w:sz w:val="28"/>
          <w:szCs w:val="28"/>
          <w:color w:val="auto"/>
          <w:vertAlign w:val="superscript"/>
        </w:rPr>
      </w:pPr>
      <w:r>
        <w:rPr>
          <w:rFonts w:ascii="Arial" w:cs="Arial" w:eastAsia="Arial" w:hAnsi="Arial"/>
          <w:sz w:val="22"/>
          <w:szCs w:val="22"/>
          <w:color w:val="auto"/>
        </w:rPr>
        <w:t>Deferred amount is dependent on the share price development during the year following the determination date in February 2022.</w:t>
      </w:r>
    </w:p>
    <w:p>
      <w:pPr>
        <w:spacing w:after="0" w:line="26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5.4</w:t>
      </w:r>
      <w:r>
        <w:rPr>
          <w:sz w:val="20"/>
          <w:szCs w:val="20"/>
          <w:color w:val="auto"/>
        </w:rPr>
        <w:tab/>
      </w:r>
      <w:r>
        <w:rPr>
          <w:rFonts w:ascii="Arial" w:cs="Arial" w:eastAsia="Arial" w:hAnsi="Arial"/>
          <w:sz w:val="19"/>
          <w:szCs w:val="19"/>
          <w:b w:val="1"/>
          <w:bCs w:val="1"/>
          <w:color w:val="auto"/>
        </w:rPr>
        <w:t>Share-based Payments (incl. Long-Term Incentive (LTI))</w:t>
      </w:r>
    </w:p>
    <w:p>
      <w:pPr>
        <w:spacing w:after="0" w:line="185" w:lineRule="exact"/>
        <w:rPr>
          <w:sz w:val="20"/>
          <w:szCs w:val="20"/>
          <w:color w:val="auto"/>
        </w:rPr>
      </w:pPr>
    </w:p>
    <w:p>
      <w:pPr>
        <w:jc w:val="both"/>
        <w:ind w:left="640"/>
        <w:spacing w:after="0" w:line="268" w:lineRule="auto"/>
        <w:rPr>
          <w:sz w:val="20"/>
          <w:szCs w:val="20"/>
          <w:color w:val="auto"/>
        </w:rPr>
      </w:pPr>
      <w:r>
        <w:rPr>
          <w:rFonts w:ascii="Arial" w:cs="Arial" w:eastAsia="Arial" w:hAnsi="Arial"/>
          <w:sz w:val="19"/>
          <w:szCs w:val="19"/>
          <w:color w:val="auto"/>
        </w:rPr>
        <w:t>In the past, share-based payment arrangements were entered into with our Management Board members, which continue to be outstanding as of December 31, 2021. These include the Employee Stock Ownership Plan (ESOP) (granted in 2018) and the Chief Executive Officer Grant (granted in 2019), which are explained in detail in section 6 below.</w:t>
      </w:r>
    </w:p>
    <w:p>
      <w:pPr>
        <w:spacing w:after="0" w:line="132" w:lineRule="exact"/>
        <w:rPr>
          <w:sz w:val="20"/>
          <w:szCs w:val="20"/>
          <w:color w:val="auto"/>
        </w:rPr>
      </w:pPr>
    </w:p>
    <w:p>
      <w:pPr>
        <w:jc w:val="both"/>
        <w:ind w:left="640"/>
        <w:spacing w:after="0" w:line="257" w:lineRule="auto"/>
        <w:rPr>
          <w:sz w:val="20"/>
          <w:szCs w:val="20"/>
          <w:color w:val="auto"/>
        </w:rPr>
      </w:pPr>
      <w:r>
        <w:rPr>
          <w:rFonts w:ascii="Arial" w:cs="Arial" w:eastAsia="Arial" w:hAnsi="Arial"/>
          <w:sz w:val="19"/>
          <w:szCs w:val="19"/>
          <w:color w:val="auto"/>
        </w:rPr>
        <w:t>The service agreements with our Management Board provide for a long-term incentive compensation in terms of an annual grant of options to purchase BioNTech shares for the years of their respective service periods. Those yearly LTI programs are in line with our comprehensive remuneration system as approved by the AGM on June 22, 2021, which is available online on our website www.biontech.de. The options granted each year will be subject to the terms, conditions,</w:t>
      </w:r>
    </w:p>
    <w:p>
      <w:pPr>
        <w:spacing w:after="0" w:line="144" w:lineRule="exact"/>
        <w:rPr>
          <w:sz w:val="20"/>
          <w:szCs w:val="20"/>
          <w:color w:val="auto"/>
        </w:rPr>
      </w:pPr>
    </w:p>
    <w:p>
      <w:pPr>
        <w:jc w:val="both"/>
        <w:ind w:left="640"/>
        <w:spacing w:after="0" w:line="232" w:lineRule="auto"/>
        <w:rPr>
          <w:sz w:val="20"/>
          <w:szCs w:val="20"/>
          <w:color w:val="auto"/>
        </w:rPr>
      </w:pPr>
      <w:r>
        <w:rPr>
          <w:rFonts w:ascii="Arial" w:cs="Arial" w:eastAsia="Arial" w:hAnsi="Arial"/>
          <w:sz w:val="22"/>
          <w:szCs w:val="22"/>
          <w:color w:val="auto"/>
        </w:rPr>
        <w:t>definitions and provisions of our Employee Stock Ownership Plan (ESOP) and the applicable option agreement thereunder (see section 6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131" w:right="339" w:bottom="1440" w:gutter="0" w:footer="0" w:header="0"/>
        </w:sectPr>
      </w:pPr>
    </w:p>
    <w:bookmarkStart w:id="27" w:name="page28"/>
    <w:bookmarkEnd w:id="27"/>
    <w:p>
      <w:pPr>
        <w:jc w:val="both"/>
        <w:ind w:left="640"/>
        <w:spacing w:after="0" w:line="246" w:lineRule="auto"/>
        <w:rPr>
          <w:sz w:val="20"/>
          <w:szCs w:val="20"/>
          <w:color w:val="auto"/>
        </w:rPr>
      </w:pPr>
      <w:r>
        <w:rPr>
          <w:rFonts w:ascii="Arial" w:cs="Arial" w:eastAsia="Arial" w:hAnsi="Arial"/>
          <w:sz w:val="19"/>
          <w:szCs w:val="19"/>
          <w:color w:val="auto"/>
        </w:rPr>
        <w:t>Effective January 1, 2020, the number of options to be granted each year to Prof. Ugur Sahin, Sean Marett, Prof. Özlem Türeci and Ryan Richardson are to be calculated based on a value of €750,000, €300,000, €300,000 and €260,000, respectively. The value used to calculate the number of options for Ryan Richardson increases to €280,000 for the year 2022. Effective December 1, 2021, with entering into a new service contract, the value on which the number of options to be granted each year to Dr. Sierk Poetting is based was increased from €300,000 to €550,000 for new awards. Effective as of his appointment to the Management Board on July 1, 2021, the number of options to be granted each year to Jens Holstein was to be calculated based on a value of €550,000. In each case the values must be divided by the amount by which a certain target share price exceeds the exercise price.</w:t>
      </w:r>
    </w:p>
    <w:p>
      <w:pPr>
        <w:spacing w:after="0" w:line="152" w:lineRule="exact"/>
        <w:rPr>
          <w:sz w:val="20"/>
          <w:szCs w:val="20"/>
          <w:color w:val="auto"/>
        </w:rPr>
      </w:pPr>
    </w:p>
    <w:p>
      <w:pPr>
        <w:jc w:val="both"/>
        <w:ind w:left="640"/>
        <w:spacing w:after="0" w:line="249" w:lineRule="auto"/>
        <w:rPr>
          <w:sz w:val="20"/>
          <w:szCs w:val="20"/>
          <w:color w:val="auto"/>
        </w:rPr>
      </w:pPr>
      <w:r>
        <w:rPr>
          <w:rFonts w:ascii="Arial" w:cs="Arial" w:eastAsia="Arial" w:hAnsi="Arial"/>
          <w:sz w:val="19"/>
          <w:szCs w:val="19"/>
          <w:color w:val="auto"/>
        </w:rPr>
        <w:t>As of his appointment, the Supervisory Board granted Jens Holstein a one-time signing bonus of €800,000 by awarding 4,246 phantom shares. The phantom shares vest in four equal installments on July 1 of 2022, 2023, 2024 and 2025 but will only be settled in cash on July 1, 2025. As of December 31, 2021, the cash payment is subject to an effective settlement closing price cap. This means that the settlement closing price shall effectively be adjusted to ensure that the current price of an ADS as of the settlement date does not exceed 800% of the closing price applied when the award was initially granted. In addition, the total cash payment under the award shall not exceed €6.4 million.</w:t>
      </w:r>
    </w:p>
    <w:p>
      <w:pPr>
        <w:spacing w:after="0" w:line="152" w:lineRule="exact"/>
        <w:rPr>
          <w:sz w:val="20"/>
          <w:szCs w:val="20"/>
          <w:color w:val="auto"/>
        </w:rPr>
      </w:pPr>
    </w:p>
    <w:p>
      <w:pPr>
        <w:jc w:val="both"/>
        <w:ind w:left="640"/>
        <w:spacing w:after="0" w:line="247" w:lineRule="auto"/>
        <w:rPr>
          <w:sz w:val="20"/>
          <w:szCs w:val="20"/>
          <w:color w:val="auto"/>
        </w:rPr>
      </w:pPr>
      <w:r>
        <w:rPr>
          <w:rFonts w:ascii="Arial" w:cs="Arial" w:eastAsia="Arial" w:hAnsi="Arial"/>
          <w:sz w:val="21"/>
          <w:szCs w:val="21"/>
          <w:color w:val="auto"/>
        </w:rPr>
        <w:t>During the year ended December 31, 2021, 25% of the Chief Executive Officer Grant (October 10, 2021) and 25% our 2020 LTI program (February 13, 2021) vested but continue to be subject to performance requirements.</w:t>
      </w:r>
    </w:p>
    <w:p>
      <w:pPr>
        <w:spacing w:after="0" w:line="151" w:lineRule="exact"/>
        <w:rPr>
          <w:sz w:val="20"/>
          <w:szCs w:val="20"/>
          <w:color w:val="auto"/>
        </w:rPr>
      </w:pPr>
    </w:p>
    <w:p>
      <w:pPr>
        <w:jc w:val="both"/>
        <w:ind w:left="640"/>
        <w:spacing w:after="0" w:line="218" w:lineRule="auto"/>
        <w:rPr>
          <w:sz w:val="20"/>
          <w:szCs w:val="20"/>
          <w:color w:val="auto"/>
        </w:rPr>
      </w:pPr>
      <w:r>
        <w:rPr>
          <w:rFonts w:ascii="Arial" w:cs="Arial" w:eastAsia="Arial" w:hAnsi="Arial"/>
          <w:sz w:val="22"/>
          <w:szCs w:val="22"/>
          <w:color w:val="auto"/>
        </w:rPr>
        <w:t>The benefits from our share-based payment arrangements are considered as granted and owed when the underlying performance and service requirements are considered fulfilled. During the year ended December 31, 2021, no performance and service requirements to a share-based payment arrangement (incl. long-term incentive) were considered fulfilled.</w:t>
      </w:r>
    </w:p>
    <w:p>
      <w:pPr>
        <w:spacing w:after="0" w:line="26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5.5</w:t>
      </w:r>
      <w:r>
        <w:rPr>
          <w:sz w:val="20"/>
          <w:szCs w:val="20"/>
          <w:color w:val="auto"/>
        </w:rPr>
        <w:tab/>
      </w:r>
      <w:r>
        <w:rPr>
          <w:rFonts w:ascii="Arial" w:cs="Arial" w:eastAsia="Arial" w:hAnsi="Arial"/>
          <w:sz w:val="19"/>
          <w:szCs w:val="19"/>
          <w:b w:val="1"/>
          <w:bCs w:val="1"/>
          <w:color w:val="auto"/>
        </w:rPr>
        <w:t>Target Total and Maximum Compensation</w:t>
      </w:r>
    </w:p>
    <w:p>
      <w:pPr>
        <w:spacing w:after="0" w:line="185" w:lineRule="exact"/>
        <w:rPr>
          <w:sz w:val="20"/>
          <w:szCs w:val="20"/>
          <w:color w:val="auto"/>
        </w:rPr>
      </w:pPr>
    </w:p>
    <w:p>
      <w:pPr>
        <w:jc w:val="both"/>
        <w:ind w:left="640"/>
        <w:spacing w:after="0" w:line="232" w:lineRule="auto"/>
        <w:rPr>
          <w:sz w:val="20"/>
          <w:szCs w:val="20"/>
          <w:color w:val="auto"/>
        </w:rPr>
      </w:pPr>
      <w:r>
        <w:rPr>
          <w:rFonts w:ascii="Arial" w:cs="Arial" w:eastAsia="Arial" w:hAnsi="Arial"/>
          <w:sz w:val="22"/>
          <w:szCs w:val="22"/>
          <w:color w:val="auto"/>
        </w:rPr>
        <w:t>The target total compensation for the Management Board for the years ended December 31, 2021 and 2020 is presented in the tables below. The following table discloses the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131" w:right="339" w:bottom="1440" w:gutter="0" w:footer="0" w:header="0"/>
        </w:sectPr>
      </w:pPr>
    </w:p>
    <w:bookmarkStart w:id="28" w:name="page29"/>
    <w:bookmarkEnd w:id="28"/>
    <w:p>
      <w:pPr>
        <w:ind w:left="640"/>
        <w:spacing w:after="0" w:line="232" w:lineRule="auto"/>
        <w:rPr>
          <w:sz w:val="20"/>
          <w:szCs w:val="20"/>
          <w:color w:val="auto"/>
        </w:rPr>
      </w:pPr>
      <w:r>
        <w:rPr>
          <w:rFonts w:ascii="Arial" w:cs="Arial" w:eastAsia="Arial" w:hAnsi="Arial"/>
          <w:sz w:val="22"/>
          <w:szCs w:val="22"/>
          <w:color w:val="auto"/>
        </w:rPr>
        <w:t>instruments and their compliance with the percentage ranges defined for target total compensation in our remuneration system.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040" w:type="dxa"/>
            <w:vAlign w:val="bottom"/>
            <w:tcBorders>
              <w:right w:val="single" w:sz="8" w:color="70AD47"/>
            </w:tcBorders>
          </w:tcPr>
          <w:p>
            <w:pPr>
              <w:spacing w:after="0"/>
              <w:rPr>
                <w:sz w:val="23"/>
                <w:szCs w:val="23"/>
                <w:color w:val="auto"/>
              </w:rPr>
            </w:pPr>
          </w:p>
        </w:tc>
        <w:tc>
          <w:tcPr>
            <w:tcW w:w="940" w:type="dxa"/>
            <w:vAlign w:val="bottom"/>
            <w:tcBorders>
              <w:bottom w:val="single" w:sz="8" w:color="70AD47"/>
            </w:tcBorders>
          </w:tcPr>
          <w:p>
            <w:pPr>
              <w:spacing w:after="0"/>
              <w:rPr>
                <w:sz w:val="23"/>
                <w:szCs w:val="23"/>
                <w:color w:val="auto"/>
              </w:rPr>
            </w:pPr>
          </w:p>
        </w:tc>
        <w:tc>
          <w:tcPr>
            <w:tcW w:w="2320" w:type="dxa"/>
            <w:vAlign w:val="bottom"/>
            <w:tcBorders>
              <w:bottom w:val="single" w:sz="8" w:color="70AD47"/>
            </w:tcBorders>
            <w:gridSpan w:val="4"/>
          </w:tcPr>
          <w:p>
            <w:pPr>
              <w:jc w:val="center"/>
              <w:ind w:right="120"/>
              <w:spacing w:after="0"/>
              <w:rPr>
                <w:sz w:val="20"/>
                <w:szCs w:val="20"/>
                <w:color w:val="auto"/>
              </w:rPr>
            </w:pPr>
            <w:r>
              <w:rPr>
                <w:rFonts w:ascii="Arial" w:cs="Arial" w:eastAsia="Arial" w:hAnsi="Arial"/>
                <w:sz w:val="22"/>
                <w:szCs w:val="22"/>
                <w:b w:val="1"/>
                <w:bCs w:val="1"/>
                <w:color w:val="auto"/>
                <w:w w:val="92"/>
              </w:rPr>
              <w:t>Prof. Ugur Sahin, M.D.</w:t>
            </w:r>
          </w:p>
        </w:tc>
        <w:tc>
          <w:tcPr>
            <w:tcW w:w="840" w:type="dxa"/>
            <w:vAlign w:val="bottom"/>
            <w:tcBorders>
              <w:bottom w:val="single" w:sz="8" w:color="70AD47"/>
              <w:right w:val="single" w:sz="8" w:color="70AD47"/>
            </w:tcBorders>
          </w:tcPr>
          <w:p>
            <w:pPr>
              <w:spacing w:after="0"/>
              <w:rPr>
                <w:sz w:val="23"/>
                <w:szCs w:val="23"/>
                <w:color w:val="auto"/>
              </w:rPr>
            </w:pPr>
          </w:p>
        </w:tc>
        <w:tc>
          <w:tcPr>
            <w:tcW w:w="1040" w:type="dxa"/>
            <w:vAlign w:val="bottom"/>
            <w:tcBorders>
              <w:bottom w:val="single" w:sz="8" w:color="70AD47"/>
            </w:tcBorders>
          </w:tcPr>
          <w:p>
            <w:pPr>
              <w:spacing w:after="0"/>
              <w:rPr>
                <w:sz w:val="23"/>
                <w:szCs w:val="23"/>
                <w:color w:val="auto"/>
              </w:rPr>
            </w:pPr>
          </w:p>
        </w:tc>
        <w:tc>
          <w:tcPr>
            <w:tcW w:w="2220" w:type="dxa"/>
            <w:vAlign w:val="bottom"/>
            <w:tcBorders>
              <w:bottom w:val="single" w:sz="8" w:color="70AD47"/>
            </w:tcBorders>
            <w:gridSpan w:val="3"/>
          </w:tcPr>
          <w:p>
            <w:pPr>
              <w:jc w:val="center"/>
              <w:ind w:right="200"/>
              <w:spacing w:after="0"/>
              <w:rPr>
                <w:sz w:val="20"/>
                <w:szCs w:val="20"/>
                <w:color w:val="auto"/>
              </w:rPr>
            </w:pPr>
            <w:r>
              <w:rPr>
                <w:rFonts w:ascii="Arial" w:cs="Arial" w:eastAsia="Arial" w:hAnsi="Arial"/>
                <w:sz w:val="22"/>
                <w:szCs w:val="22"/>
                <w:b w:val="1"/>
                <w:bCs w:val="1"/>
                <w:color w:val="auto"/>
                <w:w w:val="91"/>
              </w:rPr>
              <w:t>Sean Marett</w:t>
            </w:r>
          </w:p>
        </w:tc>
        <w:tc>
          <w:tcPr>
            <w:tcW w:w="840" w:type="dxa"/>
            <w:vAlign w:val="bottom"/>
            <w:tcBorders>
              <w:bottom w:val="single" w:sz="8" w:color="70AD47"/>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040" w:type="dxa"/>
            <w:vAlign w:val="bottom"/>
            <w:tcBorders>
              <w:right w:val="single" w:sz="8" w:color="70AD47"/>
            </w:tcBorders>
          </w:tcPr>
          <w:p>
            <w:pPr>
              <w:spacing w:after="0"/>
              <w:rPr>
                <w:sz w:val="22"/>
                <w:szCs w:val="22"/>
                <w:color w:val="auto"/>
              </w:rPr>
            </w:pPr>
          </w:p>
        </w:tc>
        <w:tc>
          <w:tcPr>
            <w:tcW w:w="3260" w:type="dxa"/>
            <w:vAlign w:val="bottom"/>
            <w:gridSpan w:val="5"/>
          </w:tcPr>
          <w:p>
            <w:pPr>
              <w:ind w:left="820"/>
              <w:spacing w:after="0"/>
              <w:rPr>
                <w:sz w:val="20"/>
                <w:szCs w:val="20"/>
                <w:color w:val="auto"/>
              </w:rPr>
            </w:pPr>
            <w:r>
              <w:rPr>
                <w:rFonts w:ascii="Arial" w:cs="Arial" w:eastAsia="Arial" w:hAnsi="Arial"/>
                <w:sz w:val="22"/>
                <w:szCs w:val="22"/>
                <w:b w:val="1"/>
                <w:bCs w:val="1"/>
                <w:color w:val="auto"/>
                <w:w w:val="86"/>
              </w:rPr>
              <w:t>Years ended December 31,</w:t>
            </w:r>
          </w:p>
        </w:tc>
        <w:tc>
          <w:tcPr>
            <w:tcW w:w="840" w:type="dxa"/>
            <w:vAlign w:val="bottom"/>
            <w:tcBorders>
              <w:right w:val="single" w:sz="8" w:color="70AD47"/>
            </w:tcBorders>
          </w:tcPr>
          <w:p>
            <w:pPr>
              <w:spacing w:after="0"/>
              <w:rPr>
                <w:sz w:val="22"/>
                <w:szCs w:val="22"/>
                <w:color w:val="auto"/>
              </w:rPr>
            </w:pPr>
          </w:p>
        </w:tc>
        <w:tc>
          <w:tcPr>
            <w:tcW w:w="3260" w:type="dxa"/>
            <w:vAlign w:val="bottom"/>
            <w:gridSpan w:val="4"/>
          </w:tcPr>
          <w:p>
            <w:pPr>
              <w:ind w:left="820"/>
              <w:spacing w:after="0"/>
              <w:rPr>
                <w:sz w:val="20"/>
                <w:szCs w:val="20"/>
                <w:color w:val="auto"/>
              </w:rPr>
            </w:pPr>
            <w:r>
              <w:rPr>
                <w:rFonts w:ascii="Arial" w:cs="Arial" w:eastAsia="Arial" w:hAnsi="Arial"/>
                <w:sz w:val="22"/>
                <w:szCs w:val="22"/>
                <w:b w:val="1"/>
                <w:bCs w:val="1"/>
                <w:color w:val="auto"/>
                <w:w w:val="86"/>
              </w:rPr>
              <w:t>Years ended December 31,</w:t>
            </w:r>
          </w:p>
        </w:tc>
        <w:tc>
          <w:tcPr>
            <w:tcW w:w="840" w:type="dxa"/>
            <w:vAlign w:val="bottom"/>
            <w:tcBorders>
              <w:right w:val="single" w:sz="8" w:color="70AD47"/>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040" w:type="dxa"/>
            <w:vAlign w:val="bottom"/>
            <w:tcBorders>
              <w:bottom w:val="single" w:sz="8" w:color="70AD47"/>
              <w:right w:val="single" w:sz="8" w:color="70AD47"/>
            </w:tcBorders>
          </w:tcPr>
          <w:p>
            <w:pPr>
              <w:spacing w:after="0"/>
              <w:rPr>
                <w:sz w:val="23"/>
                <w:szCs w:val="23"/>
                <w:color w:val="auto"/>
              </w:rPr>
            </w:pPr>
          </w:p>
        </w:tc>
        <w:tc>
          <w:tcPr>
            <w:tcW w:w="2060" w:type="dxa"/>
            <w:vAlign w:val="bottom"/>
            <w:tcBorders>
              <w:bottom w:val="single" w:sz="8" w:color="70AD47"/>
              <w:right w:val="single" w:sz="8" w:color="70AD47"/>
            </w:tcBorders>
            <w:gridSpan w:val="3"/>
            <w:shd w:val="clear" w:color="auto" w:fill="C6E0B4"/>
          </w:tcPr>
          <w:p>
            <w:pPr>
              <w:ind w:left="800"/>
              <w:spacing w:after="0"/>
              <w:rPr>
                <w:sz w:val="20"/>
                <w:szCs w:val="20"/>
                <w:color w:val="auto"/>
              </w:rPr>
            </w:pPr>
            <w:r>
              <w:rPr>
                <w:rFonts w:ascii="Arial" w:cs="Arial" w:eastAsia="Arial" w:hAnsi="Arial"/>
                <w:sz w:val="22"/>
                <w:szCs w:val="22"/>
                <w:b w:val="1"/>
                <w:bCs w:val="1"/>
                <w:color w:val="auto"/>
              </w:rPr>
              <w:t>2021</w:t>
            </w:r>
          </w:p>
        </w:tc>
        <w:tc>
          <w:tcPr>
            <w:tcW w:w="2040" w:type="dxa"/>
            <w:vAlign w:val="bottom"/>
            <w:tcBorders>
              <w:bottom w:val="single" w:sz="8" w:color="70AD47"/>
              <w:right w:val="single" w:sz="8" w:color="70AD47"/>
            </w:tcBorders>
            <w:gridSpan w:val="3"/>
          </w:tcPr>
          <w:p>
            <w:pPr>
              <w:jc w:val="right"/>
              <w:ind w:right="712"/>
              <w:spacing w:after="0"/>
              <w:rPr>
                <w:sz w:val="20"/>
                <w:szCs w:val="20"/>
                <w:color w:val="auto"/>
              </w:rPr>
            </w:pPr>
            <w:r>
              <w:rPr>
                <w:rFonts w:ascii="Arial" w:cs="Arial" w:eastAsia="Arial" w:hAnsi="Arial"/>
                <w:sz w:val="22"/>
                <w:szCs w:val="22"/>
                <w:b w:val="1"/>
                <w:bCs w:val="1"/>
                <w:color w:val="auto"/>
              </w:rPr>
              <w:t>2020</w:t>
            </w:r>
          </w:p>
        </w:tc>
        <w:tc>
          <w:tcPr>
            <w:tcW w:w="2060" w:type="dxa"/>
            <w:vAlign w:val="bottom"/>
            <w:tcBorders>
              <w:bottom w:val="single" w:sz="8" w:color="70AD47"/>
              <w:right w:val="single" w:sz="8" w:color="70AD47"/>
            </w:tcBorders>
            <w:gridSpan w:val="2"/>
            <w:shd w:val="clear" w:color="auto" w:fill="C6E0B4"/>
          </w:tcPr>
          <w:p>
            <w:pPr>
              <w:ind w:left="800"/>
              <w:spacing w:after="0"/>
              <w:rPr>
                <w:sz w:val="20"/>
                <w:szCs w:val="20"/>
                <w:color w:val="auto"/>
              </w:rPr>
            </w:pPr>
            <w:r>
              <w:rPr>
                <w:rFonts w:ascii="Arial" w:cs="Arial" w:eastAsia="Arial" w:hAnsi="Arial"/>
                <w:sz w:val="22"/>
                <w:szCs w:val="22"/>
                <w:b w:val="1"/>
                <w:bCs w:val="1"/>
                <w:color w:val="auto"/>
              </w:rPr>
              <w:t>2021</w:t>
            </w:r>
          </w:p>
        </w:tc>
        <w:tc>
          <w:tcPr>
            <w:tcW w:w="2040" w:type="dxa"/>
            <w:vAlign w:val="bottom"/>
            <w:tcBorders>
              <w:bottom w:val="single" w:sz="8" w:color="70AD47"/>
              <w:right w:val="single" w:sz="8" w:color="70AD47"/>
            </w:tcBorders>
            <w:gridSpan w:val="3"/>
          </w:tcPr>
          <w:p>
            <w:pPr>
              <w:jc w:val="right"/>
              <w:ind w:right="712"/>
              <w:spacing w:after="0"/>
              <w:rPr>
                <w:sz w:val="20"/>
                <w:szCs w:val="20"/>
                <w:color w:val="auto"/>
              </w:rPr>
            </w:pPr>
            <w:r>
              <w:rPr>
                <w:rFonts w:ascii="Arial" w:cs="Arial" w:eastAsia="Arial" w:hAnsi="Arial"/>
                <w:sz w:val="22"/>
                <w:szCs w:val="22"/>
                <w:b w:val="1"/>
                <w:bCs w:val="1"/>
                <w:color w:val="auto"/>
              </w:rPr>
              <w:t>2020</w:t>
            </w:r>
          </w:p>
        </w:tc>
        <w:tc>
          <w:tcPr>
            <w:tcW w:w="0" w:type="dxa"/>
            <w:vAlign w:val="bottom"/>
          </w:tcPr>
          <w:p>
            <w:pPr>
              <w:spacing w:after="0"/>
              <w:rPr>
                <w:sz w:val="1"/>
                <w:szCs w:val="1"/>
                <w:color w:val="auto"/>
              </w:rPr>
            </w:pPr>
          </w:p>
        </w:tc>
      </w:tr>
      <w:tr>
        <w:trPr>
          <w:trHeight w:val="256"/>
        </w:trPr>
        <w:tc>
          <w:tcPr>
            <w:tcW w:w="3040" w:type="dxa"/>
            <w:vAlign w:val="bottom"/>
            <w:tcBorders>
              <w:right w:val="single" w:sz="8" w:color="70AD47"/>
            </w:tcBorders>
          </w:tcPr>
          <w:p>
            <w:pPr>
              <w:spacing w:after="0"/>
              <w:rPr>
                <w:sz w:val="22"/>
                <w:szCs w:val="22"/>
                <w:color w:val="auto"/>
              </w:rPr>
            </w:pPr>
          </w:p>
        </w:tc>
        <w:tc>
          <w:tcPr>
            <w:tcW w:w="940" w:type="dxa"/>
            <w:vAlign w:val="bottom"/>
            <w:shd w:val="clear" w:color="auto" w:fill="C6E0B4"/>
          </w:tcPr>
          <w:p>
            <w:pPr>
              <w:jc w:val="center"/>
              <w:spacing w:after="0"/>
              <w:rPr>
                <w:sz w:val="20"/>
                <w:szCs w:val="20"/>
                <w:color w:val="auto"/>
              </w:rPr>
            </w:pPr>
            <w:r>
              <w:rPr>
                <w:rFonts w:ascii="Arial" w:cs="Arial" w:eastAsia="Arial" w:hAnsi="Arial"/>
                <w:sz w:val="22"/>
                <w:szCs w:val="22"/>
                <w:color w:val="auto"/>
                <w:w w:val="93"/>
              </w:rPr>
              <w:t>in</w:t>
            </w:r>
          </w:p>
        </w:tc>
        <w:tc>
          <w:tcPr>
            <w:tcW w:w="100" w:type="dxa"/>
            <w:vAlign w:val="bottom"/>
            <w:tcBorders>
              <w:right w:val="single" w:sz="8" w:color="70AD47"/>
            </w:tcBorders>
            <w:shd w:val="clear" w:color="auto" w:fill="C6E0B4"/>
          </w:tcPr>
          <w:p>
            <w:pPr>
              <w:spacing w:after="0"/>
              <w:rPr>
                <w:sz w:val="22"/>
                <w:szCs w:val="22"/>
                <w:color w:val="auto"/>
              </w:rPr>
            </w:pPr>
          </w:p>
        </w:tc>
        <w:tc>
          <w:tcPr>
            <w:tcW w:w="1020" w:type="dxa"/>
            <w:vAlign w:val="bottom"/>
            <w:tcBorders>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92"/>
              </w:rPr>
              <w:t>in % of</w:t>
            </w:r>
          </w:p>
        </w:tc>
        <w:tc>
          <w:tcPr>
            <w:tcW w:w="102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93"/>
              </w:rPr>
              <w:t>in</w:t>
            </w:r>
          </w:p>
        </w:tc>
        <w:tc>
          <w:tcPr>
            <w:tcW w:w="180" w:type="dxa"/>
            <w:vAlign w:val="bottom"/>
          </w:tcPr>
          <w:p>
            <w:pPr>
              <w:spacing w:after="0"/>
              <w:rPr>
                <w:sz w:val="22"/>
                <w:szCs w:val="22"/>
                <w:color w:val="auto"/>
              </w:rPr>
            </w:pPr>
          </w:p>
        </w:tc>
        <w:tc>
          <w:tcPr>
            <w:tcW w:w="840" w:type="dxa"/>
            <w:vAlign w:val="bottom"/>
            <w:tcBorders>
              <w:right w:val="single" w:sz="8" w:color="70AD47"/>
            </w:tcBorders>
          </w:tcPr>
          <w:p>
            <w:pPr>
              <w:jc w:val="center"/>
              <w:ind w:right="92"/>
              <w:spacing w:after="0"/>
              <w:rPr>
                <w:sz w:val="20"/>
                <w:szCs w:val="20"/>
                <w:color w:val="auto"/>
              </w:rPr>
            </w:pPr>
            <w:r>
              <w:rPr>
                <w:rFonts w:ascii="Arial" w:cs="Arial" w:eastAsia="Arial" w:hAnsi="Arial"/>
                <w:sz w:val="22"/>
                <w:szCs w:val="22"/>
                <w:color w:val="auto"/>
                <w:w w:val="95"/>
              </w:rPr>
              <w:t>in % of</w:t>
            </w:r>
          </w:p>
        </w:tc>
        <w:tc>
          <w:tcPr>
            <w:tcW w:w="1040" w:type="dxa"/>
            <w:vAlign w:val="bottom"/>
            <w:tcBorders>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rPr>
              <w:t>in</w:t>
            </w:r>
          </w:p>
        </w:tc>
        <w:tc>
          <w:tcPr>
            <w:tcW w:w="1020" w:type="dxa"/>
            <w:vAlign w:val="bottom"/>
            <w:tcBorders>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95"/>
              </w:rPr>
              <w:t>in % of</w:t>
            </w:r>
          </w:p>
        </w:tc>
        <w:tc>
          <w:tcPr>
            <w:tcW w:w="10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93"/>
              </w:rPr>
              <w:t>in</w:t>
            </w:r>
          </w:p>
        </w:tc>
        <w:tc>
          <w:tcPr>
            <w:tcW w:w="160" w:type="dxa"/>
            <w:vAlign w:val="bottom"/>
          </w:tcPr>
          <w:p>
            <w:pPr>
              <w:spacing w:after="0"/>
              <w:rPr>
                <w:sz w:val="22"/>
                <w:szCs w:val="22"/>
                <w:color w:val="auto"/>
              </w:rPr>
            </w:pPr>
          </w:p>
        </w:tc>
        <w:tc>
          <w:tcPr>
            <w:tcW w:w="840" w:type="dxa"/>
            <w:vAlign w:val="bottom"/>
            <w:tcBorders>
              <w:right w:val="single" w:sz="8" w:color="70AD47"/>
            </w:tcBorders>
          </w:tcPr>
          <w:p>
            <w:pPr>
              <w:jc w:val="center"/>
              <w:ind w:right="92"/>
              <w:spacing w:after="0"/>
              <w:rPr>
                <w:sz w:val="20"/>
                <w:szCs w:val="20"/>
                <w:color w:val="auto"/>
              </w:rPr>
            </w:pPr>
            <w:r>
              <w:rPr>
                <w:rFonts w:ascii="Arial" w:cs="Arial" w:eastAsia="Arial" w:hAnsi="Arial"/>
                <w:sz w:val="22"/>
                <w:szCs w:val="22"/>
                <w:color w:val="auto"/>
                <w:w w:val="95"/>
              </w:rPr>
              <w:t>in % of</w:t>
            </w:r>
          </w:p>
        </w:tc>
        <w:tc>
          <w:tcPr>
            <w:tcW w:w="0" w:type="dxa"/>
            <w:vAlign w:val="bottom"/>
          </w:tcPr>
          <w:p>
            <w:pPr>
              <w:spacing w:after="0"/>
              <w:rPr>
                <w:sz w:val="1"/>
                <w:szCs w:val="1"/>
                <w:color w:val="auto"/>
              </w:rPr>
            </w:pPr>
          </w:p>
        </w:tc>
      </w:tr>
      <w:tr>
        <w:trPr>
          <w:trHeight w:val="305"/>
        </w:trPr>
        <w:tc>
          <w:tcPr>
            <w:tcW w:w="3040" w:type="dxa"/>
            <w:vAlign w:val="bottom"/>
            <w:tcBorders>
              <w:right w:val="single" w:sz="8" w:color="70AD47"/>
            </w:tcBorders>
          </w:tcPr>
          <w:p>
            <w:pPr>
              <w:spacing w:after="0"/>
              <w:rPr>
                <w:sz w:val="24"/>
                <w:szCs w:val="24"/>
                <w:color w:val="auto"/>
              </w:rPr>
            </w:pPr>
          </w:p>
        </w:tc>
        <w:tc>
          <w:tcPr>
            <w:tcW w:w="940" w:type="dxa"/>
            <w:vAlign w:val="bottom"/>
            <w:tcBorders>
              <w:bottom w:val="single" w:sz="8" w:color="C6E0B4"/>
            </w:tcBorders>
            <w:shd w:val="clear" w:color="auto" w:fill="C6E0B4"/>
          </w:tcPr>
          <w:p>
            <w:pPr>
              <w:jc w:val="center"/>
              <w:spacing w:after="0"/>
              <w:rPr>
                <w:sz w:val="20"/>
                <w:szCs w:val="20"/>
                <w:color w:val="auto"/>
              </w:rPr>
            </w:pPr>
            <w:r>
              <w:rPr>
                <w:rFonts w:ascii="Arial" w:cs="Arial" w:eastAsia="Arial" w:hAnsi="Arial"/>
                <w:sz w:val="22"/>
                <w:szCs w:val="22"/>
                <w:color w:val="auto"/>
                <w:w w:val="84"/>
              </w:rPr>
              <w:t>thousands</w:t>
            </w:r>
          </w:p>
        </w:tc>
        <w:tc>
          <w:tcPr>
            <w:tcW w:w="100" w:type="dxa"/>
            <w:vAlign w:val="bottom"/>
            <w:tcBorders>
              <w:bottom w:val="single" w:sz="8" w:color="C6E0B4"/>
              <w:right w:val="single" w:sz="8" w:color="70AD47"/>
            </w:tcBorders>
            <w:shd w:val="clear" w:color="auto" w:fill="C6E0B4"/>
          </w:tcPr>
          <w:p>
            <w:pPr>
              <w:spacing w:after="0"/>
              <w:rPr>
                <w:sz w:val="24"/>
                <w:szCs w:val="24"/>
                <w:color w:val="auto"/>
              </w:rPr>
            </w:pPr>
          </w:p>
        </w:tc>
        <w:tc>
          <w:tcPr>
            <w:tcW w:w="1020" w:type="dxa"/>
            <w:vAlign w:val="bottom"/>
            <w:tcBorders>
              <w:bottom w:val="single" w:sz="8" w:color="C6E0B4"/>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98"/>
              </w:rPr>
              <w:t>TTC</w:t>
            </w:r>
          </w:p>
        </w:tc>
        <w:tc>
          <w:tcPr>
            <w:tcW w:w="102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4"/>
              </w:rPr>
              <w:t>thousands</w:t>
            </w:r>
          </w:p>
        </w:tc>
        <w:tc>
          <w:tcPr>
            <w:tcW w:w="180" w:type="dxa"/>
            <w:vAlign w:val="bottom"/>
          </w:tcPr>
          <w:p>
            <w:pPr>
              <w:spacing w:after="0"/>
              <w:rPr>
                <w:sz w:val="24"/>
                <w:szCs w:val="24"/>
                <w:color w:val="auto"/>
              </w:rPr>
            </w:pPr>
          </w:p>
        </w:tc>
        <w:tc>
          <w:tcPr>
            <w:tcW w:w="840" w:type="dxa"/>
            <w:vAlign w:val="bottom"/>
            <w:tcBorders>
              <w:right w:val="single" w:sz="8" w:color="70AD47"/>
            </w:tcBorders>
          </w:tcPr>
          <w:p>
            <w:pPr>
              <w:jc w:val="center"/>
              <w:ind w:right="92"/>
              <w:spacing w:after="0"/>
              <w:rPr>
                <w:sz w:val="20"/>
                <w:szCs w:val="20"/>
                <w:color w:val="auto"/>
              </w:rPr>
            </w:pPr>
            <w:r>
              <w:rPr>
                <w:rFonts w:ascii="Arial" w:cs="Arial" w:eastAsia="Arial" w:hAnsi="Arial"/>
                <w:sz w:val="22"/>
                <w:szCs w:val="22"/>
                <w:color w:val="auto"/>
                <w:w w:val="93"/>
              </w:rPr>
              <w:t>TTC</w:t>
            </w:r>
          </w:p>
        </w:tc>
        <w:tc>
          <w:tcPr>
            <w:tcW w:w="1040" w:type="dxa"/>
            <w:vAlign w:val="bottom"/>
            <w:tcBorders>
              <w:bottom w:val="single" w:sz="8" w:color="C6E0B4"/>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84"/>
              </w:rPr>
              <w:t>thousands</w:t>
            </w:r>
          </w:p>
        </w:tc>
        <w:tc>
          <w:tcPr>
            <w:tcW w:w="1020" w:type="dxa"/>
            <w:vAlign w:val="bottom"/>
            <w:tcBorders>
              <w:bottom w:val="single" w:sz="8" w:color="C6E0B4"/>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93"/>
              </w:rPr>
              <w:t>TTC</w:t>
            </w:r>
          </w:p>
        </w:tc>
        <w:tc>
          <w:tcPr>
            <w:tcW w:w="10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6"/>
              </w:rPr>
              <w:t>thousands</w:t>
            </w:r>
          </w:p>
        </w:tc>
        <w:tc>
          <w:tcPr>
            <w:tcW w:w="160" w:type="dxa"/>
            <w:vAlign w:val="bottom"/>
          </w:tcPr>
          <w:p>
            <w:pPr>
              <w:spacing w:after="0"/>
              <w:rPr>
                <w:sz w:val="24"/>
                <w:szCs w:val="24"/>
                <w:color w:val="auto"/>
              </w:rPr>
            </w:pPr>
          </w:p>
        </w:tc>
        <w:tc>
          <w:tcPr>
            <w:tcW w:w="840" w:type="dxa"/>
            <w:vAlign w:val="bottom"/>
            <w:tcBorders>
              <w:right w:val="single" w:sz="8" w:color="70AD47"/>
            </w:tcBorders>
          </w:tcPr>
          <w:p>
            <w:pPr>
              <w:jc w:val="center"/>
              <w:ind w:right="72"/>
              <w:spacing w:after="0"/>
              <w:rPr>
                <w:sz w:val="20"/>
                <w:szCs w:val="20"/>
                <w:color w:val="auto"/>
              </w:rPr>
            </w:pPr>
            <w:r>
              <w:rPr>
                <w:rFonts w:ascii="Arial" w:cs="Arial" w:eastAsia="Arial" w:hAnsi="Arial"/>
                <w:sz w:val="22"/>
                <w:szCs w:val="22"/>
                <w:color w:val="auto"/>
                <w:w w:val="98"/>
              </w:rPr>
              <w:t>TTC</w:t>
            </w:r>
          </w:p>
        </w:tc>
        <w:tc>
          <w:tcPr>
            <w:tcW w:w="0" w:type="dxa"/>
            <w:vAlign w:val="bottom"/>
          </w:tcPr>
          <w:p>
            <w:pPr>
              <w:spacing w:after="0"/>
              <w:rPr>
                <w:sz w:val="1"/>
                <w:szCs w:val="1"/>
                <w:color w:val="auto"/>
              </w:rPr>
            </w:pPr>
          </w:p>
        </w:tc>
      </w:tr>
      <w:tr>
        <w:trPr>
          <w:trHeight w:val="196"/>
        </w:trPr>
        <w:tc>
          <w:tcPr>
            <w:tcW w:w="3040" w:type="dxa"/>
            <w:vAlign w:val="bottom"/>
            <w:tcBorders>
              <w:top w:val="single" w:sz="8" w:color="70AD47"/>
              <w:right w:val="single" w:sz="8" w:color="70AD47"/>
            </w:tcBorders>
          </w:tcPr>
          <w:p>
            <w:pPr>
              <w:jc w:val="center"/>
              <w:spacing w:after="0" w:line="195" w:lineRule="exact"/>
              <w:rPr>
                <w:sz w:val="20"/>
                <w:szCs w:val="20"/>
                <w:color w:val="auto"/>
              </w:rPr>
            </w:pPr>
            <w:r>
              <w:rPr>
                <w:rFonts w:ascii="Arial" w:cs="Arial" w:eastAsia="Arial" w:hAnsi="Arial"/>
                <w:sz w:val="22"/>
                <w:szCs w:val="22"/>
                <w:b w:val="1"/>
                <w:bCs w:val="1"/>
                <w:color w:val="auto"/>
                <w:w w:val="89"/>
              </w:rPr>
              <w:t>Non-performance related</w:t>
            </w:r>
          </w:p>
        </w:tc>
        <w:tc>
          <w:tcPr>
            <w:tcW w:w="940" w:type="dxa"/>
            <w:vAlign w:val="bottom"/>
            <w:tcBorders>
              <w:top w:val="single" w:sz="8" w:color="70AD47"/>
            </w:tcBorders>
            <w:shd w:val="clear" w:color="auto" w:fill="C6E0B4"/>
          </w:tcPr>
          <w:p>
            <w:pPr>
              <w:spacing w:after="0"/>
              <w:rPr>
                <w:sz w:val="17"/>
                <w:szCs w:val="17"/>
                <w:color w:val="auto"/>
              </w:rPr>
            </w:pPr>
          </w:p>
        </w:tc>
        <w:tc>
          <w:tcPr>
            <w:tcW w:w="100" w:type="dxa"/>
            <w:vAlign w:val="bottom"/>
            <w:tcBorders>
              <w:top w:val="single" w:sz="8" w:color="70AD47"/>
              <w:right w:val="single" w:sz="8" w:color="70AD47"/>
            </w:tcBorders>
            <w:shd w:val="clear" w:color="auto" w:fill="C6E0B4"/>
          </w:tcPr>
          <w:p>
            <w:pPr>
              <w:spacing w:after="0"/>
              <w:rPr>
                <w:sz w:val="17"/>
                <w:szCs w:val="17"/>
                <w:color w:val="auto"/>
              </w:rPr>
            </w:pPr>
          </w:p>
        </w:tc>
        <w:tc>
          <w:tcPr>
            <w:tcW w:w="1020" w:type="dxa"/>
            <w:vAlign w:val="bottom"/>
            <w:tcBorders>
              <w:top w:val="single" w:sz="8" w:color="70AD47"/>
              <w:right w:val="single" w:sz="8" w:color="70AD47"/>
            </w:tcBorders>
            <w:shd w:val="clear" w:color="auto" w:fill="C6E0B4"/>
          </w:tcPr>
          <w:p>
            <w:pPr>
              <w:spacing w:after="0"/>
              <w:rPr>
                <w:sz w:val="17"/>
                <w:szCs w:val="17"/>
                <w:color w:val="auto"/>
              </w:rPr>
            </w:pPr>
          </w:p>
        </w:tc>
        <w:tc>
          <w:tcPr>
            <w:tcW w:w="1020" w:type="dxa"/>
            <w:vAlign w:val="bottom"/>
            <w:tcBorders>
              <w:top w:val="single" w:sz="8" w:color="70AD47"/>
              <w:right w:val="single" w:sz="8" w:color="70AD47"/>
            </w:tcBorders>
          </w:tcPr>
          <w:p>
            <w:pPr>
              <w:spacing w:after="0"/>
              <w:rPr>
                <w:sz w:val="17"/>
                <w:szCs w:val="17"/>
                <w:color w:val="auto"/>
              </w:rPr>
            </w:pPr>
          </w:p>
        </w:tc>
        <w:tc>
          <w:tcPr>
            <w:tcW w:w="180" w:type="dxa"/>
            <w:vAlign w:val="bottom"/>
            <w:tcBorders>
              <w:top w:val="single" w:sz="8" w:color="70AD47"/>
            </w:tcBorders>
          </w:tcPr>
          <w:p>
            <w:pPr>
              <w:spacing w:after="0"/>
              <w:rPr>
                <w:sz w:val="17"/>
                <w:szCs w:val="17"/>
                <w:color w:val="auto"/>
              </w:rPr>
            </w:pPr>
          </w:p>
        </w:tc>
        <w:tc>
          <w:tcPr>
            <w:tcW w:w="840" w:type="dxa"/>
            <w:vAlign w:val="bottom"/>
            <w:tcBorders>
              <w:top w:val="single" w:sz="8" w:color="70AD47"/>
              <w:right w:val="single" w:sz="8" w:color="70AD47"/>
            </w:tcBorders>
          </w:tcPr>
          <w:p>
            <w:pPr>
              <w:spacing w:after="0"/>
              <w:rPr>
                <w:sz w:val="17"/>
                <w:szCs w:val="17"/>
                <w:color w:val="auto"/>
              </w:rPr>
            </w:pPr>
          </w:p>
        </w:tc>
        <w:tc>
          <w:tcPr>
            <w:tcW w:w="1040" w:type="dxa"/>
            <w:vAlign w:val="bottom"/>
            <w:tcBorders>
              <w:top w:val="single" w:sz="8" w:color="70AD47"/>
              <w:right w:val="single" w:sz="8" w:color="70AD47"/>
            </w:tcBorders>
            <w:shd w:val="clear" w:color="auto" w:fill="C6E0B4"/>
          </w:tcPr>
          <w:p>
            <w:pPr>
              <w:spacing w:after="0"/>
              <w:rPr>
                <w:sz w:val="17"/>
                <w:szCs w:val="17"/>
                <w:color w:val="auto"/>
              </w:rPr>
            </w:pPr>
          </w:p>
        </w:tc>
        <w:tc>
          <w:tcPr>
            <w:tcW w:w="1020" w:type="dxa"/>
            <w:vAlign w:val="bottom"/>
            <w:tcBorders>
              <w:top w:val="single" w:sz="8" w:color="70AD47"/>
              <w:right w:val="single" w:sz="8" w:color="70AD47"/>
            </w:tcBorders>
            <w:shd w:val="clear" w:color="auto" w:fill="C6E0B4"/>
          </w:tcPr>
          <w:p>
            <w:pPr>
              <w:spacing w:after="0"/>
              <w:rPr>
                <w:sz w:val="17"/>
                <w:szCs w:val="17"/>
                <w:color w:val="auto"/>
              </w:rPr>
            </w:pPr>
          </w:p>
        </w:tc>
        <w:tc>
          <w:tcPr>
            <w:tcW w:w="1040" w:type="dxa"/>
            <w:vAlign w:val="bottom"/>
            <w:tcBorders>
              <w:top w:val="single" w:sz="8" w:color="70AD47"/>
              <w:right w:val="single" w:sz="8" w:color="70AD47"/>
            </w:tcBorders>
          </w:tcPr>
          <w:p>
            <w:pPr>
              <w:spacing w:after="0"/>
              <w:rPr>
                <w:sz w:val="17"/>
                <w:szCs w:val="17"/>
                <w:color w:val="auto"/>
              </w:rPr>
            </w:pPr>
          </w:p>
        </w:tc>
        <w:tc>
          <w:tcPr>
            <w:tcW w:w="160" w:type="dxa"/>
            <w:vAlign w:val="bottom"/>
            <w:tcBorders>
              <w:top w:val="single" w:sz="8" w:color="70AD47"/>
            </w:tcBorders>
          </w:tcPr>
          <w:p>
            <w:pPr>
              <w:spacing w:after="0"/>
              <w:rPr>
                <w:sz w:val="17"/>
                <w:szCs w:val="17"/>
                <w:color w:val="auto"/>
              </w:rPr>
            </w:pPr>
          </w:p>
        </w:tc>
        <w:tc>
          <w:tcPr>
            <w:tcW w:w="840" w:type="dxa"/>
            <w:vAlign w:val="bottom"/>
            <w:tcBorders>
              <w:top w:val="single" w:sz="8" w:color="70AD47"/>
              <w:right w:val="single" w:sz="8" w:color="70AD47"/>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040" w:type="dxa"/>
            <w:vAlign w:val="bottom"/>
            <w:tcBorders>
              <w:right w:val="single" w:sz="8" w:color="70AD47"/>
            </w:tcBorders>
          </w:tcPr>
          <w:p>
            <w:pPr>
              <w:jc w:val="center"/>
              <w:spacing w:after="0"/>
              <w:rPr>
                <w:sz w:val="20"/>
                <w:szCs w:val="20"/>
                <w:color w:val="auto"/>
              </w:rPr>
            </w:pPr>
            <w:r>
              <w:rPr>
                <w:rFonts w:ascii="Arial" w:cs="Arial" w:eastAsia="Arial" w:hAnsi="Arial"/>
                <w:sz w:val="22"/>
                <w:szCs w:val="22"/>
                <w:b w:val="1"/>
                <w:bCs w:val="1"/>
                <w:color w:val="auto"/>
                <w:w w:val="84"/>
              </w:rPr>
              <w:t>compensation</w:t>
            </w:r>
          </w:p>
        </w:tc>
        <w:tc>
          <w:tcPr>
            <w:tcW w:w="940" w:type="dxa"/>
            <w:vAlign w:val="bottom"/>
            <w:shd w:val="clear" w:color="auto" w:fill="C6E0B4"/>
          </w:tcPr>
          <w:p>
            <w:pPr>
              <w:spacing w:after="0"/>
              <w:rPr>
                <w:sz w:val="23"/>
                <w:szCs w:val="23"/>
                <w:color w:val="auto"/>
              </w:rPr>
            </w:pPr>
          </w:p>
        </w:tc>
        <w:tc>
          <w:tcPr>
            <w:tcW w:w="100" w:type="dxa"/>
            <w:vAlign w:val="bottom"/>
            <w:tcBorders>
              <w:right w:val="single" w:sz="8" w:color="70AD47"/>
            </w:tcBorders>
            <w:shd w:val="clear" w:color="auto" w:fill="C6E0B4"/>
          </w:tcPr>
          <w:p>
            <w:pPr>
              <w:spacing w:after="0"/>
              <w:rPr>
                <w:sz w:val="23"/>
                <w:szCs w:val="23"/>
                <w:color w:val="auto"/>
              </w:rPr>
            </w:pPr>
          </w:p>
        </w:tc>
        <w:tc>
          <w:tcPr>
            <w:tcW w:w="1020" w:type="dxa"/>
            <w:vAlign w:val="bottom"/>
            <w:tcBorders>
              <w:right w:val="single" w:sz="8" w:color="70AD47"/>
            </w:tcBorders>
            <w:shd w:val="clear" w:color="auto" w:fill="C6E0B4"/>
          </w:tcPr>
          <w:p>
            <w:pPr>
              <w:spacing w:after="0"/>
              <w:rPr>
                <w:sz w:val="23"/>
                <w:szCs w:val="23"/>
                <w:color w:val="auto"/>
              </w:rPr>
            </w:pPr>
          </w:p>
        </w:tc>
        <w:tc>
          <w:tcPr>
            <w:tcW w:w="1020" w:type="dxa"/>
            <w:vAlign w:val="bottom"/>
            <w:tcBorders>
              <w:right w:val="single" w:sz="8" w:color="70AD47"/>
            </w:tcBorders>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Borders>
              <w:right w:val="single" w:sz="8" w:color="70AD47"/>
            </w:tcBorders>
          </w:tcPr>
          <w:p>
            <w:pPr>
              <w:spacing w:after="0"/>
              <w:rPr>
                <w:sz w:val="23"/>
                <w:szCs w:val="23"/>
                <w:color w:val="auto"/>
              </w:rPr>
            </w:pPr>
          </w:p>
        </w:tc>
        <w:tc>
          <w:tcPr>
            <w:tcW w:w="1040" w:type="dxa"/>
            <w:vAlign w:val="bottom"/>
            <w:tcBorders>
              <w:right w:val="single" w:sz="8" w:color="70AD47"/>
            </w:tcBorders>
            <w:shd w:val="clear" w:color="auto" w:fill="C6E0B4"/>
          </w:tcPr>
          <w:p>
            <w:pPr>
              <w:spacing w:after="0"/>
              <w:rPr>
                <w:sz w:val="23"/>
                <w:szCs w:val="23"/>
                <w:color w:val="auto"/>
              </w:rPr>
            </w:pPr>
          </w:p>
        </w:tc>
        <w:tc>
          <w:tcPr>
            <w:tcW w:w="1020" w:type="dxa"/>
            <w:vAlign w:val="bottom"/>
            <w:tcBorders>
              <w:right w:val="single" w:sz="8" w:color="70AD47"/>
            </w:tcBorders>
            <w:shd w:val="clear" w:color="auto" w:fill="C6E0B4"/>
          </w:tcPr>
          <w:p>
            <w:pPr>
              <w:spacing w:after="0"/>
              <w:rPr>
                <w:sz w:val="23"/>
                <w:szCs w:val="23"/>
                <w:color w:val="auto"/>
              </w:rPr>
            </w:pPr>
          </w:p>
        </w:tc>
        <w:tc>
          <w:tcPr>
            <w:tcW w:w="1040" w:type="dxa"/>
            <w:vAlign w:val="bottom"/>
            <w:tcBorders>
              <w:right w:val="single" w:sz="8" w:color="70AD47"/>
            </w:tcBorders>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Borders>
              <w:right w:val="single" w:sz="8" w:color="70AD47"/>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Fixed compensation</w:t>
            </w:r>
          </w:p>
        </w:tc>
        <w:tc>
          <w:tcPr>
            <w:tcW w:w="940" w:type="dxa"/>
            <w:vAlign w:val="bottom"/>
            <w:shd w:val="clear" w:color="auto" w:fill="C6E0B4"/>
          </w:tcPr>
          <w:p>
            <w:pPr>
              <w:jc w:val="center"/>
              <w:spacing w:after="0"/>
              <w:rPr>
                <w:sz w:val="20"/>
                <w:szCs w:val="20"/>
                <w:color w:val="auto"/>
              </w:rPr>
            </w:pPr>
            <w:r>
              <w:rPr>
                <w:rFonts w:ascii="Arial" w:cs="Arial" w:eastAsia="Arial" w:hAnsi="Arial"/>
                <w:sz w:val="22"/>
                <w:szCs w:val="22"/>
                <w:color w:val="auto"/>
                <w:w w:val="87"/>
              </w:rPr>
              <w:t>360</w:t>
            </w:r>
          </w:p>
        </w:tc>
        <w:tc>
          <w:tcPr>
            <w:tcW w:w="100" w:type="dxa"/>
            <w:vAlign w:val="bottom"/>
            <w:tcBorders>
              <w:right w:val="single" w:sz="8" w:color="70AD47"/>
            </w:tcBorders>
            <w:shd w:val="clear" w:color="auto" w:fill="C6E0B4"/>
          </w:tcPr>
          <w:p>
            <w:pPr>
              <w:spacing w:after="0"/>
              <w:rPr>
                <w:sz w:val="23"/>
                <w:szCs w:val="23"/>
                <w:color w:val="auto"/>
              </w:rPr>
            </w:pPr>
          </w:p>
        </w:tc>
        <w:tc>
          <w:tcPr>
            <w:tcW w:w="1020" w:type="dxa"/>
            <w:vAlign w:val="bottom"/>
            <w:tcBorders>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86"/>
              </w:rPr>
              <w:t>28%</w:t>
            </w:r>
          </w:p>
        </w:tc>
        <w:tc>
          <w:tcPr>
            <w:tcW w:w="102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7"/>
              </w:rPr>
              <w:t>360</w:t>
            </w:r>
          </w:p>
        </w:tc>
        <w:tc>
          <w:tcPr>
            <w:tcW w:w="180" w:type="dxa"/>
            <w:vAlign w:val="bottom"/>
          </w:tcPr>
          <w:p>
            <w:pPr>
              <w:spacing w:after="0"/>
              <w:rPr>
                <w:sz w:val="23"/>
                <w:szCs w:val="23"/>
                <w:color w:val="auto"/>
              </w:rPr>
            </w:pPr>
          </w:p>
        </w:tc>
        <w:tc>
          <w:tcPr>
            <w:tcW w:w="840" w:type="dxa"/>
            <w:vAlign w:val="bottom"/>
            <w:tcBorders>
              <w:right w:val="single" w:sz="8" w:color="70AD47"/>
            </w:tcBorders>
          </w:tcPr>
          <w:p>
            <w:pPr>
              <w:jc w:val="center"/>
              <w:ind w:right="92"/>
              <w:spacing w:after="0"/>
              <w:rPr>
                <w:sz w:val="20"/>
                <w:szCs w:val="20"/>
                <w:color w:val="auto"/>
              </w:rPr>
            </w:pPr>
            <w:r>
              <w:rPr>
                <w:rFonts w:ascii="Arial" w:cs="Arial" w:eastAsia="Arial" w:hAnsi="Arial"/>
                <w:sz w:val="22"/>
                <w:szCs w:val="22"/>
                <w:color w:val="auto"/>
                <w:w w:val="90"/>
              </w:rPr>
              <w:t>28%</w:t>
            </w:r>
          </w:p>
        </w:tc>
        <w:tc>
          <w:tcPr>
            <w:tcW w:w="1040" w:type="dxa"/>
            <w:vAlign w:val="bottom"/>
            <w:tcBorders>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92"/>
              </w:rPr>
              <w:t>400</w:t>
            </w:r>
          </w:p>
        </w:tc>
        <w:tc>
          <w:tcPr>
            <w:tcW w:w="1020" w:type="dxa"/>
            <w:vAlign w:val="bottom"/>
            <w:tcBorders>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90"/>
              </w:rPr>
              <w:t>43%</w:t>
            </w:r>
          </w:p>
        </w:tc>
        <w:tc>
          <w:tcPr>
            <w:tcW w:w="10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7"/>
              </w:rPr>
              <w:t>400</w:t>
            </w:r>
          </w:p>
        </w:tc>
        <w:tc>
          <w:tcPr>
            <w:tcW w:w="160" w:type="dxa"/>
            <w:vAlign w:val="bottom"/>
          </w:tcPr>
          <w:p>
            <w:pPr>
              <w:spacing w:after="0"/>
              <w:rPr>
                <w:sz w:val="23"/>
                <w:szCs w:val="23"/>
                <w:color w:val="auto"/>
              </w:rPr>
            </w:pPr>
          </w:p>
        </w:tc>
        <w:tc>
          <w:tcPr>
            <w:tcW w:w="840" w:type="dxa"/>
            <w:vAlign w:val="bottom"/>
            <w:tcBorders>
              <w:right w:val="single" w:sz="8" w:color="70AD47"/>
            </w:tcBorders>
          </w:tcPr>
          <w:p>
            <w:pPr>
              <w:jc w:val="center"/>
              <w:ind w:right="92"/>
              <w:spacing w:after="0"/>
              <w:rPr>
                <w:sz w:val="20"/>
                <w:szCs w:val="20"/>
                <w:color w:val="auto"/>
              </w:rPr>
            </w:pPr>
            <w:r>
              <w:rPr>
                <w:rFonts w:ascii="Arial" w:cs="Arial" w:eastAsia="Arial" w:hAnsi="Arial"/>
                <w:sz w:val="22"/>
                <w:szCs w:val="22"/>
                <w:color w:val="auto"/>
                <w:w w:val="90"/>
              </w:rPr>
              <w:t>44%</w:t>
            </w:r>
          </w:p>
        </w:tc>
        <w:tc>
          <w:tcPr>
            <w:tcW w:w="0" w:type="dxa"/>
            <w:vAlign w:val="bottom"/>
          </w:tcPr>
          <w:p>
            <w:pPr>
              <w:spacing w:after="0"/>
              <w:rPr>
                <w:sz w:val="1"/>
                <w:szCs w:val="1"/>
                <w:color w:val="auto"/>
              </w:rPr>
            </w:pPr>
          </w:p>
        </w:tc>
      </w:tr>
      <w:tr>
        <w:trPr>
          <w:trHeight w:val="276"/>
        </w:trPr>
        <w:tc>
          <w:tcPr>
            <w:tcW w:w="3040" w:type="dxa"/>
            <w:vAlign w:val="bottom"/>
            <w:tcBorders>
              <w:bottom w:val="single" w:sz="8" w:color="70AD47"/>
              <w:right w:val="single" w:sz="8" w:color="70AD47"/>
            </w:tcBorders>
          </w:tcPr>
          <w:p>
            <w:pPr>
              <w:jc w:val="center"/>
              <w:spacing w:after="0"/>
              <w:rPr>
                <w:sz w:val="20"/>
                <w:szCs w:val="20"/>
                <w:color w:val="auto"/>
              </w:rPr>
            </w:pPr>
            <w:r>
              <w:rPr>
                <w:rFonts w:ascii="Arial" w:cs="Arial" w:eastAsia="Arial" w:hAnsi="Arial"/>
                <w:sz w:val="22"/>
                <w:szCs w:val="22"/>
                <w:color w:val="auto"/>
                <w:w w:val="89"/>
              </w:rPr>
              <w:t>Fringe benefits</w:t>
            </w:r>
          </w:p>
        </w:tc>
        <w:tc>
          <w:tcPr>
            <w:tcW w:w="940" w:type="dxa"/>
            <w:vAlign w:val="bottom"/>
            <w:tcBorders>
              <w:bottom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81"/>
              </w:rPr>
              <w:t>6</w:t>
            </w:r>
          </w:p>
        </w:tc>
        <w:tc>
          <w:tcPr>
            <w:tcW w:w="100" w:type="dxa"/>
            <w:vAlign w:val="bottom"/>
            <w:tcBorders>
              <w:bottom w:val="single" w:sz="8" w:color="70AD47"/>
              <w:right w:val="single" w:sz="8" w:color="70AD47"/>
            </w:tcBorders>
            <w:shd w:val="clear" w:color="auto" w:fill="C6E0B4"/>
          </w:tcPr>
          <w:p>
            <w:pPr>
              <w:spacing w:after="0"/>
              <w:rPr>
                <w:sz w:val="24"/>
                <w:szCs w:val="24"/>
                <w:color w:val="auto"/>
              </w:rPr>
            </w:pPr>
          </w:p>
        </w:tc>
        <w:tc>
          <w:tcPr>
            <w:tcW w:w="1020" w:type="dxa"/>
            <w:vAlign w:val="bottom"/>
            <w:tcBorders>
              <w:bottom w:val="single" w:sz="8" w:color="70AD47"/>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96"/>
              </w:rPr>
              <w:t>— %</w:t>
            </w:r>
          </w:p>
        </w:tc>
        <w:tc>
          <w:tcPr>
            <w:tcW w:w="1020" w:type="dxa"/>
            <w:vAlign w:val="bottom"/>
            <w:tcBorders>
              <w:bottom w:val="single" w:sz="8" w:color="70AD47"/>
              <w:right w:val="single" w:sz="8" w:color="70AD47"/>
            </w:tcBorders>
          </w:tcPr>
          <w:p>
            <w:pPr>
              <w:jc w:val="center"/>
              <w:spacing w:after="0"/>
              <w:rPr>
                <w:sz w:val="20"/>
                <w:szCs w:val="20"/>
                <w:color w:val="auto"/>
              </w:rPr>
            </w:pPr>
            <w:r>
              <w:rPr>
                <w:rFonts w:ascii="Arial" w:cs="Arial" w:eastAsia="Arial" w:hAnsi="Arial"/>
                <w:sz w:val="22"/>
                <w:szCs w:val="22"/>
                <w:color w:val="auto"/>
                <w:w w:val="97"/>
              </w:rPr>
              <w:t>6</w:t>
            </w:r>
          </w:p>
        </w:tc>
        <w:tc>
          <w:tcPr>
            <w:tcW w:w="180" w:type="dxa"/>
            <w:vAlign w:val="bottom"/>
            <w:tcBorders>
              <w:bottom w:val="single" w:sz="8" w:color="70AD47"/>
            </w:tcBorders>
          </w:tcPr>
          <w:p>
            <w:pPr>
              <w:spacing w:after="0"/>
              <w:rPr>
                <w:sz w:val="24"/>
                <w:szCs w:val="24"/>
                <w:color w:val="auto"/>
              </w:rPr>
            </w:pPr>
          </w:p>
        </w:tc>
        <w:tc>
          <w:tcPr>
            <w:tcW w:w="840" w:type="dxa"/>
            <w:vAlign w:val="bottom"/>
            <w:tcBorders>
              <w:bottom w:val="single" w:sz="8" w:color="70AD47"/>
              <w:right w:val="single" w:sz="8" w:color="70AD47"/>
            </w:tcBorders>
          </w:tcPr>
          <w:p>
            <w:pPr>
              <w:jc w:val="center"/>
              <w:ind w:right="92"/>
              <w:spacing w:after="0"/>
              <w:rPr>
                <w:sz w:val="20"/>
                <w:szCs w:val="20"/>
                <w:color w:val="auto"/>
              </w:rPr>
            </w:pPr>
            <w:r>
              <w:rPr>
                <w:rFonts w:ascii="Arial" w:cs="Arial" w:eastAsia="Arial" w:hAnsi="Arial"/>
                <w:sz w:val="22"/>
                <w:szCs w:val="22"/>
                <w:color w:val="auto"/>
                <w:w w:val="92"/>
              </w:rPr>
              <w:t>— %</w:t>
            </w:r>
          </w:p>
        </w:tc>
        <w:tc>
          <w:tcPr>
            <w:tcW w:w="1040" w:type="dxa"/>
            <w:vAlign w:val="bottom"/>
            <w:tcBorders>
              <w:bottom w:val="single" w:sz="8" w:color="70AD47"/>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89"/>
              </w:rPr>
              <w:t>22</w:t>
            </w:r>
          </w:p>
        </w:tc>
        <w:tc>
          <w:tcPr>
            <w:tcW w:w="1020" w:type="dxa"/>
            <w:vAlign w:val="bottom"/>
            <w:tcBorders>
              <w:bottom w:val="single" w:sz="8" w:color="70AD47"/>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87"/>
              </w:rPr>
              <w:t>2%</w:t>
            </w:r>
          </w:p>
        </w:tc>
        <w:tc>
          <w:tcPr>
            <w:tcW w:w="1040" w:type="dxa"/>
            <w:vAlign w:val="bottom"/>
            <w:tcBorders>
              <w:bottom w:val="single" w:sz="8" w:color="70AD47"/>
              <w:right w:val="single" w:sz="8" w:color="70AD47"/>
            </w:tcBorders>
          </w:tcPr>
          <w:p>
            <w:pPr>
              <w:jc w:val="center"/>
              <w:spacing w:after="0"/>
              <w:rPr>
                <w:sz w:val="20"/>
                <w:szCs w:val="20"/>
                <w:color w:val="auto"/>
              </w:rPr>
            </w:pPr>
            <w:r>
              <w:rPr>
                <w:rFonts w:ascii="Arial" w:cs="Arial" w:eastAsia="Arial" w:hAnsi="Arial"/>
                <w:sz w:val="22"/>
                <w:szCs w:val="22"/>
                <w:color w:val="auto"/>
                <w:w w:val="81"/>
              </w:rPr>
              <w:t>11</w:t>
            </w:r>
          </w:p>
        </w:tc>
        <w:tc>
          <w:tcPr>
            <w:tcW w:w="160" w:type="dxa"/>
            <w:vAlign w:val="bottom"/>
            <w:tcBorders>
              <w:bottom w:val="single" w:sz="8" w:color="70AD47"/>
            </w:tcBorders>
          </w:tcPr>
          <w:p>
            <w:pPr>
              <w:spacing w:after="0"/>
              <w:rPr>
                <w:sz w:val="24"/>
                <w:szCs w:val="24"/>
                <w:color w:val="auto"/>
              </w:rPr>
            </w:pPr>
          </w:p>
        </w:tc>
        <w:tc>
          <w:tcPr>
            <w:tcW w:w="840" w:type="dxa"/>
            <w:vAlign w:val="bottom"/>
            <w:tcBorders>
              <w:bottom w:val="single" w:sz="8" w:color="70AD47"/>
              <w:right w:val="single" w:sz="8" w:color="70AD47"/>
            </w:tcBorders>
          </w:tcPr>
          <w:p>
            <w:pPr>
              <w:jc w:val="center"/>
              <w:ind w:right="72"/>
              <w:spacing w:after="0"/>
              <w:rPr>
                <w:sz w:val="20"/>
                <w:szCs w:val="20"/>
                <w:color w:val="auto"/>
              </w:rPr>
            </w:pPr>
            <w:r>
              <w:rPr>
                <w:rFonts w:ascii="Arial" w:cs="Arial" w:eastAsia="Arial" w:hAnsi="Arial"/>
                <w:sz w:val="22"/>
                <w:szCs w:val="22"/>
                <w:color w:val="auto"/>
                <w:w w:val="94"/>
              </w:rPr>
              <w:t>1%</w:t>
            </w:r>
          </w:p>
        </w:tc>
        <w:tc>
          <w:tcPr>
            <w:tcW w:w="0" w:type="dxa"/>
            <w:vAlign w:val="bottom"/>
          </w:tcPr>
          <w:p>
            <w:pPr>
              <w:spacing w:after="0"/>
              <w:rPr>
                <w:sz w:val="1"/>
                <w:szCs w:val="1"/>
                <w:color w:val="auto"/>
              </w:rPr>
            </w:pPr>
          </w:p>
        </w:tc>
      </w:tr>
      <w:tr>
        <w:trPr>
          <w:trHeight w:val="251"/>
        </w:trPr>
        <w:tc>
          <w:tcPr>
            <w:tcW w:w="3040" w:type="dxa"/>
            <w:vAlign w:val="bottom"/>
            <w:tcBorders>
              <w:right w:val="single" w:sz="8" w:color="70AD47"/>
            </w:tcBorders>
          </w:tcPr>
          <w:p>
            <w:pPr>
              <w:jc w:val="center"/>
              <w:spacing w:after="0" w:line="251" w:lineRule="exact"/>
              <w:rPr>
                <w:sz w:val="20"/>
                <w:szCs w:val="20"/>
                <w:color w:val="auto"/>
              </w:rPr>
            </w:pPr>
            <w:r>
              <w:rPr>
                <w:rFonts w:ascii="Arial" w:cs="Arial" w:eastAsia="Arial" w:hAnsi="Arial"/>
                <w:sz w:val="22"/>
                <w:szCs w:val="22"/>
                <w:b w:val="1"/>
                <w:bCs w:val="1"/>
                <w:color w:val="auto"/>
                <w:w w:val="89"/>
              </w:rPr>
              <w:t>Performance-related</w:t>
            </w:r>
          </w:p>
        </w:tc>
        <w:tc>
          <w:tcPr>
            <w:tcW w:w="940" w:type="dxa"/>
            <w:vAlign w:val="bottom"/>
            <w:shd w:val="clear" w:color="auto" w:fill="C6E0B4"/>
          </w:tcPr>
          <w:p>
            <w:pPr>
              <w:spacing w:after="0"/>
              <w:rPr>
                <w:sz w:val="21"/>
                <w:szCs w:val="21"/>
                <w:color w:val="auto"/>
              </w:rPr>
            </w:pPr>
          </w:p>
        </w:tc>
        <w:tc>
          <w:tcPr>
            <w:tcW w:w="100" w:type="dxa"/>
            <w:vAlign w:val="bottom"/>
            <w:tcBorders>
              <w:right w:val="single" w:sz="8" w:color="70AD47"/>
            </w:tcBorders>
            <w:shd w:val="clear" w:color="auto" w:fill="C6E0B4"/>
          </w:tcPr>
          <w:p>
            <w:pPr>
              <w:spacing w:after="0"/>
              <w:rPr>
                <w:sz w:val="21"/>
                <w:szCs w:val="21"/>
                <w:color w:val="auto"/>
              </w:rPr>
            </w:pPr>
          </w:p>
        </w:tc>
        <w:tc>
          <w:tcPr>
            <w:tcW w:w="1020" w:type="dxa"/>
            <w:vAlign w:val="bottom"/>
            <w:tcBorders>
              <w:right w:val="single" w:sz="8" w:color="70AD47"/>
            </w:tcBorders>
            <w:shd w:val="clear" w:color="auto" w:fill="C6E0B4"/>
          </w:tcPr>
          <w:p>
            <w:pPr>
              <w:spacing w:after="0"/>
              <w:rPr>
                <w:sz w:val="21"/>
                <w:szCs w:val="21"/>
                <w:color w:val="auto"/>
              </w:rPr>
            </w:pPr>
          </w:p>
        </w:tc>
        <w:tc>
          <w:tcPr>
            <w:tcW w:w="1020" w:type="dxa"/>
            <w:vAlign w:val="bottom"/>
            <w:tcBorders>
              <w:right w:val="single" w:sz="8" w:color="70AD47"/>
            </w:tcBorders>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Borders>
              <w:right w:val="single" w:sz="8" w:color="70AD47"/>
            </w:tcBorders>
          </w:tcPr>
          <w:p>
            <w:pPr>
              <w:spacing w:after="0"/>
              <w:rPr>
                <w:sz w:val="21"/>
                <w:szCs w:val="21"/>
                <w:color w:val="auto"/>
              </w:rPr>
            </w:pPr>
          </w:p>
        </w:tc>
        <w:tc>
          <w:tcPr>
            <w:tcW w:w="1040" w:type="dxa"/>
            <w:vAlign w:val="bottom"/>
            <w:tcBorders>
              <w:right w:val="single" w:sz="8" w:color="70AD47"/>
            </w:tcBorders>
            <w:shd w:val="clear" w:color="auto" w:fill="C6E0B4"/>
          </w:tcPr>
          <w:p>
            <w:pPr>
              <w:spacing w:after="0"/>
              <w:rPr>
                <w:sz w:val="21"/>
                <w:szCs w:val="21"/>
                <w:color w:val="auto"/>
              </w:rPr>
            </w:pPr>
          </w:p>
        </w:tc>
        <w:tc>
          <w:tcPr>
            <w:tcW w:w="1020" w:type="dxa"/>
            <w:vAlign w:val="bottom"/>
            <w:tcBorders>
              <w:right w:val="single" w:sz="8" w:color="70AD47"/>
            </w:tcBorders>
            <w:shd w:val="clear" w:color="auto" w:fill="C6E0B4"/>
          </w:tcPr>
          <w:p>
            <w:pPr>
              <w:spacing w:after="0"/>
              <w:rPr>
                <w:sz w:val="21"/>
                <w:szCs w:val="21"/>
                <w:color w:val="auto"/>
              </w:rPr>
            </w:pPr>
          </w:p>
        </w:tc>
        <w:tc>
          <w:tcPr>
            <w:tcW w:w="1040" w:type="dxa"/>
            <w:vAlign w:val="bottom"/>
            <w:tcBorders>
              <w:right w:val="single" w:sz="8" w:color="70AD47"/>
            </w:tcBorders>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Borders>
              <w:right w:val="single" w:sz="8" w:color="70AD47"/>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3040" w:type="dxa"/>
            <w:vAlign w:val="bottom"/>
            <w:tcBorders>
              <w:right w:val="single" w:sz="8" w:color="70AD47"/>
            </w:tcBorders>
          </w:tcPr>
          <w:p>
            <w:pPr>
              <w:jc w:val="center"/>
              <w:spacing w:after="0"/>
              <w:rPr>
                <w:sz w:val="20"/>
                <w:szCs w:val="20"/>
                <w:color w:val="auto"/>
              </w:rPr>
            </w:pPr>
            <w:r>
              <w:rPr>
                <w:rFonts w:ascii="Arial" w:cs="Arial" w:eastAsia="Arial" w:hAnsi="Arial"/>
                <w:sz w:val="22"/>
                <w:szCs w:val="22"/>
                <w:b w:val="1"/>
                <w:bCs w:val="1"/>
                <w:color w:val="auto"/>
                <w:w w:val="84"/>
              </w:rPr>
              <w:t>compensation</w:t>
            </w:r>
          </w:p>
        </w:tc>
        <w:tc>
          <w:tcPr>
            <w:tcW w:w="940" w:type="dxa"/>
            <w:vAlign w:val="bottom"/>
            <w:shd w:val="clear" w:color="auto" w:fill="C6E0B4"/>
          </w:tcPr>
          <w:p>
            <w:pPr>
              <w:spacing w:after="0"/>
              <w:rPr>
                <w:sz w:val="24"/>
                <w:szCs w:val="24"/>
                <w:color w:val="auto"/>
              </w:rPr>
            </w:pPr>
          </w:p>
        </w:tc>
        <w:tc>
          <w:tcPr>
            <w:tcW w:w="100" w:type="dxa"/>
            <w:vAlign w:val="bottom"/>
            <w:tcBorders>
              <w:right w:val="single" w:sz="8" w:color="70AD47"/>
            </w:tcBorders>
            <w:shd w:val="clear" w:color="auto" w:fill="C6E0B4"/>
          </w:tcPr>
          <w:p>
            <w:pPr>
              <w:spacing w:after="0"/>
              <w:rPr>
                <w:sz w:val="24"/>
                <w:szCs w:val="24"/>
                <w:color w:val="auto"/>
              </w:rPr>
            </w:pPr>
          </w:p>
        </w:tc>
        <w:tc>
          <w:tcPr>
            <w:tcW w:w="1020" w:type="dxa"/>
            <w:vAlign w:val="bottom"/>
            <w:tcBorders>
              <w:right w:val="single" w:sz="8" w:color="70AD47"/>
            </w:tcBorders>
            <w:shd w:val="clear" w:color="auto" w:fill="C6E0B4"/>
          </w:tcPr>
          <w:p>
            <w:pPr>
              <w:spacing w:after="0"/>
              <w:rPr>
                <w:sz w:val="24"/>
                <w:szCs w:val="24"/>
                <w:color w:val="auto"/>
              </w:rPr>
            </w:pPr>
          </w:p>
        </w:tc>
        <w:tc>
          <w:tcPr>
            <w:tcW w:w="1020" w:type="dxa"/>
            <w:vAlign w:val="bottom"/>
            <w:tcBorders>
              <w:right w:val="single" w:sz="8" w:color="70AD47"/>
            </w:tcBorders>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Borders>
              <w:right w:val="single" w:sz="8" w:color="70AD47"/>
            </w:tcBorders>
          </w:tcPr>
          <w:p>
            <w:pPr>
              <w:spacing w:after="0"/>
              <w:rPr>
                <w:sz w:val="24"/>
                <w:szCs w:val="24"/>
                <w:color w:val="auto"/>
              </w:rPr>
            </w:pPr>
          </w:p>
        </w:tc>
        <w:tc>
          <w:tcPr>
            <w:tcW w:w="1040" w:type="dxa"/>
            <w:vAlign w:val="bottom"/>
            <w:tcBorders>
              <w:right w:val="single" w:sz="8" w:color="70AD47"/>
            </w:tcBorders>
            <w:shd w:val="clear" w:color="auto" w:fill="C6E0B4"/>
          </w:tcPr>
          <w:p>
            <w:pPr>
              <w:spacing w:after="0"/>
              <w:rPr>
                <w:sz w:val="24"/>
                <w:szCs w:val="24"/>
                <w:color w:val="auto"/>
              </w:rPr>
            </w:pPr>
          </w:p>
        </w:tc>
        <w:tc>
          <w:tcPr>
            <w:tcW w:w="1020" w:type="dxa"/>
            <w:vAlign w:val="bottom"/>
            <w:tcBorders>
              <w:right w:val="single" w:sz="8" w:color="70AD47"/>
            </w:tcBorders>
            <w:shd w:val="clear" w:color="auto" w:fill="C6E0B4"/>
          </w:tcPr>
          <w:p>
            <w:pPr>
              <w:spacing w:after="0"/>
              <w:rPr>
                <w:sz w:val="24"/>
                <w:szCs w:val="24"/>
                <w:color w:val="auto"/>
              </w:rPr>
            </w:pPr>
          </w:p>
        </w:tc>
        <w:tc>
          <w:tcPr>
            <w:tcW w:w="1040" w:type="dxa"/>
            <w:vAlign w:val="bottom"/>
            <w:tcBorders>
              <w:right w:val="single" w:sz="8" w:color="70AD47"/>
            </w:tcBorders>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Borders>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30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90"/>
              </w:rPr>
              <w:t>Short-term incentive</w:t>
            </w:r>
          </w:p>
        </w:tc>
        <w:tc>
          <w:tcPr>
            <w:tcW w:w="940" w:type="dxa"/>
            <w:vAlign w:val="bottom"/>
            <w:shd w:val="clear" w:color="auto" w:fill="C6E0B4"/>
          </w:tcPr>
          <w:p>
            <w:pPr>
              <w:jc w:val="center"/>
              <w:spacing w:after="0"/>
              <w:rPr>
                <w:sz w:val="20"/>
                <w:szCs w:val="20"/>
                <w:color w:val="auto"/>
              </w:rPr>
            </w:pPr>
            <w:r>
              <w:rPr>
                <w:rFonts w:ascii="Arial" w:cs="Arial" w:eastAsia="Arial" w:hAnsi="Arial"/>
                <w:sz w:val="22"/>
                <w:szCs w:val="22"/>
                <w:color w:val="auto"/>
                <w:w w:val="87"/>
              </w:rPr>
              <w:t>180</w:t>
            </w:r>
          </w:p>
        </w:tc>
        <w:tc>
          <w:tcPr>
            <w:tcW w:w="100" w:type="dxa"/>
            <w:vAlign w:val="bottom"/>
            <w:tcBorders>
              <w:right w:val="single" w:sz="8" w:color="70AD47"/>
            </w:tcBorders>
            <w:shd w:val="clear" w:color="auto" w:fill="C6E0B4"/>
          </w:tcPr>
          <w:p>
            <w:pPr>
              <w:spacing w:after="0"/>
              <w:rPr>
                <w:sz w:val="24"/>
                <w:szCs w:val="24"/>
                <w:color w:val="auto"/>
              </w:rPr>
            </w:pPr>
          </w:p>
        </w:tc>
        <w:tc>
          <w:tcPr>
            <w:tcW w:w="1020" w:type="dxa"/>
            <w:vAlign w:val="bottom"/>
            <w:tcBorders>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86"/>
              </w:rPr>
              <w:t>14%</w:t>
            </w:r>
          </w:p>
        </w:tc>
        <w:tc>
          <w:tcPr>
            <w:tcW w:w="102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7"/>
              </w:rPr>
              <w:t>180</w:t>
            </w:r>
          </w:p>
        </w:tc>
        <w:tc>
          <w:tcPr>
            <w:tcW w:w="180" w:type="dxa"/>
            <w:vAlign w:val="bottom"/>
          </w:tcPr>
          <w:p>
            <w:pPr>
              <w:spacing w:after="0"/>
              <w:rPr>
                <w:sz w:val="24"/>
                <w:szCs w:val="24"/>
                <w:color w:val="auto"/>
              </w:rPr>
            </w:pPr>
          </w:p>
        </w:tc>
        <w:tc>
          <w:tcPr>
            <w:tcW w:w="840" w:type="dxa"/>
            <w:vAlign w:val="bottom"/>
            <w:tcBorders>
              <w:right w:val="single" w:sz="8" w:color="70AD47"/>
            </w:tcBorders>
          </w:tcPr>
          <w:p>
            <w:pPr>
              <w:jc w:val="center"/>
              <w:ind w:right="92"/>
              <w:spacing w:after="0"/>
              <w:rPr>
                <w:sz w:val="20"/>
                <w:szCs w:val="20"/>
                <w:color w:val="auto"/>
              </w:rPr>
            </w:pPr>
            <w:r>
              <w:rPr>
                <w:rFonts w:ascii="Arial" w:cs="Arial" w:eastAsia="Arial" w:hAnsi="Arial"/>
                <w:sz w:val="22"/>
                <w:szCs w:val="22"/>
                <w:color w:val="auto"/>
                <w:w w:val="90"/>
              </w:rPr>
              <w:t>14%</w:t>
            </w:r>
          </w:p>
        </w:tc>
        <w:tc>
          <w:tcPr>
            <w:tcW w:w="1040" w:type="dxa"/>
            <w:vAlign w:val="bottom"/>
            <w:tcBorders>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92"/>
              </w:rPr>
              <w:t>200</w:t>
            </w:r>
          </w:p>
        </w:tc>
        <w:tc>
          <w:tcPr>
            <w:tcW w:w="1020" w:type="dxa"/>
            <w:vAlign w:val="bottom"/>
            <w:tcBorders>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90"/>
              </w:rPr>
              <w:t>22%</w:t>
            </w:r>
          </w:p>
        </w:tc>
        <w:tc>
          <w:tcPr>
            <w:tcW w:w="10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7"/>
              </w:rPr>
              <w:t>200</w:t>
            </w:r>
          </w:p>
        </w:tc>
        <w:tc>
          <w:tcPr>
            <w:tcW w:w="160" w:type="dxa"/>
            <w:vAlign w:val="bottom"/>
          </w:tcPr>
          <w:p>
            <w:pPr>
              <w:spacing w:after="0"/>
              <w:rPr>
                <w:sz w:val="24"/>
                <w:szCs w:val="24"/>
                <w:color w:val="auto"/>
              </w:rPr>
            </w:pPr>
          </w:p>
        </w:tc>
        <w:tc>
          <w:tcPr>
            <w:tcW w:w="840" w:type="dxa"/>
            <w:vAlign w:val="bottom"/>
            <w:tcBorders>
              <w:right w:val="single" w:sz="8" w:color="70AD47"/>
            </w:tcBorders>
          </w:tcPr>
          <w:p>
            <w:pPr>
              <w:jc w:val="center"/>
              <w:ind w:right="92"/>
              <w:spacing w:after="0"/>
              <w:rPr>
                <w:sz w:val="20"/>
                <w:szCs w:val="20"/>
                <w:color w:val="auto"/>
              </w:rPr>
            </w:pPr>
            <w:r>
              <w:rPr>
                <w:rFonts w:ascii="Arial" w:cs="Arial" w:eastAsia="Arial" w:hAnsi="Arial"/>
                <w:sz w:val="22"/>
                <w:szCs w:val="22"/>
                <w:color w:val="auto"/>
                <w:w w:val="90"/>
              </w:rPr>
              <w:t>22%</w:t>
            </w:r>
          </w:p>
        </w:tc>
        <w:tc>
          <w:tcPr>
            <w:tcW w:w="0" w:type="dxa"/>
            <w:vAlign w:val="bottom"/>
          </w:tcPr>
          <w:p>
            <w:pPr>
              <w:spacing w:after="0"/>
              <w:rPr>
                <w:sz w:val="1"/>
                <w:szCs w:val="1"/>
                <w:color w:val="auto"/>
              </w:rPr>
            </w:pPr>
          </w:p>
        </w:tc>
      </w:tr>
      <w:tr>
        <w:trPr>
          <w:trHeight w:val="216"/>
        </w:trPr>
        <w:tc>
          <w:tcPr>
            <w:tcW w:w="3040" w:type="dxa"/>
            <w:vAlign w:val="bottom"/>
            <w:tcBorders>
              <w:right w:val="single" w:sz="8" w:color="70AD47"/>
            </w:tcBorders>
          </w:tcPr>
          <w:p>
            <w:pPr>
              <w:ind w:left="40"/>
              <w:spacing w:after="0" w:line="216" w:lineRule="exact"/>
              <w:rPr>
                <w:sz w:val="20"/>
                <w:szCs w:val="20"/>
                <w:color w:val="auto"/>
              </w:rPr>
            </w:pPr>
            <w:r>
              <w:rPr>
                <w:rFonts w:ascii="Arial" w:cs="Arial" w:eastAsia="Arial" w:hAnsi="Arial"/>
                <w:sz w:val="22"/>
                <w:szCs w:val="22"/>
                <w:color w:val="auto"/>
                <w:w w:val="88"/>
              </w:rPr>
              <w:t>Share-based payments (incl. long-</w:t>
            </w:r>
          </w:p>
        </w:tc>
        <w:tc>
          <w:tcPr>
            <w:tcW w:w="940" w:type="dxa"/>
            <w:vAlign w:val="bottom"/>
            <w:shd w:val="clear" w:color="auto" w:fill="C6E0B4"/>
          </w:tcPr>
          <w:p>
            <w:pPr>
              <w:jc w:val="center"/>
              <w:spacing w:after="0" w:line="216" w:lineRule="exact"/>
              <w:rPr>
                <w:sz w:val="20"/>
                <w:szCs w:val="20"/>
                <w:color w:val="auto"/>
              </w:rPr>
            </w:pPr>
            <w:r>
              <w:rPr>
                <w:rFonts w:ascii="Arial" w:cs="Arial" w:eastAsia="Arial" w:hAnsi="Arial"/>
                <w:sz w:val="22"/>
                <w:szCs w:val="22"/>
                <w:color w:val="auto"/>
                <w:w w:val="87"/>
              </w:rPr>
              <w:t>750</w:t>
            </w:r>
          </w:p>
        </w:tc>
        <w:tc>
          <w:tcPr>
            <w:tcW w:w="100" w:type="dxa"/>
            <w:vAlign w:val="bottom"/>
            <w:tcBorders>
              <w:right w:val="single" w:sz="8" w:color="70AD47"/>
            </w:tcBorders>
            <w:shd w:val="clear" w:color="auto" w:fill="C6E0B4"/>
          </w:tcPr>
          <w:p>
            <w:pPr>
              <w:spacing w:after="0"/>
              <w:rPr>
                <w:sz w:val="18"/>
                <w:szCs w:val="18"/>
                <w:color w:val="auto"/>
              </w:rPr>
            </w:pPr>
          </w:p>
        </w:tc>
        <w:tc>
          <w:tcPr>
            <w:tcW w:w="1020" w:type="dxa"/>
            <w:vAlign w:val="bottom"/>
            <w:tcBorders>
              <w:right w:val="single" w:sz="8" w:color="70AD47"/>
            </w:tcBorders>
            <w:shd w:val="clear" w:color="auto" w:fill="C6E0B4"/>
          </w:tcPr>
          <w:p>
            <w:pPr>
              <w:jc w:val="center"/>
              <w:spacing w:after="0" w:line="216" w:lineRule="exact"/>
              <w:rPr>
                <w:sz w:val="20"/>
                <w:szCs w:val="20"/>
                <w:color w:val="auto"/>
              </w:rPr>
            </w:pPr>
            <w:r>
              <w:rPr>
                <w:rFonts w:ascii="Arial" w:cs="Arial" w:eastAsia="Arial" w:hAnsi="Arial"/>
                <w:sz w:val="22"/>
                <w:szCs w:val="22"/>
                <w:color w:val="auto"/>
                <w:w w:val="86"/>
              </w:rPr>
              <w:t>58%</w:t>
            </w:r>
          </w:p>
        </w:tc>
        <w:tc>
          <w:tcPr>
            <w:tcW w:w="1020" w:type="dxa"/>
            <w:vAlign w:val="bottom"/>
            <w:tcBorders>
              <w:right w:val="single" w:sz="8" w:color="70AD47"/>
            </w:tcBorders>
          </w:tcPr>
          <w:p>
            <w:pPr>
              <w:jc w:val="center"/>
              <w:spacing w:after="0" w:line="216" w:lineRule="exact"/>
              <w:rPr>
                <w:sz w:val="20"/>
                <w:szCs w:val="20"/>
                <w:color w:val="auto"/>
              </w:rPr>
            </w:pPr>
            <w:r>
              <w:rPr>
                <w:rFonts w:ascii="Arial" w:cs="Arial" w:eastAsia="Arial" w:hAnsi="Arial"/>
                <w:sz w:val="22"/>
                <w:szCs w:val="22"/>
                <w:color w:val="auto"/>
                <w:w w:val="87"/>
              </w:rPr>
              <w:t>750</w:t>
            </w:r>
          </w:p>
        </w:tc>
        <w:tc>
          <w:tcPr>
            <w:tcW w:w="180" w:type="dxa"/>
            <w:vAlign w:val="bottom"/>
          </w:tcPr>
          <w:p>
            <w:pPr>
              <w:spacing w:after="0"/>
              <w:rPr>
                <w:sz w:val="18"/>
                <w:szCs w:val="18"/>
                <w:color w:val="auto"/>
              </w:rPr>
            </w:pPr>
          </w:p>
        </w:tc>
        <w:tc>
          <w:tcPr>
            <w:tcW w:w="840" w:type="dxa"/>
            <w:vAlign w:val="bottom"/>
            <w:tcBorders>
              <w:right w:val="single" w:sz="8" w:color="70AD47"/>
            </w:tcBorders>
          </w:tcPr>
          <w:p>
            <w:pPr>
              <w:jc w:val="center"/>
              <w:ind w:right="92"/>
              <w:spacing w:after="0" w:line="216" w:lineRule="exact"/>
              <w:rPr>
                <w:sz w:val="20"/>
                <w:szCs w:val="20"/>
                <w:color w:val="auto"/>
              </w:rPr>
            </w:pPr>
            <w:r>
              <w:rPr>
                <w:rFonts w:ascii="Arial" w:cs="Arial" w:eastAsia="Arial" w:hAnsi="Arial"/>
                <w:sz w:val="22"/>
                <w:szCs w:val="22"/>
                <w:color w:val="auto"/>
                <w:w w:val="90"/>
              </w:rPr>
              <w:t>58%</w:t>
            </w:r>
          </w:p>
        </w:tc>
        <w:tc>
          <w:tcPr>
            <w:tcW w:w="1040" w:type="dxa"/>
            <w:vAlign w:val="bottom"/>
            <w:tcBorders>
              <w:right w:val="single" w:sz="8" w:color="70AD47"/>
            </w:tcBorders>
            <w:shd w:val="clear" w:color="auto" w:fill="C6E0B4"/>
          </w:tcPr>
          <w:p>
            <w:pPr>
              <w:jc w:val="center"/>
              <w:spacing w:after="0" w:line="216" w:lineRule="exact"/>
              <w:rPr>
                <w:sz w:val="20"/>
                <w:szCs w:val="20"/>
                <w:color w:val="auto"/>
              </w:rPr>
            </w:pPr>
            <w:r>
              <w:rPr>
                <w:rFonts w:ascii="Arial" w:cs="Arial" w:eastAsia="Arial" w:hAnsi="Arial"/>
                <w:sz w:val="22"/>
                <w:szCs w:val="22"/>
                <w:color w:val="auto"/>
                <w:w w:val="92"/>
              </w:rPr>
              <w:t>300</w:t>
            </w:r>
          </w:p>
        </w:tc>
        <w:tc>
          <w:tcPr>
            <w:tcW w:w="1020" w:type="dxa"/>
            <w:vAlign w:val="bottom"/>
            <w:tcBorders>
              <w:right w:val="single" w:sz="8" w:color="70AD47"/>
            </w:tcBorders>
            <w:shd w:val="clear" w:color="auto" w:fill="C6E0B4"/>
          </w:tcPr>
          <w:p>
            <w:pPr>
              <w:jc w:val="center"/>
              <w:spacing w:after="0" w:line="216" w:lineRule="exact"/>
              <w:rPr>
                <w:sz w:val="20"/>
                <w:szCs w:val="20"/>
                <w:color w:val="auto"/>
              </w:rPr>
            </w:pPr>
            <w:r>
              <w:rPr>
                <w:rFonts w:ascii="Arial" w:cs="Arial" w:eastAsia="Arial" w:hAnsi="Arial"/>
                <w:sz w:val="22"/>
                <w:szCs w:val="22"/>
                <w:color w:val="auto"/>
                <w:w w:val="90"/>
              </w:rPr>
              <w:t>33%</w:t>
            </w:r>
          </w:p>
        </w:tc>
        <w:tc>
          <w:tcPr>
            <w:tcW w:w="1040" w:type="dxa"/>
            <w:vAlign w:val="bottom"/>
            <w:tcBorders>
              <w:right w:val="single" w:sz="8" w:color="70AD47"/>
            </w:tcBorders>
          </w:tcPr>
          <w:p>
            <w:pPr>
              <w:jc w:val="center"/>
              <w:spacing w:after="0" w:line="216" w:lineRule="exact"/>
              <w:rPr>
                <w:sz w:val="20"/>
                <w:szCs w:val="20"/>
                <w:color w:val="auto"/>
              </w:rPr>
            </w:pPr>
            <w:r>
              <w:rPr>
                <w:rFonts w:ascii="Arial" w:cs="Arial" w:eastAsia="Arial" w:hAnsi="Arial"/>
                <w:sz w:val="22"/>
                <w:szCs w:val="22"/>
                <w:color w:val="auto"/>
                <w:w w:val="87"/>
              </w:rPr>
              <w:t>300</w:t>
            </w:r>
          </w:p>
        </w:tc>
        <w:tc>
          <w:tcPr>
            <w:tcW w:w="160" w:type="dxa"/>
            <w:vAlign w:val="bottom"/>
          </w:tcPr>
          <w:p>
            <w:pPr>
              <w:spacing w:after="0"/>
              <w:rPr>
                <w:sz w:val="18"/>
                <w:szCs w:val="18"/>
                <w:color w:val="auto"/>
              </w:rPr>
            </w:pPr>
          </w:p>
        </w:tc>
        <w:tc>
          <w:tcPr>
            <w:tcW w:w="840" w:type="dxa"/>
            <w:vAlign w:val="bottom"/>
            <w:tcBorders>
              <w:right w:val="single" w:sz="8" w:color="70AD47"/>
            </w:tcBorders>
          </w:tcPr>
          <w:p>
            <w:pPr>
              <w:jc w:val="center"/>
              <w:ind w:right="92"/>
              <w:spacing w:after="0" w:line="216" w:lineRule="exact"/>
              <w:rPr>
                <w:sz w:val="20"/>
                <w:szCs w:val="20"/>
                <w:color w:val="auto"/>
              </w:rPr>
            </w:pPr>
            <w:r>
              <w:rPr>
                <w:rFonts w:ascii="Arial" w:cs="Arial" w:eastAsia="Arial" w:hAnsi="Arial"/>
                <w:sz w:val="22"/>
                <w:szCs w:val="22"/>
                <w:color w:val="auto"/>
                <w:w w:val="90"/>
              </w:rPr>
              <w:t>33%</w:t>
            </w:r>
          </w:p>
        </w:tc>
        <w:tc>
          <w:tcPr>
            <w:tcW w:w="0" w:type="dxa"/>
            <w:vAlign w:val="bottom"/>
          </w:tcPr>
          <w:p>
            <w:pPr>
              <w:spacing w:after="0"/>
              <w:rPr>
                <w:sz w:val="1"/>
                <w:szCs w:val="1"/>
                <w:color w:val="auto"/>
              </w:rPr>
            </w:pPr>
          </w:p>
        </w:tc>
      </w:tr>
      <w:tr>
        <w:trPr>
          <w:trHeight w:val="276"/>
        </w:trPr>
        <w:tc>
          <w:tcPr>
            <w:tcW w:w="3040" w:type="dxa"/>
            <w:vAlign w:val="bottom"/>
            <w:tcBorders>
              <w:bottom w:val="single" w:sz="8" w:color="70AD47"/>
              <w:right w:val="single" w:sz="8" w:color="70AD47"/>
            </w:tcBorders>
          </w:tcPr>
          <w:p>
            <w:pPr>
              <w:jc w:val="center"/>
              <w:spacing w:after="0"/>
              <w:rPr>
                <w:sz w:val="20"/>
                <w:szCs w:val="20"/>
                <w:color w:val="auto"/>
              </w:rPr>
            </w:pPr>
            <w:r>
              <w:rPr>
                <w:rFonts w:ascii="Arial" w:cs="Arial" w:eastAsia="Arial" w:hAnsi="Arial"/>
                <w:sz w:val="22"/>
                <w:szCs w:val="22"/>
                <w:color w:val="auto"/>
                <w:w w:val="91"/>
              </w:rPr>
              <w:t>term incentive)</w:t>
            </w:r>
          </w:p>
        </w:tc>
        <w:tc>
          <w:tcPr>
            <w:tcW w:w="940" w:type="dxa"/>
            <w:vAlign w:val="bottom"/>
            <w:tcBorders>
              <w:bottom w:val="single" w:sz="8" w:color="70AD47"/>
            </w:tcBorders>
            <w:shd w:val="clear" w:color="auto" w:fill="C6E0B4"/>
          </w:tcPr>
          <w:p>
            <w:pPr>
              <w:spacing w:after="0"/>
              <w:rPr>
                <w:sz w:val="24"/>
                <w:szCs w:val="24"/>
                <w:color w:val="auto"/>
              </w:rPr>
            </w:pPr>
          </w:p>
        </w:tc>
        <w:tc>
          <w:tcPr>
            <w:tcW w:w="100" w:type="dxa"/>
            <w:vAlign w:val="bottom"/>
            <w:tcBorders>
              <w:bottom w:val="single" w:sz="8" w:color="70AD47"/>
              <w:right w:val="single" w:sz="8" w:color="70AD47"/>
            </w:tcBorders>
            <w:shd w:val="clear" w:color="auto" w:fill="C6E0B4"/>
          </w:tcPr>
          <w:p>
            <w:pPr>
              <w:spacing w:after="0"/>
              <w:rPr>
                <w:sz w:val="24"/>
                <w:szCs w:val="24"/>
                <w:color w:val="auto"/>
              </w:rPr>
            </w:pPr>
          </w:p>
        </w:tc>
        <w:tc>
          <w:tcPr>
            <w:tcW w:w="1020" w:type="dxa"/>
            <w:vAlign w:val="bottom"/>
            <w:tcBorders>
              <w:bottom w:val="single" w:sz="8" w:color="70AD47"/>
              <w:right w:val="single" w:sz="8" w:color="70AD47"/>
            </w:tcBorders>
            <w:shd w:val="clear" w:color="auto" w:fill="C6E0B4"/>
          </w:tcPr>
          <w:p>
            <w:pPr>
              <w:spacing w:after="0"/>
              <w:rPr>
                <w:sz w:val="24"/>
                <w:szCs w:val="24"/>
                <w:color w:val="auto"/>
              </w:rPr>
            </w:pPr>
          </w:p>
        </w:tc>
        <w:tc>
          <w:tcPr>
            <w:tcW w:w="1020" w:type="dxa"/>
            <w:vAlign w:val="bottom"/>
            <w:tcBorders>
              <w:bottom w:val="single" w:sz="8" w:color="70AD47"/>
              <w:right w:val="single" w:sz="8" w:color="70AD47"/>
            </w:tcBorders>
          </w:tcPr>
          <w:p>
            <w:pPr>
              <w:spacing w:after="0"/>
              <w:rPr>
                <w:sz w:val="24"/>
                <w:szCs w:val="24"/>
                <w:color w:val="auto"/>
              </w:rPr>
            </w:pPr>
          </w:p>
        </w:tc>
        <w:tc>
          <w:tcPr>
            <w:tcW w:w="180" w:type="dxa"/>
            <w:vAlign w:val="bottom"/>
            <w:tcBorders>
              <w:bottom w:val="single" w:sz="8" w:color="70AD47"/>
            </w:tcBorders>
          </w:tcPr>
          <w:p>
            <w:pPr>
              <w:spacing w:after="0"/>
              <w:rPr>
                <w:sz w:val="24"/>
                <w:szCs w:val="24"/>
                <w:color w:val="auto"/>
              </w:rPr>
            </w:pPr>
          </w:p>
        </w:tc>
        <w:tc>
          <w:tcPr>
            <w:tcW w:w="840" w:type="dxa"/>
            <w:vAlign w:val="bottom"/>
            <w:tcBorders>
              <w:bottom w:val="single" w:sz="8" w:color="70AD47"/>
              <w:right w:val="single" w:sz="8" w:color="70AD47"/>
            </w:tcBorders>
          </w:tcPr>
          <w:p>
            <w:pPr>
              <w:spacing w:after="0"/>
              <w:rPr>
                <w:sz w:val="24"/>
                <w:szCs w:val="24"/>
                <w:color w:val="auto"/>
              </w:rPr>
            </w:pPr>
          </w:p>
        </w:tc>
        <w:tc>
          <w:tcPr>
            <w:tcW w:w="1040" w:type="dxa"/>
            <w:vAlign w:val="bottom"/>
            <w:tcBorders>
              <w:bottom w:val="single" w:sz="8" w:color="70AD47"/>
              <w:right w:val="single" w:sz="8" w:color="70AD47"/>
            </w:tcBorders>
            <w:shd w:val="clear" w:color="auto" w:fill="C6E0B4"/>
          </w:tcPr>
          <w:p>
            <w:pPr>
              <w:spacing w:after="0"/>
              <w:rPr>
                <w:sz w:val="24"/>
                <w:szCs w:val="24"/>
                <w:color w:val="auto"/>
              </w:rPr>
            </w:pPr>
          </w:p>
        </w:tc>
        <w:tc>
          <w:tcPr>
            <w:tcW w:w="1020" w:type="dxa"/>
            <w:vAlign w:val="bottom"/>
            <w:tcBorders>
              <w:bottom w:val="single" w:sz="8" w:color="70AD47"/>
              <w:right w:val="single" w:sz="8" w:color="70AD47"/>
            </w:tcBorders>
            <w:shd w:val="clear" w:color="auto" w:fill="C6E0B4"/>
          </w:tcPr>
          <w:p>
            <w:pPr>
              <w:spacing w:after="0"/>
              <w:rPr>
                <w:sz w:val="24"/>
                <w:szCs w:val="24"/>
                <w:color w:val="auto"/>
              </w:rPr>
            </w:pPr>
          </w:p>
        </w:tc>
        <w:tc>
          <w:tcPr>
            <w:tcW w:w="1040" w:type="dxa"/>
            <w:vAlign w:val="bottom"/>
            <w:tcBorders>
              <w:bottom w:val="single" w:sz="8" w:color="70AD47"/>
              <w:right w:val="single" w:sz="8" w:color="70AD47"/>
            </w:tcBorders>
          </w:tcPr>
          <w:p>
            <w:pPr>
              <w:spacing w:after="0"/>
              <w:rPr>
                <w:sz w:val="24"/>
                <w:szCs w:val="24"/>
                <w:color w:val="auto"/>
              </w:rPr>
            </w:pPr>
          </w:p>
        </w:tc>
        <w:tc>
          <w:tcPr>
            <w:tcW w:w="160" w:type="dxa"/>
            <w:vAlign w:val="bottom"/>
            <w:tcBorders>
              <w:bottom w:val="single" w:sz="8" w:color="70AD47"/>
            </w:tcBorders>
          </w:tcPr>
          <w:p>
            <w:pPr>
              <w:spacing w:after="0"/>
              <w:rPr>
                <w:sz w:val="24"/>
                <w:szCs w:val="24"/>
                <w:color w:val="auto"/>
              </w:rPr>
            </w:pPr>
          </w:p>
        </w:tc>
        <w:tc>
          <w:tcPr>
            <w:tcW w:w="840" w:type="dxa"/>
            <w:vAlign w:val="bottom"/>
            <w:tcBorders>
              <w:bottom w:val="single" w:sz="8" w:color="70AD47"/>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040" w:type="dxa"/>
            <w:vAlign w:val="bottom"/>
            <w:tcBorders>
              <w:right w:val="single" w:sz="8" w:color="70AD47"/>
            </w:tcBorders>
          </w:tcPr>
          <w:p>
            <w:pPr>
              <w:jc w:val="center"/>
              <w:spacing w:after="0" w:line="198" w:lineRule="exact"/>
              <w:rPr>
                <w:sz w:val="20"/>
                <w:szCs w:val="20"/>
                <w:color w:val="auto"/>
              </w:rPr>
            </w:pPr>
            <w:r>
              <w:rPr>
                <w:rFonts w:ascii="Arial" w:cs="Arial" w:eastAsia="Arial" w:hAnsi="Arial"/>
                <w:sz w:val="22"/>
                <w:szCs w:val="22"/>
                <w:b w:val="1"/>
                <w:bCs w:val="1"/>
                <w:color w:val="auto"/>
                <w:w w:val="88"/>
              </w:rPr>
              <w:t>Target Total Compensation</w:t>
            </w:r>
          </w:p>
        </w:tc>
        <w:tc>
          <w:tcPr>
            <w:tcW w:w="940" w:type="dxa"/>
            <w:vAlign w:val="bottom"/>
            <w:shd w:val="clear" w:color="auto" w:fill="C6E0B4"/>
          </w:tcPr>
          <w:p>
            <w:pPr>
              <w:jc w:val="center"/>
              <w:spacing w:after="0" w:line="198" w:lineRule="exact"/>
              <w:rPr>
                <w:sz w:val="20"/>
                <w:szCs w:val="20"/>
                <w:color w:val="auto"/>
              </w:rPr>
            </w:pPr>
            <w:r>
              <w:rPr>
                <w:rFonts w:ascii="Arial" w:cs="Arial" w:eastAsia="Arial" w:hAnsi="Arial"/>
                <w:sz w:val="22"/>
                <w:szCs w:val="22"/>
                <w:b w:val="1"/>
                <w:bCs w:val="1"/>
                <w:color w:val="auto"/>
                <w:w w:val="87"/>
              </w:rPr>
              <w:t>1.296</w:t>
            </w:r>
          </w:p>
        </w:tc>
        <w:tc>
          <w:tcPr>
            <w:tcW w:w="100" w:type="dxa"/>
            <w:vAlign w:val="bottom"/>
            <w:tcBorders>
              <w:right w:val="single" w:sz="8" w:color="70AD47"/>
            </w:tcBorders>
            <w:shd w:val="clear" w:color="auto" w:fill="C6E0B4"/>
          </w:tcPr>
          <w:p>
            <w:pPr>
              <w:spacing w:after="0"/>
              <w:rPr>
                <w:sz w:val="17"/>
                <w:szCs w:val="17"/>
                <w:color w:val="auto"/>
              </w:rPr>
            </w:pPr>
          </w:p>
        </w:tc>
        <w:tc>
          <w:tcPr>
            <w:tcW w:w="1020" w:type="dxa"/>
            <w:vAlign w:val="bottom"/>
            <w:tcBorders>
              <w:right w:val="single" w:sz="8" w:color="70AD47"/>
            </w:tcBorders>
            <w:shd w:val="clear" w:color="auto" w:fill="C6E0B4"/>
          </w:tcPr>
          <w:p>
            <w:pPr>
              <w:jc w:val="center"/>
              <w:spacing w:after="0" w:line="198" w:lineRule="exact"/>
              <w:rPr>
                <w:sz w:val="20"/>
                <w:szCs w:val="20"/>
                <w:color w:val="auto"/>
              </w:rPr>
            </w:pPr>
            <w:r>
              <w:rPr>
                <w:rFonts w:ascii="Arial" w:cs="Arial" w:eastAsia="Arial" w:hAnsi="Arial"/>
                <w:sz w:val="22"/>
                <w:szCs w:val="22"/>
                <w:b w:val="1"/>
                <w:bCs w:val="1"/>
                <w:color w:val="auto"/>
                <w:w w:val="95"/>
              </w:rPr>
              <w:t>100%</w:t>
            </w:r>
          </w:p>
        </w:tc>
        <w:tc>
          <w:tcPr>
            <w:tcW w:w="1020" w:type="dxa"/>
            <w:vAlign w:val="bottom"/>
            <w:tcBorders>
              <w:right w:val="single" w:sz="8" w:color="70AD47"/>
            </w:tcBorders>
          </w:tcPr>
          <w:p>
            <w:pPr>
              <w:jc w:val="center"/>
              <w:spacing w:after="0" w:line="198" w:lineRule="exact"/>
              <w:rPr>
                <w:sz w:val="20"/>
                <w:szCs w:val="20"/>
                <w:color w:val="auto"/>
              </w:rPr>
            </w:pPr>
            <w:r>
              <w:rPr>
                <w:rFonts w:ascii="Arial" w:cs="Arial" w:eastAsia="Arial" w:hAnsi="Arial"/>
                <w:sz w:val="22"/>
                <w:szCs w:val="22"/>
                <w:b w:val="1"/>
                <w:bCs w:val="1"/>
                <w:color w:val="auto"/>
                <w:w w:val="87"/>
              </w:rPr>
              <w:t>1.296</w:t>
            </w:r>
          </w:p>
        </w:tc>
        <w:tc>
          <w:tcPr>
            <w:tcW w:w="180" w:type="dxa"/>
            <w:vAlign w:val="bottom"/>
          </w:tcPr>
          <w:p>
            <w:pPr>
              <w:spacing w:after="0"/>
              <w:rPr>
                <w:sz w:val="17"/>
                <w:szCs w:val="17"/>
                <w:color w:val="auto"/>
              </w:rPr>
            </w:pPr>
          </w:p>
        </w:tc>
        <w:tc>
          <w:tcPr>
            <w:tcW w:w="840" w:type="dxa"/>
            <w:vAlign w:val="bottom"/>
            <w:tcBorders>
              <w:right w:val="single" w:sz="8" w:color="70AD47"/>
            </w:tcBorders>
          </w:tcPr>
          <w:p>
            <w:pPr>
              <w:jc w:val="center"/>
              <w:ind w:right="72"/>
              <w:spacing w:after="0" w:line="198" w:lineRule="exact"/>
              <w:rPr>
                <w:sz w:val="20"/>
                <w:szCs w:val="20"/>
                <w:color w:val="auto"/>
              </w:rPr>
            </w:pPr>
            <w:r>
              <w:rPr>
                <w:rFonts w:ascii="Arial" w:cs="Arial" w:eastAsia="Arial" w:hAnsi="Arial"/>
                <w:sz w:val="22"/>
                <w:szCs w:val="22"/>
                <w:b w:val="1"/>
                <w:bCs w:val="1"/>
                <w:color w:val="auto"/>
                <w:w w:val="95"/>
              </w:rPr>
              <w:t>100%</w:t>
            </w:r>
          </w:p>
        </w:tc>
        <w:tc>
          <w:tcPr>
            <w:tcW w:w="1040" w:type="dxa"/>
            <w:vAlign w:val="bottom"/>
            <w:tcBorders>
              <w:right w:val="single" w:sz="8" w:color="70AD47"/>
            </w:tcBorders>
            <w:shd w:val="clear" w:color="auto" w:fill="C6E0B4"/>
          </w:tcPr>
          <w:p>
            <w:pPr>
              <w:jc w:val="center"/>
              <w:spacing w:after="0" w:line="198" w:lineRule="exact"/>
              <w:rPr>
                <w:sz w:val="20"/>
                <w:szCs w:val="20"/>
                <w:color w:val="auto"/>
              </w:rPr>
            </w:pPr>
            <w:r>
              <w:rPr>
                <w:rFonts w:ascii="Arial" w:cs="Arial" w:eastAsia="Arial" w:hAnsi="Arial"/>
                <w:sz w:val="22"/>
                <w:szCs w:val="22"/>
                <w:b w:val="1"/>
                <w:bCs w:val="1"/>
                <w:color w:val="auto"/>
                <w:w w:val="92"/>
              </w:rPr>
              <w:t>922</w:t>
            </w:r>
          </w:p>
        </w:tc>
        <w:tc>
          <w:tcPr>
            <w:tcW w:w="1020" w:type="dxa"/>
            <w:vAlign w:val="bottom"/>
            <w:tcBorders>
              <w:right w:val="single" w:sz="8" w:color="70AD47"/>
            </w:tcBorders>
            <w:shd w:val="clear" w:color="auto" w:fill="C6E0B4"/>
          </w:tcPr>
          <w:p>
            <w:pPr>
              <w:jc w:val="center"/>
              <w:spacing w:after="0" w:line="198" w:lineRule="exact"/>
              <w:rPr>
                <w:sz w:val="20"/>
                <w:szCs w:val="20"/>
                <w:color w:val="auto"/>
              </w:rPr>
            </w:pPr>
            <w:r>
              <w:rPr>
                <w:rFonts w:ascii="Arial" w:cs="Arial" w:eastAsia="Arial" w:hAnsi="Arial"/>
                <w:sz w:val="22"/>
                <w:szCs w:val="22"/>
                <w:b w:val="1"/>
                <w:bCs w:val="1"/>
                <w:color w:val="auto"/>
                <w:w w:val="95"/>
              </w:rPr>
              <w:t>100%</w:t>
            </w:r>
          </w:p>
        </w:tc>
        <w:tc>
          <w:tcPr>
            <w:tcW w:w="1040" w:type="dxa"/>
            <w:vAlign w:val="bottom"/>
            <w:tcBorders>
              <w:right w:val="single" w:sz="8" w:color="70AD47"/>
            </w:tcBorders>
          </w:tcPr>
          <w:p>
            <w:pPr>
              <w:jc w:val="center"/>
              <w:spacing w:after="0" w:line="198" w:lineRule="exact"/>
              <w:rPr>
                <w:sz w:val="20"/>
                <w:szCs w:val="20"/>
                <w:color w:val="auto"/>
              </w:rPr>
            </w:pPr>
            <w:r>
              <w:rPr>
                <w:rFonts w:ascii="Arial" w:cs="Arial" w:eastAsia="Arial" w:hAnsi="Arial"/>
                <w:sz w:val="22"/>
                <w:szCs w:val="22"/>
                <w:b w:val="1"/>
                <w:bCs w:val="1"/>
                <w:color w:val="auto"/>
                <w:w w:val="87"/>
              </w:rPr>
              <w:t>911</w:t>
            </w:r>
          </w:p>
        </w:tc>
        <w:tc>
          <w:tcPr>
            <w:tcW w:w="160" w:type="dxa"/>
            <w:vAlign w:val="bottom"/>
          </w:tcPr>
          <w:p>
            <w:pPr>
              <w:spacing w:after="0"/>
              <w:rPr>
                <w:sz w:val="17"/>
                <w:szCs w:val="17"/>
                <w:color w:val="auto"/>
              </w:rPr>
            </w:pPr>
          </w:p>
        </w:tc>
        <w:tc>
          <w:tcPr>
            <w:tcW w:w="840" w:type="dxa"/>
            <w:vAlign w:val="bottom"/>
            <w:tcBorders>
              <w:right w:val="single" w:sz="8" w:color="70AD47"/>
            </w:tcBorders>
          </w:tcPr>
          <w:p>
            <w:pPr>
              <w:jc w:val="center"/>
              <w:ind w:right="72"/>
              <w:spacing w:after="0" w:line="198" w:lineRule="exact"/>
              <w:rPr>
                <w:sz w:val="20"/>
                <w:szCs w:val="20"/>
                <w:color w:val="auto"/>
              </w:rPr>
            </w:pPr>
            <w:r>
              <w:rPr>
                <w:rFonts w:ascii="Arial" w:cs="Arial" w:eastAsia="Arial" w:hAnsi="Arial"/>
                <w:sz w:val="22"/>
                <w:szCs w:val="22"/>
                <w:b w:val="1"/>
                <w:bCs w:val="1"/>
                <w:color w:val="auto"/>
                <w:w w:val="95"/>
              </w:rPr>
              <w:t>100%</w:t>
            </w:r>
          </w:p>
        </w:tc>
        <w:tc>
          <w:tcPr>
            <w:tcW w:w="0" w:type="dxa"/>
            <w:vAlign w:val="bottom"/>
          </w:tcPr>
          <w:p>
            <w:pPr>
              <w:spacing w:after="0"/>
              <w:rPr>
                <w:sz w:val="1"/>
                <w:szCs w:val="1"/>
                <w:color w:val="auto"/>
              </w:rPr>
            </w:pPr>
          </w:p>
        </w:tc>
      </w:tr>
      <w:tr>
        <w:trPr>
          <w:trHeight w:val="282"/>
        </w:trPr>
        <w:tc>
          <w:tcPr>
            <w:tcW w:w="3040" w:type="dxa"/>
            <w:vAlign w:val="bottom"/>
            <w:tcBorders>
              <w:bottom w:val="single" w:sz="8" w:color="70AD47"/>
              <w:right w:val="single" w:sz="8" w:color="70AD47"/>
            </w:tcBorders>
          </w:tcPr>
          <w:p>
            <w:pPr>
              <w:jc w:val="center"/>
              <w:spacing w:after="0"/>
              <w:rPr>
                <w:sz w:val="20"/>
                <w:szCs w:val="20"/>
                <w:color w:val="auto"/>
              </w:rPr>
            </w:pPr>
            <w:r>
              <w:rPr>
                <w:rFonts w:ascii="Arial" w:cs="Arial" w:eastAsia="Arial" w:hAnsi="Arial"/>
                <w:sz w:val="22"/>
                <w:szCs w:val="22"/>
                <w:b w:val="1"/>
                <w:bCs w:val="1"/>
                <w:color w:val="auto"/>
              </w:rPr>
              <w:t>(TTC)</w:t>
            </w:r>
          </w:p>
        </w:tc>
        <w:tc>
          <w:tcPr>
            <w:tcW w:w="940" w:type="dxa"/>
            <w:vAlign w:val="bottom"/>
            <w:tcBorders>
              <w:bottom w:val="single" w:sz="8" w:color="70AD47"/>
            </w:tcBorders>
            <w:shd w:val="clear" w:color="auto" w:fill="C6E0B4"/>
          </w:tcPr>
          <w:p>
            <w:pPr>
              <w:spacing w:after="0"/>
              <w:rPr>
                <w:sz w:val="24"/>
                <w:szCs w:val="24"/>
                <w:color w:val="auto"/>
              </w:rPr>
            </w:pPr>
          </w:p>
        </w:tc>
        <w:tc>
          <w:tcPr>
            <w:tcW w:w="100" w:type="dxa"/>
            <w:vAlign w:val="bottom"/>
            <w:tcBorders>
              <w:bottom w:val="single" w:sz="8" w:color="70AD47"/>
              <w:right w:val="single" w:sz="8" w:color="70AD47"/>
            </w:tcBorders>
            <w:shd w:val="clear" w:color="auto" w:fill="C6E0B4"/>
          </w:tcPr>
          <w:p>
            <w:pPr>
              <w:spacing w:after="0"/>
              <w:rPr>
                <w:sz w:val="24"/>
                <w:szCs w:val="24"/>
                <w:color w:val="auto"/>
              </w:rPr>
            </w:pPr>
          </w:p>
        </w:tc>
        <w:tc>
          <w:tcPr>
            <w:tcW w:w="1020" w:type="dxa"/>
            <w:vAlign w:val="bottom"/>
            <w:tcBorders>
              <w:bottom w:val="single" w:sz="8" w:color="70AD47"/>
              <w:right w:val="single" w:sz="8" w:color="70AD47"/>
            </w:tcBorders>
            <w:shd w:val="clear" w:color="auto" w:fill="C6E0B4"/>
          </w:tcPr>
          <w:p>
            <w:pPr>
              <w:spacing w:after="0"/>
              <w:rPr>
                <w:sz w:val="24"/>
                <w:szCs w:val="24"/>
                <w:color w:val="auto"/>
              </w:rPr>
            </w:pPr>
          </w:p>
        </w:tc>
        <w:tc>
          <w:tcPr>
            <w:tcW w:w="1020" w:type="dxa"/>
            <w:vAlign w:val="bottom"/>
            <w:tcBorders>
              <w:bottom w:val="single" w:sz="8" w:color="70AD47"/>
              <w:right w:val="single" w:sz="8" w:color="70AD47"/>
            </w:tcBorders>
          </w:tcPr>
          <w:p>
            <w:pPr>
              <w:spacing w:after="0"/>
              <w:rPr>
                <w:sz w:val="24"/>
                <w:szCs w:val="24"/>
                <w:color w:val="auto"/>
              </w:rPr>
            </w:pPr>
          </w:p>
        </w:tc>
        <w:tc>
          <w:tcPr>
            <w:tcW w:w="180" w:type="dxa"/>
            <w:vAlign w:val="bottom"/>
            <w:tcBorders>
              <w:bottom w:val="single" w:sz="8" w:color="70AD47"/>
            </w:tcBorders>
          </w:tcPr>
          <w:p>
            <w:pPr>
              <w:spacing w:after="0"/>
              <w:rPr>
                <w:sz w:val="24"/>
                <w:szCs w:val="24"/>
                <w:color w:val="auto"/>
              </w:rPr>
            </w:pPr>
          </w:p>
        </w:tc>
        <w:tc>
          <w:tcPr>
            <w:tcW w:w="840" w:type="dxa"/>
            <w:vAlign w:val="bottom"/>
            <w:tcBorders>
              <w:bottom w:val="single" w:sz="8" w:color="70AD47"/>
              <w:right w:val="single" w:sz="8" w:color="70AD47"/>
            </w:tcBorders>
          </w:tcPr>
          <w:p>
            <w:pPr>
              <w:spacing w:after="0"/>
              <w:rPr>
                <w:sz w:val="24"/>
                <w:szCs w:val="24"/>
                <w:color w:val="auto"/>
              </w:rPr>
            </w:pPr>
          </w:p>
        </w:tc>
        <w:tc>
          <w:tcPr>
            <w:tcW w:w="1040" w:type="dxa"/>
            <w:vAlign w:val="bottom"/>
            <w:tcBorders>
              <w:bottom w:val="single" w:sz="8" w:color="70AD47"/>
              <w:right w:val="single" w:sz="8" w:color="70AD47"/>
            </w:tcBorders>
            <w:shd w:val="clear" w:color="auto" w:fill="C6E0B4"/>
          </w:tcPr>
          <w:p>
            <w:pPr>
              <w:spacing w:after="0"/>
              <w:rPr>
                <w:sz w:val="24"/>
                <w:szCs w:val="24"/>
                <w:color w:val="auto"/>
              </w:rPr>
            </w:pPr>
          </w:p>
        </w:tc>
        <w:tc>
          <w:tcPr>
            <w:tcW w:w="1020" w:type="dxa"/>
            <w:vAlign w:val="bottom"/>
            <w:tcBorders>
              <w:bottom w:val="single" w:sz="8" w:color="70AD47"/>
              <w:right w:val="single" w:sz="8" w:color="70AD47"/>
            </w:tcBorders>
            <w:shd w:val="clear" w:color="auto" w:fill="C6E0B4"/>
          </w:tcPr>
          <w:p>
            <w:pPr>
              <w:spacing w:after="0"/>
              <w:rPr>
                <w:sz w:val="24"/>
                <w:szCs w:val="24"/>
                <w:color w:val="auto"/>
              </w:rPr>
            </w:pPr>
          </w:p>
        </w:tc>
        <w:tc>
          <w:tcPr>
            <w:tcW w:w="1040" w:type="dxa"/>
            <w:vAlign w:val="bottom"/>
            <w:tcBorders>
              <w:bottom w:val="single" w:sz="8" w:color="70AD47"/>
              <w:right w:val="single" w:sz="8" w:color="70AD47"/>
            </w:tcBorders>
          </w:tcPr>
          <w:p>
            <w:pPr>
              <w:spacing w:after="0"/>
              <w:rPr>
                <w:sz w:val="24"/>
                <w:szCs w:val="24"/>
                <w:color w:val="auto"/>
              </w:rPr>
            </w:pPr>
          </w:p>
        </w:tc>
        <w:tc>
          <w:tcPr>
            <w:tcW w:w="160" w:type="dxa"/>
            <w:vAlign w:val="bottom"/>
            <w:tcBorders>
              <w:bottom w:val="single" w:sz="8" w:color="70AD47"/>
            </w:tcBorders>
          </w:tcPr>
          <w:p>
            <w:pPr>
              <w:spacing w:after="0"/>
              <w:rPr>
                <w:sz w:val="24"/>
                <w:szCs w:val="24"/>
                <w:color w:val="auto"/>
              </w:rPr>
            </w:pPr>
          </w:p>
        </w:tc>
        <w:tc>
          <w:tcPr>
            <w:tcW w:w="840" w:type="dxa"/>
            <w:vAlign w:val="bottom"/>
            <w:tcBorders>
              <w:bottom w:val="single" w:sz="8" w:color="70AD47"/>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3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3"/>
            <w:vMerge w:val="restart"/>
          </w:tcPr>
          <w:p>
            <w:pPr>
              <w:jc w:val="center"/>
              <w:ind w:right="220"/>
              <w:spacing w:after="0"/>
              <w:rPr>
                <w:sz w:val="20"/>
                <w:szCs w:val="20"/>
                <w:color w:val="auto"/>
              </w:rPr>
            </w:pPr>
            <w:r>
              <w:rPr>
                <w:rFonts w:ascii="Arial" w:cs="Arial" w:eastAsia="Arial" w:hAnsi="Arial"/>
                <w:sz w:val="22"/>
                <w:szCs w:val="22"/>
                <w:b w:val="1"/>
                <w:bCs w:val="1"/>
                <w:color w:val="auto"/>
                <w:w w:val="88"/>
              </w:rPr>
              <w:t>Dr. Sierk Poetting</w:t>
            </w:r>
          </w:p>
        </w:tc>
        <w:tc>
          <w:tcPr>
            <w:tcW w:w="840" w:type="dxa"/>
            <w:vAlign w:val="bottom"/>
          </w:tcPr>
          <w:p>
            <w:pPr>
              <w:spacing w:after="0"/>
              <w:rPr>
                <w:sz w:val="24"/>
                <w:szCs w:val="24"/>
                <w:color w:val="auto"/>
              </w:rPr>
            </w:pPr>
          </w:p>
        </w:tc>
        <w:tc>
          <w:tcPr>
            <w:tcW w:w="3260" w:type="dxa"/>
            <w:vAlign w:val="bottom"/>
            <w:gridSpan w:val="4"/>
            <w:vMerge w:val="restart"/>
          </w:tcPr>
          <w:p>
            <w:pPr>
              <w:jc w:val="center"/>
              <w:ind w:left="712"/>
              <w:spacing w:after="0"/>
              <w:rPr>
                <w:sz w:val="20"/>
                <w:szCs w:val="20"/>
                <w:color w:val="auto"/>
              </w:rPr>
            </w:pPr>
            <w:r>
              <w:rPr>
                <w:rFonts w:ascii="Arial" w:cs="Arial" w:eastAsia="Arial" w:hAnsi="Arial"/>
                <w:sz w:val="22"/>
                <w:szCs w:val="22"/>
                <w:b w:val="1"/>
                <w:bCs w:val="1"/>
                <w:color w:val="auto"/>
                <w:w w:val="93"/>
              </w:rPr>
              <w:t>Prof. Özlem Türeci, M.D.</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040" w:type="dxa"/>
            <w:vAlign w:val="bottom"/>
            <w:tcBorders>
              <w:right w:val="single" w:sz="8" w:color="70AD47"/>
            </w:tcBorders>
          </w:tcPr>
          <w:p>
            <w:pPr>
              <w:spacing w:after="0"/>
              <w:rPr>
                <w:sz w:val="23"/>
                <w:szCs w:val="23"/>
                <w:color w:val="auto"/>
              </w:rPr>
            </w:pPr>
          </w:p>
        </w:tc>
        <w:tc>
          <w:tcPr>
            <w:tcW w:w="940" w:type="dxa"/>
            <w:vAlign w:val="bottom"/>
            <w:tcBorders>
              <w:bottom w:val="single" w:sz="8" w:color="70AD47"/>
            </w:tcBorders>
          </w:tcPr>
          <w:p>
            <w:pPr>
              <w:spacing w:after="0"/>
              <w:rPr>
                <w:sz w:val="23"/>
                <w:szCs w:val="23"/>
                <w:color w:val="auto"/>
              </w:rPr>
            </w:pPr>
          </w:p>
        </w:tc>
        <w:tc>
          <w:tcPr>
            <w:tcW w:w="100" w:type="dxa"/>
            <w:vAlign w:val="bottom"/>
            <w:tcBorders>
              <w:bottom w:val="single" w:sz="8" w:color="70AD47"/>
            </w:tcBorders>
          </w:tcPr>
          <w:p>
            <w:pPr>
              <w:spacing w:after="0"/>
              <w:rPr>
                <w:sz w:val="23"/>
                <w:szCs w:val="23"/>
                <w:color w:val="auto"/>
              </w:rPr>
            </w:pPr>
          </w:p>
        </w:tc>
        <w:tc>
          <w:tcPr>
            <w:tcW w:w="2220" w:type="dxa"/>
            <w:vAlign w:val="bottom"/>
            <w:tcBorders>
              <w:bottom w:val="single" w:sz="8" w:color="70AD47"/>
            </w:tcBorders>
            <w:gridSpan w:val="3"/>
            <w:vMerge w:val="continue"/>
          </w:tcPr>
          <w:p>
            <w:pPr>
              <w:spacing w:after="0"/>
              <w:rPr>
                <w:sz w:val="23"/>
                <w:szCs w:val="23"/>
                <w:color w:val="auto"/>
              </w:rPr>
            </w:pPr>
          </w:p>
        </w:tc>
        <w:tc>
          <w:tcPr>
            <w:tcW w:w="840" w:type="dxa"/>
            <w:vAlign w:val="bottom"/>
            <w:tcBorders>
              <w:bottom w:val="single" w:sz="8" w:color="70AD47"/>
              <w:right w:val="single" w:sz="8" w:color="70AD47"/>
            </w:tcBorders>
          </w:tcPr>
          <w:p>
            <w:pPr>
              <w:spacing w:after="0"/>
              <w:rPr>
                <w:sz w:val="23"/>
                <w:szCs w:val="23"/>
                <w:color w:val="auto"/>
              </w:rPr>
            </w:pPr>
          </w:p>
        </w:tc>
        <w:tc>
          <w:tcPr>
            <w:tcW w:w="3260" w:type="dxa"/>
            <w:vAlign w:val="bottom"/>
            <w:tcBorders>
              <w:bottom w:val="single" w:sz="8" w:color="70AD47"/>
            </w:tcBorders>
            <w:gridSpan w:val="4"/>
            <w:vMerge w:val="continue"/>
          </w:tcPr>
          <w:p>
            <w:pPr>
              <w:spacing w:after="0"/>
              <w:rPr>
                <w:sz w:val="23"/>
                <w:szCs w:val="23"/>
                <w:color w:val="auto"/>
              </w:rPr>
            </w:pPr>
          </w:p>
        </w:tc>
        <w:tc>
          <w:tcPr>
            <w:tcW w:w="840" w:type="dxa"/>
            <w:vAlign w:val="bottom"/>
            <w:tcBorders>
              <w:bottom w:val="single" w:sz="8" w:color="70AD47"/>
              <w:right w:val="single" w:sz="8" w:color="70AD47"/>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040" w:type="dxa"/>
            <w:vAlign w:val="bottom"/>
            <w:tcBorders>
              <w:right w:val="single" w:sz="8" w:color="70AD47"/>
            </w:tcBorders>
          </w:tcPr>
          <w:p>
            <w:pPr>
              <w:spacing w:after="0"/>
              <w:rPr>
                <w:sz w:val="23"/>
                <w:szCs w:val="23"/>
                <w:color w:val="auto"/>
              </w:rPr>
            </w:pPr>
          </w:p>
        </w:tc>
        <w:tc>
          <w:tcPr>
            <w:tcW w:w="3260" w:type="dxa"/>
            <w:vAlign w:val="bottom"/>
            <w:gridSpan w:val="5"/>
          </w:tcPr>
          <w:p>
            <w:pPr>
              <w:ind w:left="820"/>
              <w:spacing w:after="0"/>
              <w:rPr>
                <w:sz w:val="20"/>
                <w:szCs w:val="20"/>
                <w:color w:val="auto"/>
              </w:rPr>
            </w:pPr>
            <w:r>
              <w:rPr>
                <w:rFonts w:ascii="Arial" w:cs="Arial" w:eastAsia="Arial" w:hAnsi="Arial"/>
                <w:sz w:val="22"/>
                <w:szCs w:val="22"/>
                <w:b w:val="1"/>
                <w:bCs w:val="1"/>
                <w:color w:val="auto"/>
                <w:w w:val="86"/>
              </w:rPr>
              <w:t>Years ended December 31,</w:t>
            </w:r>
          </w:p>
        </w:tc>
        <w:tc>
          <w:tcPr>
            <w:tcW w:w="840" w:type="dxa"/>
            <w:vAlign w:val="bottom"/>
            <w:tcBorders>
              <w:right w:val="single" w:sz="8" w:color="70AD47"/>
            </w:tcBorders>
          </w:tcPr>
          <w:p>
            <w:pPr>
              <w:spacing w:after="0"/>
              <w:rPr>
                <w:sz w:val="23"/>
                <w:szCs w:val="23"/>
                <w:color w:val="auto"/>
              </w:rPr>
            </w:pPr>
          </w:p>
        </w:tc>
        <w:tc>
          <w:tcPr>
            <w:tcW w:w="3260" w:type="dxa"/>
            <w:vAlign w:val="bottom"/>
            <w:gridSpan w:val="4"/>
          </w:tcPr>
          <w:p>
            <w:pPr>
              <w:ind w:left="820"/>
              <w:spacing w:after="0"/>
              <w:rPr>
                <w:sz w:val="20"/>
                <w:szCs w:val="20"/>
                <w:color w:val="auto"/>
              </w:rPr>
            </w:pPr>
            <w:r>
              <w:rPr>
                <w:rFonts w:ascii="Arial" w:cs="Arial" w:eastAsia="Arial" w:hAnsi="Arial"/>
                <w:sz w:val="22"/>
                <w:szCs w:val="22"/>
                <w:b w:val="1"/>
                <w:bCs w:val="1"/>
                <w:color w:val="auto"/>
                <w:w w:val="86"/>
              </w:rPr>
              <w:t>Years ended December 31,</w:t>
            </w:r>
          </w:p>
        </w:tc>
        <w:tc>
          <w:tcPr>
            <w:tcW w:w="840" w:type="dxa"/>
            <w:vAlign w:val="bottom"/>
            <w:tcBorders>
              <w:right w:val="single" w:sz="8" w:color="70AD47"/>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40" w:type="dxa"/>
            <w:vAlign w:val="bottom"/>
            <w:tcBorders>
              <w:bottom w:val="single" w:sz="8" w:color="70AD47"/>
              <w:right w:val="single" w:sz="8" w:color="70AD47"/>
            </w:tcBorders>
          </w:tcPr>
          <w:p>
            <w:pPr>
              <w:spacing w:after="0"/>
              <w:rPr>
                <w:sz w:val="23"/>
                <w:szCs w:val="23"/>
                <w:color w:val="auto"/>
              </w:rPr>
            </w:pPr>
          </w:p>
        </w:tc>
        <w:tc>
          <w:tcPr>
            <w:tcW w:w="2060" w:type="dxa"/>
            <w:vAlign w:val="bottom"/>
            <w:tcBorders>
              <w:bottom w:val="single" w:sz="8" w:color="70AD47"/>
              <w:right w:val="single" w:sz="8" w:color="70AD47"/>
            </w:tcBorders>
            <w:gridSpan w:val="3"/>
            <w:shd w:val="clear" w:color="auto" w:fill="C6E0B4"/>
          </w:tcPr>
          <w:p>
            <w:pPr>
              <w:ind w:left="800"/>
              <w:spacing w:after="0"/>
              <w:rPr>
                <w:sz w:val="20"/>
                <w:szCs w:val="20"/>
                <w:color w:val="auto"/>
              </w:rPr>
            </w:pPr>
            <w:r>
              <w:rPr>
                <w:rFonts w:ascii="Arial" w:cs="Arial" w:eastAsia="Arial" w:hAnsi="Arial"/>
                <w:sz w:val="22"/>
                <w:szCs w:val="22"/>
                <w:b w:val="1"/>
                <w:bCs w:val="1"/>
                <w:color w:val="auto"/>
              </w:rPr>
              <w:t>2021</w:t>
            </w:r>
          </w:p>
        </w:tc>
        <w:tc>
          <w:tcPr>
            <w:tcW w:w="2040" w:type="dxa"/>
            <w:vAlign w:val="bottom"/>
            <w:tcBorders>
              <w:bottom w:val="single" w:sz="8" w:color="70AD47"/>
              <w:right w:val="single" w:sz="8" w:color="70AD47"/>
            </w:tcBorders>
            <w:gridSpan w:val="3"/>
          </w:tcPr>
          <w:p>
            <w:pPr>
              <w:jc w:val="right"/>
              <w:ind w:right="712"/>
              <w:spacing w:after="0"/>
              <w:rPr>
                <w:sz w:val="20"/>
                <w:szCs w:val="20"/>
                <w:color w:val="auto"/>
              </w:rPr>
            </w:pPr>
            <w:r>
              <w:rPr>
                <w:rFonts w:ascii="Arial" w:cs="Arial" w:eastAsia="Arial" w:hAnsi="Arial"/>
                <w:sz w:val="22"/>
                <w:szCs w:val="22"/>
                <w:b w:val="1"/>
                <w:bCs w:val="1"/>
                <w:color w:val="auto"/>
              </w:rPr>
              <w:t>2020</w:t>
            </w:r>
          </w:p>
        </w:tc>
        <w:tc>
          <w:tcPr>
            <w:tcW w:w="2060" w:type="dxa"/>
            <w:vAlign w:val="bottom"/>
            <w:tcBorders>
              <w:bottom w:val="single" w:sz="8" w:color="70AD47"/>
              <w:right w:val="single" w:sz="8" w:color="70AD47"/>
            </w:tcBorders>
            <w:gridSpan w:val="2"/>
            <w:shd w:val="clear" w:color="auto" w:fill="C6E0B4"/>
          </w:tcPr>
          <w:p>
            <w:pPr>
              <w:ind w:left="800"/>
              <w:spacing w:after="0"/>
              <w:rPr>
                <w:sz w:val="20"/>
                <w:szCs w:val="20"/>
                <w:color w:val="auto"/>
              </w:rPr>
            </w:pPr>
            <w:r>
              <w:rPr>
                <w:rFonts w:ascii="Arial" w:cs="Arial" w:eastAsia="Arial" w:hAnsi="Arial"/>
                <w:sz w:val="22"/>
                <w:szCs w:val="22"/>
                <w:b w:val="1"/>
                <w:bCs w:val="1"/>
                <w:color w:val="auto"/>
              </w:rPr>
              <w:t>2021</w:t>
            </w:r>
          </w:p>
        </w:tc>
        <w:tc>
          <w:tcPr>
            <w:tcW w:w="2040" w:type="dxa"/>
            <w:vAlign w:val="bottom"/>
            <w:tcBorders>
              <w:bottom w:val="single" w:sz="8" w:color="70AD47"/>
              <w:right w:val="single" w:sz="8" w:color="70AD47"/>
            </w:tcBorders>
            <w:gridSpan w:val="3"/>
          </w:tcPr>
          <w:p>
            <w:pPr>
              <w:jc w:val="right"/>
              <w:ind w:right="712"/>
              <w:spacing w:after="0"/>
              <w:rPr>
                <w:sz w:val="20"/>
                <w:szCs w:val="20"/>
                <w:color w:val="auto"/>
              </w:rPr>
            </w:pPr>
            <w:r>
              <w:rPr>
                <w:rFonts w:ascii="Arial" w:cs="Arial" w:eastAsia="Arial" w:hAnsi="Arial"/>
                <w:sz w:val="22"/>
                <w:szCs w:val="22"/>
                <w:b w:val="1"/>
                <w:bCs w:val="1"/>
                <w:color w:val="auto"/>
              </w:rPr>
              <w:t>2020</w:t>
            </w:r>
          </w:p>
        </w:tc>
        <w:tc>
          <w:tcPr>
            <w:tcW w:w="0" w:type="dxa"/>
            <w:vAlign w:val="bottom"/>
          </w:tcPr>
          <w:p>
            <w:pPr>
              <w:spacing w:after="0"/>
              <w:rPr>
                <w:sz w:val="1"/>
                <w:szCs w:val="1"/>
                <w:color w:val="auto"/>
              </w:rPr>
            </w:pPr>
          </w:p>
        </w:tc>
      </w:tr>
      <w:tr>
        <w:trPr>
          <w:trHeight w:val="269"/>
        </w:trPr>
        <w:tc>
          <w:tcPr>
            <w:tcW w:w="3040" w:type="dxa"/>
            <w:vAlign w:val="bottom"/>
            <w:tcBorders>
              <w:right w:val="single" w:sz="8" w:color="70AD47"/>
            </w:tcBorders>
          </w:tcPr>
          <w:p>
            <w:pPr>
              <w:spacing w:after="0"/>
              <w:rPr>
                <w:sz w:val="23"/>
                <w:szCs w:val="23"/>
                <w:color w:val="auto"/>
              </w:rPr>
            </w:pPr>
          </w:p>
        </w:tc>
        <w:tc>
          <w:tcPr>
            <w:tcW w:w="940" w:type="dxa"/>
            <w:vAlign w:val="bottom"/>
            <w:shd w:val="clear" w:color="auto" w:fill="C6E0B4"/>
          </w:tcPr>
          <w:p>
            <w:pPr>
              <w:jc w:val="center"/>
              <w:spacing w:after="0"/>
              <w:rPr>
                <w:sz w:val="20"/>
                <w:szCs w:val="20"/>
                <w:color w:val="auto"/>
              </w:rPr>
            </w:pPr>
            <w:r>
              <w:rPr>
                <w:rFonts w:ascii="Arial" w:cs="Arial" w:eastAsia="Arial" w:hAnsi="Arial"/>
                <w:sz w:val="22"/>
                <w:szCs w:val="22"/>
                <w:color w:val="auto"/>
                <w:w w:val="93"/>
              </w:rPr>
              <w:t>in</w:t>
            </w:r>
          </w:p>
        </w:tc>
        <w:tc>
          <w:tcPr>
            <w:tcW w:w="100" w:type="dxa"/>
            <w:vAlign w:val="bottom"/>
            <w:tcBorders>
              <w:right w:val="single" w:sz="8" w:color="70AD47"/>
            </w:tcBorders>
            <w:shd w:val="clear" w:color="auto" w:fill="C6E0B4"/>
          </w:tcPr>
          <w:p>
            <w:pPr>
              <w:spacing w:after="0"/>
              <w:rPr>
                <w:sz w:val="23"/>
                <w:szCs w:val="23"/>
                <w:color w:val="auto"/>
              </w:rPr>
            </w:pPr>
          </w:p>
        </w:tc>
        <w:tc>
          <w:tcPr>
            <w:tcW w:w="1020" w:type="dxa"/>
            <w:vAlign w:val="bottom"/>
            <w:tcBorders>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92"/>
              </w:rPr>
              <w:t>in % of</w:t>
            </w:r>
          </w:p>
        </w:tc>
        <w:tc>
          <w:tcPr>
            <w:tcW w:w="102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93"/>
              </w:rPr>
              <w:t>in</w:t>
            </w:r>
          </w:p>
        </w:tc>
        <w:tc>
          <w:tcPr>
            <w:tcW w:w="180" w:type="dxa"/>
            <w:vAlign w:val="bottom"/>
          </w:tcPr>
          <w:p>
            <w:pPr>
              <w:spacing w:after="0"/>
              <w:rPr>
                <w:sz w:val="23"/>
                <w:szCs w:val="23"/>
                <w:color w:val="auto"/>
              </w:rPr>
            </w:pPr>
          </w:p>
        </w:tc>
        <w:tc>
          <w:tcPr>
            <w:tcW w:w="840" w:type="dxa"/>
            <w:vAlign w:val="bottom"/>
            <w:tcBorders>
              <w:right w:val="single" w:sz="8" w:color="70AD47"/>
            </w:tcBorders>
          </w:tcPr>
          <w:p>
            <w:pPr>
              <w:jc w:val="center"/>
              <w:ind w:right="92"/>
              <w:spacing w:after="0"/>
              <w:rPr>
                <w:sz w:val="20"/>
                <w:szCs w:val="20"/>
                <w:color w:val="auto"/>
              </w:rPr>
            </w:pPr>
            <w:r>
              <w:rPr>
                <w:rFonts w:ascii="Arial" w:cs="Arial" w:eastAsia="Arial" w:hAnsi="Arial"/>
                <w:sz w:val="22"/>
                <w:szCs w:val="22"/>
                <w:color w:val="auto"/>
                <w:w w:val="95"/>
              </w:rPr>
              <w:t>in % of</w:t>
            </w:r>
          </w:p>
        </w:tc>
        <w:tc>
          <w:tcPr>
            <w:tcW w:w="1040" w:type="dxa"/>
            <w:vAlign w:val="bottom"/>
            <w:tcBorders>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rPr>
              <w:t>in</w:t>
            </w:r>
          </w:p>
        </w:tc>
        <w:tc>
          <w:tcPr>
            <w:tcW w:w="1020" w:type="dxa"/>
            <w:vAlign w:val="bottom"/>
            <w:tcBorders>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95"/>
              </w:rPr>
              <w:t>in % of</w:t>
            </w:r>
          </w:p>
        </w:tc>
        <w:tc>
          <w:tcPr>
            <w:tcW w:w="10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93"/>
              </w:rPr>
              <w:t>in</w:t>
            </w:r>
          </w:p>
        </w:tc>
        <w:tc>
          <w:tcPr>
            <w:tcW w:w="160" w:type="dxa"/>
            <w:vAlign w:val="bottom"/>
          </w:tcPr>
          <w:p>
            <w:pPr>
              <w:spacing w:after="0"/>
              <w:rPr>
                <w:sz w:val="23"/>
                <w:szCs w:val="23"/>
                <w:color w:val="auto"/>
              </w:rPr>
            </w:pPr>
          </w:p>
        </w:tc>
        <w:tc>
          <w:tcPr>
            <w:tcW w:w="840" w:type="dxa"/>
            <w:vAlign w:val="bottom"/>
            <w:tcBorders>
              <w:right w:val="single" w:sz="8" w:color="70AD47"/>
            </w:tcBorders>
          </w:tcPr>
          <w:p>
            <w:pPr>
              <w:jc w:val="center"/>
              <w:ind w:right="92"/>
              <w:spacing w:after="0"/>
              <w:rPr>
                <w:sz w:val="20"/>
                <w:szCs w:val="20"/>
                <w:color w:val="auto"/>
              </w:rPr>
            </w:pPr>
            <w:r>
              <w:rPr>
                <w:rFonts w:ascii="Arial" w:cs="Arial" w:eastAsia="Arial" w:hAnsi="Arial"/>
                <w:sz w:val="22"/>
                <w:szCs w:val="22"/>
                <w:color w:val="auto"/>
                <w:w w:val="95"/>
              </w:rPr>
              <w:t>in % of</w:t>
            </w:r>
          </w:p>
        </w:tc>
        <w:tc>
          <w:tcPr>
            <w:tcW w:w="0" w:type="dxa"/>
            <w:vAlign w:val="bottom"/>
          </w:tcPr>
          <w:p>
            <w:pPr>
              <w:spacing w:after="0"/>
              <w:rPr>
                <w:sz w:val="1"/>
                <w:szCs w:val="1"/>
                <w:color w:val="auto"/>
              </w:rPr>
            </w:pPr>
          </w:p>
        </w:tc>
      </w:tr>
      <w:tr>
        <w:trPr>
          <w:trHeight w:val="285"/>
        </w:trPr>
        <w:tc>
          <w:tcPr>
            <w:tcW w:w="3040" w:type="dxa"/>
            <w:vAlign w:val="bottom"/>
            <w:tcBorders>
              <w:bottom w:val="single" w:sz="8" w:color="70AD47"/>
              <w:right w:val="single" w:sz="8" w:color="70AD47"/>
            </w:tcBorders>
          </w:tcPr>
          <w:p>
            <w:pPr>
              <w:spacing w:after="0"/>
              <w:rPr>
                <w:sz w:val="24"/>
                <w:szCs w:val="24"/>
                <w:color w:val="auto"/>
              </w:rPr>
            </w:pPr>
          </w:p>
        </w:tc>
        <w:tc>
          <w:tcPr>
            <w:tcW w:w="940" w:type="dxa"/>
            <w:vAlign w:val="bottom"/>
            <w:tcBorders>
              <w:bottom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84"/>
              </w:rPr>
              <w:t>thousands</w:t>
            </w:r>
          </w:p>
        </w:tc>
        <w:tc>
          <w:tcPr>
            <w:tcW w:w="100" w:type="dxa"/>
            <w:vAlign w:val="bottom"/>
            <w:tcBorders>
              <w:bottom w:val="single" w:sz="8" w:color="70AD47"/>
              <w:right w:val="single" w:sz="8" w:color="70AD47"/>
            </w:tcBorders>
            <w:shd w:val="clear" w:color="auto" w:fill="C6E0B4"/>
          </w:tcPr>
          <w:p>
            <w:pPr>
              <w:spacing w:after="0"/>
              <w:rPr>
                <w:sz w:val="24"/>
                <w:szCs w:val="24"/>
                <w:color w:val="auto"/>
              </w:rPr>
            </w:pPr>
          </w:p>
        </w:tc>
        <w:tc>
          <w:tcPr>
            <w:tcW w:w="1020" w:type="dxa"/>
            <w:vAlign w:val="bottom"/>
            <w:tcBorders>
              <w:bottom w:val="single" w:sz="8" w:color="70AD47"/>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98"/>
              </w:rPr>
              <w:t>TTC</w:t>
            </w:r>
          </w:p>
        </w:tc>
        <w:tc>
          <w:tcPr>
            <w:tcW w:w="1020" w:type="dxa"/>
            <w:vAlign w:val="bottom"/>
            <w:tcBorders>
              <w:bottom w:val="single" w:sz="8" w:color="70AD47"/>
              <w:right w:val="single" w:sz="8" w:color="70AD47"/>
            </w:tcBorders>
          </w:tcPr>
          <w:p>
            <w:pPr>
              <w:jc w:val="center"/>
              <w:spacing w:after="0"/>
              <w:rPr>
                <w:sz w:val="20"/>
                <w:szCs w:val="20"/>
                <w:color w:val="auto"/>
              </w:rPr>
            </w:pPr>
            <w:r>
              <w:rPr>
                <w:rFonts w:ascii="Arial" w:cs="Arial" w:eastAsia="Arial" w:hAnsi="Arial"/>
                <w:sz w:val="22"/>
                <w:szCs w:val="22"/>
                <w:color w:val="auto"/>
                <w:w w:val="84"/>
              </w:rPr>
              <w:t>thousands</w:t>
            </w:r>
          </w:p>
        </w:tc>
        <w:tc>
          <w:tcPr>
            <w:tcW w:w="180" w:type="dxa"/>
            <w:vAlign w:val="bottom"/>
            <w:tcBorders>
              <w:bottom w:val="single" w:sz="8" w:color="70AD47"/>
            </w:tcBorders>
          </w:tcPr>
          <w:p>
            <w:pPr>
              <w:spacing w:after="0"/>
              <w:rPr>
                <w:sz w:val="24"/>
                <w:szCs w:val="24"/>
                <w:color w:val="auto"/>
              </w:rPr>
            </w:pPr>
          </w:p>
        </w:tc>
        <w:tc>
          <w:tcPr>
            <w:tcW w:w="840" w:type="dxa"/>
            <w:vAlign w:val="bottom"/>
            <w:tcBorders>
              <w:bottom w:val="single" w:sz="8" w:color="70AD47"/>
              <w:right w:val="single" w:sz="8" w:color="70AD47"/>
            </w:tcBorders>
          </w:tcPr>
          <w:p>
            <w:pPr>
              <w:jc w:val="center"/>
              <w:ind w:right="92"/>
              <w:spacing w:after="0"/>
              <w:rPr>
                <w:sz w:val="20"/>
                <w:szCs w:val="20"/>
                <w:color w:val="auto"/>
              </w:rPr>
            </w:pPr>
            <w:r>
              <w:rPr>
                <w:rFonts w:ascii="Arial" w:cs="Arial" w:eastAsia="Arial" w:hAnsi="Arial"/>
                <w:sz w:val="22"/>
                <w:szCs w:val="22"/>
                <w:color w:val="auto"/>
                <w:w w:val="93"/>
              </w:rPr>
              <w:t>TTC</w:t>
            </w:r>
          </w:p>
        </w:tc>
        <w:tc>
          <w:tcPr>
            <w:tcW w:w="1040" w:type="dxa"/>
            <w:vAlign w:val="bottom"/>
            <w:tcBorders>
              <w:bottom w:val="single" w:sz="8" w:color="70AD47"/>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84"/>
              </w:rPr>
              <w:t>thousands</w:t>
            </w:r>
          </w:p>
        </w:tc>
        <w:tc>
          <w:tcPr>
            <w:tcW w:w="1020" w:type="dxa"/>
            <w:vAlign w:val="bottom"/>
            <w:tcBorders>
              <w:bottom w:val="single" w:sz="8" w:color="70AD47"/>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93"/>
              </w:rPr>
              <w:t>TTC</w:t>
            </w:r>
          </w:p>
        </w:tc>
        <w:tc>
          <w:tcPr>
            <w:tcW w:w="1040" w:type="dxa"/>
            <w:vAlign w:val="bottom"/>
            <w:tcBorders>
              <w:bottom w:val="single" w:sz="8" w:color="70AD47"/>
              <w:right w:val="single" w:sz="8" w:color="70AD47"/>
            </w:tcBorders>
          </w:tcPr>
          <w:p>
            <w:pPr>
              <w:jc w:val="center"/>
              <w:spacing w:after="0"/>
              <w:rPr>
                <w:sz w:val="20"/>
                <w:szCs w:val="20"/>
                <w:color w:val="auto"/>
              </w:rPr>
            </w:pPr>
            <w:r>
              <w:rPr>
                <w:rFonts w:ascii="Arial" w:cs="Arial" w:eastAsia="Arial" w:hAnsi="Arial"/>
                <w:sz w:val="22"/>
                <w:szCs w:val="22"/>
                <w:color w:val="auto"/>
                <w:w w:val="86"/>
              </w:rPr>
              <w:t>thousands</w:t>
            </w:r>
          </w:p>
        </w:tc>
        <w:tc>
          <w:tcPr>
            <w:tcW w:w="160" w:type="dxa"/>
            <w:vAlign w:val="bottom"/>
            <w:tcBorders>
              <w:bottom w:val="single" w:sz="8" w:color="70AD47"/>
            </w:tcBorders>
          </w:tcPr>
          <w:p>
            <w:pPr>
              <w:spacing w:after="0"/>
              <w:rPr>
                <w:sz w:val="24"/>
                <w:szCs w:val="24"/>
                <w:color w:val="auto"/>
              </w:rPr>
            </w:pPr>
          </w:p>
        </w:tc>
        <w:tc>
          <w:tcPr>
            <w:tcW w:w="840" w:type="dxa"/>
            <w:vAlign w:val="bottom"/>
            <w:tcBorders>
              <w:bottom w:val="single" w:sz="8" w:color="70AD47"/>
              <w:right w:val="single" w:sz="8" w:color="70AD47"/>
            </w:tcBorders>
          </w:tcPr>
          <w:p>
            <w:pPr>
              <w:jc w:val="center"/>
              <w:ind w:right="72"/>
              <w:spacing w:after="0"/>
              <w:rPr>
                <w:sz w:val="20"/>
                <w:szCs w:val="20"/>
                <w:color w:val="auto"/>
              </w:rPr>
            </w:pPr>
            <w:r>
              <w:rPr>
                <w:rFonts w:ascii="Arial" w:cs="Arial" w:eastAsia="Arial" w:hAnsi="Arial"/>
                <w:sz w:val="22"/>
                <w:szCs w:val="22"/>
                <w:color w:val="auto"/>
                <w:w w:val="98"/>
              </w:rPr>
              <w:t>TTC</w:t>
            </w:r>
          </w:p>
        </w:tc>
        <w:tc>
          <w:tcPr>
            <w:tcW w:w="0" w:type="dxa"/>
            <w:vAlign w:val="bottom"/>
          </w:tcPr>
          <w:p>
            <w:pPr>
              <w:spacing w:after="0"/>
              <w:rPr>
                <w:sz w:val="1"/>
                <w:szCs w:val="1"/>
                <w:color w:val="auto"/>
              </w:rPr>
            </w:pPr>
          </w:p>
        </w:tc>
      </w:tr>
      <w:tr>
        <w:trPr>
          <w:trHeight w:val="203"/>
        </w:trPr>
        <w:tc>
          <w:tcPr>
            <w:tcW w:w="3040" w:type="dxa"/>
            <w:vAlign w:val="bottom"/>
            <w:tcBorders>
              <w:right w:val="single" w:sz="8" w:color="70AD47"/>
            </w:tcBorders>
          </w:tcPr>
          <w:p>
            <w:pPr>
              <w:ind w:left="20"/>
              <w:spacing w:after="0" w:line="203" w:lineRule="exact"/>
              <w:rPr>
                <w:sz w:val="20"/>
                <w:szCs w:val="20"/>
                <w:color w:val="auto"/>
              </w:rPr>
            </w:pPr>
            <w:r>
              <w:rPr>
                <w:rFonts w:ascii="Arial" w:cs="Arial" w:eastAsia="Arial" w:hAnsi="Arial"/>
                <w:sz w:val="22"/>
                <w:szCs w:val="22"/>
                <w:b w:val="1"/>
                <w:bCs w:val="1"/>
                <w:color w:val="auto"/>
              </w:rPr>
              <w:t>Non-performance related</w:t>
            </w:r>
          </w:p>
        </w:tc>
        <w:tc>
          <w:tcPr>
            <w:tcW w:w="940" w:type="dxa"/>
            <w:vAlign w:val="bottom"/>
            <w:shd w:val="clear" w:color="auto" w:fill="C6E0B4"/>
          </w:tcPr>
          <w:p>
            <w:pPr>
              <w:spacing w:after="0"/>
              <w:rPr>
                <w:sz w:val="17"/>
                <w:szCs w:val="17"/>
                <w:color w:val="auto"/>
              </w:rPr>
            </w:pPr>
          </w:p>
        </w:tc>
        <w:tc>
          <w:tcPr>
            <w:tcW w:w="100" w:type="dxa"/>
            <w:vAlign w:val="bottom"/>
            <w:tcBorders>
              <w:right w:val="single" w:sz="8" w:color="70AD47"/>
            </w:tcBorders>
            <w:shd w:val="clear" w:color="auto" w:fill="C6E0B4"/>
          </w:tcPr>
          <w:p>
            <w:pPr>
              <w:spacing w:after="0"/>
              <w:rPr>
                <w:sz w:val="17"/>
                <w:szCs w:val="17"/>
                <w:color w:val="auto"/>
              </w:rPr>
            </w:pPr>
          </w:p>
        </w:tc>
        <w:tc>
          <w:tcPr>
            <w:tcW w:w="1020" w:type="dxa"/>
            <w:vAlign w:val="bottom"/>
            <w:tcBorders>
              <w:right w:val="single" w:sz="8" w:color="70AD47"/>
            </w:tcBorders>
            <w:shd w:val="clear" w:color="auto" w:fill="C6E0B4"/>
          </w:tcPr>
          <w:p>
            <w:pPr>
              <w:spacing w:after="0"/>
              <w:rPr>
                <w:sz w:val="17"/>
                <w:szCs w:val="17"/>
                <w:color w:val="auto"/>
              </w:rPr>
            </w:pPr>
          </w:p>
        </w:tc>
        <w:tc>
          <w:tcPr>
            <w:tcW w:w="1020" w:type="dxa"/>
            <w:vAlign w:val="bottom"/>
            <w:tcBorders>
              <w:right w:val="single" w:sz="8" w:color="70AD47"/>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right w:val="single" w:sz="8" w:color="70AD47"/>
            </w:tcBorders>
          </w:tcPr>
          <w:p>
            <w:pPr>
              <w:spacing w:after="0"/>
              <w:rPr>
                <w:sz w:val="17"/>
                <w:szCs w:val="17"/>
                <w:color w:val="auto"/>
              </w:rPr>
            </w:pPr>
          </w:p>
        </w:tc>
        <w:tc>
          <w:tcPr>
            <w:tcW w:w="1040" w:type="dxa"/>
            <w:vAlign w:val="bottom"/>
            <w:tcBorders>
              <w:right w:val="single" w:sz="8" w:color="70AD47"/>
            </w:tcBorders>
            <w:shd w:val="clear" w:color="auto" w:fill="C6E0B4"/>
          </w:tcPr>
          <w:p>
            <w:pPr>
              <w:spacing w:after="0"/>
              <w:rPr>
                <w:sz w:val="17"/>
                <w:szCs w:val="17"/>
                <w:color w:val="auto"/>
              </w:rPr>
            </w:pPr>
          </w:p>
        </w:tc>
        <w:tc>
          <w:tcPr>
            <w:tcW w:w="1020" w:type="dxa"/>
            <w:vAlign w:val="bottom"/>
            <w:tcBorders>
              <w:right w:val="single" w:sz="8" w:color="70AD47"/>
            </w:tcBorders>
            <w:shd w:val="clear" w:color="auto" w:fill="C6E0B4"/>
          </w:tcPr>
          <w:p>
            <w:pPr>
              <w:spacing w:after="0"/>
              <w:rPr>
                <w:sz w:val="17"/>
                <w:szCs w:val="17"/>
                <w:color w:val="auto"/>
              </w:rPr>
            </w:pPr>
          </w:p>
        </w:tc>
        <w:tc>
          <w:tcPr>
            <w:tcW w:w="1040" w:type="dxa"/>
            <w:vAlign w:val="bottom"/>
            <w:tcBorders>
              <w:right w:val="single" w:sz="8" w:color="70AD47"/>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right w:val="single" w:sz="8" w:color="70AD47"/>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040" w:type="dxa"/>
            <w:vAlign w:val="bottom"/>
            <w:tcBorders>
              <w:right w:val="single" w:sz="8" w:color="70AD47"/>
            </w:tcBorders>
          </w:tcPr>
          <w:p>
            <w:pPr>
              <w:ind w:left="20"/>
              <w:spacing w:after="0"/>
              <w:rPr>
                <w:sz w:val="20"/>
                <w:szCs w:val="20"/>
                <w:color w:val="auto"/>
              </w:rPr>
            </w:pPr>
            <w:r>
              <w:rPr>
                <w:rFonts w:ascii="Arial" w:cs="Arial" w:eastAsia="Arial" w:hAnsi="Arial"/>
                <w:sz w:val="22"/>
                <w:szCs w:val="22"/>
                <w:b w:val="1"/>
                <w:bCs w:val="1"/>
                <w:color w:val="auto"/>
              </w:rPr>
              <w:t>compensation</w:t>
            </w:r>
          </w:p>
        </w:tc>
        <w:tc>
          <w:tcPr>
            <w:tcW w:w="940" w:type="dxa"/>
            <w:vAlign w:val="bottom"/>
            <w:shd w:val="clear" w:color="auto" w:fill="C6E0B4"/>
          </w:tcPr>
          <w:p>
            <w:pPr>
              <w:spacing w:after="0"/>
              <w:rPr>
                <w:sz w:val="23"/>
                <w:szCs w:val="23"/>
                <w:color w:val="auto"/>
              </w:rPr>
            </w:pPr>
          </w:p>
        </w:tc>
        <w:tc>
          <w:tcPr>
            <w:tcW w:w="100" w:type="dxa"/>
            <w:vAlign w:val="bottom"/>
            <w:tcBorders>
              <w:right w:val="single" w:sz="8" w:color="70AD47"/>
            </w:tcBorders>
            <w:shd w:val="clear" w:color="auto" w:fill="C6E0B4"/>
          </w:tcPr>
          <w:p>
            <w:pPr>
              <w:spacing w:after="0"/>
              <w:rPr>
                <w:sz w:val="23"/>
                <w:szCs w:val="23"/>
                <w:color w:val="auto"/>
              </w:rPr>
            </w:pPr>
          </w:p>
        </w:tc>
        <w:tc>
          <w:tcPr>
            <w:tcW w:w="1020" w:type="dxa"/>
            <w:vAlign w:val="bottom"/>
            <w:tcBorders>
              <w:right w:val="single" w:sz="8" w:color="70AD47"/>
            </w:tcBorders>
            <w:shd w:val="clear" w:color="auto" w:fill="C6E0B4"/>
          </w:tcPr>
          <w:p>
            <w:pPr>
              <w:spacing w:after="0"/>
              <w:rPr>
                <w:sz w:val="23"/>
                <w:szCs w:val="23"/>
                <w:color w:val="auto"/>
              </w:rPr>
            </w:pPr>
          </w:p>
        </w:tc>
        <w:tc>
          <w:tcPr>
            <w:tcW w:w="1020" w:type="dxa"/>
            <w:vAlign w:val="bottom"/>
            <w:tcBorders>
              <w:right w:val="single" w:sz="8" w:color="70AD47"/>
            </w:tcBorders>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Borders>
              <w:right w:val="single" w:sz="8" w:color="70AD47"/>
            </w:tcBorders>
          </w:tcPr>
          <w:p>
            <w:pPr>
              <w:spacing w:after="0"/>
              <w:rPr>
                <w:sz w:val="23"/>
                <w:szCs w:val="23"/>
                <w:color w:val="auto"/>
              </w:rPr>
            </w:pPr>
          </w:p>
        </w:tc>
        <w:tc>
          <w:tcPr>
            <w:tcW w:w="1040" w:type="dxa"/>
            <w:vAlign w:val="bottom"/>
            <w:tcBorders>
              <w:right w:val="single" w:sz="8" w:color="70AD47"/>
            </w:tcBorders>
            <w:shd w:val="clear" w:color="auto" w:fill="C6E0B4"/>
          </w:tcPr>
          <w:p>
            <w:pPr>
              <w:spacing w:after="0"/>
              <w:rPr>
                <w:sz w:val="23"/>
                <w:szCs w:val="23"/>
                <w:color w:val="auto"/>
              </w:rPr>
            </w:pPr>
          </w:p>
        </w:tc>
        <w:tc>
          <w:tcPr>
            <w:tcW w:w="1020" w:type="dxa"/>
            <w:vAlign w:val="bottom"/>
            <w:tcBorders>
              <w:right w:val="single" w:sz="8" w:color="70AD47"/>
            </w:tcBorders>
            <w:shd w:val="clear" w:color="auto" w:fill="C6E0B4"/>
          </w:tcPr>
          <w:p>
            <w:pPr>
              <w:spacing w:after="0"/>
              <w:rPr>
                <w:sz w:val="23"/>
                <w:szCs w:val="23"/>
                <w:color w:val="auto"/>
              </w:rPr>
            </w:pPr>
          </w:p>
        </w:tc>
        <w:tc>
          <w:tcPr>
            <w:tcW w:w="1040" w:type="dxa"/>
            <w:vAlign w:val="bottom"/>
            <w:tcBorders>
              <w:right w:val="single" w:sz="8" w:color="70AD47"/>
            </w:tcBorders>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Borders>
              <w:right w:val="single" w:sz="8" w:color="70AD47"/>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40" w:type="dxa"/>
            <w:vAlign w:val="bottom"/>
            <w:tcBorders>
              <w:right w:val="single" w:sz="8" w:color="70AD47"/>
            </w:tcBorders>
          </w:tcPr>
          <w:p>
            <w:pPr>
              <w:ind w:left="20"/>
              <w:spacing w:after="0"/>
              <w:rPr>
                <w:sz w:val="20"/>
                <w:szCs w:val="20"/>
                <w:color w:val="auto"/>
              </w:rPr>
            </w:pPr>
            <w:r>
              <w:rPr>
                <w:rFonts w:ascii="Arial" w:cs="Arial" w:eastAsia="Arial" w:hAnsi="Arial"/>
                <w:sz w:val="22"/>
                <w:szCs w:val="22"/>
                <w:color w:val="auto"/>
              </w:rPr>
              <w:t>Fixed compensation</w:t>
            </w:r>
          </w:p>
        </w:tc>
        <w:tc>
          <w:tcPr>
            <w:tcW w:w="940" w:type="dxa"/>
            <w:vAlign w:val="bottom"/>
            <w:shd w:val="clear" w:color="auto" w:fill="C6E0B4"/>
          </w:tcPr>
          <w:p>
            <w:pPr>
              <w:jc w:val="center"/>
              <w:spacing w:after="0"/>
              <w:rPr>
                <w:sz w:val="20"/>
                <w:szCs w:val="20"/>
                <w:color w:val="auto"/>
              </w:rPr>
            </w:pPr>
            <w:r>
              <w:rPr>
                <w:rFonts w:ascii="Arial" w:cs="Arial" w:eastAsia="Arial" w:hAnsi="Arial"/>
                <w:sz w:val="22"/>
                <w:szCs w:val="22"/>
                <w:color w:val="auto"/>
                <w:w w:val="87"/>
              </w:rPr>
              <w:t>376</w:t>
            </w:r>
          </w:p>
        </w:tc>
        <w:tc>
          <w:tcPr>
            <w:tcW w:w="100" w:type="dxa"/>
            <w:vAlign w:val="bottom"/>
            <w:tcBorders>
              <w:right w:val="single" w:sz="8" w:color="70AD47"/>
            </w:tcBorders>
            <w:shd w:val="clear" w:color="auto" w:fill="C6E0B4"/>
          </w:tcPr>
          <w:p>
            <w:pPr>
              <w:spacing w:after="0"/>
              <w:rPr>
                <w:sz w:val="23"/>
                <w:szCs w:val="23"/>
                <w:color w:val="auto"/>
              </w:rPr>
            </w:pPr>
          </w:p>
        </w:tc>
        <w:tc>
          <w:tcPr>
            <w:tcW w:w="1020" w:type="dxa"/>
            <w:vAlign w:val="bottom"/>
            <w:tcBorders>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86"/>
              </w:rPr>
              <w:t>44%</w:t>
            </w:r>
          </w:p>
        </w:tc>
        <w:tc>
          <w:tcPr>
            <w:tcW w:w="102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7"/>
              </w:rPr>
              <w:t>360</w:t>
            </w:r>
          </w:p>
        </w:tc>
        <w:tc>
          <w:tcPr>
            <w:tcW w:w="180" w:type="dxa"/>
            <w:vAlign w:val="bottom"/>
          </w:tcPr>
          <w:p>
            <w:pPr>
              <w:spacing w:after="0"/>
              <w:rPr>
                <w:sz w:val="23"/>
                <w:szCs w:val="23"/>
                <w:color w:val="auto"/>
              </w:rPr>
            </w:pPr>
          </w:p>
        </w:tc>
        <w:tc>
          <w:tcPr>
            <w:tcW w:w="840" w:type="dxa"/>
            <w:vAlign w:val="bottom"/>
            <w:tcBorders>
              <w:right w:val="single" w:sz="8" w:color="70AD47"/>
            </w:tcBorders>
          </w:tcPr>
          <w:p>
            <w:pPr>
              <w:jc w:val="center"/>
              <w:ind w:right="92"/>
              <w:spacing w:after="0"/>
              <w:rPr>
                <w:sz w:val="20"/>
                <w:szCs w:val="20"/>
                <w:color w:val="auto"/>
              </w:rPr>
            </w:pPr>
            <w:r>
              <w:rPr>
                <w:rFonts w:ascii="Arial" w:cs="Arial" w:eastAsia="Arial" w:hAnsi="Arial"/>
                <w:sz w:val="22"/>
                <w:szCs w:val="22"/>
                <w:color w:val="auto"/>
                <w:w w:val="90"/>
              </w:rPr>
              <w:t>42%</w:t>
            </w:r>
          </w:p>
        </w:tc>
        <w:tc>
          <w:tcPr>
            <w:tcW w:w="1040" w:type="dxa"/>
            <w:vAlign w:val="bottom"/>
            <w:tcBorders>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92"/>
              </w:rPr>
              <w:t>360</w:t>
            </w:r>
          </w:p>
        </w:tc>
        <w:tc>
          <w:tcPr>
            <w:tcW w:w="1020" w:type="dxa"/>
            <w:vAlign w:val="bottom"/>
            <w:tcBorders>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90"/>
              </w:rPr>
              <w:t>43%</w:t>
            </w:r>
          </w:p>
        </w:tc>
        <w:tc>
          <w:tcPr>
            <w:tcW w:w="10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7"/>
              </w:rPr>
              <w:t>360</w:t>
            </w:r>
          </w:p>
        </w:tc>
        <w:tc>
          <w:tcPr>
            <w:tcW w:w="160" w:type="dxa"/>
            <w:vAlign w:val="bottom"/>
          </w:tcPr>
          <w:p>
            <w:pPr>
              <w:spacing w:after="0"/>
              <w:rPr>
                <w:sz w:val="23"/>
                <w:szCs w:val="23"/>
                <w:color w:val="auto"/>
              </w:rPr>
            </w:pPr>
          </w:p>
        </w:tc>
        <w:tc>
          <w:tcPr>
            <w:tcW w:w="840" w:type="dxa"/>
            <w:vAlign w:val="bottom"/>
            <w:tcBorders>
              <w:right w:val="single" w:sz="8" w:color="70AD47"/>
            </w:tcBorders>
          </w:tcPr>
          <w:p>
            <w:pPr>
              <w:jc w:val="center"/>
              <w:ind w:right="92"/>
              <w:spacing w:after="0"/>
              <w:rPr>
                <w:sz w:val="20"/>
                <w:szCs w:val="20"/>
                <w:color w:val="auto"/>
              </w:rPr>
            </w:pPr>
            <w:r>
              <w:rPr>
                <w:rFonts w:ascii="Arial" w:cs="Arial" w:eastAsia="Arial" w:hAnsi="Arial"/>
                <w:sz w:val="22"/>
                <w:szCs w:val="22"/>
                <w:color w:val="auto"/>
                <w:w w:val="90"/>
              </w:rPr>
              <w:t>43%</w:t>
            </w:r>
          </w:p>
        </w:tc>
        <w:tc>
          <w:tcPr>
            <w:tcW w:w="0" w:type="dxa"/>
            <w:vAlign w:val="bottom"/>
          </w:tcPr>
          <w:p>
            <w:pPr>
              <w:spacing w:after="0"/>
              <w:rPr>
                <w:sz w:val="1"/>
                <w:szCs w:val="1"/>
                <w:color w:val="auto"/>
              </w:rPr>
            </w:pPr>
          </w:p>
        </w:tc>
      </w:tr>
      <w:tr>
        <w:trPr>
          <w:trHeight w:val="276"/>
        </w:trPr>
        <w:tc>
          <w:tcPr>
            <w:tcW w:w="3040" w:type="dxa"/>
            <w:vAlign w:val="bottom"/>
            <w:tcBorders>
              <w:bottom w:val="single" w:sz="8" w:color="70AD47"/>
              <w:right w:val="single" w:sz="8" w:color="70AD47"/>
            </w:tcBorders>
          </w:tcPr>
          <w:p>
            <w:pPr>
              <w:ind w:left="20"/>
              <w:spacing w:after="0"/>
              <w:rPr>
                <w:sz w:val="20"/>
                <w:szCs w:val="20"/>
                <w:color w:val="auto"/>
              </w:rPr>
            </w:pPr>
            <w:r>
              <w:rPr>
                <w:rFonts w:ascii="Arial" w:cs="Arial" w:eastAsia="Arial" w:hAnsi="Arial"/>
                <w:sz w:val="22"/>
                <w:szCs w:val="22"/>
                <w:color w:val="auto"/>
              </w:rPr>
              <w:t>Fringe benefits</w:t>
            </w:r>
          </w:p>
        </w:tc>
        <w:tc>
          <w:tcPr>
            <w:tcW w:w="940" w:type="dxa"/>
            <w:vAlign w:val="bottom"/>
            <w:tcBorders>
              <w:bottom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81"/>
              </w:rPr>
              <w:t>4</w:t>
            </w:r>
          </w:p>
        </w:tc>
        <w:tc>
          <w:tcPr>
            <w:tcW w:w="100" w:type="dxa"/>
            <w:vAlign w:val="bottom"/>
            <w:tcBorders>
              <w:bottom w:val="single" w:sz="8" w:color="70AD47"/>
              <w:right w:val="single" w:sz="8" w:color="70AD47"/>
            </w:tcBorders>
            <w:shd w:val="clear" w:color="auto" w:fill="C6E0B4"/>
          </w:tcPr>
          <w:p>
            <w:pPr>
              <w:spacing w:after="0"/>
              <w:rPr>
                <w:sz w:val="24"/>
                <w:szCs w:val="24"/>
                <w:color w:val="auto"/>
              </w:rPr>
            </w:pPr>
          </w:p>
        </w:tc>
        <w:tc>
          <w:tcPr>
            <w:tcW w:w="1020" w:type="dxa"/>
            <w:vAlign w:val="bottom"/>
            <w:tcBorders>
              <w:bottom w:val="single" w:sz="8" w:color="70AD47"/>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96"/>
              </w:rPr>
              <w:t>— %</w:t>
            </w:r>
          </w:p>
        </w:tc>
        <w:tc>
          <w:tcPr>
            <w:tcW w:w="1020" w:type="dxa"/>
            <w:vAlign w:val="bottom"/>
            <w:tcBorders>
              <w:bottom w:val="single" w:sz="8" w:color="70AD47"/>
              <w:right w:val="single" w:sz="8" w:color="70AD47"/>
            </w:tcBorders>
          </w:tcPr>
          <w:p>
            <w:pPr>
              <w:jc w:val="center"/>
              <w:spacing w:after="0"/>
              <w:rPr>
                <w:sz w:val="20"/>
                <w:szCs w:val="20"/>
                <w:color w:val="auto"/>
              </w:rPr>
            </w:pPr>
            <w:r>
              <w:rPr>
                <w:rFonts w:ascii="Arial" w:cs="Arial" w:eastAsia="Arial" w:hAnsi="Arial"/>
                <w:sz w:val="22"/>
                <w:szCs w:val="22"/>
                <w:color w:val="auto"/>
                <w:w w:val="81"/>
              </w:rPr>
              <w:t>11</w:t>
            </w:r>
          </w:p>
        </w:tc>
        <w:tc>
          <w:tcPr>
            <w:tcW w:w="180" w:type="dxa"/>
            <w:vAlign w:val="bottom"/>
            <w:tcBorders>
              <w:bottom w:val="single" w:sz="8" w:color="70AD47"/>
            </w:tcBorders>
          </w:tcPr>
          <w:p>
            <w:pPr>
              <w:spacing w:after="0"/>
              <w:rPr>
                <w:sz w:val="24"/>
                <w:szCs w:val="24"/>
                <w:color w:val="auto"/>
              </w:rPr>
            </w:pPr>
          </w:p>
        </w:tc>
        <w:tc>
          <w:tcPr>
            <w:tcW w:w="840" w:type="dxa"/>
            <w:vAlign w:val="bottom"/>
            <w:tcBorders>
              <w:bottom w:val="single" w:sz="8" w:color="70AD47"/>
              <w:right w:val="single" w:sz="8" w:color="70AD47"/>
            </w:tcBorders>
          </w:tcPr>
          <w:p>
            <w:pPr>
              <w:jc w:val="center"/>
              <w:ind w:right="92"/>
              <w:spacing w:after="0"/>
              <w:rPr>
                <w:sz w:val="20"/>
                <w:szCs w:val="20"/>
                <w:color w:val="auto"/>
              </w:rPr>
            </w:pPr>
            <w:r>
              <w:rPr>
                <w:rFonts w:ascii="Arial" w:cs="Arial" w:eastAsia="Arial" w:hAnsi="Arial"/>
                <w:sz w:val="22"/>
                <w:szCs w:val="22"/>
                <w:color w:val="auto"/>
                <w:w w:val="87"/>
              </w:rPr>
              <w:t>1%</w:t>
            </w:r>
          </w:p>
        </w:tc>
        <w:tc>
          <w:tcPr>
            <w:tcW w:w="1040" w:type="dxa"/>
            <w:vAlign w:val="bottom"/>
            <w:tcBorders>
              <w:bottom w:val="single" w:sz="8" w:color="70AD47"/>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99"/>
              </w:rPr>
              <w:t>—</w:t>
            </w:r>
          </w:p>
        </w:tc>
        <w:tc>
          <w:tcPr>
            <w:tcW w:w="1020" w:type="dxa"/>
            <w:vAlign w:val="bottom"/>
            <w:tcBorders>
              <w:bottom w:val="single" w:sz="8" w:color="70AD47"/>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92"/>
              </w:rPr>
              <w:t>— %</w:t>
            </w:r>
          </w:p>
        </w:tc>
        <w:tc>
          <w:tcPr>
            <w:tcW w:w="1040" w:type="dxa"/>
            <w:vAlign w:val="bottom"/>
            <w:tcBorders>
              <w:bottom w:val="single" w:sz="8" w:color="70AD47"/>
              <w:right w:val="single" w:sz="8" w:color="70AD47"/>
            </w:tcBorders>
          </w:tcPr>
          <w:p>
            <w:pPr>
              <w:jc w:val="center"/>
              <w:spacing w:after="0"/>
              <w:rPr>
                <w:sz w:val="20"/>
                <w:szCs w:val="20"/>
                <w:color w:val="auto"/>
              </w:rPr>
            </w:pPr>
            <w:r>
              <w:rPr>
                <w:rFonts w:ascii="Arial" w:cs="Arial" w:eastAsia="Arial" w:hAnsi="Arial"/>
                <w:sz w:val="22"/>
                <w:szCs w:val="22"/>
                <w:color w:val="auto"/>
                <w:w w:val="97"/>
              </w:rPr>
              <w:t>3</w:t>
            </w:r>
          </w:p>
        </w:tc>
        <w:tc>
          <w:tcPr>
            <w:tcW w:w="160" w:type="dxa"/>
            <w:vAlign w:val="bottom"/>
            <w:tcBorders>
              <w:bottom w:val="single" w:sz="8" w:color="70AD47"/>
            </w:tcBorders>
          </w:tcPr>
          <w:p>
            <w:pPr>
              <w:spacing w:after="0"/>
              <w:rPr>
                <w:sz w:val="24"/>
                <w:szCs w:val="24"/>
                <w:color w:val="auto"/>
              </w:rPr>
            </w:pPr>
          </w:p>
        </w:tc>
        <w:tc>
          <w:tcPr>
            <w:tcW w:w="840" w:type="dxa"/>
            <w:vAlign w:val="bottom"/>
            <w:tcBorders>
              <w:bottom w:val="single" w:sz="8" w:color="70AD47"/>
              <w:right w:val="single" w:sz="8" w:color="70AD47"/>
            </w:tcBorders>
          </w:tcPr>
          <w:p>
            <w:pPr>
              <w:jc w:val="center"/>
              <w:ind w:right="72"/>
              <w:spacing w:after="0"/>
              <w:rPr>
                <w:sz w:val="20"/>
                <w:szCs w:val="20"/>
                <w:color w:val="auto"/>
              </w:rPr>
            </w:pPr>
            <w:r>
              <w:rPr>
                <w:rFonts w:ascii="Arial" w:cs="Arial" w:eastAsia="Arial" w:hAnsi="Arial"/>
                <w:sz w:val="22"/>
                <w:szCs w:val="22"/>
                <w:color w:val="auto"/>
                <w:w w:val="96"/>
              </w:rPr>
              <w:t>— %</w:t>
            </w:r>
          </w:p>
        </w:tc>
        <w:tc>
          <w:tcPr>
            <w:tcW w:w="0" w:type="dxa"/>
            <w:vAlign w:val="bottom"/>
          </w:tcPr>
          <w:p>
            <w:pPr>
              <w:spacing w:after="0"/>
              <w:rPr>
                <w:sz w:val="1"/>
                <w:szCs w:val="1"/>
                <w:color w:val="auto"/>
              </w:rPr>
            </w:pPr>
          </w:p>
        </w:tc>
      </w:tr>
      <w:tr>
        <w:trPr>
          <w:trHeight w:val="265"/>
        </w:trPr>
        <w:tc>
          <w:tcPr>
            <w:tcW w:w="3040" w:type="dxa"/>
            <w:vAlign w:val="bottom"/>
            <w:tcBorders>
              <w:right w:val="single" w:sz="8" w:color="70AD47"/>
            </w:tcBorders>
          </w:tcPr>
          <w:p>
            <w:pPr>
              <w:ind w:left="20"/>
              <w:spacing w:after="0"/>
              <w:rPr>
                <w:sz w:val="20"/>
                <w:szCs w:val="20"/>
                <w:color w:val="auto"/>
              </w:rPr>
            </w:pPr>
            <w:r>
              <w:rPr>
                <w:rFonts w:ascii="Arial" w:cs="Arial" w:eastAsia="Arial" w:hAnsi="Arial"/>
                <w:sz w:val="22"/>
                <w:szCs w:val="22"/>
                <w:b w:val="1"/>
                <w:bCs w:val="1"/>
                <w:color w:val="auto"/>
              </w:rPr>
              <w:t>Performance-related</w:t>
            </w:r>
          </w:p>
        </w:tc>
        <w:tc>
          <w:tcPr>
            <w:tcW w:w="940" w:type="dxa"/>
            <w:vAlign w:val="bottom"/>
            <w:shd w:val="clear" w:color="auto" w:fill="C6E0B4"/>
          </w:tcPr>
          <w:p>
            <w:pPr>
              <w:spacing w:after="0"/>
              <w:rPr>
                <w:sz w:val="23"/>
                <w:szCs w:val="23"/>
                <w:color w:val="auto"/>
              </w:rPr>
            </w:pPr>
          </w:p>
        </w:tc>
        <w:tc>
          <w:tcPr>
            <w:tcW w:w="100" w:type="dxa"/>
            <w:vAlign w:val="bottom"/>
            <w:tcBorders>
              <w:right w:val="single" w:sz="8" w:color="70AD47"/>
            </w:tcBorders>
            <w:shd w:val="clear" w:color="auto" w:fill="C6E0B4"/>
          </w:tcPr>
          <w:p>
            <w:pPr>
              <w:spacing w:after="0"/>
              <w:rPr>
                <w:sz w:val="23"/>
                <w:szCs w:val="23"/>
                <w:color w:val="auto"/>
              </w:rPr>
            </w:pPr>
          </w:p>
        </w:tc>
        <w:tc>
          <w:tcPr>
            <w:tcW w:w="1020" w:type="dxa"/>
            <w:vAlign w:val="bottom"/>
            <w:tcBorders>
              <w:right w:val="single" w:sz="8" w:color="70AD47"/>
            </w:tcBorders>
            <w:shd w:val="clear" w:color="auto" w:fill="C6E0B4"/>
          </w:tcPr>
          <w:p>
            <w:pPr>
              <w:spacing w:after="0"/>
              <w:rPr>
                <w:sz w:val="23"/>
                <w:szCs w:val="23"/>
                <w:color w:val="auto"/>
              </w:rPr>
            </w:pPr>
          </w:p>
        </w:tc>
        <w:tc>
          <w:tcPr>
            <w:tcW w:w="1020" w:type="dxa"/>
            <w:vAlign w:val="bottom"/>
            <w:tcBorders>
              <w:right w:val="single" w:sz="8" w:color="70AD47"/>
            </w:tcBorders>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Borders>
              <w:right w:val="single" w:sz="8" w:color="70AD47"/>
            </w:tcBorders>
          </w:tcPr>
          <w:p>
            <w:pPr>
              <w:spacing w:after="0"/>
              <w:rPr>
                <w:sz w:val="23"/>
                <w:szCs w:val="23"/>
                <w:color w:val="auto"/>
              </w:rPr>
            </w:pPr>
          </w:p>
        </w:tc>
        <w:tc>
          <w:tcPr>
            <w:tcW w:w="1040" w:type="dxa"/>
            <w:vAlign w:val="bottom"/>
            <w:tcBorders>
              <w:right w:val="single" w:sz="8" w:color="70AD47"/>
            </w:tcBorders>
            <w:shd w:val="clear" w:color="auto" w:fill="C6E0B4"/>
          </w:tcPr>
          <w:p>
            <w:pPr>
              <w:spacing w:after="0"/>
              <w:rPr>
                <w:sz w:val="23"/>
                <w:szCs w:val="23"/>
                <w:color w:val="auto"/>
              </w:rPr>
            </w:pPr>
          </w:p>
        </w:tc>
        <w:tc>
          <w:tcPr>
            <w:tcW w:w="1020" w:type="dxa"/>
            <w:vAlign w:val="bottom"/>
            <w:tcBorders>
              <w:right w:val="single" w:sz="8" w:color="70AD47"/>
            </w:tcBorders>
            <w:shd w:val="clear" w:color="auto" w:fill="C6E0B4"/>
          </w:tcPr>
          <w:p>
            <w:pPr>
              <w:spacing w:after="0"/>
              <w:rPr>
                <w:sz w:val="23"/>
                <w:szCs w:val="23"/>
                <w:color w:val="auto"/>
              </w:rPr>
            </w:pPr>
          </w:p>
        </w:tc>
        <w:tc>
          <w:tcPr>
            <w:tcW w:w="1040" w:type="dxa"/>
            <w:vAlign w:val="bottom"/>
            <w:tcBorders>
              <w:right w:val="single" w:sz="8" w:color="70AD47"/>
            </w:tcBorders>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Borders>
              <w:right w:val="single" w:sz="8" w:color="70AD47"/>
            </w:tcBorders>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3040" w:type="dxa"/>
            <w:vAlign w:val="bottom"/>
            <w:tcBorders>
              <w:right w:val="single" w:sz="8" w:color="70AD47"/>
            </w:tcBorders>
          </w:tcPr>
          <w:p>
            <w:pPr>
              <w:ind w:left="20"/>
              <w:spacing w:after="0"/>
              <w:rPr>
                <w:sz w:val="20"/>
                <w:szCs w:val="20"/>
                <w:color w:val="auto"/>
              </w:rPr>
            </w:pPr>
            <w:r>
              <w:rPr>
                <w:rFonts w:ascii="Arial" w:cs="Arial" w:eastAsia="Arial" w:hAnsi="Arial"/>
                <w:sz w:val="22"/>
                <w:szCs w:val="22"/>
                <w:b w:val="1"/>
                <w:bCs w:val="1"/>
                <w:color w:val="auto"/>
              </w:rPr>
              <w:t>compensation</w:t>
            </w:r>
          </w:p>
        </w:tc>
        <w:tc>
          <w:tcPr>
            <w:tcW w:w="940" w:type="dxa"/>
            <w:vAlign w:val="bottom"/>
            <w:shd w:val="clear" w:color="auto" w:fill="C6E0B4"/>
          </w:tcPr>
          <w:p>
            <w:pPr>
              <w:spacing w:after="0"/>
              <w:rPr>
                <w:sz w:val="24"/>
                <w:szCs w:val="24"/>
                <w:color w:val="auto"/>
              </w:rPr>
            </w:pPr>
          </w:p>
        </w:tc>
        <w:tc>
          <w:tcPr>
            <w:tcW w:w="100" w:type="dxa"/>
            <w:vAlign w:val="bottom"/>
            <w:tcBorders>
              <w:right w:val="single" w:sz="8" w:color="70AD47"/>
            </w:tcBorders>
            <w:shd w:val="clear" w:color="auto" w:fill="C6E0B4"/>
          </w:tcPr>
          <w:p>
            <w:pPr>
              <w:spacing w:after="0"/>
              <w:rPr>
                <w:sz w:val="24"/>
                <w:szCs w:val="24"/>
                <w:color w:val="auto"/>
              </w:rPr>
            </w:pPr>
          </w:p>
        </w:tc>
        <w:tc>
          <w:tcPr>
            <w:tcW w:w="1020" w:type="dxa"/>
            <w:vAlign w:val="bottom"/>
            <w:tcBorders>
              <w:right w:val="single" w:sz="8" w:color="70AD47"/>
            </w:tcBorders>
            <w:shd w:val="clear" w:color="auto" w:fill="C6E0B4"/>
          </w:tcPr>
          <w:p>
            <w:pPr>
              <w:spacing w:after="0"/>
              <w:rPr>
                <w:sz w:val="24"/>
                <w:szCs w:val="24"/>
                <w:color w:val="auto"/>
              </w:rPr>
            </w:pPr>
          </w:p>
        </w:tc>
        <w:tc>
          <w:tcPr>
            <w:tcW w:w="1020" w:type="dxa"/>
            <w:vAlign w:val="bottom"/>
            <w:tcBorders>
              <w:right w:val="single" w:sz="8" w:color="70AD47"/>
            </w:tcBorders>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Borders>
              <w:right w:val="single" w:sz="8" w:color="70AD47"/>
            </w:tcBorders>
          </w:tcPr>
          <w:p>
            <w:pPr>
              <w:spacing w:after="0"/>
              <w:rPr>
                <w:sz w:val="24"/>
                <w:szCs w:val="24"/>
                <w:color w:val="auto"/>
              </w:rPr>
            </w:pPr>
          </w:p>
        </w:tc>
        <w:tc>
          <w:tcPr>
            <w:tcW w:w="1040" w:type="dxa"/>
            <w:vAlign w:val="bottom"/>
            <w:tcBorders>
              <w:right w:val="single" w:sz="8" w:color="70AD47"/>
            </w:tcBorders>
            <w:shd w:val="clear" w:color="auto" w:fill="C6E0B4"/>
          </w:tcPr>
          <w:p>
            <w:pPr>
              <w:spacing w:after="0"/>
              <w:rPr>
                <w:sz w:val="24"/>
                <w:szCs w:val="24"/>
                <w:color w:val="auto"/>
              </w:rPr>
            </w:pPr>
          </w:p>
        </w:tc>
        <w:tc>
          <w:tcPr>
            <w:tcW w:w="1020" w:type="dxa"/>
            <w:vAlign w:val="bottom"/>
            <w:tcBorders>
              <w:right w:val="single" w:sz="8" w:color="70AD47"/>
            </w:tcBorders>
            <w:shd w:val="clear" w:color="auto" w:fill="C6E0B4"/>
          </w:tcPr>
          <w:p>
            <w:pPr>
              <w:spacing w:after="0"/>
              <w:rPr>
                <w:sz w:val="24"/>
                <w:szCs w:val="24"/>
                <w:color w:val="auto"/>
              </w:rPr>
            </w:pPr>
          </w:p>
        </w:tc>
        <w:tc>
          <w:tcPr>
            <w:tcW w:w="1040" w:type="dxa"/>
            <w:vAlign w:val="bottom"/>
            <w:tcBorders>
              <w:right w:val="single" w:sz="8" w:color="70AD47"/>
            </w:tcBorders>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Borders>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040" w:type="dxa"/>
            <w:vAlign w:val="bottom"/>
            <w:tcBorders>
              <w:right w:val="single" w:sz="8" w:color="70AD47"/>
            </w:tcBorders>
          </w:tcPr>
          <w:p>
            <w:pPr>
              <w:ind w:left="20"/>
              <w:spacing w:after="0"/>
              <w:rPr>
                <w:sz w:val="20"/>
                <w:szCs w:val="20"/>
                <w:color w:val="auto"/>
              </w:rPr>
            </w:pPr>
            <w:r>
              <w:rPr>
                <w:rFonts w:ascii="Arial" w:cs="Arial" w:eastAsia="Arial" w:hAnsi="Arial"/>
                <w:sz w:val="22"/>
                <w:szCs w:val="22"/>
                <w:color w:val="auto"/>
              </w:rPr>
              <w:t>Short-term incentive</w:t>
            </w:r>
          </w:p>
        </w:tc>
        <w:tc>
          <w:tcPr>
            <w:tcW w:w="940" w:type="dxa"/>
            <w:vAlign w:val="bottom"/>
            <w:shd w:val="clear" w:color="auto" w:fill="C6E0B4"/>
          </w:tcPr>
          <w:p>
            <w:pPr>
              <w:jc w:val="center"/>
              <w:spacing w:after="0"/>
              <w:rPr>
                <w:sz w:val="20"/>
                <w:szCs w:val="20"/>
                <w:color w:val="auto"/>
              </w:rPr>
            </w:pPr>
            <w:r>
              <w:rPr>
                <w:rFonts w:ascii="Arial" w:cs="Arial" w:eastAsia="Arial" w:hAnsi="Arial"/>
                <w:sz w:val="22"/>
                <w:szCs w:val="22"/>
                <w:color w:val="auto"/>
                <w:w w:val="87"/>
              </w:rPr>
              <w:t>180</w:t>
            </w:r>
          </w:p>
        </w:tc>
        <w:tc>
          <w:tcPr>
            <w:tcW w:w="100" w:type="dxa"/>
            <w:vAlign w:val="bottom"/>
            <w:tcBorders>
              <w:right w:val="single" w:sz="8" w:color="70AD47"/>
            </w:tcBorders>
            <w:shd w:val="clear" w:color="auto" w:fill="C6E0B4"/>
          </w:tcPr>
          <w:p>
            <w:pPr>
              <w:spacing w:after="0"/>
              <w:rPr>
                <w:sz w:val="24"/>
                <w:szCs w:val="24"/>
                <w:color w:val="auto"/>
              </w:rPr>
            </w:pPr>
          </w:p>
        </w:tc>
        <w:tc>
          <w:tcPr>
            <w:tcW w:w="1020" w:type="dxa"/>
            <w:vAlign w:val="bottom"/>
            <w:tcBorders>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86"/>
              </w:rPr>
              <w:t>21%</w:t>
            </w:r>
          </w:p>
        </w:tc>
        <w:tc>
          <w:tcPr>
            <w:tcW w:w="102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7"/>
              </w:rPr>
              <w:t>180</w:t>
            </w:r>
          </w:p>
        </w:tc>
        <w:tc>
          <w:tcPr>
            <w:tcW w:w="180" w:type="dxa"/>
            <w:vAlign w:val="bottom"/>
          </w:tcPr>
          <w:p>
            <w:pPr>
              <w:spacing w:after="0"/>
              <w:rPr>
                <w:sz w:val="24"/>
                <w:szCs w:val="24"/>
                <w:color w:val="auto"/>
              </w:rPr>
            </w:pPr>
          </w:p>
        </w:tc>
        <w:tc>
          <w:tcPr>
            <w:tcW w:w="840" w:type="dxa"/>
            <w:vAlign w:val="bottom"/>
            <w:tcBorders>
              <w:right w:val="single" w:sz="8" w:color="70AD47"/>
            </w:tcBorders>
          </w:tcPr>
          <w:p>
            <w:pPr>
              <w:jc w:val="center"/>
              <w:ind w:right="92"/>
              <w:spacing w:after="0"/>
              <w:rPr>
                <w:sz w:val="20"/>
                <w:szCs w:val="20"/>
                <w:color w:val="auto"/>
              </w:rPr>
            </w:pPr>
            <w:r>
              <w:rPr>
                <w:rFonts w:ascii="Arial" w:cs="Arial" w:eastAsia="Arial" w:hAnsi="Arial"/>
                <w:sz w:val="22"/>
                <w:szCs w:val="22"/>
                <w:color w:val="auto"/>
                <w:w w:val="90"/>
              </w:rPr>
              <w:t>21%</w:t>
            </w:r>
          </w:p>
        </w:tc>
        <w:tc>
          <w:tcPr>
            <w:tcW w:w="1040" w:type="dxa"/>
            <w:vAlign w:val="bottom"/>
            <w:tcBorders>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92"/>
              </w:rPr>
              <w:t>180</w:t>
            </w:r>
          </w:p>
        </w:tc>
        <w:tc>
          <w:tcPr>
            <w:tcW w:w="1020" w:type="dxa"/>
            <w:vAlign w:val="bottom"/>
            <w:tcBorders>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90"/>
              </w:rPr>
              <w:t>21%</w:t>
            </w:r>
          </w:p>
        </w:tc>
        <w:tc>
          <w:tcPr>
            <w:tcW w:w="10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7"/>
              </w:rPr>
              <w:t>180</w:t>
            </w:r>
          </w:p>
        </w:tc>
        <w:tc>
          <w:tcPr>
            <w:tcW w:w="160" w:type="dxa"/>
            <w:vAlign w:val="bottom"/>
          </w:tcPr>
          <w:p>
            <w:pPr>
              <w:spacing w:after="0"/>
              <w:rPr>
                <w:sz w:val="24"/>
                <w:szCs w:val="24"/>
                <w:color w:val="auto"/>
              </w:rPr>
            </w:pPr>
          </w:p>
        </w:tc>
        <w:tc>
          <w:tcPr>
            <w:tcW w:w="840" w:type="dxa"/>
            <w:vAlign w:val="bottom"/>
            <w:tcBorders>
              <w:right w:val="single" w:sz="8" w:color="70AD47"/>
            </w:tcBorders>
          </w:tcPr>
          <w:p>
            <w:pPr>
              <w:jc w:val="center"/>
              <w:ind w:right="92"/>
              <w:spacing w:after="0"/>
              <w:rPr>
                <w:sz w:val="20"/>
                <w:szCs w:val="20"/>
                <w:color w:val="auto"/>
              </w:rPr>
            </w:pPr>
            <w:r>
              <w:rPr>
                <w:rFonts w:ascii="Arial" w:cs="Arial" w:eastAsia="Arial" w:hAnsi="Arial"/>
                <w:sz w:val="22"/>
                <w:szCs w:val="22"/>
                <w:color w:val="auto"/>
                <w:w w:val="90"/>
              </w:rPr>
              <w:t>21%</w:t>
            </w:r>
          </w:p>
        </w:tc>
        <w:tc>
          <w:tcPr>
            <w:tcW w:w="0" w:type="dxa"/>
            <w:vAlign w:val="bottom"/>
          </w:tcPr>
          <w:p>
            <w:pPr>
              <w:spacing w:after="0"/>
              <w:rPr>
                <w:sz w:val="1"/>
                <w:szCs w:val="1"/>
                <w:color w:val="auto"/>
              </w:rPr>
            </w:pPr>
          </w:p>
        </w:tc>
      </w:tr>
      <w:tr>
        <w:trPr>
          <w:trHeight w:val="216"/>
        </w:trPr>
        <w:tc>
          <w:tcPr>
            <w:tcW w:w="3040" w:type="dxa"/>
            <w:vAlign w:val="bottom"/>
            <w:tcBorders>
              <w:right w:val="single" w:sz="8" w:color="70AD47"/>
            </w:tcBorders>
          </w:tcPr>
          <w:p>
            <w:pPr>
              <w:ind w:left="20"/>
              <w:spacing w:after="0" w:line="216" w:lineRule="exact"/>
              <w:rPr>
                <w:sz w:val="20"/>
                <w:szCs w:val="20"/>
                <w:color w:val="auto"/>
              </w:rPr>
            </w:pPr>
            <w:r>
              <w:rPr>
                <w:rFonts w:ascii="Arial" w:cs="Arial" w:eastAsia="Arial" w:hAnsi="Arial"/>
                <w:sz w:val="22"/>
                <w:szCs w:val="22"/>
                <w:color w:val="auto"/>
                <w:w w:val="88"/>
              </w:rPr>
              <w:t>Share-based payments (incl. long-</w:t>
            </w:r>
          </w:p>
        </w:tc>
        <w:tc>
          <w:tcPr>
            <w:tcW w:w="940" w:type="dxa"/>
            <w:vAlign w:val="bottom"/>
            <w:vMerge w:val="restart"/>
            <w:shd w:val="clear" w:color="auto" w:fill="C6E0B4"/>
          </w:tcPr>
          <w:p>
            <w:pPr>
              <w:jc w:val="center"/>
              <w:spacing w:after="0"/>
              <w:rPr>
                <w:sz w:val="20"/>
                <w:szCs w:val="20"/>
                <w:color w:val="auto"/>
              </w:rPr>
            </w:pPr>
            <w:r>
              <w:rPr>
                <w:rFonts w:ascii="Arial" w:cs="Arial" w:eastAsia="Arial" w:hAnsi="Arial"/>
                <w:sz w:val="22"/>
                <w:szCs w:val="22"/>
                <w:color w:val="auto"/>
                <w:w w:val="87"/>
              </w:rPr>
              <w:t>300</w:t>
            </w:r>
          </w:p>
        </w:tc>
        <w:tc>
          <w:tcPr>
            <w:tcW w:w="100" w:type="dxa"/>
            <w:vAlign w:val="bottom"/>
            <w:tcBorders>
              <w:right w:val="single" w:sz="8" w:color="70AD47"/>
            </w:tcBorders>
            <w:shd w:val="clear" w:color="auto" w:fill="C6E0B4"/>
          </w:tcPr>
          <w:p>
            <w:pPr>
              <w:spacing w:after="0"/>
              <w:rPr>
                <w:sz w:val="18"/>
                <w:szCs w:val="18"/>
                <w:color w:val="auto"/>
              </w:rPr>
            </w:pPr>
          </w:p>
        </w:tc>
        <w:tc>
          <w:tcPr>
            <w:tcW w:w="1020" w:type="dxa"/>
            <w:vAlign w:val="bottom"/>
            <w:tcBorders>
              <w:right w:val="single" w:sz="8" w:color="70AD47"/>
            </w:tcBorders>
            <w:vMerge w:val="restart"/>
            <w:shd w:val="clear" w:color="auto" w:fill="C6E0B4"/>
          </w:tcPr>
          <w:p>
            <w:pPr>
              <w:jc w:val="center"/>
              <w:spacing w:after="0"/>
              <w:rPr>
                <w:sz w:val="20"/>
                <w:szCs w:val="20"/>
                <w:color w:val="auto"/>
              </w:rPr>
            </w:pPr>
            <w:r>
              <w:rPr>
                <w:rFonts w:ascii="Arial" w:cs="Arial" w:eastAsia="Arial" w:hAnsi="Arial"/>
                <w:sz w:val="22"/>
                <w:szCs w:val="22"/>
                <w:color w:val="auto"/>
                <w:w w:val="86"/>
              </w:rPr>
              <w:t>35%</w:t>
            </w:r>
          </w:p>
        </w:tc>
        <w:tc>
          <w:tcPr>
            <w:tcW w:w="1020" w:type="dxa"/>
            <w:vAlign w:val="bottom"/>
            <w:tcBorders>
              <w:right w:val="single" w:sz="8" w:color="70AD47"/>
            </w:tcBorders>
            <w:vMerge w:val="restart"/>
          </w:tcPr>
          <w:p>
            <w:pPr>
              <w:jc w:val="center"/>
              <w:spacing w:after="0"/>
              <w:rPr>
                <w:sz w:val="20"/>
                <w:szCs w:val="20"/>
                <w:color w:val="auto"/>
              </w:rPr>
            </w:pPr>
            <w:r>
              <w:rPr>
                <w:rFonts w:ascii="Arial" w:cs="Arial" w:eastAsia="Arial" w:hAnsi="Arial"/>
                <w:sz w:val="22"/>
                <w:szCs w:val="22"/>
                <w:color w:val="auto"/>
                <w:w w:val="87"/>
              </w:rPr>
              <w:t>300</w:t>
            </w:r>
          </w:p>
        </w:tc>
        <w:tc>
          <w:tcPr>
            <w:tcW w:w="180" w:type="dxa"/>
            <w:vAlign w:val="bottom"/>
          </w:tcPr>
          <w:p>
            <w:pPr>
              <w:spacing w:after="0"/>
              <w:rPr>
                <w:sz w:val="18"/>
                <w:szCs w:val="18"/>
                <w:color w:val="auto"/>
              </w:rPr>
            </w:pPr>
          </w:p>
        </w:tc>
        <w:tc>
          <w:tcPr>
            <w:tcW w:w="840" w:type="dxa"/>
            <w:vAlign w:val="bottom"/>
            <w:tcBorders>
              <w:right w:val="single" w:sz="8" w:color="70AD47"/>
            </w:tcBorders>
            <w:vMerge w:val="restart"/>
          </w:tcPr>
          <w:p>
            <w:pPr>
              <w:jc w:val="center"/>
              <w:ind w:right="92"/>
              <w:spacing w:after="0"/>
              <w:rPr>
                <w:sz w:val="20"/>
                <w:szCs w:val="20"/>
                <w:color w:val="auto"/>
              </w:rPr>
            </w:pPr>
            <w:r>
              <w:rPr>
                <w:rFonts w:ascii="Arial" w:cs="Arial" w:eastAsia="Arial" w:hAnsi="Arial"/>
                <w:sz w:val="22"/>
                <w:szCs w:val="22"/>
                <w:color w:val="auto"/>
                <w:w w:val="90"/>
              </w:rPr>
              <w:t>35%</w:t>
            </w:r>
          </w:p>
        </w:tc>
        <w:tc>
          <w:tcPr>
            <w:tcW w:w="1040" w:type="dxa"/>
            <w:vAlign w:val="bottom"/>
            <w:tcBorders>
              <w:right w:val="single" w:sz="8" w:color="70AD47"/>
            </w:tcBorders>
            <w:vMerge w:val="restart"/>
            <w:shd w:val="clear" w:color="auto" w:fill="C6E0B4"/>
          </w:tcPr>
          <w:p>
            <w:pPr>
              <w:jc w:val="center"/>
              <w:spacing w:after="0"/>
              <w:rPr>
                <w:sz w:val="20"/>
                <w:szCs w:val="20"/>
                <w:color w:val="auto"/>
              </w:rPr>
            </w:pPr>
            <w:r>
              <w:rPr>
                <w:rFonts w:ascii="Arial" w:cs="Arial" w:eastAsia="Arial" w:hAnsi="Arial"/>
                <w:sz w:val="22"/>
                <w:szCs w:val="22"/>
                <w:color w:val="auto"/>
                <w:w w:val="92"/>
              </w:rPr>
              <w:t>300</w:t>
            </w:r>
          </w:p>
        </w:tc>
        <w:tc>
          <w:tcPr>
            <w:tcW w:w="1020" w:type="dxa"/>
            <w:vAlign w:val="bottom"/>
            <w:tcBorders>
              <w:right w:val="single" w:sz="8" w:color="70AD47"/>
            </w:tcBorders>
            <w:vMerge w:val="restart"/>
            <w:shd w:val="clear" w:color="auto" w:fill="C6E0B4"/>
          </w:tcPr>
          <w:p>
            <w:pPr>
              <w:jc w:val="center"/>
              <w:spacing w:after="0"/>
              <w:rPr>
                <w:sz w:val="20"/>
                <w:szCs w:val="20"/>
                <w:color w:val="auto"/>
              </w:rPr>
            </w:pPr>
            <w:r>
              <w:rPr>
                <w:rFonts w:ascii="Arial" w:cs="Arial" w:eastAsia="Arial" w:hAnsi="Arial"/>
                <w:sz w:val="22"/>
                <w:szCs w:val="22"/>
                <w:color w:val="auto"/>
                <w:w w:val="90"/>
              </w:rPr>
              <w:t>36%</w:t>
            </w:r>
          </w:p>
        </w:tc>
        <w:tc>
          <w:tcPr>
            <w:tcW w:w="1040" w:type="dxa"/>
            <w:vAlign w:val="bottom"/>
            <w:tcBorders>
              <w:right w:val="single" w:sz="8" w:color="70AD47"/>
            </w:tcBorders>
            <w:vMerge w:val="restart"/>
          </w:tcPr>
          <w:p>
            <w:pPr>
              <w:jc w:val="center"/>
              <w:spacing w:after="0"/>
              <w:rPr>
                <w:sz w:val="20"/>
                <w:szCs w:val="20"/>
                <w:color w:val="auto"/>
              </w:rPr>
            </w:pPr>
            <w:r>
              <w:rPr>
                <w:rFonts w:ascii="Arial" w:cs="Arial" w:eastAsia="Arial" w:hAnsi="Arial"/>
                <w:sz w:val="22"/>
                <w:szCs w:val="22"/>
                <w:color w:val="auto"/>
                <w:w w:val="87"/>
              </w:rPr>
              <w:t>300</w:t>
            </w:r>
          </w:p>
        </w:tc>
        <w:tc>
          <w:tcPr>
            <w:tcW w:w="160" w:type="dxa"/>
            <w:vAlign w:val="bottom"/>
          </w:tcPr>
          <w:p>
            <w:pPr>
              <w:spacing w:after="0"/>
              <w:rPr>
                <w:sz w:val="18"/>
                <w:szCs w:val="18"/>
                <w:color w:val="auto"/>
              </w:rPr>
            </w:pPr>
          </w:p>
        </w:tc>
        <w:tc>
          <w:tcPr>
            <w:tcW w:w="840" w:type="dxa"/>
            <w:vAlign w:val="bottom"/>
            <w:tcBorders>
              <w:right w:val="single" w:sz="8" w:color="70AD47"/>
            </w:tcBorders>
            <w:vMerge w:val="restart"/>
          </w:tcPr>
          <w:p>
            <w:pPr>
              <w:jc w:val="center"/>
              <w:ind w:right="92"/>
              <w:spacing w:after="0"/>
              <w:rPr>
                <w:sz w:val="20"/>
                <w:szCs w:val="20"/>
                <w:color w:val="auto"/>
              </w:rPr>
            </w:pPr>
            <w:r>
              <w:rPr>
                <w:rFonts w:ascii="Arial" w:cs="Arial" w:eastAsia="Arial" w:hAnsi="Arial"/>
                <w:sz w:val="22"/>
                <w:szCs w:val="22"/>
                <w:color w:val="auto"/>
                <w:w w:val="90"/>
              </w:rPr>
              <w:t>36%</w:t>
            </w:r>
          </w:p>
        </w:tc>
        <w:tc>
          <w:tcPr>
            <w:tcW w:w="0" w:type="dxa"/>
            <w:vAlign w:val="bottom"/>
          </w:tcPr>
          <w:p>
            <w:pPr>
              <w:spacing w:after="0"/>
              <w:rPr>
                <w:sz w:val="1"/>
                <w:szCs w:val="1"/>
                <w:color w:val="auto"/>
              </w:rPr>
            </w:pPr>
          </w:p>
        </w:tc>
      </w:tr>
      <w:tr>
        <w:trPr>
          <w:trHeight w:val="276"/>
        </w:trPr>
        <w:tc>
          <w:tcPr>
            <w:tcW w:w="3040" w:type="dxa"/>
            <w:vAlign w:val="bottom"/>
            <w:tcBorders>
              <w:bottom w:val="single" w:sz="8" w:color="70AD47"/>
              <w:right w:val="single" w:sz="8" w:color="70AD47"/>
            </w:tcBorders>
          </w:tcPr>
          <w:p>
            <w:pPr>
              <w:ind w:left="20"/>
              <w:spacing w:after="0"/>
              <w:rPr>
                <w:sz w:val="20"/>
                <w:szCs w:val="20"/>
                <w:color w:val="auto"/>
              </w:rPr>
            </w:pPr>
            <w:r>
              <w:rPr>
                <w:rFonts w:ascii="Arial" w:cs="Arial" w:eastAsia="Arial" w:hAnsi="Arial"/>
                <w:sz w:val="22"/>
                <w:szCs w:val="22"/>
                <w:color w:val="auto"/>
              </w:rPr>
              <w:t>term incentive)</w:t>
            </w:r>
          </w:p>
        </w:tc>
        <w:tc>
          <w:tcPr>
            <w:tcW w:w="940" w:type="dxa"/>
            <w:vAlign w:val="bottom"/>
            <w:tcBorders>
              <w:bottom w:val="single" w:sz="8" w:color="70AD47"/>
            </w:tcBorders>
            <w:vMerge w:val="continue"/>
            <w:shd w:val="clear" w:color="auto" w:fill="C6E0B4"/>
          </w:tcPr>
          <w:p>
            <w:pPr>
              <w:spacing w:after="0"/>
              <w:rPr>
                <w:sz w:val="24"/>
                <w:szCs w:val="24"/>
                <w:color w:val="auto"/>
              </w:rPr>
            </w:pPr>
          </w:p>
        </w:tc>
        <w:tc>
          <w:tcPr>
            <w:tcW w:w="100" w:type="dxa"/>
            <w:vAlign w:val="bottom"/>
            <w:tcBorders>
              <w:bottom w:val="single" w:sz="8" w:color="70AD47"/>
              <w:right w:val="single" w:sz="8" w:color="70AD47"/>
            </w:tcBorders>
            <w:shd w:val="clear" w:color="auto" w:fill="C6E0B4"/>
          </w:tcPr>
          <w:p>
            <w:pPr>
              <w:spacing w:after="0"/>
              <w:rPr>
                <w:sz w:val="24"/>
                <w:szCs w:val="24"/>
                <w:color w:val="auto"/>
              </w:rPr>
            </w:pPr>
          </w:p>
        </w:tc>
        <w:tc>
          <w:tcPr>
            <w:tcW w:w="1020" w:type="dxa"/>
            <w:vAlign w:val="bottom"/>
            <w:tcBorders>
              <w:bottom w:val="single" w:sz="8" w:color="70AD47"/>
              <w:right w:val="single" w:sz="8" w:color="70AD47"/>
            </w:tcBorders>
            <w:vMerge w:val="continue"/>
            <w:shd w:val="clear" w:color="auto" w:fill="C6E0B4"/>
          </w:tcPr>
          <w:p>
            <w:pPr>
              <w:spacing w:after="0"/>
              <w:rPr>
                <w:sz w:val="24"/>
                <w:szCs w:val="24"/>
                <w:color w:val="auto"/>
              </w:rPr>
            </w:pPr>
          </w:p>
        </w:tc>
        <w:tc>
          <w:tcPr>
            <w:tcW w:w="1020" w:type="dxa"/>
            <w:vAlign w:val="bottom"/>
            <w:tcBorders>
              <w:bottom w:val="single" w:sz="8" w:color="70AD47"/>
              <w:right w:val="single" w:sz="8" w:color="70AD47"/>
            </w:tcBorders>
            <w:vMerge w:val="continue"/>
          </w:tcPr>
          <w:p>
            <w:pPr>
              <w:spacing w:after="0"/>
              <w:rPr>
                <w:sz w:val="24"/>
                <w:szCs w:val="24"/>
                <w:color w:val="auto"/>
              </w:rPr>
            </w:pPr>
          </w:p>
        </w:tc>
        <w:tc>
          <w:tcPr>
            <w:tcW w:w="180" w:type="dxa"/>
            <w:vAlign w:val="bottom"/>
            <w:tcBorders>
              <w:bottom w:val="single" w:sz="8" w:color="70AD47"/>
            </w:tcBorders>
          </w:tcPr>
          <w:p>
            <w:pPr>
              <w:spacing w:after="0"/>
              <w:rPr>
                <w:sz w:val="24"/>
                <w:szCs w:val="24"/>
                <w:color w:val="auto"/>
              </w:rPr>
            </w:pPr>
          </w:p>
        </w:tc>
        <w:tc>
          <w:tcPr>
            <w:tcW w:w="840" w:type="dxa"/>
            <w:vAlign w:val="bottom"/>
            <w:tcBorders>
              <w:bottom w:val="single" w:sz="8" w:color="70AD47"/>
              <w:right w:val="single" w:sz="8" w:color="70AD47"/>
            </w:tcBorders>
            <w:vMerge w:val="continue"/>
          </w:tcPr>
          <w:p>
            <w:pPr>
              <w:spacing w:after="0"/>
              <w:rPr>
                <w:sz w:val="24"/>
                <w:szCs w:val="24"/>
                <w:color w:val="auto"/>
              </w:rPr>
            </w:pPr>
          </w:p>
        </w:tc>
        <w:tc>
          <w:tcPr>
            <w:tcW w:w="1040" w:type="dxa"/>
            <w:vAlign w:val="bottom"/>
            <w:tcBorders>
              <w:bottom w:val="single" w:sz="8" w:color="70AD47"/>
              <w:right w:val="single" w:sz="8" w:color="70AD47"/>
            </w:tcBorders>
            <w:vMerge w:val="continue"/>
            <w:shd w:val="clear" w:color="auto" w:fill="C6E0B4"/>
          </w:tcPr>
          <w:p>
            <w:pPr>
              <w:spacing w:after="0"/>
              <w:rPr>
                <w:sz w:val="24"/>
                <w:szCs w:val="24"/>
                <w:color w:val="auto"/>
              </w:rPr>
            </w:pPr>
          </w:p>
        </w:tc>
        <w:tc>
          <w:tcPr>
            <w:tcW w:w="1020" w:type="dxa"/>
            <w:vAlign w:val="bottom"/>
            <w:tcBorders>
              <w:bottom w:val="single" w:sz="8" w:color="70AD47"/>
              <w:right w:val="single" w:sz="8" w:color="70AD47"/>
            </w:tcBorders>
            <w:vMerge w:val="continue"/>
            <w:shd w:val="clear" w:color="auto" w:fill="C6E0B4"/>
          </w:tcPr>
          <w:p>
            <w:pPr>
              <w:spacing w:after="0"/>
              <w:rPr>
                <w:sz w:val="24"/>
                <w:szCs w:val="24"/>
                <w:color w:val="auto"/>
              </w:rPr>
            </w:pPr>
          </w:p>
        </w:tc>
        <w:tc>
          <w:tcPr>
            <w:tcW w:w="1040" w:type="dxa"/>
            <w:vAlign w:val="bottom"/>
            <w:tcBorders>
              <w:bottom w:val="single" w:sz="8" w:color="70AD47"/>
              <w:right w:val="single" w:sz="8" w:color="70AD47"/>
            </w:tcBorders>
            <w:vMerge w:val="continue"/>
          </w:tcPr>
          <w:p>
            <w:pPr>
              <w:spacing w:after="0"/>
              <w:rPr>
                <w:sz w:val="24"/>
                <w:szCs w:val="24"/>
                <w:color w:val="auto"/>
              </w:rPr>
            </w:pPr>
          </w:p>
        </w:tc>
        <w:tc>
          <w:tcPr>
            <w:tcW w:w="160" w:type="dxa"/>
            <w:vAlign w:val="bottom"/>
            <w:tcBorders>
              <w:bottom w:val="single" w:sz="8" w:color="70AD47"/>
            </w:tcBorders>
          </w:tcPr>
          <w:p>
            <w:pPr>
              <w:spacing w:after="0"/>
              <w:rPr>
                <w:sz w:val="24"/>
                <w:szCs w:val="24"/>
                <w:color w:val="auto"/>
              </w:rPr>
            </w:pPr>
          </w:p>
        </w:tc>
        <w:tc>
          <w:tcPr>
            <w:tcW w:w="840" w:type="dxa"/>
            <w:vAlign w:val="bottom"/>
            <w:tcBorders>
              <w:bottom w:val="single" w:sz="8" w:color="70AD47"/>
              <w:right w:val="single" w:sz="8" w:color="70AD47"/>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040" w:type="dxa"/>
            <w:vAlign w:val="bottom"/>
            <w:tcBorders>
              <w:right w:val="single" w:sz="8" w:color="70AD47"/>
            </w:tcBorders>
          </w:tcPr>
          <w:p>
            <w:pPr>
              <w:ind w:left="20"/>
              <w:spacing w:after="0" w:line="198" w:lineRule="exact"/>
              <w:rPr>
                <w:sz w:val="20"/>
                <w:szCs w:val="20"/>
                <w:color w:val="auto"/>
              </w:rPr>
            </w:pPr>
            <w:r>
              <w:rPr>
                <w:rFonts w:ascii="Arial" w:cs="Arial" w:eastAsia="Arial" w:hAnsi="Arial"/>
                <w:sz w:val="22"/>
                <w:szCs w:val="22"/>
                <w:b w:val="1"/>
                <w:bCs w:val="1"/>
                <w:color w:val="auto"/>
              </w:rPr>
              <w:t>Target Total Compensation</w:t>
            </w:r>
          </w:p>
        </w:tc>
        <w:tc>
          <w:tcPr>
            <w:tcW w:w="940" w:type="dxa"/>
            <w:vAlign w:val="bottom"/>
            <w:vMerge w:val="restart"/>
            <w:shd w:val="clear" w:color="auto" w:fill="C6E0B4"/>
          </w:tcPr>
          <w:p>
            <w:pPr>
              <w:jc w:val="center"/>
              <w:spacing w:after="0"/>
              <w:rPr>
                <w:sz w:val="20"/>
                <w:szCs w:val="20"/>
                <w:color w:val="auto"/>
              </w:rPr>
            </w:pPr>
            <w:r>
              <w:rPr>
                <w:rFonts w:ascii="Arial" w:cs="Arial" w:eastAsia="Arial" w:hAnsi="Arial"/>
                <w:sz w:val="22"/>
                <w:szCs w:val="22"/>
                <w:b w:val="1"/>
                <w:bCs w:val="1"/>
                <w:color w:val="auto"/>
                <w:w w:val="87"/>
              </w:rPr>
              <w:t>860</w:t>
            </w:r>
          </w:p>
        </w:tc>
        <w:tc>
          <w:tcPr>
            <w:tcW w:w="100" w:type="dxa"/>
            <w:vAlign w:val="bottom"/>
            <w:tcBorders>
              <w:right w:val="single" w:sz="8" w:color="70AD47"/>
            </w:tcBorders>
            <w:shd w:val="clear" w:color="auto" w:fill="C6E0B4"/>
          </w:tcPr>
          <w:p>
            <w:pPr>
              <w:spacing w:after="0"/>
              <w:rPr>
                <w:sz w:val="17"/>
                <w:szCs w:val="17"/>
                <w:color w:val="auto"/>
              </w:rPr>
            </w:pPr>
          </w:p>
        </w:tc>
        <w:tc>
          <w:tcPr>
            <w:tcW w:w="1020" w:type="dxa"/>
            <w:vAlign w:val="bottom"/>
            <w:tcBorders>
              <w:right w:val="single" w:sz="8" w:color="70AD47"/>
            </w:tcBorders>
            <w:vMerge w:val="restart"/>
            <w:shd w:val="clear" w:color="auto" w:fill="C6E0B4"/>
          </w:tcPr>
          <w:p>
            <w:pPr>
              <w:jc w:val="center"/>
              <w:spacing w:after="0"/>
              <w:rPr>
                <w:sz w:val="20"/>
                <w:szCs w:val="20"/>
                <w:color w:val="auto"/>
              </w:rPr>
            </w:pPr>
            <w:r>
              <w:rPr>
                <w:rFonts w:ascii="Arial" w:cs="Arial" w:eastAsia="Arial" w:hAnsi="Arial"/>
                <w:sz w:val="22"/>
                <w:szCs w:val="22"/>
                <w:b w:val="1"/>
                <w:bCs w:val="1"/>
                <w:color w:val="auto"/>
                <w:w w:val="95"/>
              </w:rPr>
              <w:t>100%</w:t>
            </w:r>
          </w:p>
        </w:tc>
        <w:tc>
          <w:tcPr>
            <w:tcW w:w="1020" w:type="dxa"/>
            <w:vAlign w:val="bottom"/>
            <w:tcBorders>
              <w:right w:val="single" w:sz="8" w:color="70AD47"/>
            </w:tcBorders>
            <w:vMerge w:val="restart"/>
          </w:tcPr>
          <w:p>
            <w:pPr>
              <w:jc w:val="center"/>
              <w:spacing w:after="0"/>
              <w:rPr>
                <w:sz w:val="20"/>
                <w:szCs w:val="20"/>
                <w:color w:val="auto"/>
              </w:rPr>
            </w:pPr>
            <w:r>
              <w:rPr>
                <w:rFonts w:ascii="Arial" w:cs="Arial" w:eastAsia="Arial" w:hAnsi="Arial"/>
                <w:sz w:val="22"/>
                <w:szCs w:val="22"/>
                <w:b w:val="1"/>
                <w:bCs w:val="1"/>
                <w:color w:val="auto"/>
                <w:w w:val="87"/>
              </w:rPr>
              <w:t>851</w:t>
            </w:r>
          </w:p>
        </w:tc>
        <w:tc>
          <w:tcPr>
            <w:tcW w:w="180" w:type="dxa"/>
            <w:vAlign w:val="bottom"/>
          </w:tcPr>
          <w:p>
            <w:pPr>
              <w:spacing w:after="0"/>
              <w:rPr>
                <w:sz w:val="17"/>
                <w:szCs w:val="17"/>
                <w:color w:val="auto"/>
              </w:rPr>
            </w:pPr>
          </w:p>
        </w:tc>
        <w:tc>
          <w:tcPr>
            <w:tcW w:w="840" w:type="dxa"/>
            <w:vAlign w:val="bottom"/>
            <w:tcBorders>
              <w:right w:val="single" w:sz="8" w:color="70AD47"/>
            </w:tcBorders>
            <w:vMerge w:val="restart"/>
          </w:tcPr>
          <w:p>
            <w:pPr>
              <w:jc w:val="center"/>
              <w:ind w:right="72"/>
              <w:spacing w:after="0"/>
              <w:rPr>
                <w:sz w:val="20"/>
                <w:szCs w:val="20"/>
                <w:color w:val="auto"/>
              </w:rPr>
            </w:pPr>
            <w:r>
              <w:rPr>
                <w:rFonts w:ascii="Arial" w:cs="Arial" w:eastAsia="Arial" w:hAnsi="Arial"/>
                <w:sz w:val="22"/>
                <w:szCs w:val="22"/>
                <w:b w:val="1"/>
                <w:bCs w:val="1"/>
                <w:color w:val="auto"/>
                <w:w w:val="95"/>
              </w:rPr>
              <w:t>100%</w:t>
            </w:r>
          </w:p>
        </w:tc>
        <w:tc>
          <w:tcPr>
            <w:tcW w:w="1040" w:type="dxa"/>
            <w:vAlign w:val="bottom"/>
            <w:tcBorders>
              <w:right w:val="single" w:sz="8" w:color="70AD47"/>
            </w:tcBorders>
            <w:vMerge w:val="restart"/>
            <w:shd w:val="clear" w:color="auto" w:fill="C6E0B4"/>
          </w:tcPr>
          <w:p>
            <w:pPr>
              <w:jc w:val="center"/>
              <w:spacing w:after="0"/>
              <w:rPr>
                <w:sz w:val="20"/>
                <w:szCs w:val="20"/>
                <w:color w:val="auto"/>
              </w:rPr>
            </w:pPr>
            <w:r>
              <w:rPr>
                <w:rFonts w:ascii="Arial" w:cs="Arial" w:eastAsia="Arial" w:hAnsi="Arial"/>
                <w:sz w:val="22"/>
                <w:szCs w:val="22"/>
                <w:b w:val="1"/>
                <w:bCs w:val="1"/>
                <w:color w:val="auto"/>
                <w:w w:val="92"/>
              </w:rPr>
              <w:t>840</w:t>
            </w:r>
          </w:p>
        </w:tc>
        <w:tc>
          <w:tcPr>
            <w:tcW w:w="1020" w:type="dxa"/>
            <w:vAlign w:val="bottom"/>
            <w:tcBorders>
              <w:right w:val="single" w:sz="8" w:color="70AD47"/>
            </w:tcBorders>
            <w:vMerge w:val="restart"/>
            <w:shd w:val="clear" w:color="auto" w:fill="C6E0B4"/>
          </w:tcPr>
          <w:p>
            <w:pPr>
              <w:jc w:val="center"/>
              <w:spacing w:after="0"/>
              <w:rPr>
                <w:sz w:val="20"/>
                <w:szCs w:val="20"/>
                <w:color w:val="auto"/>
              </w:rPr>
            </w:pPr>
            <w:r>
              <w:rPr>
                <w:rFonts w:ascii="Arial" w:cs="Arial" w:eastAsia="Arial" w:hAnsi="Arial"/>
                <w:sz w:val="22"/>
                <w:szCs w:val="22"/>
                <w:b w:val="1"/>
                <w:bCs w:val="1"/>
                <w:color w:val="auto"/>
                <w:w w:val="95"/>
              </w:rPr>
              <w:t>100%</w:t>
            </w:r>
          </w:p>
        </w:tc>
        <w:tc>
          <w:tcPr>
            <w:tcW w:w="1040" w:type="dxa"/>
            <w:vAlign w:val="bottom"/>
            <w:tcBorders>
              <w:right w:val="single" w:sz="8" w:color="70AD47"/>
            </w:tcBorders>
            <w:vMerge w:val="restart"/>
          </w:tcPr>
          <w:p>
            <w:pPr>
              <w:jc w:val="center"/>
              <w:spacing w:after="0"/>
              <w:rPr>
                <w:sz w:val="20"/>
                <w:szCs w:val="20"/>
                <w:color w:val="auto"/>
              </w:rPr>
            </w:pPr>
            <w:r>
              <w:rPr>
                <w:rFonts w:ascii="Arial" w:cs="Arial" w:eastAsia="Arial" w:hAnsi="Arial"/>
                <w:sz w:val="22"/>
                <w:szCs w:val="22"/>
                <w:b w:val="1"/>
                <w:bCs w:val="1"/>
                <w:color w:val="auto"/>
                <w:w w:val="87"/>
              </w:rPr>
              <w:t>843</w:t>
            </w:r>
          </w:p>
        </w:tc>
        <w:tc>
          <w:tcPr>
            <w:tcW w:w="160" w:type="dxa"/>
            <w:vAlign w:val="bottom"/>
          </w:tcPr>
          <w:p>
            <w:pPr>
              <w:spacing w:after="0"/>
              <w:rPr>
                <w:sz w:val="17"/>
                <w:szCs w:val="17"/>
                <w:color w:val="auto"/>
              </w:rPr>
            </w:pPr>
          </w:p>
        </w:tc>
        <w:tc>
          <w:tcPr>
            <w:tcW w:w="840" w:type="dxa"/>
            <w:vAlign w:val="bottom"/>
            <w:tcBorders>
              <w:right w:val="single" w:sz="8" w:color="70AD47"/>
            </w:tcBorders>
            <w:vMerge w:val="restart"/>
          </w:tcPr>
          <w:p>
            <w:pPr>
              <w:jc w:val="center"/>
              <w:ind w:right="72"/>
              <w:spacing w:after="0"/>
              <w:rPr>
                <w:sz w:val="20"/>
                <w:szCs w:val="20"/>
                <w:color w:val="auto"/>
              </w:rPr>
            </w:pPr>
            <w:r>
              <w:rPr>
                <w:rFonts w:ascii="Arial" w:cs="Arial" w:eastAsia="Arial" w:hAnsi="Arial"/>
                <w:sz w:val="22"/>
                <w:szCs w:val="22"/>
                <w:b w:val="1"/>
                <w:bCs w:val="1"/>
                <w:color w:val="auto"/>
                <w:w w:val="95"/>
              </w:rPr>
              <w:t>100%</w:t>
            </w:r>
          </w:p>
        </w:tc>
        <w:tc>
          <w:tcPr>
            <w:tcW w:w="0" w:type="dxa"/>
            <w:vAlign w:val="bottom"/>
          </w:tcPr>
          <w:p>
            <w:pPr>
              <w:spacing w:after="0"/>
              <w:rPr>
                <w:sz w:val="1"/>
                <w:szCs w:val="1"/>
                <w:color w:val="auto"/>
              </w:rPr>
            </w:pPr>
          </w:p>
        </w:tc>
      </w:tr>
      <w:tr>
        <w:trPr>
          <w:trHeight w:val="282"/>
        </w:trPr>
        <w:tc>
          <w:tcPr>
            <w:tcW w:w="3040" w:type="dxa"/>
            <w:vAlign w:val="bottom"/>
            <w:tcBorders>
              <w:bottom w:val="single" w:sz="8" w:color="70AD47"/>
              <w:right w:val="single" w:sz="8" w:color="70AD47"/>
            </w:tcBorders>
          </w:tcPr>
          <w:p>
            <w:pPr>
              <w:ind w:left="20"/>
              <w:spacing w:after="0"/>
              <w:rPr>
                <w:sz w:val="20"/>
                <w:szCs w:val="20"/>
                <w:color w:val="auto"/>
              </w:rPr>
            </w:pPr>
            <w:r>
              <w:rPr>
                <w:rFonts w:ascii="Arial" w:cs="Arial" w:eastAsia="Arial" w:hAnsi="Arial"/>
                <w:sz w:val="22"/>
                <w:szCs w:val="22"/>
                <w:b w:val="1"/>
                <w:bCs w:val="1"/>
                <w:color w:val="auto"/>
              </w:rPr>
              <w:t>(TTC)</w:t>
            </w:r>
          </w:p>
        </w:tc>
        <w:tc>
          <w:tcPr>
            <w:tcW w:w="940" w:type="dxa"/>
            <w:vAlign w:val="bottom"/>
            <w:tcBorders>
              <w:bottom w:val="single" w:sz="8" w:color="70AD47"/>
            </w:tcBorders>
            <w:vMerge w:val="continue"/>
            <w:shd w:val="clear" w:color="auto" w:fill="C6E0B4"/>
          </w:tcPr>
          <w:p>
            <w:pPr>
              <w:spacing w:after="0"/>
              <w:rPr>
                <w:sz w:val="24"/>
                <w:szCs w:val="24"/>
                <w:color w:val="auto"/>
              </w:rPr>
            </w:pPr>
          </w:p>
        </w:tc>
        <w:tc>
          <w:tcPr>
            <w:tcW w:w="100" w:type="dxa"/>
            <w:vAlign w:val="bottom"/>
            <w:tcBorders>
              <w:bottom w:val="single" w:sz="8" w:color="70AD47"/>
              <w:right w:val="single" w:sz="8" w:color="70AD47"/>
            </w:tcBorders>
            <w:shd w:val="clear" w:color="auto" w:fill="C6E0B4"/>
          </w:tcPr>
          <w:p>
            <w:pPr>
              <w:spacing w:after="0"/>
              <w:rPr>
                <w:sz w:val="24"/>
                <w:szCs w:val="24"/>
                <w:color w:val="auto"/>
              </w:rPr>
            </w:pPr>
          </w:p>
        </w:tc>
        <w:tc>
          <w:tcPr>
            <w:tcW w:w="1020" w:type="dxa"/>
            <w:vAlign w:val="bottom"/>
            <w:tcBorders>
              <w:bottom w:val="single" w:sz="8" w:color="70AD47"/>
              <w:right w:val="single" w:sz="8" w:color="70AD47"/>
            </w:tcBorders>
            <w:vMerge w:val="continue"/>
            <w:shd w:val="clear" w:color="auto" w:fill="C6E0B4"/>
          </w:tcPr>
          <w:p>
            <w:pPr>
              <w:spacing w:after="0"/>
              <w:rPr>
                <w:sz w:val="24"/>
                <w:szCs w:val="24"/>
                <w:color w:val="auto"/>
              </w:rPr>
            </w:pPr>
          </w:p>
        </w:tc>
        <w:tc>
          <w:tcPr>
            <w:tcW w:w="1020" w:type="dxa"/>
            <w:vAlign w:val="bottom"/>
            <w:tcBorders>
              <w:bottom w:val="single" w:sz="8" w:color="70AD47"/>
              <w:right w:val="single" w:sz="8" w:color="70AD47"/>
            </w:tcBorders>
            <w:vMerge w:val="continue"/>
          </w:tcPr>
          <w:p>
            <w:pPr>
              <w:spacing w:after="0"/>
              <w:rPr>
                <w:sz w:val="24"/>
                <w:szCs w:val="24"/>
                <w:color w:val="auto"/>
              </w:rPr>
            </w:pPr>
          </w:p>
        </w:tc>
        <w:tc>
          <w:tcPr>
            <w:tcW w:w="180" w:type="dxa"/>
            <w:vAlign w:val="bottom"/>
            <w:tcBorders>
              <w:bottom w:val="single" w:sz="8" w:color="70AD47"/>
            </w:tcBorders>
          </w:tcPr>
          <w:p>
            <w:pPr>
              <w:spacing w:after="0"/>
              <w:rPr>
                <w:sz w:val="24"/>
                <w:szCs w:val="24"/>
                <w:color w:val="auto"/>
              </w:rPr>
            </w:pPr>
          </w:p>
        </w:tc>
        <w:tc>
          <w:tcPr>
            <w:tcW w:w="840" w:type="dxa"/>
            <w:vAlign w:val="bottom"/>
            <w:tcBorders>
              <w:bottom w:val="single" w:sz="8" w:color="70AD47"/>
              <w:right w:val="single" w:sz="8" w:color="70AD47"/>
            </w:tcBorders>
            <w:vMerge w:val="continue"/>
          </w:tcPr>
          <w:p>
            <w:pPr>
              <w:spacing w:after="0"/>
              <w:rPr>
                <w:sz w:val="24"/>
                <w:szCs w:val="24"/>
                <w:color w:val="auto"/>
              </w:rPr>
            </w:pPr>
          </w:p>
        </w:tc>
        <w:tc>
          <w:tcPr>
            <w:tcW w:w="1040" w:type="dxa"/>
            <w:vAlign w:val="bottom"/>
            <w:tcBorders>
              <w:bottom w:val="single" w:sz="8" w:color="70AD47"/>
              <w:right w:val="single" w:sz="8" w:color="70AD47"/>
            </w:tcBorders>
            <w:vMerge w:val="continue"/>
            <w:shd w:val="clear" w:color="auto" w:fill="C6E0B4"/>
          </w:tcPr>
          <w:p>
            <w:pPr>
              <w:spacing w:after="0"/>
              <w:rPr>
                <w:sz w:val="24"/>
                <w:szCs w:val="24"/>
                <w:color w:val="auto"/>
              </w:rPr>
            </w:pPr>
          </w:p>
        </w:tc>
        <w:tc>
          <w:tcPr>
            <w:tcW w:w="1020" w:type="dxa"/>
            <w:vAlign w:val="bottom"/>
            <w:tcBorders>
              <w:bottom w:val="single" w:sz="8" w:color="70AD47"/>
              <w:right w:val="single" w:sz="8" w:color="70AD47"/>
            </w:tcBorders>
            <w:vMerge w:val="continue"/>
            <w:shd w:val="clear" w:color="auto" w:fill="C6E0B4"/>
          </w:tcPr>
          <w:p>
            <w:pPr>
              <w:spacing w:after="0"/>
              <w:rPr>
                <w:sz w:val="24"/>
                <w:szCs w:val="24"/>
                <w:color w:val="auto"/>
              </w:rPr>
            </w:pPr>
          </w:p>
        </w:tc>
        <w:tc>
          <w:tcPr>
            <w:tcW w:w="1040" w:type="dxa"/>
            <w:vAlign w:val="bottom"/>
            <w:tcBorders>
              <w:bottom w:val="single" w:sz="8" w:color="70AD47"/>
              <w:right w:val="single" w:sz="8" w:color="70AD47"/>
            </w:tcBorders>
            <w:vMerge w:val="continue"/>
          </w:tcPr>
          <w:p>
            <w:pPr>
              <w:spacing w:after="0"/>
              <w:rPr>
                <w:sz w:val="24"/>
                <w:szCs w:val="24"/>
                <w:color w:val="auto"/>
              </w:rPr>
            </w:pPr>
          </w:p>
        </w:tc>
        <w:tc>
          <w:tcPr>
            <w:tcW w:w="160" w:type="dxa"/>
            <w:vAlign w:val="bottom"/>
            <w:tcBorders>
              <w:bottom w:val="single" w:sz="8" w:color="70AD47"/>
            </w:tcBorders>
          </w:tcPr>
          <w:p>
            <w:pPr>
              <w:spacing w:after="0"/>
              <w:rPr>
                <w:sz w:val="24"/>
                <w:szCs w:val="24"/>
                <w:color w:val="auto"/>
              </w:rPr>
            </w:pPr>
          </w:p>
        </w:tc>
        <w:tc>
          <w:tcPr>
            <w:tcW w:w="840" w:type="dxa"/>
            <w:vAlign w:val="bottom"/>
            <w:tcBorders>
              <w:bottom w:val="single" w:sz="8" w:color="70AD47"/>
              <w:right w:val="single" w:sz="8" w:color="70AD47"/>
            </w:tcBorders>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13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432"/>
        </w:trPr>
        <w:tc>
          <w:tcPr>
            <w:tcW w:w="3040" w:type="dxa"/>
            <w:vAlign w:val="bottom"/>
            <w:tcBorders>
              <w:right w:val="single" w:sz="8" w:color="70AD47"/>
            </w:tcBorders>
          </w:tcPr>
          <w:p>
            <w:pPr>
              <w:spacing w:after="0"/>
              <w:rPr>
                <w:sz w:val="24"/>
                <w:szCs w:val="24"/>
                <w:color w:val="auto"/>
              </w:rPr>
            </w:pPr>
          </w:p>
        </w:tc>
        <w:tc>
          <w:tcPr>
            <w:tcW w:w="1040" w:type="dxa"/>
            <w:vAlign w:val="bottom"/>
            <w:tcBorders>
              <w:bottom w:val="single" w:sz="8" w:color="70AD47"/>
            </w:tcBorders>
          </w:tcPr>
          <w:p>
            <w:pPr>
              <w:spacing w:after="0"/>
              <w:rPr>
                <w:sz w:val="24"/>
                <w:szCs w:val="24"/>
                <w:color w:val="auto"/>
              </w:rPr>
            </w:pPr>
          </w:p>
        </w:tc>
        <w:tc>
          <w:tcPr>
            <w:tcW w:w="2220" w:type="dxa"/>
            <w:vAlign w:val="bottom"/>
            <w:tcBorders>
              <w:bottom w:val="single" w:sz="8" w:color="70AD47"/>
            </w:tcBorders>
            <w:gridSpan w:val="3"/>
          </w:tcPr>
          <w:p>
            <w:pPr>
              <w:ind w:left="200"/>
              <w:spacing w:after="0"/>
              <w:rPr>
                <w:sz w:val="20"/>
                <w:szCs w:val="20"/>
                <w:color w:val="auto"/>
              </w:rPr>
            </w:pPr>
            <w:r>
              <w:rPr>
                <w:rFonts w:ascii="Arial" w:cs="Arial" w:eastAsia="Arial" w:hAnsi="Arial"/>
                <w:sz w:val="22"/>
                <w:szCs w:val="22"/>
                <w:b w:val="1"/>
                <w:bCs w:val="1"/>
                <w:color w:val="auto"/>
              </w:rPr>
              <w:t>Ryan Richardson</w:t>
            </w:r>
          </w:p>
        </w:tc>
        <w:tc>
          <w:tcPr>
            <w:tcW w:w="840" w:type="dxa"/>
            <w:vAlign w:val="bottom"/>
            <w:tcBorders>
              <w:bottom w:val="single" w:sz="8" w:color="70AD47"/>
              <w:right w:val="single" w:sz="8" w:color="70AD47"/>
            </w:tcBorders>
          </w:tcPr>
          <w:p>
            <w:pPr>
              <w:spacing w:after="0"/>
              <w:rPr>
                <w:sz w:val="24"/>
                <w:szCs w:val="24"/>
                <w:color w:val="auto"/>
              </w:rPr>
            </w:pPr>
          </w:p>
        </w:tc>
        <w:tc>
          <w:tcPr>
            <w:tcW w:w="1040" w:type="dxa"/>
            <w:vAlign w:val="bottom"/>
            <w:tcBorders>
              <w:bottom w:val="single" w:sz="8" w:color="70AD47"/>
            </w:tcBorders>
          </w:tcPr>
          <w:p>
            <w:pPr>
              <w:spacing w:after="0"/>
              <w:rPr>
                <w:sz w:val="24"/>
                <w:szCs w:val="24"/>
                <w:color w:val="auto"/>
              </w:rPr>
            </w:pPr>
          </w:p>
        </w:tc>
        <w:tc>
          <w:tcPr>
            <w:tcW w:w="2220" w:type="dxa"/>
            <w:vAlign w:val="bottom"/>
            <w:tcBorders>
              <w:bottom w:val="single" w:sz="8" w:color="70AD47"/>
            </w:tcBorders>
            <w:gridSpan w:val="3"/>
          </w:tcPr>
          <w:p>
            <w:pPr>
              <w:ind w:left="300"/>
              <w:spacing w:after="0"/>
              <w:rPr>
                <w:sz w:val="20"/>
                <w:szCs w:val="20"/>
                <w:color w:val="auto"/>
              </w:rPr>
            </w:pPr>
            <w:r>
              <w:rPr>
                <w:rFonts w:ascii="Arial" w:cs="Arial" w:eastAsia="Arial" w:hAnsi="Arial"/>
                <w:sz w:val="22"/>
                <w:szCs w:val="22"/>
                <w:b w:val="1"/>
                <w:bCs w:val="1"/>
                <w:color w:val="auto"/>
              </w:rPr>
              <w:t>Jens Holstein</w:t>
            </w:r>
            <w:r>
              <w:rPr>
                <w:rFonts w:ascii="Arial" w:cs="Arial" w:eastAsia="Arial" w:hAnsi="Arial"/>
                <w:sz w:val="28"/>
                <w:szCs w:val="28"/>
                <w:b w:val="1"/>
                <w:bCs w:val="1"/>
                <w:color w:val="auto"/>
                <w:vertAlign w:val="superscript"/>
              </w:rPr>
              <w:t>(1)</w:t>
            </w:r>
          </w:p>
        </w:tc>
        <w:tc>
          <w:tcPr>
            <w:tcW w:w="840" w:type="dxa"/>
            <w:vAlign w:val="bottom"/>
            <w:tcBorders>
              <w:bottom w:val="single" w:sz="8" w:color="70AD47"/>
              <w:right w:val="single" w:sz="8" w:color="70AD47"/>
            </w:tcBorders>
          </w:tcPr>
          <w:p>
            <w:pPr>
              <w:spacing w:after="0"/>
              <w:rPr>
                <w:sz w:val="24"/>
                <w:szCs w:val="24"/>
                <w:color w:val="auto"/>
              </w:rPr>
            </w:pPr>
          </w:p>
        </w:tc>
      </w:tr>
      <w:tr>
        <w:trPr>
          <w:trHeight w:val="263"/>
        </w:trPr>
        <w:tc>
          <w:tcPr>
            <w:tcW w:w="3040" w:type="dxa"/>
            <w:vAlign w:val="bottom"/>
            <w:tcBorders>
              <w:right w:val="single" w:sz="8" w:color="70AD47"/>
            </w:tcBorders>
          </w:tcPr>
          <w:p>
            <w:pPr>
              <w:spacing w:after="0"/>
              <w:rPr>
                <w:sz w:val="22"/>
                <w:szCs w:val="22"/>
                <w:color w:val="auto"/>
              </w:rPr>
            </w:pPr>
          </w:p>
        </w:tc>
        <w:tc>
          <w:tcPr>
            <w:tcW w:w="3260" w:type="dxa"/>
            <w:vAlign w:val="bottom"/>
            <w:gridSpan w:val="4"/>
          </w:tcPr>
          <w:p>
            <w:pPr>
              <w:ind w:left="820"/>
              <w:spacing w:after="0"/>
              <w:rPr>
                <w:sz w:val="20"/>
                <w:szCs w:val="20"/>
                <w:color w:val="auto"/>
              </w:rPr>
            </w:pPr>
            <w:r>
              <w:rPr>
                <w:rFonts w:ascii="Arial" w:cs="Arial" w:eastAsia="Arial" w:hAnsi="Arial"/>
                <w:sz w:val="22"/>
                <w:szCs w:val="22"/>
                <w:b w:val="1"/>
                <w:bCs w:val="1"/>
                <w:color w:val="auto"/>
                <w:w w:val="86"/>
              </w:rPr>
              <w:t>Years ended December 31,</w:t>
            </w:r>
          </w:p>
        </w:tc>
        <w:tc>
          <w:tcPr>
            <w:tcW w:w="840" w:type="dxa"/>
            <w:vAlign w:val="bottom"/>
            <w:tcBorders>
              <w:right w:val="single" w:sz="8" w:color="70AD47"/>
            </w:tcBorders>
          </w:tcPr>
          <w:p>
            <w:pPr>
              <w:spacing w:after="0"/>
              <w:rPr>
                <w:sz w:val="22"/>
                <w:szCs w:val="22"/>
                <w:color w:val="auto"/>
              </w:rPr>
            </w:pPr>
          </w:p>
        </w:tc>
        <w:tc>
          <w:tcPr>
            <w:tcW w:w="3260" w:type="dxa"/>
            <w:vAlign w:val="bottom"/>
            <w:gridSpan w:val="4"/>
          </w:tcPr>
          <w:p>
            <w:pPr>
              <w:ind w:left="820"/>
              <w:spacing w:after="0"/>
              <w:rPr>
                <w:sz w:val="20"/>
                <w:szCs w:val="20"/>
                <w:color w:val="auto"/>
              </w:rPr>
            </w:pPr>
            <w:r>
              <w:rPr>
                <w:rFonts w:ascii="Arial" w:cs="Arial" w:eastAsia="Arial" w:hAnsi="Arial"/>
                <w:sz w:val="22"/>
                <w:szCs w:val="22"/>
                <w:b w:val="1"/>
                <w:bCs w:val="1"/>
                <w:color w:val="auto"/>
                <w:w w:val="86"/>
              </w:rPr>
              <w:t>Years ended December 31,</w:t>
            </w:r>
          </w:p>
        </w:tc>
        <w:tc>
          <w:tcPr>
            <w:tcW w:w="840" w:type="dxa"/>
            <w:vAlign w:val="bottom"/>
            <w:tcBorders>
              <w:right w:val="single" w:sz="8" w:color="70AD47"/>
            </w:tcBorders>
          </w:tcPr>
          <w:p>
            <w:pPr>
              <w:spacing w:after="0"/>
              <w:rPr>
                <w:sz w:val="22"/>
                <w:szCs w:val="22"/>
                <w:color w:val="auto"/>
              </w:rPr>
            </w:pPr>
          </w:p>
        </w:tc>
      </w:tr>
      <w:tr>
        <w:trPr>
          <w:trHeight w:val="270"/>
        </w:trPr>
        <w:tc>
          <w:tcPr>
            <w:tcW w:w="3040" w:type="dxa"/>
            <w:vAlign w:val="bottom"/>
            <w:tcBorders>
              <w:bottom w:val="single" w:sz="8" w:color="70AD47"/>
              <w:right w:val="single" w:sz="8" w:color="70AD47"/>
            </w:tcBorders>
          </w:tcPr>
          <w:p>
            <w:pPr>
              <w:spacing w:after="0"/>
              <w:rPr>
                <w:sz w:val="23"/>
                <w:szCs w:val="23"/>
                <w:color w:val="auto"/>
              </w:rPr>
            </w:pPr>
          </w:p>
        </w:tc>
        <w:tc>
          <w:tcPr>
            <w:tcW w:w="2060" w:type="dxa"/>
            <w:vAlign w:val="bottom"/>
            <w:tcBorders>
              <w:bottom w:val="single" w:sz="8" w:color="70AD47"/>
              <w:right w:val="single" w:sz="8" w:color="70AD47"/>
            </w:tcBorders>
            <w:gridSpan w:val="2"/>
            <w:shd w:val="clear" w:color="auto" w:fill="C6E0B4"/>
          </w:tcPr>
          <w:p>
            <w:pPr>
              <w:ind w:left="800"/>
              <w:spacing w:after="0"/>
              <w:rPr>
                <w:sz w:val="20"/>
                <w:szCs w:val="20"/>
                <w:color w:val="auto"/>
              </w:rPr>
            </w:pPr>
            <w:r>
              <w:rPr>
                <w:rFonts w:ascii="Arial" w:cs="Arial" w:eastAsia="Arial" w:hAnsi="Arial"/>
                <w:sz w:val="22"/>
                <w:szCs w:val="22"/>
                <w:b w:val="1"/>
                <w:bCs w:val="1"/>
                <w:color w:val="auto"/>
              </w:rPr>
              <w:t>2021</w:t>
            </w:r>
          </w:p>
        </w:tc>
        <w:tc>
          <w:tcPr>
            <w:tcW w:w="2040" w:type="dxa"/>
            <w:vAlign w:val="bottom"/>
            <w:tcBorders>
              <w:bottom w:val="single" w:sz="8" w:color="70AD47"/>
              <w:right w:val="single" w:sz="8" w:color="70AD47"/>
            </w:tcBorders>
            <w:gridSpan w:val="3"/>
          </w:tcPr>
          <w:p>
            <w:pPr>
              <w:jc w:val="right"/>
              <w:ind w:right="712"/>
              <w:spacing w:after="0"/>
              <w:rPr>
                <w:sz w:val="20"/>
                <w:szCs w:val="20"/>
                <w:color w:val="auto"/>
              </w:rPr>
            </w:pPr>
            <w:r>
              <w:rPr>
                <w:rFonts w:ascii="Arial" w:cs="Arial" w:eastAsia="Arial" w:hAnsi="Arial"/>
                <w:sz w:val="22"/>
                <w:szCs w:val="22"/>
                <w:b w:val="1"/>
                <w:bCs w:val="1"/>
                <w:color w:val="auto"/>
              </w:rPr>
              <w:t>2020</w:t>
            </w:r>
          </w:p>
        </w:tc>
        <w:tc>
          <w:tcPr>
            <w:tcW w:w="2060" w:type="dxa"/>
            <w:vAlign w:val="bottom"/>
            <w:tcBorders>
              <w:bottom w:val="single" w:sz="8" w:color="70AD47"/>
              <w:right w:val="single" w:sz="8" w:color="70AD47"/>
            </w:tcBorders>
            <w:gridSpan w:val="2"/>
            <w:shd w:val="clear" w:color="auto" w:fill="C6E0B4"/>
          </w:tcPr>
          <w:p>
            <w:pPr>
              <w:ind w:left="800"/>
              <w:spacing w:after="0"/>
              <w:rPr>
                <w:sz w:val="20"/>
                <w:szCs w:val="20"/>
                <w:color w:val="auto"/>
              </w:rPr>
            </w:pPr>
            <w:r>
              <w:rPr>
                <w:rFonts w:ascii="Arial" w:cs="Arial" w:eastAsia="Arial" w:hAnsi="Arial"/>
                <w:sz w:val="22"/>
                <w:szCs w:val="22"/>
                <w:b w:val="1"/>
                <w:bCs w:val="1"/>
                <w:color w:val="auto"/>
              </w:rPr>
              <w:t>2021</w:t>
            </w:r>
          </w:p>
        </w:tc>
        <w:tc>
          <w:tcPr>
            <w:tcW w:w="2040" w:type="dxa"/>
            <w:vAlign w:val="bottom"/>
            <w:tcBorders>
              <w:bottom w:val="single" w:sz="8" w:color="70AD47"/>
              <w:right w:val="single" w:sz="8" w:color="70AD47"/>
            </w:tcBorders>
            <w:gridSpan w:val="3"/>
          </w:tcPr>
          <w:p>
            <w:pPr>
              <w:jc w:val="right"/>
              <w:ind w:right="712"/>
              <w:spacing w:after="0"/>
              <w:rPr>
                <w:sz w:val="20"/>
                <w:szCs w:val="20"/>
                <w:color w:val="auto"/>
              </w:rPr>
            </w:pPr>
            <w:r>
              <w:rPr>
                <w:rFonts w:ascii="Arial" w:cs="Arial" w:eastAsia="Arial" w:hAnsi="Arial"/>
                <w:sz w:val="22"/>
                <w:szCs w:val="22"/>
                <w:b w:val="1"/>
                <w:bCs w:val="1"/>
                <w:color w:val="auto"/>
              </w:rPr>
              <w:t>2020</w:t>
            </w:r>
          </w:p>
        </w:tc>
      </w:tr>
      <w:tr>
        <w:trPr>
          <w:trHeight w:val="256"/>
        </w:trPr>
        <w:tc>
          <w:tcPr>
            <w:tcW w:w="3040" w:type="dxa"/>
            <w:vAlign w:val="bottom"/>
            <w:tcBorders>
              <w:right w:val="single" w:sz="8" w:color="70AD47"/>
            </w:tcBorders>
          </w:tcPr>
          <w:p>
            <w:pPr>
              <w:spacing w:after="0"/>
              <w:rPr>
                <w:sz w:val="22"/>
                <w:szCs w:val="22"/>
                <w:color w:val="auto"/>
              </w:rPr>
            </w:pPr>
          </w:p>
        </w:tc>
        <w:tc>
          <w:tcPr>
            <w:tcW w:w="1040" w:type="dxa"/>
            <w:vAlign w:val="bottom"/>
            <w:tcBorders>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93"/>
              </w:rPr>
              <w:t>in</w:t>
            </w:r>
          </w:p>
        </w:tc>
        <w:tc>
          <w:tcPr>
            <w:tcW w:w="1020" w:type="dxa"/>
            <w:vAlign w:val="bottom"/>
            <w:tcBorders>
              <w:right w:val="single" w:sz="8" w:color="70AD47"/>
            </w:tcBorders>
            <w:shd w:val="clear" w:color="auto" w:fill="C6E0B4"/>
          </w:tcPr>
          <w:p>
            <w:pPr>
              <w:ind w:left="180"/>
              <w:spacing w:after="0"/>
              <w:rPr>
                <w:sz w:val="20"/>
                <w:szCs w:val="20"/>
                <w:color w:val="auto"/>
              </w:rPr>
            </w:pPr>
            <w:r>
              <w:rPr>
                <w:rFonts w:ascii="Arial" w:cs="Arial" w:eastAsia="Arial" w:hAnsi="Arial"/>
                <w:sz w:val="22"/>
                <w:szCs w:val="22"/>
                <w:color w:val="auto"/>
              </w:rPr>
              <w:t>in % of</w:t>
            </w:r>
          </w:p>
        </w:tc>
        <w:tc>
          <w:tcPr>
            <w:tcW w:w="102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93"/>
              </w:rPr>
              <w:t>in</w:t>
            </w:r>
          </w:p>
        </w:tc>
        <w:tc>
          <w:tcPr>
            <w:tcW w:w="180" w:type="dxa"/>
            <w:vAlign w:val="bottom"/>
          </w:tcPr>
          <w:p>
            <w:pPr>
              <w:spacing w:after="0"/>
              <w:rPr>
                <w:sz w:val="22"/>
                <w:szCs w:val="22"/>
                <w:color w:val="auto"/>
              </w:rPr>
            </w:pPr>
          </w:p>
        </w:tc>
        <w:tc>
          <w:tcPr>
            <w:tcW w:w="840" w:type="dxa"/>
            <w:vAlign w:val="bottom"/>
            <w:tcBorders>
              <w:right w:val="single" w:sz="8" w:color="70AD47"/>
            </w:tcBorders>
          </w:tcPr>
          <w:p>
            <w:pPr>
              <w:jc w:val="center"/>
              <w:ind w:right="92"/>
              <w:spacing w:after="0"/>
              <w:rPr>
                <w:sz w:val="20"/>
                <w:szCs w:val="20"/>
                <w:color w:val="auto"/>
              </w:rPr>
            </w:pPr>
            <w:r>
              <w:rPr>
                <w:rFonts w:ascii="Arial" w:cs="Arial" w:eastAsia="Arial" w:hAnsi="Arial"/>
                <w:sz w:val="22"/>
                <w:szCs w:val="22"/>
                <w:color w:val="auto"/>
                <w:w w:val="95"/>
              </w:rPr>
              <w:t>in % of</w:t>
            </w:r>
          </w:p>
        </w:tc>
        <w:tc>
          <w:tcPr>
            <w:tcW w:w="1040" w:type="dxa"/>
            <w:vAlign w:val="bottom"/>
            <w:tcBorders>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rPr>
              <w:t>in</w:t>
            </w:r>
          </w:p>
        </w:tc>
        <w:tc>
          <w:tcPr>
            <w:tcW w:w="1020" w:type="dxa"/>
            <w:vAlign w:val="bottom"/>
            <w:tcBorders>
              <w:right w:val="single" w:sz="8" w:color="70AD47"/>
            </w:tcBorders>
            <w:shd w:val="clear" w:color="auto" w:fill="C6E0B4"/>
          </w:tcPr>
          <w:p>
            <w:pPr>
              <w:ind w:left="180"/>
              <w:spacing w:after="0"/>
              <w:rPr>
                <w:sz w:val="20"/>
                <w:szCs w:val="20"/>
                <w:color w:val="auto"/>
              </w:rPr>
            </w:pPr>
            <w:r>
              <w:rPr>
                <w:rFonts w:ascii="Arial" w:cs="Arial" w:eastAsia="Arial" w:hAnsi="Arial"/>
                <w:sz w:val="22"/>
                <w:szCs w:val="22"/>
                <w:color w:val="auto"/>
              </w:rPr>
              <w:t>in % of</w:t>
            </w:r>
          </w:p>
        </w:tc>
        <w:tc>
          <w:tcPr>
            <w:tcW w:w="10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93"/>
              </w:rPr>
              <w:t>in</w:t>
            </w:r>
          </w:p>
        </w:tc>
        <w:tc>
          <w:tcPr>
            <w:tcW w:w="160" w:type="dxa"/>
            <w:vAlign w:val="bottom"/>
          </w:tcPr>
          <w:p>
            <w:pPr>
              <w:spacing w:after="0"/>
              <w:rPr>
                <w:sz w:val="22"/>
                <w:szCs w:val="22"/>
                <w:color w:val="auto"/>
              </w:rPr>
            </w:pPr>
          </w:p>
        </w:tc>
        <w:tc>
          <w:tcPr>
            <w:tcW w:w="840" w:type="dxa"/>
            <w:vAlign w:val="bottom"/>
            <w:tcBorders>
              <w:right w:val="single" w:sz="8" w:color="70AD47"/>
            </w:tcBorders>
          </w:tcPr>
          <w:p>
            <w:pPr>
              <w:jc w:val="center"/>
              <w:ind w:right="92"/>
              <w:spacing w:after="0"/>
              <w:rPr>
                <w:sz w:val="20"/>
                <w:szCs w:val="20"/>
                <w:color w:val="auto"/>
              </w:rPr>
            </w:pPr>
            <w:r>
              <w:rPr>
                <w:rFonts w:ascii="Arial" w:cs="Arial" w:eastAsia="Arial" w:hAnsi="Arial"/>
                <w:sz w:val="22"/>
                <w:szCs w:val="22"/>
                <w:color w:val="auto"/>
                <w:w w:val="95"/>
              </w:rPr>
              <w:t>in % of</w:t>
            </w:r>
          </w:p>
        </w:tc>
      </w:tr>
      <w:tr>
        <w:trPr>
          <w:trHeight w:val="305"/>
        </w:trPr>
        <w:tc>
          <w:tcPr>
            <w:tcW w:w="3040" w:type="dxa"/>
            <w:vAlign w:val="bottom"/>
            <w:tcBorders>
              <w:right w:val="single" w:sz="8" w:color="70AD47"/>
            </w:tcBorders>
          </w:tcPr>
          <w:p>
            <w:pPr>
              <w:spacing w:after="0"/>
              <w:rPr>
                <w:sz w:val="24"/>
                <w:szCs w:val="24"/>
                <w:color w:val="auto"/>
              </w:rPr>
            </w:pPr>
          </w:p>
        </w:tc>
        <w:tc>
          <w:tcPr>
            <w:tcW w:w="1040" w:type="dxa"/>
            <w:vAlign w:val="bottom"/>
            <w:tcBorders>
              <w:bottom w:val="single" w:sz="8" w:color="C6E0B4"/>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84"/>
              </w:rPr>
              <w:t>thousands</w:t>
            </w:r>
          </w:p>
        </w:tc>
        <w:tc>
          <w:tcPr>
            <w:tcW w:w="1020" w:type="dxa"/>
            <w:vAlign w:val="bottom"/>
            <w:tcBorders>
              <w:bottom w:val="single" w:sz="8" w:color="C6E0B4"/>
              <w:right w:val="single" w:sz="8" w:color="70AD47"/>
            </w:tcBorders>
            <w:shd w:val="clear" w:color="auto" w:fill="C6E0B4"/>
          </w:tcPr>
          <w:p>
            <w:pPr>
              <w:ind w:left="280"/>
              <w:spacing w:after="0"/>
              <w:rPr>
                <w:sz w:val="20"/>
                <w:szCs w:val="20"/>
                <w:color w:val="auto"/>
              </w:rPr>
            </w:pPr>
            <w:r>
              <w:rPr>
                <w:rFonts w:ascii="Arial" w:cs="Arial" w:eastAsia="Arial" w:hAnsi="Arial"/>
                <w:sz w:val="22"/>
                <w:szCs w:val="22"/>
                <w:color w:val="auto"/>
              </w:rPr>
              <w:t>TTC</w:t>
            </w:r>
          </w:p>
        </w:tc>
        <w:tc>
          <w:tcPr>
            <w:tcW w:w="102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4"/>
              </w:rPr>
              <w:t>thousands</w:t>
            </w:r>
          </w:p>
        </w:tc>
        <w:tc>
          <w:tcPr>
            <w:tcW w:w="180" w:type="dxa"/>
            <w:vAlign w:val="bottom"/>
          </w:tcPr>
          <w:p>
            <w:pPr>
              <w:spacing w:after="0"/>
              <w:rPr>
                <w:sz w:val="24"/>
                <w:szCs w:val="24"/>
                <w:color w:val="auto"/>
              </w:rPr>
            </w:pPr>
          </w:p>
        </w:tc>
        <w:tc>
          <w:tcPr>
            <w:tcW w:w="840" w:type="dxa"/>
            <w:vAlign w:val="bottom"/>
            <w:tcBorders>
              <w:right w:val="single" w:sz="8" w:color="70AD47"/>
            </w:tcBorders>
          </w:tcPr>
          <w:p>
            <w:pPr>
              <w:jc w:val="center"/>
              <w:ind w:right="92"/>
              <w:spacing w:after="0"/>
              <w:rPr>
                <w:sz w:val="20"/>
                <w:szCs w:val="20"/>
                <w:color w:val="auto"/>
              </w:rPr>
            </w:pPr>
            <w:r>
              <w:rPr>
                <w:rFonts w:ascii="Arial" w:cs="Arial" w:eastAsia="Arial" w:hAnsi="Arial"/>
                <w:sz w:val="22"/>
                <w:szCs w:val="22"/>
                <w:color w:val="auto"/>
                <w:w w:val="93"/>
              </w:rPr>
              <w:t>TTC</w:t>
            </w:r>
          </w:p>
        </w:tc>
        <w:tc>
          <w:tcPr>
            <w:tcW w:w="1040" w:type="dxa"/>
            <w:vAlign w:val="bottom"/>
            <w:tcBorders>
              <w:bottom w:val="single" w:sz="8" w:color="C6E0B4"/>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84"/>
              </w:rPr>
              <w:t>thousands</w:t>
            </w:r>
          </w:p>
        </w:tc>
        <w:tc>
          <w:tcPr>
            <w:tcW w:w="1020" w:type="dxa"/>
            <w:vAlign w:val="bottom"/>
            <w:tcBorders>
              <w:bottom w:val="single" w:sz="8" w:color="C6E0B4"/>
              <w:right w:val="single" w:sz="8" w:color="70AD47"/>
            </w:tcBorders>
            <w:shd w:val="clear" w:color="auto" w:fill="C6E0B4"/>
          </w:tcPr>
          <w:p>
            <w:pPr>
              <w:ind w:left="300"/>
              <w:spacing w:after="0"/>
              <w:rPr>
                <w:sz w:val="20"/>
                <w:szCs w:val="20"/>
                <w:color w:val="auto"/>
              </w:rPr>
            </w:pPr>
            <w:r>
              <w:rPr>
                <w:rFonts w:ascii="Arial" w:cs="Arial" w:eastAsia="Arial" w:hAnsi="Arial"/>
                <w:sz w:val="22"/>
                <w:szCs w:val="22"/>
                <w:color w:val="auto"/>
              </w:rPr>
              <w:t>TTC</w:t>
            </w:r>
          </w:p>
        </w:tc>
        <w:tc>
          <w:tcPr>
            <w:tcW w:w="10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6"/>
              </w:rPr>
              <w:t>thousands</w:t>
            </w:r>
          </w:p>
        </w:tc>
        <w:tc>
          <w:tcPr>
            <w:tcW w:w="160" w:type="dxa"/>
            <w:vAlign w:val="bottom"/>
          </w:tcPr>
          <w:p>
            <w:pPr>
              <w:spacing w:after="0"/>
              <w:rPr>
                <w:sz w:val="24"/>
                <w:szCs w:val="24"/>
                <w:color w:val="auto"/>
              </w:rPr>
            </w:pPr>
          </w:p>
        </w:tc>
        <w:tc>
          <w:tcPr>
            <w:tcW w:w="840" w:type="dxa"/>
            <w:vAlign w:val="bottom"/>
            <w:tcBorders>
              <w:right w:val="single" w:sz="8" w:color="70AD47"/>
            </w:tcBorders>
          </w:tcPr>
          <w:p>
            <w:pPr>
              <w:jc w:val="center"/>
              <w:ind w:right="72"/>
              <w:spacing w:after="0"/>
              <w:rPr>
                <w:sz w:val="20"/>
                <w:szCs w:val="20"/>
                <w:color w:val="auto"/>
              </w:rPr>
            </w:pPr>
            <w:r>
              <w:rPr>
                <w:rFonts w:ascii="Arial" w:cs="Arial" w:eastAsia="Arial" w:hAnsi="Arial"/>
                <w:sz w:val="22"/>
                <w:szCs w:val="22"/>
                <w:color w:val="auto"/>
                <w:w w:val="98"/>
              </w:rPr>
              <w:t>TTC</w:t>
            </w:r>
          </w:p>
        </w:tc>
      </w:tr>
      <w:tr>
        <w:trPr>
          <w:trHeight w:val="196"/>
        </w:trPr>
        <w:tc>
          <w:tcPr>
            <w:tcW w:w="3040" w:type="dxa"/>
            <w:vAlign w:val="bottom"/>
            <w:tcBorders>
              <w:top w:val="single" w:sz="8" w:color="70AD47"/>
              <w:right w:val="single" w:sz="8" w:color="70AD47"/>
            </w:tcBorders>
          </w:tcPr>
          <w:p>
            <w:pPr>
              <w:jc w:val="center"/>
              <w:spacing w:after="0" w:line="195" w:lineRule="exact"/>
              <w:rPr>
                <w:sz w:val="20"/>
                <w:szCs w:val="20"/>
                <w:color w:val="auto"/>
              </w:rPr>
            </w:pPr>
            <w:r>
              <w:rPr>
                <w:rFonts w:ascii="Arial" w:cs="Arial" w:eastAsia="Arial" w:hAnsi="Arial"/>
                <w:sz w:val="22"/>
                <w:szCs w:val="22"/>
                <w:b w:val="1"/>
                <w:bCs w:val="1"/>
                <w:color w:val="auto"/>
                <w:w w:val="89"/>
              </w:rPr>
              <w:t>Non-performance related</w:t>
            </w:r>
          </w:p>
        </w:tc>
        <w:tc>
          <w:tcPr>
            <w:tcW w:w="1040" w:type="dxa"/>
            <w:vAlign w:val="bottom"/>
            <w:tcBorders>
              <w:top w:val="single" w:sz="8" w:color="70AD47"/>
              <w:right w:val="single" w:sz="8" w:color="70AD47"/>
            </w:tcBorders>
            <w:shd w:val="clear" w:color="auto" w:fill="C6E0B4"/>
          </w:tcPr>
          <w:p>
            <w:pPr>
              <w:spacing w:after="0"/>
              <w:rPr>
                <w:sz w:val="17"/>
                <w:szCs w:val="17"/>
                <w:color w:val="auto"/>
              </w:rPr>
            </w:pPr>
          </w:p>
        </w:tc>
        <w:tc>
          <w:tcPr>
            <w:tcW w:w="1020" w:type="dxa"/>
            <w:vAlign w:val="bottom"/>
            <w:tcBorders>
              <w:top w:val="single" w:sz="8" w:color="70AD47"/>
              <w:right w:val="single" w:sz="8" w:color="70AD47"/>
            </w:tcBorders>
            <w:shd w:val="clear" w:color="auto" w:fill="C6E0B4"/>
          </w:tcPr>
          <w:p>
            <w:pPr>
              <w:spacing w:after="0"/>
              <w:rPr>
                <w:sz w:val="17"/>
                <w:szCs w:val="17"/>
                <w:color w:val="auto"/>
              </w:rPr>
            </w:pPr>
          </w:p>
        </w:tc>
        <w:tc>
          <w:tcPr>
            <w:tcW w:w="1020" w:type="dxa"/>
            <w:vAlign w:val="bottom"/>
            <w:tcBorders>
              <w:top w:val="single" w:sz="8" w:color="70AD47"/>
              <w:right w:val="single" w:sz="8" w:color="70AD47"/>
            </w:tcBorders>
          </w:tcPr>
          <w:p>
            <w:pPr>
              <w:spacing w:after="0"/>
              <w:rPr>
                <w:sz w:val="17"/>
                <w:szCs w:val="17"/>
                <w:color w:val="auto"/>
              </w:rPr>
            </w:pPr>
          </w:p>
        </w:tc>
        <w:tc>
          <w:tcPr>
            <w:tcW w:w="180" w:type="dxa"/>
            <w:vAlign w:val="bottom"/>
            <w:tcBorders>
              <w:top w:val="single" w:sz="8" w:color="70AD47"/>
            </w:tcBorders>
          </w:tcPr>
          <w:p>
            <w:pPr>
              <w:spacing w:after="0"/>
              <w:rPr>
                <w:sz w:val="17"/>
                <w:szCs w:val="17"/>
                <w:color w:val="auto"/>
              </w:rPr>
            </w:pPr>
          </w:p>
        </w:tc>
        <w:tc>
          <w:tcPr>
            <w:tcW w:w="840" w:type="dxa"/>
            <w:vAlign w:val="bottom"/>
            <w:tcBorders>
              <w:top w:val="single" w:sz="8" w:color="70AD47"/>
              <w:right w:val="single" w:sz="8" w:color="70AD47"/>
            </w:tcBorders>
          </w:tcPr>
          <w:p>
            <w:pPr>
              <w:spacing w:after="0"/>
              <w:rPr>
                <w:sz w:val="17"/>
                <w:szCs w:val="17"/>
                <w:color w:val="auto"/>
              </w:rPr>
            </w:pPr>
          </w:p>
        </w:tc>
        <w:tc>
          <w:tcPr>
            <w:tcW w:w="1040" w:type="dxa"/>
            <w:vAlign w:val="bottom"/>
            <w:tcBorders>
              <w:top w:val="single" w:sz="8" w:color="70AD47"/>
              <w:right w:val="single" w:sz="8" w:color="70AD47"/>
            </w:tcBorders>
            <w:shd w:val="clear" w:color="auto" w:fill="C6E0B4"/>
          </w:tcPr>
          <w:p>
            <w:pPr>
              <w:spacing w:after="0"/>
              <w:rPr>
                <w:sz w:val="17"/>
                <w:szCs w:val="17"/>
                <w:color w:val="auto"/>
              </w:rPr>
            </w:pPr>
          </w:p>
        </w:tc>
        <w:tc>
          <w:tcPr>
            <w:tcW w:w="1020" w:type="dxa"/>
            <w:vAlign w:val="bottom"/>
            <w:tcBorders>
              <w:top w:val="single" w:sz="8" w:color="70AD47"/>
              <w:right w:val="single" w:sz="8" w:color="70AD47"/>
            </w:tcBorders>
            <w:shd w:val="clear" w:color="auto" w:fill="C6E0B4"/>
          </w:tcPr>
          <w:p>
            <w:pPr>
              <w:spacing w:after="0"/>
              <w:rPr>
                <w:sz w:val="17"/>
                <w:szCs w:val="17"/>
                <w:color w:val="auto"/>
              </w:rPr>
            </w:pPr>
          </w:p>
        </w:tc>
        <w:tc>
          <w:tcPr>
            <w:tcW w:w="1040" w:type="dxa"/>
            <w:vAlign w:val="bottom"/>
            <w:tcBorders>
              <w:top w:val="single" w:sz="8" w:color="70AD47"/>
              <w:right w:val="single" w:sz="8" w:color="70AD47"/>
            </w:tcBorders>
          </w:tcPr>
          <w:p>
            <w:pPr>
              <w:spacing w:after="0"/>
              <w:rPr>
                <w:sz w:val="17"/>
                <w:szCs w:val="17"/>
                <w:color w:val="auto"/>
              </w:rPr>
            </w:pPr>
          </w:p>
        </w:tc>
        <w:tc>
          <w:tcPr>
            <w:tcW w:w="160" w:type="dxa"/>
            <w:vAlign w:val="bottom"/>
            <w:tcBorders>
              <w:top w:val="single" w:sz="8" w:color="70AD47"/>
            </w:tcBorders>
          </w:tcPr>
          <w:p>
            <w:pPr>
              <w:spacing w:after="0"/>
              <w:rPr>
                <w:sz w:val="17"/>
                <w:szCs w:val="17"/>
                <w:color w:val="auto"/>
              </w:rPr>
            </w:pPr>
          </w:p>
        </w:tc>
        <w:tc>
          <w:tcPr>
            <w:tcW w:w="840" w:type="dxa"/>
            <w:vAlign w:val="bottom"/>
            <w:tcBorders>
              <w:top w:val="single" w:sz="8" w:color="70AD47"/>
              <w:right w:val="single" w:sz="8" w:color="70AD47"/>
            </w:tcBorders>
          </w:tcPr>
          <w:p>
            <w:pPr>
              <w:spacing w:after="0"/>
              <w:rPr>
                <w:sz w:val="17"/>
                <w:szCs w:val="17"/>
                <w:color w:val="auto"/>
              </w:rPr>
            </w:pPr>
          </w:p>
        </w:tc>
      </w:tr>
      <w:tr>
        <w:trPr>
          <w:trHeight w:val="276"/>
        </w:trPr>
        <w:tc>
          <w:tcPr>
            <w:tcW w:w="3040" w:type="dxa"/>
            <w:vAlign w:val="bottom"/>
            <w:tcBorders>
              <w:right w:val="single" w:sz="8" w:color="70AD47"/>
            </w:tcBorders>
          </w:tcPr>
          <w:p>
            <w:pPr>
              <w:jc w:val="center"/>
              <w:spacing w:after="0"/>
              <w:rPr>
                <w:sz w:val="20"/>
                <w:szCs w:val="20"/>
                <w:color w:val="auto"/>
              </w:rPr>
            </w:pPr>
            <w:r>
              <w:rPr>
                <w:rFonts w:ascii="Arial" w:cs="Arial" w:eastAsia="Arial" w:hAnsi="Arial"/>
                <w:sz w:val="22"/>
                <w:szCs w:val="22"/>
                <w:b w:val="1"/>
                <w:bCs w:val="1"/>
                <w:color w:val="auto"/>
                <w:w w:val="84"/>
              </w:rPr>
              <w:t>compensation</w:t>
            </w:r>
          </w:p>
        </w:tc>
        <w:tc>
          <w:tcPr>
            <w:tcW w:w="1040" w:type="dxa"/>
            <w:vAlign w:val="bottom"/>
            <w:tcBorders>
              <w:right w:val="single" w:sz="8" w:color="70AD47"/>
            </w:tcBorders>
            <w:shd w:val="clear" w:color="auto" w:fill="C6E0B4"/>
          </w:tcPr>
          <w:p>
            <w:pPr>
              <w:spacing w:after="0"/>
              <w:rPr>
                <w:sz w:val="23"/>
                <w:szCs w:val="23"/>
                <w:color w:val="auto"/>
              </w:rPr>
            </w:pPr>
          </w:p>
        </w:tc>
        <w:tc>
          <w:tcPr>
            <w:tcW w:w="1020" w:type="dxa"/>
            <w:vAlign w:val="bottom"/>
            <w:tcBorders>
              <w:right w:val="single" w:sz="8" w:color="70AD47"/>
            </w:tcBorders>
            <w:shd w:val="clear" w:color="auto" w:fill="C6E0B4"/>
          </w:tcPr>
          <w:p>
            <w:pPr>
              <w:spacing w:after="0"/>
              <w:rPr>
                <w:sz w:val="23"/>
                <w:szCs w:val="23"/>
                <w:color w:val="auto"/>
              </w:rPr>
            </w:pPr>
          </w:p>
        </w:tc>
        <w:tc>
          <w:tcPr>
            <w:tcW w:w="1020" w:type="dxa"/>
            <w:vAlign w:val="bottom"/>
            <w:tcBorders>
              <w:right w:val="single" w:sz="8" w:color="70AD47"/>
            </w:tcBorders>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Borders>
              <w:right w:val="single" w:sz="8" w:color="70AD47"/>
            </w:tcBorders>
          </w:tcPr>
          <w:p>
            <w:pPr>
              <w:spacing w:after="0"/>
              <w:rPr>
                <w:sz w:val="23"/>
                <w:szCs w:val="23"/>
                <w:color w:val="auto"/>
              </w:rPr>
            </w:pPr>
          </w:p>
        </w:tc>
        <w:tc>
          <w:tcPr>
            <w:tcW w:w="1040" w:type="dxa"/>
            <w:vAlign w:val="bottom"/>
            <w:tcBorders>
              <w:right w:val="single" w:sz="8" w:color="70AD47"/>
            </w:tcBorders>
            <w:shd w:val="clear" w:color="auto" w:fill="C6E0B4"/>
          </w:tcPr>
          <w:p>
            <w:pPr>
              <w:spacing w:after="0"/>
              <w:rPr>
                <w:sz w:val="23"/>
                <w:szCs w:val="23"/>
                <w:color w:val="auto"/>
              </w:rPr>
            </w:pPr>
          </w:p>
        </w:tc>
        <w:tc>
          <w:tcPr>
            <w:tcW w:w="1020" w:type="dxa"/>
            <w:vAlign w:val="bottom"/>
            <w:tcBorders>
              <w:right w:val="single" w:sz="8" w:color="70AD47"/>
            </w:tcBorders>
            <w:shd w:val="clear" w:color="auto" w:fill="C6E0B4"/>
          </w:tcPr>
          <w:p>
            <w:pPr>
              <w:spacing w:after="0"/>
              <w:rPr>
                <w:sz w:val="23"/>
                <w:szCs w:val="23"/>
                <w:color w:val="auto"/>
              </w:rPr>
            </w:pPr>
          </w:p>
        </w:tc>
        <w:tc>
          <w:tcPr>
            <w:tcW w:w="1040" w:type="dxa"/>
            <w:vAlign w:val="bottom"/>
            <w:tcBorders>
              <w:right w:val="single" w:sz="8" w:color="70AD47"/>
            </w:tcBorders>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Borders>
              <w:right w:val="single" w:sz="8" w:color="70AD47"/>
            </w:tcBorders>
          </w:tcPr>
          <w:p>
            <w:pPr>
              <w:spacing w:after="0"/>
              <w:rPr>
                <w:sz w:val="23"/>
                <w:szCs w:val="23"/>
                <w:color w:val="auto"/>
              </w:rPr>
            </w:pPr>
          </w:p>
        </w:tc>
      </w:tr>
      <w:tr>
        <w:trPr>
          <w:trHeight w:val="270"/>
        </w:trPr>
        <w:tc>
          <w:tcPr>
            <w:tcW w:w="30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Fixed compensation</w:t>
            </w:r>
          </w:p>
        </w:tc>
        <w:tc>
          <w:tcPr>
            <w:tcW w:w="1040" w:type="dxa"/>
            <w:vAlign w:val="bottom"/>
            <w:tcBorders>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87"/>
              </w:rPr>
              <w:t>320</w:t>
            </w:r>
          </w:p>
        </w:tc>
        <w:tc>
          <w:tcPr>
            <w:tcW w:w="1020" w:type="dxa"/>
            <w:vAlign w:val="bottom"/>
            <w:tcBorders>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86"/>
              </w:rPr>
              <w:t>42%</w:t>
            </w:r>
          </w:p>
        </w:tc>
        <w:tc>
          <w:tcPr>
            <w:tcW w:w="102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7"/>
              </w:rPr>
              <w:t>320</w:t>
            </w:r>
          </w:p>
        </w:tc>
        <w:tc>
          <w:tcPr>
            <w:tcW w:w="180" w:type="dxa"/>
            <w:vAlign w:val="bottom"/>
          </w:tcPr>
          <w:p>
            <w:pPr>
              <w:spacing w:after="0"/>
              <w:rPr>
                <w:sz w:val="23"/>
                <w:szCs w:val="23"/>
                <w:color w:val="auto"/>
              </w:rPr>
            </w:pPr>
          </w:p>
        </w:tc>
        <w:tc>
          <w:tcPr>
            <w:tcW w:w="840" w:type="dxa"/>
            <w:vAlign w:val="bottom"/>
            <w:tcBorders>
              <w:right w:val="single" w:sz="8" w:color="70AD47"/>
            </w:tcBorders>
          </w:tcPr>
          <w:p>
            <w:pPr>
              <w:jc w:val="center"/>
              <w:ind w:right="92"/>
              <w:spacing w:after="0"/>
              <w:rPr>
                <w:sz w:val="20"/>
                <w:szCs w:val="20"/>
                <w:color w:val="auto"/>
              </w:rPr>
            </w:pPr>
            <w:r>
              <w:rPr>
                <w:rFonts w:ascii="Arial" w:cs="Arial" w:eastAsia="Arial" w:hAnsi="Arial"/>
                <w:sz w:val="22"/>
                <w:szCs w:val="22"/>
                <w:color w:val="auto"/>
                <w:w w:val="90"/>
              </w:rPr>
              <w:t>43%</w:t>
            </w:r>
          </w:p>
        </w:tc>
        <w:tc>
          <w:tcPr>
            <w:tcW w:w="1040" w:type="dxa"/>
            <w:vAlign w:val="bottom"/>
            <w:tcBorders>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92"/>
              </w:rPr>
              <w:t>275</w:t>
            </w:r>
          </w:p>
        </w:tc>
        <w:tc>
          <w:tcPr>
            <w:tcW w:w="1020" w:type="dxa"/>
            <w:vAlign w:val="bottom"/>
            <w:tcBorders>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90"/>
              </w:rPr>
              <w:t>39%</w:t>
            </w:r>
          </w:p>
        </w:tc>
        <w:tc>
          <w:tcPr>
            <w:tcW w:w="10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90"/>
              </w:rPr>
              <w:t>—</w:t>
            </w:r>
          </w:p>
        </w:tc>
        <w:tc>
          <w:tcPr>
            <w:tcW w:w="160" w:type="dxa"/>
            <w:vAlign w:val="bottom"/>
          </w:tcPr>
          <w:p>
            <w:pPr>
              <w:spacing w:after="0"/>
              <w:rPr>
                <w:sz w:val="23"/>
                <w:szCs w:val="23"/>
                <w:color w:val="auto"/>
              </w:rPr>
            </w:pPr>
          </w:p>
        </w:tc>
        <w:tc>
          <w:tcPr>
            <w:tcW w:w="840" w:type="dxa"/>
            <w:vAlign w:val="bottom"/>
            <w:tcBorders>
              <w:right w:val="single" w:sz="8" w:color="70AD47"/>
            </w:tcBorders>
          </w:tcPr>
          <w:p>
            <w:pPr>
              <w:jc w:val="center"/>
              <w:ind w:right="72"/>
              <w:spacing w:after="0"/>
              <w:rPr>
                <w:sz w:val="20"/>
                <w:szCs w:val="20"/>
                <w:color w:val="auto"/>
              </w:rPr>
            </w:pPr>
            <w:r>
              <w:rPr>
                <w:rFonts w:ascii="Arial" w:cs="Arial" w:eastAsia="Arial" w:hAnsi="Arial"/>
                <w:sz w:val="22"/>
                <w:szCs w:val="22"/>
                <w:color w:val="auto"/>
                <w:w w:val="96"/>
              </w:rPr>
              <w:t>— %</w:t>
            </w:r>
          </w:p>
        </w:tc>
      </w:tr>
      <w:tr>
        <w:trPr>
          <w:trHeight w:val="276"/>
        </w:trPr>
        <w:tc>
          <w:tcPr>
            <w:tcW w:w="3040" w:type="dxa"/>
            <w:vAlign w:val="bottom"/>
            <w:tcBorders>
              <w:bottom w:val="single" w:sz="8" w:color="70AD47"/>
              <w:right w:val="single" w:sz="8" w:color="70AD47"/>
            </w:tcBorders>
          </w:tcPr>
          <w:p>
            <w:pPr>
              <w:jc w:val="center"/>
              <w:spacing w:after="0"/>
              <w:rPr>
                <w:sz w:val="20"/>
                <w:szCs w:val="20"/>
                <w:color w:val="auto"/>
              </w:rPr>
            </w:pPr>
            <w:r>
              <w:rPr>
                <w:rFonts w:ascii="Arial" w:cs="Arial" w:eastAsia="Arial" w:hAnsi="Arial"/>
                <w:sz w:val="22"/>
                <w:szCs w:val="22"/>
                <w:color w:val="auto"/>
                <w:w w:val="89"/>
              </w:rPr>
              <w:t>Fringe benefits</w:t>
            </w:r>
          </w:p>
        </w:tc>
        <w:tc>
          <w:tcPr>
            <w:tcW w:w="1040" w:type="dxa"/>
            <w:vAlign w:val="bottom"/>
            <w:tcBorders>
              <w:bottom w:val="single" w:sz="8" w:color="70AD47"/>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89"/>
              </w:rPr>
              <w:t>16</w:t>
            </w:r>
          </w:p>
        </w:tc>
        <w:tc>
          <w:tcPr>
            <w:tcW w:w="1020" w:type="dxa"/>
            <w:vAlign w:val="bottom"/>
            <w:tcBorders>
              <w:bottom w:val="single" w:sz="8" w:color="70AD47"/>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94"/>
              </w:rPr>
              <w:t>2%</w:t>
            </w:r>
          </w:p>
        </w:tc>
        <w:tc>
          <w:tcPr>
            <w:tcW w:w="1020" w:type="dxa"/>
            <w:vAlign w:val="bottom"/>
            <w:tcBorders>
              <w:bottom w:val="single" w:sz="8" w:color="70AD47"/>
              <w:right w:val="single" w:sz="8" w:color="70AD47"/>
            </w:tcBorders>
          </w:tcPr>
          <w:p>
            <w:pPr>
              <w:jc w:val="center"/>
              <w:spacing w:after="0"/>
              <w:rPr>
                <w:sz w:val="20"/>
                <w:szCs w:val="20"/>
                <w:color w:val="auto"/>
              </w:rPr>
            </w:pPr>
            <w:r>
              <w:rPr>
                <w:rFonts w:ascii="Arial" w:cs="Arial" w:eastAsia="Arial" w:hAnsi="Arial"/>
                <w:sz w:val="22"/>
                <w:szCs w:val="22"/>
                <w:color w:val="auto"/>
                <w:w w:val="97"/>
              </w:rPr>
              <w:t>4</w:t>
            </w:r>
          </w:p>
        </w:tc>
        <w:tc>
          <w:tcPr>
            <w:tcW w:w="180" w:type="dxa"/>
            <w:vAlign w:val="bottom"/>
            <w:tcBorders>
              <w:bottom w:val="single" w:sz="8" w:color="70AD47"/>
            </w:tcBorders>
          </w:tcPr>
          <w:p>
            <w:pPr>
              <w:spacing w:after="0"/>
              <w:rPr>
                <w:sz w:val="24"/>
                <w:szCs w:val="24"/>
                <w:color w:val="auto"/>
              </w:rPr>
            </w:pPr>
          </w:p>
        </w:tc>
        <w:tc>
          <w:tcPr>
            <w:tcW w:w="840" w:type="dxa"/>
            <w:vAlign w:val="bottom"/>
            <w:tcBorders>
              <w:bottom w:val="single" w:sz="8" w:color="70AD47"/>
              <w:right w:val="single" w:sz="8" w:color="70AD47"/>
            </w:tcBorders>
          </w:tcPr>
          <w:p>
            <w:pPr>
              <w:jc w:val="center"/>
              <w:ind w:right="92"/>
              <w:spacing w:after="0"/>
              <w:rPr>
                <w:sz w:val="20"/>
                <w:szCs w:val="20"/>
                <w:color w:val="auto"/>
              </w:rPr>
            </w:pPr>
            <w:r>
              <w:rPr>
                <w:rFonts w:ascii="Arial" w:cs="Arial" w:eastAsia="Arial" w:hAnsi="Arial"/>
                <w:sz w:val="22"/>
                <w:szCs w:val="22"/>
                <w:color w:val="auto"/>
                <w:w w:val="87"/>
              </w:rPr>
              <w:t>1%</w:t>
            </w:r>
          </w:p>
        </w:tc>
        <w:tc>
          <w:tcPr>
            <w:tcW w:w="1040" w:type="dxa"/>
            <w:vAlign w:val="bottom"/>
            <w:tcBorders>
              <w:bottom w:val="single" w:sz="8" w:color="70AD47"/>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81"/>
              </w:rPr>
              <w:t>3</w:t>
            </w:r>
          </w:p>
        </w:tc>
        <w:tc>
          <w:tcPr>
            <w:tcW w:w="1020" w:type="dxa"/>
            <w:vAlign w:val="bottom"/>
            <w:tcBorders>
              <w:bottom w:val="single" w:sz="8" w:color="70AD47"/>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92"/>
              </w:rPr>
              <w:t>— %</w:t>
            </w:r>
          </w:p>
        </w:tc>
        <w:tc>
          <w:tcPr>
            <w:tcW w:w="1040" w:type="dxa"/>
            <w:vAlign w:val="bottom"/>
            <w:tcBorders>
              <w:bottom w:val="single" w:sz="8" w:color="70AD47"/>
              <w:right w:val="single" w:sz="8" w:color="70AD47"/>
            </w:tcBorders>
          </w:tcPr>
          <w:p>
            <w:pPr>
              <w:jc w:val="center"/>
              <w:spacing w:after="0"/>
              <w:rPr>
                <w:sz w:val="20"/>
                <w:szCs w:val="20"/>
                <w:color w:val="auto"/>
              </w:rPr>
            </w:pPr>
            <w:r>
              <w:rPr>
                <w:rFonts w:ascii="Arial" w:cs="Arial" w:eastAsia="Arial" w:hAnsi="Arial"/>
                <w:sz w:val="22"/>
                <w:szCs w:val="22"/>
                <w:color w:val="auto"/>
                <w:w w:val="90"/>
              </w:rPr>
              <w:t>—</w:t>
            </w:r>
          </w:p>
        </w:tc>
        <w:tc>
          <w:tcPr>
            <w:tcW w:w="160" w:type="dxa"/>
            <w:vAlign w:val="bottom"/>
            <w:tcBorders>
              <w:bottom w:val="single" w:sz="8" w:color="70AD47"/>
            </w:tcBorders>
          </w:tcPr>
          <w:p>
            <w:pPr>
              <w:spacing w:after="0"/>
              <w:rPr>
                <w:sz w:val="24"/>
                <w:szCs w:val="24"/>
                <w:color w:val="auto"/>
              </w:rPr>
            </w:pPr>
          </w:p>
        </w:tc>
        <w:tc>
          <w:tcPr>
            <w:tcW w:w="840" w:type="dxa"/>
            <w:vAlign w:val="bottom"/>
            <w:tcBorders>
              <w:bottom w:val="single" w:sz="8" w:color="70AD47"/>
              <w:right w:val="single" w:sz="8" w:color="70AD47"/>
            </w:tcBorders>
          </w:tcPr>
          <w:p>
            <w:pPr>
              <w:jc w:val="center"/>
              <w:ind w:right="72"/>
              <w:spacing w:after="0"/>
              <w:rPr>
                <w:sz w:val="20"/>
                <w:szCs w:val="20"/>
                <w:color w:val="auto"/>
              </w:rPr>
            </w:pPr>
            <w:r>
              <w:rPr>
                <w:rFonts w:ascii="Arial" w:cs="Arial" w:eastAsia="Arial" w:hAnsi="Arial"/>
                <w:sz w:val="22"/>
                <w:szCs w:val="22"/>
                <w:color w:val="auto"/>
                <w:w w:val="96"/>
              </w:rPr>
              <w:t>— %</w:t>
            </w:r>
          </w:p>
        </w:tc>
      </w:tr>
      <w:tr>
        <w:trPr>
          <w:trHeight w:val="251"/>
        </w:trPr>
        <w:tc>
          <w:tcPr>
            <w:tcW w:w="3040" w:type="dxa"/>
            <w:vAlign w:val="bottom"/>
            <w:tcBorders>
              <w:right w:val="single" w:sz="8" w:color="70AD47"/>
            </w:tcBorders>
          </w:tcPr>
          <w:p>
            <w:pPr>
              <w:jc w:val="center"/>
              <w:spacing w:after="0" w:line="251" w:lineRule="exact"/>
              <w:rPr>
                <w:sz w:val="20"/>
                <w:szCs w:val="20"/>
                <w:color w:val="auto"/>
              </w:rPr>
            </w:pPr>
            <w:r>
              <w:rPr>
                <w:rFonts w:ascii="Arial" w:cs="Arial" w:eastAsia="Arial" w:hAnsi="Arial"/>
                <w:sz w:val="22"/>
                <w:szCs w:val="22"/>
                <w:b w:val="1"/>
                <w:bCs w:val="1"/>
                <w:color w:val="auto"/>
                <w:w w:val="89"/>
              </w:rPr>
              <w:t>Performance-related</w:t>
            </w:r>
          </w:p>
        </w:tc>
        <w:tc>
          <w:tcPr>
            <w:tcW w:w="1040" w:type="dxa"/>
            <w:vAlign w:val="bottom"/>
            <w:tcBorders>
              <w:right w:val="single" w:sz="8" w:color="70AD47"/>
            </w:tcBorders>
            <w:shd w:val="clear" w:color="auto" w:fill="C6E0B4"/>
          </w:tcPr>
          <w:p>
            <w:pPr>
              <w:spacing w:after="0"/>
              <w:rPr>
                <w:sz w:val="21"/>
                <w:szCs w:val="21"/>
                <w:color w:val="auto"/>
              </w:rPr>
            </w:pPr>
          </w:p>
        </w:tc>
        <w:tc>
          <w:tcPr>
            <w:tcW w:w="1020" w:type="dxa"/>
            <w:vAlign w:val="bottom"/>
            <w:tcBorders>
              <w:right w:val="single" w:sz="8" w:color="70AD47"/>
            </w:tcBorders>
            <w:shd w:val="clear" w:color="auto" w:fill="C6E0B4"/>
          </w:tcPr>
          <w:p>
            <w:pPr>
              <w:spacing w:after="0"/>
              <w:rPr>
                <w:sz w:val="21"/>
                <w:szCs w:val="21"/>
                <w:color w:val="auto"/>
              </w:rPr>
            </w:pPr>
          </w:p>
        </w:tc>
        <w:tc>
          <w:tcPr>
            <w:tcW w:w="1020" w:type="dxa"/>
            <w:vAlign w:val="bottom"/>
            <w:tcBorders>
              <w:right w:val="single" w:sz="8" w:color="70AD47"/>
            </w:tcBorders>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Borders>
              <w:right w:val="single" w:sz="8" w:color="70AD47"/>
            </w:tcBorders>
          </w:tcPr>
          <w:p>
            <w:pPr>
              <w:spacing w:after="0"/>
              <w:rPr>
                <w:sz w:val="21"/>
                <w:szCs w:val="21"/>
                <w:color w:val="auto"/>
              </w:rPr>
            </w:pPr>
          </w:p>
        </w:tc>
        <w:tc>
          <w:tcPr>
            <w:tcW w:w="1040" w:type="dxa"/>
            <w:vAlign w:val="bottom"/>
            <w:tcBorders>
              <w:right w:val="single" w:sz="8" w:color="70AD47"/>
            </w:tcBorders>
            <w:shd w:val="clear" w:color="auto" w:fill="C6E0B4"/>
          </w:tcPr>
          <w:p>
            <w:pPr>
              <w:spacing w:after="0"/>
              <w:rPr>
                <w:sz w:val="21"/>
                <w:szCs w:val="21"/>
                <w:color w:val="auto"/>
              </w:rPr>
            </w:pPr>
          </w:p>
        </w:tc>
        <w:tc>
          <w:tcPr>
            <w:tcW w:w="1020" w:type="dxa"/>
            <w:vAlign w:val="bottom"/>
            <w:tcBorders>
              <w:right w:val="single" w:sz="8" w:color="70AD47"/>
            </w:tcBorders>
            <w:shd w:val="clear" w:color="auto" w:fill="C6E0B4"/>
          </w:tcPr>
          <w:p>
            <w:pPr>
              <w:spacing w:after="0"/>
              <w:rPr>
                <w:sz w:val="21"/>
                <w:szCs w:val="21"/>
                <w:color w:val="auto"/>
              </w:rPr>
            </w:pPr>
          </w:p>
        </w:tc>
        <w:tc>
          <w:tcPr>
            <w:tcW w:w="1040" w:type="dxa"/>
            <w:vAlign w:val="bottom"/>
            <w:tcBorders>
              <w:right w:val="single" w:sz="8" w:color="70AD47"/>
            </w:tcBorders>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Borders>
              <w:right w:val="single" w:sz="8" w:color="70AD47"/>
            </w:tcBorders>
          </w:tcPr>
          <w:p>
            <w:pPr>
              <w:jc w:val="center"/>
              <w:ind w:right="72"/>
              <w:spacing w:after="0" w:line="251" w:lineRule="exact"/>
              <w:rPr>
                <w:sz w:val="20"/>
                <w:szCs w:val="20"/>
                <w:color w:val="auto"/>
              </w:rPr>
            </w:pPr>
            <w:r>
              <w:rPr>
                <w:rFonts w:ascii="Arial" w:cs="Arial" w:eastAsia="Arial" w:hAnsi="Arial"/>
                <w:sz w:val="22"/>
                <w:szCs w:val="22"/>
                <w:color w:val="auto"/>
                <w:w w:val="96"/>
              </w:rPr>
              <w:t>— %</w:t>
            </w:r>
          </w:p>
        </w:tc>
      </w:tr>
      <w:tr>
        <w:trPr>
          <w:trHeight w:val="280"/>
        </w:trPr>
        <w:tc>
          <w:tcPr>
            <w:tcW w:w="3040" w:type="dxa"/>
            <w:vAlign w:val="bottom"/>
            <w:tcBorders>
              <w:right w:val="single" w:sz="8" w:color="70AD47"/>
            </w:tcBorders>
          </w:tcPr>
          <w:p>
            <w:pPr>
              <w:jc w:val="center"/>
              <w:spacing w:after="0"/>
              <w:rPr>
                <w:sz w:val="20"/>
                <w:szCs w:val="20"/>
                <w:color w:val="auto"/>
              </w:rPr>
            </w:pPr>
            <w:r>
              <w:rPr>
                <w:rFonts w:ascii="Arial" w:cs="Arial" w:eastAsia="Arial" w:hAnsi="Arial"/>
                <w:sz w:val="22"/>
                <w:szCs w:val="22"/>
                <w:b w:val="1"/>
                <w:bCs w:val="1"/>
                <w:color w:val="auto"/>
                <w:w w:val="84"/>
              </w:rPr>
              <w:t>compensation</w:t>
            </w:r>
          </w:p>
        </w:tc>
        <w:tc>
          <w:tcPr>
            <w:tcW w:w="1040" w:type="dxa"/>
            <w:vAlign w:val="bottom"/>
            <w:tcBorders>
              <w:right w:val="single" w:sz="8" w:color="70AD47"/>
            </w:tcBorders>
            <w:shd w:val="clear" w:color="auto" w:fill="C6E0B4"/>
          </w:tcPr>
          <w:p>
            <w:pPr>
              <w:spacing w:after="0"/>
              <w:rPr>
                <w:sz w:val="24"/>
                <w:szCs w:val="24"/>
                <w:color w:val="auto"/>
              </w:rPr>
            </w:pPr>
          </w:p>
        </w:tc>
        <w:tc>
          <w:tcPr>
            <w:tcW w:w="1020" w:type="dxa"/>
            <w:vAlign w:val="bottom"/>
            <w:tcBorders>
              <w:right w:val="single" w:sz="8" w:color="70AD47"/>
            </w:tcBorders>
            <w:shd w:val="clear" w:color="auto" w:fill="C6E0B4"/>
          </w:tcPr>
          <w:p>
            <w:pPr>
              <w:spacing w:after="0"/>
              <w:rPr>
                <w:sz w:val="24"/>
                <w:szCs w:val="24"/>
                <w:color w:val="auto"/>
              </w:rPr>
            </w:pPr>
          </w:p>
        </w:tc>
        <w:tc>
          <w:tcPr>
            <w:tcW w:w="1020" w:type="dxa"/>
            <w:vAlign w:val="bottom"/>
            <w:tcBorders>
              <w:right w:val="single" w:sz="8" w:color="70AD47"/>
            </w:tcBorders>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Borders>
              <w:right w:val="single" w:sz="8" w:color="70AD47"/>
            </w:tcBorders>
          </w:tcPr>
          <w:p>
            <w:pPr>
              <w:spacing w:after="0"/>
              <w:rPr>
                <w:sz w:val="24"/>
                <w:szCs w:val="24"/>
                <w:color w:val="auto"/>
              </w:rPr>
            </w:pPr>
          </w:p>
        </w:tc>
        <w:tc>
          <w:tcPr>
            <w:tcW w:w="1040" w:type="dxa"/>
            <w:vAlign w:val="bottom"/>
            <w:tcBorders>
              <w:right w:val="single" w:sz="8" w:color="70AD47"/>
            </w:tcBorders>
            <w:shd w:val="clear" w:color="auto" w:fill="C6E0B4"/>
          </w:tcPr>
          <w:p>
            <w:pPr>
              <w:spacing w:after="0"/>
              <w:rPr>
                <w:sz w:val="24"/>
                <w:szCs w:val="24"/>
                <w:color w:val="auto"/>
              </w:rPr>
            </w:pPr>
          </w:p>
        </w:tc>
        <w:tc>
          <w:tcPr>
            <w:tcW w:w="1020" w:type="dxa"/>
            <w:vAlign w:val="bottom"/>
            <w:tcBorders>
              <w:right w:val="single" w:sz="8" w:color="70AD47"/>
            </w:tcBorders>
            <w:shd w:val="clear" w:color="auto" w:fill="C6E0B4"/>
          </w:tcPr>
          <w:p>
            <w:pPr>
              <w:spacing w:after="0"/>
              <w:rPr>
                <w:sz w:val="24"/>
                <w:szCs w:val="24"/>
                <w:color w:val="auto"/>
              </w:rPr>
            </w:pPr>
          </w:p>
        </w:tc>
        <w:tc>
          <w:tcPr>
            <w:tcW w:w="1040" w:type="dxa"/>
            <w:vAlign w:val="bottom"/>
            <w:tcBorders>
              <w:right w:val="single" w:sz="8" w:color="70AD47"/>
            </w:tcBorders>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Borders>
              <w:right w:val="single" w:sz="8" w:color="70AD47"/>
            </w:tcBorders>
          </w:tcPr>
          <w:p>
            <w:pPr>
              <w:spacing w:after="0"/>
              <w:rPr>
                <w:sz w:val="24"/>
                <w:szCs w:val="24"/>
                <w:color w:val="auto"/>
              </w:rPr>
            </w:pPr>
          </w:p>
        </w:tc>
      </w:tr>
      <w:tr>
        <w:trPr>
          <w:trHeight w:val="293"/>
        </w:trPr>
        <w:tc>
          <w:tcPr>
            <w:tcW w:w="30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90"/>
              </w:rPr>
              <w:t>Short-term incentive</w:t>
            </w:r>
          </w:p>
        </w:tc>
        <w:tc>
          <w:tcPr>
            <w:tcW w:w="1040" w:type="dxa"/>
            <w:vAlign w:val="bottom"/>
            <w:tcBorders>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87"/>
              </w:rPr>
              <w:t>160</w:t>
            </w:r>
          </w:p>
        </w:tc>
        <w:tc>
          <w:tcPr>
            <w:tcW w:w="1020" w:type="dxa"/>
            <w:vAlign w:val="bottom"/>
            <w:tcBorders>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86"/>
              </w:rPr>
              <w:t>21%</w:t>
            </w:r>
          </w:p>
        </w:tc>
        <w:tc>
          <w:tcPr>
            <w:tcW w:w="102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7"/>
              </w:rPr>
              <w:t>160</w:t>
            </w:r>
          </w:p>
        </w:tc>
        <w:tc>
          <w:tcPr>
            <w:tcW w:w="180" w:type="dxa"/>
            <w:vAlign w:val="bottom"/>
          </w:tcPr>
          <w:p>
            <w:pPr>
              <w:spacing w:after="0"/>
              <w:rPr>
                <w:sz w:val="24"/>
                <w:szCs w:val="24"/>
                <w:color w:val="auto"/>
              </w:rPr>
            </w:pPr>
          </w:p>
        </w:tc>
        <w:tc>
          <w:tcPr>
            <w:tcW w:w="840" w:type="dxa"/>
            <w:vAlign w:val="bottom"/>
            <w:tcBorders>
              <w:right w:val="single" w:sz="8" w:color="70AD47"/>
            </w:tcBorders>
          </w:tcPr>
          <w:p>
            <w:pPr>
              <w:jc w:val="center"/>
              <w:ind w:right="92"/>
              <w:spacing w:after="0"/>
              <w:rPr>
                <w:sz w:val="20"/>
                <w:szCs w:val="20"/>
                <w:color w:val="auto"/>
              </w:rPr>
            </w:pPr>
            <w:r>
              <w:rPr>
                <w:rFonts w:ascii="Arial" w:cs="Arial" w:eastAsia="Arial" w:hAnsi="Arial"/>
                <w:sz w:val="22"/>
                <w:szCs w:val="22"/>
                <w:color w:val="auto"/>
                <w:w w:val="90"/>
              </w:rPr>
              <w:t>22%</w:t>
            </w:r>
          </w:p>
        </w:tc>
        <w:tc>
          <w:tcPr>
            <w:tcW w:w="1040" w:type="dxa"/>
            <w:vAlign w:val="bottom"/>
            <w:tcBorders>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92"/>
              </w:rPr>
              <w:t>150</w:t>
            </w:r>
          </w:p>
        </w:tc>
        <w:tc>
          <w:tcPr>
            <w:tcW w:w="1020" w:type="dxa"/>
            <w:vAlign w:val="bottom"/>
            <w:tcBorders>
              <w:right w:val="single" w:sz="8" w:color="70AD47"/>
            </w:tcBorders>
            <w:shd w:val="clear" w:color="auto" w:fill="C6E0B4"/>
          </w:tcPr>
          <w:p>
            <w:pPr>
              <w:jc w:val="center"/>
              <w:spacing w:after="0"/>
              <w:rPr>
                <w:sz w:val="20"/>
                <w:szCs w:val="20"/>
                <w:color w:val="auto"/>
              </w:rPr>
            </w:pPr>
            <w:r>
              <w:rPr>
                <w:rFonts w:ascii="Arial" w:cs="Arial" w:eastAsia="Arial" w:hAnsi="Arial"/>
                <w:sz w:val="22"/>
                <w:szCs w:val="22"/>
                <w:color w:val="auto"/>
                <w:w w:val="90"/>
              </w:rPr>
              <w:t>21%</w:t>
            </w:r>
          </w:p>
        </w:tc>
        <w:tc>
          <w:tcPr>
            <w:tcW w:w="10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90"/>
              </w:rPr>
              <w:t>—</w:t>
            </w:r>
          </w:p>
        </w:tc>
        <w:tc>
          <w:tcPr>
            <w:tcW w:w="160" w:type="dxa"/>
            <w:vAlign w:val="bottom"/>
          </w:tcPr>
          <w:p>
            <w:pPr>
              <w:spacing w:after="0"/>
              <w:rPr>
                <w:sz w:val="24"/>
                <w:szCs w:val="24"/>
                <w:color w:val="auto"/>
              </w:rPr>
            </w:pPr>
          </w:p>
        </w:tc>
        <w:tc>
          <w:tcPr>
            <w:tcW w:w="840" w:type="dxa"/>
            <w:vAlign w:val="bottom"/>
            <w:tcBorders>
              <w:right w:val="single" w:sz="8" w:color="70AD47"/>
            </w:tcBorders>
          </w:tcPr>
          <w:p>
            <w:pPr>
              <w:jc w:val="center"/>
              <w:ind w:right="72"/>
              <w:spacing w:after="0"/>
              <w:rPr>
                <w:sz w:val="20"/>
                <w:szCs w:val="20"/>
                <w:color w:val="auto"/>
              </w:rPr>
            </w:pPr>
            <w:r>
              <w:rPr>
                <w:rFonts w:ascii="Arial" w:cs="Arial" w:eastAsia="Arial" w:hAnsi="Arial"/>
                <w:sz w:val="22"/>
                <w:szCs w:val="22"/>
                <w:color w:val="auto"/>
                <w:w w:val="96"/>
              </w:rPr>
              <w:t>— %</w:t>
            </w:r>
          </w:p>
        </w:tc>
      </w:tr>
      <w:tr>
        <w:trPr>
          <w:trHeight w:val="216"/>
        </w:trPr>
        <w:tc>
          <w:tcPr>
            <w:tcW w:w="3040" w:type="dxa"/>
            <w:vAlign w:val="bottom"/>
            <w:tcBorders>
              <w:right w:val="single" w:sz="8" w:color="70AD47"/>
            </w:tcBorders>
          </w:tcPr>
          <w:p>
            <w:pPr>
              <w:jc w:val="center"/>
              <w:spacing w:after="0" w:line="216" w:lineRule="exact"/>
              <w:rPr>
                <w:sz w:val="20"/>
                <w:szCs w:val="20"/>
                <w:color w:val="auto"/>
              </w:rPr>
            </w:pPr>
            <w:r>
              <w:rPr>
                <w:rFonts w:ascii="Arial" w:cs="Arial" w:eastAsia="Arial" w:hAnsi="Arial"/>
                <w:sz w:val="22"/>
                <w:szCs w:val="22"/>
                <w:color w:val="auto"/>
                <w:w w:val="87"/>
              </w:rPr>
              <w:t>Share-based payments (incl. long-</w:t>
            </w:r>
          </w:p>
        </w:tc>
        <w:tc>
          <w:tcPr>
            <w:tcW w:w="1040" w:type="dxa"/>
            <w:vAlign w:val="bottom"/>
            <w:tcBorders>
              <w:right w:val="single" w:sz="8" w:color="70AD47"/>
            </w:tcBorders>
            <w:shd w:val="clear" w:color="auto" w:fill="C6E0B4"/>
          </w:tcPr>
          <w:p>
            <w:pPr>
              <w:jc w:val="center"/>
              <w:spacing w:after="0" w:line="216" w:lineRule="exact"/>
              <w:rPr>
                <w:sz w:val="20"/>
                <w:szCs w:val="20"/>
                <w:color w:val="auto"/>
              </w:rPr>
            </w:pPr>
            <w:r>
              <w:rPr>
                <w:rFonts w:ascii="Arial" w:cs="Arial" w:eastAsia="Arial" w:hAnsi="Arial"/>
                <w:sz w:val="22"/>
                <w:szCs w:val="22"/>
                <w:color w:val="auto"/>
                <w:w w:val="87"/>
              </w:rPr>
              <w:t>260</w:t>
            </w:r>
          </w:p>
        </w:tc>
        <w:tc>
          <w:tcPr>
            <w:tcW w:w="1020" w:type="dxa"/>
            <w:vAlign w:val="bottom"/>
            <w:tcBorders>
              <w:right w:val="single" w:sz="8" w:color="70AD47"/>
            </w:tcBorders>
            <w:shd w:val="clear" w:color="auto" w:fill="C6E0B4"/>
          </w:tcPr>
          <w:p>
            <w:pPr>
              <w:jc w:val="center"/>
              <w:spacing w:after="0" w:line="216" w:lineRule="exact"/>
              <w:rPr>
                <w:sz w:val="20"/>
                <w:szCs w:val="20"/>
                <w:color w:val="auto"/>
              </w:rPr>
            </w:pPr>
            <w:r>
              <w:rPr>
                <w:rFonts w:ascii="Arial" w:cs="Arial" w:eastAsia="Arial" w:hAnsi="Arial"/>
                <w:sz w:val="22"/>
                <w:szCs w:val="22"/>
                <w:color w:val="auto"/>
                <w:w w:val="86"/>
              </w:rPr>
              <w:t>34%</w:t>
            </w:r>
          </w:p>
        </w:tc>
        <w:tc>
          <w:tcPr>
            <w:tcW w:w="1020" w:type="dxa"/>
            <w:vAlign w:val="bottom"/>
            <w:tcBorders>
              <w:right w:val="single" w:sz="8" w:color="70AD47"/>
            </w:tcBorders>
          </w:tcPr>
          <w:p>
            <w:pPr>
              <w:jc w:val="center"/>
              <w:spacing w:after="0" w:line="216" w:lineRule="exact"/>
              <w:rPr>
                <w:sz w:val="20"/>
                <w:szCs w:val="20"/>
                <w:color w:val="auto"/>
              </w:rPr>
            </w:pPr>
            <w:r>
              <w:rPr>
                <w:rFonts w:ascii="Arial" w:cs="Arial" w:eastAsia="Arial" w:hAnsi="Arial"/>
                <w:sz w:val="22"/>
                <w:szCs w:val="22"/>
                <w:color w:val="auto"/>
                <w:w w:val="87"/>
              </w:rPr>
              <w:t>260</w:t>
            </w:r>
          </w:p>
        </w:tc>
        <w:tc>
          <w:tcPr>
            <w:tcW w:w="180" w:type="dxa"/>
            <w:vAlign w:val="bottom"/>
          </w:tcPr>
          <w:p>
            <w:pPr>
              <w:spacing w:after="0"/>
              <w:rPr>
                <w:sz w:val="18"/>
                <w:szCs w:val="18"/>
                <w:color w:val="auto"/>
              </w:rPr>
            </w:pPr>
          </w:p>
        </w:tc>
        <w:tc>
          <w:tcPr>
            <w:tcW w:w="840" w:type="dxa"/>
            <w:vAlign w:val="bottom"/>
            <w:tcBorders>
              <w:right w:val="single" w:sz="8" w:color="70AD47"/>
            </w:tcBorders>
          </w:tcPr>
          <w:p>
            <w:pPr>
              <w:jc w:val="center"/>
              <w:ind w:right="92"/>
              <w:spacing w:after="0" w:line="216" w:lineRule="exact"/>
              <w:rPr>
                <w:sz w:val="20"/>
                <w:szCs w:val="20"/>
                <w:color w:val="auto"/>
              </w:rPr>
            </w:pPr>
            <w:r>
              <w:rPr>
                <w:rFonts w:ascii="Arial" w:cs="Arial" w:eastAsia="Arial" w:hAnsi="Arial"/>
                <w:sz w:val="22"/>
                <w:szCs w:val="22"/>
                <w:color w:val="auto"/>
                <w:w w:val="90"/>
              </w:rPr>
              <w:t>35%</w:t>
            </w:r>
          </w:p>
        </w:tc>
        <w:tc>
          <w:tcPr>
            <w:tcW w:w="1040" w:type="dxa"/>
            <w:vAlign w:val="bottom"/>
            <w:tcBorders>
              <w:right w:val="single" w:sz="8" w:color="70AD47"/>
            </w:tcBorders>
            <w:shd w:val="clear" w:color="auto" w:fill="C6E0B4"/>
          </w:tcPr>
          <w:p>
            <w:pPr>
              <w:jc w:val="center"/>
              <w:spacing w:after="0" w:line="216" w:lineRule="exact"/>
              <w:rPr>
                <w:sz w:val="20"/>
                <w:szCs w:val="20"/>
                <w:color w:val="auto"/>
              </w:rPr>
            </w:pPr>
            <w:r>
              <w:rPr>
                <w:rFonts w:ascii="Arial" w:cs="Arial" w:eastAsia="Arial" w:hAnsi="Arial"/>
                <w:sz w:val="22"/>
                <w:szCs w:val="22"/>
                <w:color w:val="auto"/>
                <w:w w:val="92"/>
              </w:rPr>
              <w:t>275</w:t>
            </w:r>
          </w:p>
        </w:tc>
        <w:tc>
          <w:tcPr>
            <w:tcW w:w="1020" w:type="dxa"/>
            <w:vAlign w:val="bottom"/>
            <w:tcBorders>
              <w:right w:val="single" w:sz="8" w:color="70AD47"/>
            </w:tcBorders>
            <w:shd w:val="clear" w:color="auto" w:fill="C6E0B4"/>
          </w:tcPr>
          <w:p>
            <w:pPr>
              <w:jc w:val="center"/>
              <w:spacing w:after="0" w:line="216" w:lineRule="exact"/>
              <w:rPr>
                <w:sz w:val="20"/>
                <w:szCs w:val="20"/>
                <w:color w:val="auto"/>
              </w:rPr>
            </w:pPr>
            <w:r>
              <w:rPr>
                <w:rFonts w:ascii="Arial" w:cs="Arial" w:eastAsia="Arial" w:hAnsi="Arial"/>
                <w:sz w:val="22"/>
                <w:szCs w:val="22"/>
                <w:color w:val="auto"/>
                <w:w w:val="90"/>
              </w:rPr>
              <w:t>39%</w:t>
            </w:r>
          </w:p>
        </w:tc>
        <w:tc>
          <w:tcPr>
            <w:tcW w:w="1040" w:type="dxa"/>
            <w:vAlign w:val="bottom"/>
            <w:tcBorders>
              <w:right w:val="single" w:sz="8" w:color="70AD47"/>
            </w:tcBorders>
          </w:tcPr>
          <w:p>
            <w:pPr>
              <w:jc w:val="center"/>
              <w:spacing w:after="0" w:line="216" w:lineRule="exact"/>
              <w:rPr>
                <w:sz w:val="20"/>
                <w:szCs w:val="20"/>
                <w:color w:val="auto"/>
              </w:rPr>
            </w:pPr>
            <w:r>
              <w:rPr>
                <w:rFonts w:ascii="Arial" w:cs="Arial" w:eastAsia="Arial" w:hAnsi="Arial"/>
                <w:sz w:val="22"/>
                <w:szCs w:val="22"/>
                <w:color w:val="auto"/>
                <w:w w:val="90"/>
              </w:rPr>
              <w:t>—</w:t>
            </w:r>
          </w:p>
        </w:tc>
        <w:tc>
          <w:tcPr>
            <w:tcW w:w="160" w:type="dxa"/>
            <w:vAlign w:val="bottom"/>
          </w:tcPr>
          <w:p>
            <w:pPr>
              <w:spacing w:after="0"/>
              <w:rPr>
                <w:sz w:val="18"/>
                <w:szCs w:val="18"/>
                <w:color w:val="auto"/>
              </w:rPr>
            </w:pPr>
          </w:p>
        </w:tc>
        <w:tc>
          <w:tcPr>
            <w:tcW w:w="840" w:type="dxa"/>
            <w:vAlign w:val="bottom"/>
            <w:tcBorders>
              <w:right w:val="single" w:sz="8" w:color="70AD47"/>
            </w:tcBorders>
          </w:tcPr>
          <w:p>
            <w:pPr>
              <w:jc w:val="center"/>
              <w:ind w:right="72"/>
              <w:spacing w:after="0" w:line="216" w:lineRule="exact"/>
              <w:rPr>
                <w:sz w:val="20"/>
                <w:szCs w:val="20"/>
                <w:color w:val="auto"/>
              </w:rPr>
            </w:pPr>
            <w:r>
              <w:rPr>
                <w:rFonts w:ascii="Arial" w:cs="Arial" w:eastAsia="Arial" w:hAnsi="Arial"/>
                <w:sz w:val="22"/>
                <w:szCs w:val="22"/>
                <w:color w:val="auto"/>
                <w:w w:val="96"/>
              </w:rPr>
              <w:t>— %</w:t>
            </w:r>
          </w:p>
        </w:tc>
      </w:tr>
      <w:tr>
        <w:trPr>
          <w:trHeight w:val="276"/>
        </w:trPr>
        <w:tc>
          <w:tcPr>
            <w:tcW w:w="3040" w:type="dxa"/>
            <w:vAlign w:val="bottom"/>
            <w:tcBorders>
              <w:bottom w:val="single" w:sz="8" w:color="70AD47"/>
              <w:right w:val="single" w:sz="8" w:color="70AD47"/>
            </w:tcBorders>
          </w:tcPr>
          <w:p>
            <w:pPr>
              <w:jc w:val="center"/>
              <w:spacing w:after="0"/>
              <w:rPr>
                <w:sz w:val="20"/>
                <w:szCs w:val="20"/>
                <w:color w:val="auto"/>
              </w:rPr>
            </w:pPr>
            <w:r>
              <w:rPr>
                <w:rFonts w:ascii="Arial" w:cs="Arial" w:eastAsia="Arial" w:hAnsi="Arial"/>
                <w:sz w:val="22"/>
                <w:szCs w:val="22"/>
                <w:color w:val="auto"/>
                <w:w w:val="91"/>
              </w:rPr>
              <w:t>term incentive)</w:t>
            </w:r>
          </w:p>
        </w:tc>
        <w:tc>
          <w:tcPr>
            <w:tcW w:w="1040" w:type="dxa"/>
            <w:vAlign w:val="bottom"/>
            <w:tcBorders>
              <w:bottom w:val="single" w:sz="8" w:color="70AD47"/>
              <w:right w:val="single" w:sz="8" w:color="70AD47"/>
            </w:tcBorders>
            <w:shd w:val="clear" w:color="auto" w:fill="C6E0B4"/>
          </w:tcPr>
          <w:p>
            <w:pPr>
              <w:spacing w:after="0"/>
              <w:rPr>
                <w:sz w:val="24"/>
                <w:szCs w:val="24"/>
                <w:color w:val="auto"/>
              </w:rPr>
            </w:pPr>
          </w:p>
        </w:tc>
        <w:tc>
          <w:tcPr>
            <w:tcW w:w="1020" w:type="dxa"/>
            <w:vAlign w:val="bottom"/>
            <w:tcBorders>
              <w:bottom w:val="single" w:sz="8" w:color="70AD47"/>
              <w:right w:val="single" w:sz="8" w:color="70AD47"/>
            </w:tcBorders>
            <w:shd w:val="clear" w:color="auto" w:fill="C6E0B4"/>
          </w:tcPr>
          <w:p>
            <w:pPr>
              <w:spacing w:after="0"/>
              <w:rPr>
                <w:sz w:val="24"/>
                <w:szCs w:val="24"/>
                <w:color w:val="auto"/>
              </w:rPr>
            </w:pPr>
          </w:p>
        </w:tc>
        <w:tc>
          <w:tcPr>
            <w:tcW w:w="1020" w:type="dxa"/>
            <w:vAlign w:val="bottom"/>
            <w:tcBorders>
              <w:bottom w:val="single" w:sz="8" w:color="70AD47"/>
              <w:right w:val="single" w:sz="8" w:color="70AD47"/>
            </w:tcBorders>
          </w:tcPr>
          <w:p>
            <w:pPr>
              <w:spacing w:after="0"/>
              <w:rPr>
                <w:sz w:val="24"/>
                <w:szCs w:val="24"/>
                <w:color w:val="auto"/>
              </w:rPr>
            </w:pPr>
          </w:p>
        </w:tc>
        <w:tc>
          <w:tcPr>
            <w:tcW w:w="180" w:type="dxa"/>
            <w:vAlign w:val="bottom"/>
            <w:tcBorders>
              <w:bottom w:val="single" w:sz="8" w:color="70AD47"/>
            </w:tcBorders>
          </w:tcPr>
          <w:p>
            <w:pPr>
              <w:spacing w:after="0"/>
              <w:rPr>
                <w:sz w:val="24"/>
                <w:szCs w:val="24"/>
                <w:color w:val="auto"/>
              </w:rPr>
            </w:pPr>
          </w:p>
        </w:tc>
        <w:tc>
          <w:tcPr>
            <w:tcW w:w="840" w:type="dxa"/>
            <w:vAlign w:val="bottom"/>
            <w:tcBorders>
              <w:bottom w:val="single" w:sz="8" w:color="70AD47"/>
              <w:right w:val="single" w:sz="8" w:color="70AD47"/>
            </w:tcBorders>
          </w:tcPr>
          <w:p>
            <w:pPr>
              <w:spacing w:after="0"/>
              <w:rPr>
                <w:sz w:val="24"/>
                <w:szCs w:val="24"/>
                <w:color w:val="auto"/>
              </w:rPr>
            </w:pPr>
          </w:p>
        </w:tc>
        <w:tc>
          <w:tcPr>
            <w:tcW w:w="1040" w:type="dxa"/>
            <w:vAlign w:val="bottom"/>
            <w:tcBorders>
              <w:bottom w:val="single" w:sz="8" w:color="70AD47"/>
              <w:right w:val="single" w:sz="8" w:color="70AD47"/>
            </w:tcBorders>
            <w:shd w:val="clear" w:color="auto" w:fill="C6E0B4"/>
          </w:tcPr>
          <w:p>
            <w:pPr>
              <w:spacing w:after="0"/>
              <w:rPr>
                <w:sz w:val="24"/>
                <w:szCs w:val="24"/>
                <w:color w:val="auto"/>
              </w:rPr>
            </w:pPr>
          </w:p>
        </w:tc>
        <w:tc>
          <w:tcPr>
            <w:tcW w:w="1020" w:type="dxa"/>
            <w:vAlign w:val="bottom"/>
            <w:tcBorders>
              <w:bottom w:val="single" w:sz="8" w:color="70AD47"/>
              <w:right w:val="single" w:sz="8" w:color="70AD47"/>
            </w:tcBorders>
            <w:shd w:val="clear" w:color="auto" w:fill="C6E0B4"/>
          </w:tcPr>
          <w:p>
            <w:pPr>
              <w:spacing w:after="0"/>
              <w:rPr>
                <w:sz w:val="24"/>
                <w:szCs w:val="24"/>
                <w:color w:val="auto"/>
              </w:rPr>
            </w:pPr>
          </w:p>
        </w:tc>
        <w:tc>
          <w:tcPr>
            <w:tcW w:w="1040" w:type="dxa"/>
            <w:vAlign w:val="bottom"/>
            <w:tcBorders>
              <w:bottom w:val="single" w:sz="8" w:color="70AD47"/>
              <w:right w:val="single" w:sz="8" w:color="70AD47"/>
            </w:tcBorders>
          </w:tcPr>
          <w:p>
            <w:pPr>
              <w:spacing w:after="0"/>
              <w:rPr>
                <w:sz w:val="24"/>
                <w:szCs w:val="24"/>
                <w:color w:val="auto"/>
              </w:rPr>
            </w:pPr>
          </w:p>
        </w:tc>
        <w:tc>
          <w:tcPr>
            <w:tcW w:w="160" w:type="dxa"/>
            <w:vAlign w:val="bottom"/>
            <w:tcBorders>
              <w:bottom w:val="single" w:sz="8" w:color="70AD47"/>
            </w:tcBorders>
          </w:tcPr>
          <w:p>
            <w:pPr>
              <w:spacing w:after="0"/>
              <w:rPr>
                <w:sz w:val="24"/>
                <w:szCs w:val="24"/>
                <w:color w:val="auto"/>
              </w:rPr>
            </w:pPr>
          </w:p>
        </w:tc>
        <w:tc>
          <w:tcPr>
            <w:tcW w:w="840" w:type="dxa"/>
            <w:vAlign w:val="bottom"/>
            <w:tcBorders>
              <w:bottom w:val="single" w:sz="8" w:color="70AD47"/>
              <w:right w:val="single" w:sz="8" w:color="70AD47"/>
            </w:tcBorders>
          </w:tcPr>
          <w:p>
            <w:pPr>
              <w:spacing w:after="0"/>
              <w:rPr>
                <w:sz w:val="24"/>
                <w:szCs w:val="24"/>
                <w:color w:val="auto"/>
              </w:rPr>
            </w:pPr>
          </w:p>
        </w:tc>
      </w:tr>
      <w:tr>
        <w:trPr>
          <w:trHeight w:val="198"/>
        </w:trPr>
        <w:tc>
          <w:tcPr>
            <w:tcW w:w="3040" w:type="dxa"/>
            <w:vAlign w:val="bottom"/>
            <w:tcBorders>
              <w:right w:val="single" w:sz="8" w:color="70AD47"/>
            </w:tcBorders>
          </w:tcPr>
          <w:p>
            <w:pPr>
              <w:jc w:val="center"/>
              <w:spacing w:after="0" w:line="198" w:lineRule="exact"/>
              <w:rPr>
                <w:sz w:val="20"/>
                <w:szCs w:val="20"/>
                <w:color w:val="auto"/>
              </w:rPr>
            </w:pPr>
            <w:r>
              <w:rPr>
                <w:rFonts w:ascii="Arial" w:cs="Arial" w:eastAsia="Arial" w:hAnsi="Arial"/>
                <w:sz w:val="22"/>
                <w:szCs w:val="22"/>
                <w:b w:val="1"/>
                <w:bCs w:val="1"/>
                <w:color w:val="auto"/>
                <w:w w:val="88"/>
              </w:rPr>
              <w:t>Target Total Compensation</w:t>
            </w:r>
          </w:p>
        </w:tc>
        <w:tc>
          <w:tcPr>
            <w:tcW w:w="1040" w:type="dxa"/>
            <w:vAlign w:val="bottom"/>
            <w:tcBorders>
              <w:right w:val="single" w:sz="8" w:color="70AD47"/>
            </w:tcBorders>
            <w:shd w:val="clear" w:color="auto" w:fill="C6E0B4"/>
          </w:tcPr>
          <w:p>
            <w:pPr>
              <w:jc w:val="center"/>
              <w:spacing w:after="0" w:line="198" w:lineRule="exact"/>
              <w:rPr>
                <w:sz w:val="20"/>
                <w:szCs w:val="20"/>
                <w:color w:val="auto"/>
              </w:rPr>
            </w:pPr>
            <w:r>
              <w:rPr>
                <w:rFonts w:ascii="Arial" w:cs="Arial" w:eastAsia="Arial" w:hAnsi="Arial"/>
                <w:sz w:val="22"/>
                <w:szCs w:val="22"/>
                <w:b w:val="1"/>
                <w:bCs w:val="1"/>
                <w:color w:val="auto"/>
                <w:w w:val="87"/>
              </w:rPr>
              <w:t>756</w:t>
            </w:r>
          </w:p>
        </w:tc>
        <w:tc>
          <w:tcPr>
            <w:tcW w:w="1020" w:type="dxa"/>
            <w:vAlign w:val="bottom"/>
            <w:tcBorders>
              <w:right w:val="single" w:sz="8" w:color="70AD47"/>
            </w:tcBorders>
            <w:shd w:val="clear" w:color="auto" w:fill="C6E0B4"/>
          </w:tcPr>
          <w:p>
            <w:pPr>
              <w:jc w:val="center"/>
              <w:spacing w:after="0" w:line="198" w:lineRule="exact"/>
              <w:rPr>
                <w:sz w:val="20"/>
                <w:szCs w:val="20"/>
                <w:color w:val="auto"/>
              </w:rPr>
            </w:pPr>
            <w:r>
              <w:rPr>
                <w:rFonts w:ascii="Arial" w:cs="Arial" w:eastAsia="Arial" w:hAnsi="Arial"/>
                <w:sz w:val="22"/>
                <w:szCs w:val="22"/>
                <w:b w:val="1"/>
                <w:bCs w:val="1"/>
                <w:color w:val="auto"/>
                <w:w w:val="95"/>
              </w:rPr>
              <w:t>100%</w:t>
            </w:r>
          </w:p>
        </w:tc>
        <w:tc>
          <w:tcPr>
            <w:tcW w:w="1020" w:type="dxa"/>
            <w:vAlign w:val="bottom"/>
            <w:tcBorders>
              <w:right w:val="single" w:sz="8" w:color="70AD47"/>
            </w:tcBorders>
          </w:tcPr>
          <w:p>
            <w:pPr>
              <w:jc w:val="center"/>
              <w:spacing w:after="0" w:line="198" w:lineRule="exact"/>
              <w:rPr>
                <w:sz w:val="20"/>
                <w:szCs w:val="20"/>
                <w:color w:val="auto"/>
              </w:rPr>
            </w:pPr>
            <w:r>
              <w:rPr>
                <w:rFonts w:ascii="Arial" w:cs="Arial" w:eastAsia="Arial" w:hAnsi="Arial"/>
                <w:sz w:val="22"/>
                <w:szCs w:val="22"/>
                <w:b w:val="1"/>
                <w:bCs w:val="1"/>
                <w:color w:val="auto"/>
                <w:w w:val="87"/>
              </w:rPr>
              <w:t>744</w:t>
            </w:r>
          </w:p>
        </w:tc>
        <w:tc>
          <w:tcPr>
            <w:tcW w:w="180" w:type="dxa"/>
            <w:vAlign w:val="bottom"/>
          </w:tcPr>
          <w:p>
            <w:pPr>
              <w:spacing w:after="0"/>
              <w:rPr>
                <w:sz w:val="17"/>
                <w:szCs w:val="17"/>
                <w:color w:val="auto"/>
              </w:rPr>
            </w:pPr>
          </w:p>
        </w:tc>
        <w:tc>
          <w:tcPr>
            <w:tcW w:w="840" w:type="dxa"/>
            <w:vAlign w:val="bottom"/>
            <w:tcBorders>
              <w:right w:val="single" w:sz="8" w:color="70AD47"/>
            </w:tcBorders>
          </w:tcPr>
          <w:p>
            <w:pPr>
              <w:jc w:val="center"/>
              <w:ind w:right="72"/>
              <w:spacing w:after="0" w:line="198" w:lineRule="exact"/>
              <w:rPr>
                <w:sz w:val="20"/>
                <w:szCs w:val="20"/>
                <w:color w:val="auto"/>
              </w:rPr>
            </w:pPr>
            <w:r>
              <w:rPr>
                <w:rFonts w:ascii="Arial" w:cs="Arial" w:eastAsia="Arial" w:hAnsi="Arial"/>
                <w:sz w:val="22"/>
                <w:szCs w:val="22"/>
                <w:b w:val="1"/>
                <w:bCs w:val="1"/>
                <w:color w:val="auto"/>
                <w:w w:val="95"/>
              </w:rPr>
              <w:t>100%</w:t>
            </w:r>
          </w:p>
        </w:tc>
        <w:tc>
          <w:tcPr>
            <w:tcW w:w="1040" w:type="dxa"/>
            <w:vAlign w:val="bottom"/>
            <w:tcBorders>
              <w:right w:val="single" w:sz="8" w:color="70AD47"/>
            </w:tcBorders>
            <w:shd w:val="clear" w:color="auto" w:fill="C6E0B4"/>
          </w:tcPr>
          <w:p>
            <w:pPr>
              <w:jc w:val="center"/>
              <w:spacing w:after="0" w:line="198" w:lineRule="exact"/>
              <w:rPr>
                <w:sz w:val="20"/>
                <w:szCs w:val="20"/>
                <w:color w:val="auto"/>
              </w:rPr>
            </w:pPr>
            <w:r>
              <w:rPr>
                <w:rFonts w:ascii="Arial" w:cs="Arial" w:eastAsia="Arial" w:hAnsi="Arial"/>
                <w:sz w:val="22"/>
                <w:szCs w:val="22"/>
                <w:b w:val="1"/>
                <w:bCs w:val="1"/>
                <w:color w:val="auto"/>
                <w:w w:val="92"/>
              </w:rPr>
              <w:t>703</w:t>
            </w:r>
          </w:p>
        </w:tc>
        <w:tc>
          <w:tcPr>
            <w:tcW w:w="1020" w:type="dxa"/>
            <w:vAlign w:val="bottom"/>
            <w:tcBorders>
              <w:right w:val="single" w:sz="8" w:color="70AD47"/>
            </w:tcBorders>
            <w:shd w:val="clear" w:color="auto" w:fill="C6E0B4"/>
          </w:tcPr>
          <w:p>
            <w:pPr>
              <w:jc w:val="center"/>
              <w:spacing w:after="0" w:line="198" w:lineRule="exact"/>
              <w:rPr>
                <w:sz w:val="20"/>
                <w:szCs w:val="20"/>
                <w:color w:val="auto"/>
              </w:rPr>
            </w:pPr>
            <w:r>
              <w:rPr>
                <w:rFonts w:ascii="Arial" w:cs="Arial" w:eastAsia="Arial" w:hAnsi="Arial"/>
                <w:sz w:val="22"/>
                <w:szCs w:val="22"/>
                <w:b w:val="1"/>
                <w:bCs w:val="1"/>
                <w:color w:val="auto"/>
                <w:w w:val="95"/>
              </w:rPr>
              <w:t>100%</w:t>
            </w:r>
          </w:p>
        </w:tc>
        <w:tc>
          <w:tcPr>
            <w:tcW w:w="1040" w:type="dxa"/>
            <w:vAlign w:val="bottom"/>
            <w:tcBorders>
              <w:right w:val="single" w:sz="8" w:color="70AD47"/>
            </w:tcBorders>
          </w:tcPr>
          <w:p>
            <w:pPr>
              <w:jc w:val="center"/>
              <w:spacing w:after="0" w:line="198" w:lineRule="exact"/>
              <w:rPr>
                <w:sz w:val="20"/>
                <w:szCs w:val="20"/>
                <w:color w:val="auto"/>
              </w:rPr>
            </w:pPr>
            <w:r>
              <w:rPr>
                <w:rFonts w:ascii="Arial" w:cs="Arial" w:eastAsia="Arial" w:hAnsi="Arial"/>
                <w:sz w:val="22"/>
                <w:szCs w:val="22"/>
                <w:b w:val="1"/>
                <w:bCs w:val="1"/>
                <w:color w:val="auto"/>
                <w:w w:val="90"/>
              </w:rPr>
              <w:t>—</w:t>
            </w:r>
          </w:p>
        </w:tc>
        <w:tc>
          <w:tcPr>
            <w:tcW w:w="160" w:type="dxa"/>
            <w:vAlign w:val="bottom"/>
          </w:tcPr>
          <w:p>
            <w:pPr>
              <w:spacing w:after="0"/>
              <w:rPr>
                <w:sz w:val="17"/>
                <w:szCs w:val="17"/>
                <w:color w:val="auto"/>
              </w:rPr>
            </w:pPr>
          </w:p>
        </w:tc>
        <w:tc>
          <w:tcPr>
            <w:tcW w:w="840" w:type="dxa"/>
            <w:vAlign w:val="bottom"/>
            <w:tcBorders>
              <w:right w:val="single" w:sz="8" w:color="70AD47"/>
            </w:tcBorders>
          </w:tcPr>
          <w:p>
            <w:pPr>
              <w:jc w:val="center"/>
              <w:ind w:right="72"/>
              <w:spacing w:after="0" w:line="198" w:lineRule="exact"/>
              <w:rPr>
                <w:sz w:val="20"/>
                <w:szCs w:val="20"/>
                <w:color w:val="auto"/>
              </w:rPr>
            </w:pPr>
            <w:r>
              <w:rPr>
                <w:rFonts w:ascii="Arial" w:cs="Arial" w:eastAsia="Arial" w:hAnsi="Arial"/>
                <w:sz w:val="22"/>
                <w:szCs w:val="22"/>
                <w:b w:val="1"/>
                <w:bCs w:val="1"/>
                <w:color w:val="auto"/>
              </w:rPr>
              <w:t>— %</w:t>
            </w:r>
          </w:p>
        </w:tc>
      </w:tr>
      <w:tr>
        <w:trPr>
          <w:trHeight w:val="282"/>
        </w:trPr>
        <w:tc>
          <w:tcPr>
            <w:tcW w:w="3040" w:type="dxa"/>
            <w:vAlign w:val="bottom"/>
            <w:tcBorders>
              <w:bottom w:val="single" w:sz="8" w:color="70AD47"/>
              <w:right w:val="single" w:sz="8" w:color="70AD47"/>
            </w:tcBorders>
          </w:tcPr>
          <w:p>
            <w:pPr>
              <w:jc w:val="center"/>
              <w:spacing w:after="0"/>
              <w:rPr>
                <w:sz w:val="20"/>
                <w:szCs w:val="20"/>
                <w:color w:val="auto"/>
              </w:rPr>
            </w:pPr>
            <w:r>
              <w:rPr>
                <w:rFonts w:ascii="Arial" w:cs="Arial" w:eastAsia="Arial" w:hAnsi="Arial"/>
                <w:sz w:val="22"/>
                <w:szCs w:val="22"/>
                <w:b w:val="1"/>
                <w:bCs w:val="1"/>
                <w:color w:val="auto"/>
              </w:rPr>
              <w:t>(TTC)</w:t>
            </w:r>
          </w:p>
        </w:tc>
        <w:tc>
          <w:tcPr>
            <w:tcW w:w="1040" w:type="dxa"/>
            <w:vAlign w:val="bottom"/>
            <w:tcBorders>
              <w:bottom w:val="single" w:sz="8" w:color="70AD47"/>
              <w:right w:val="single" w:sz="8" w:color="70AD47"/>
            </w:tcBorders>
            <w:shd w:val="clear" w:color="auto" w:fill="C6E0B4"/>
          </w:tcPr>
          <w:p>
            <w:pPr>
              <w:spacing w:after="0"/>
              <w:rPr>
                <w:sz w:val="24"/>
                <w:szCs w:val="24"/>
                <w:color w:val="auto"/>
              </w:rPr>
            </w:pPr>
          </w:p>
        </w:tc>
        <w:tc>
          <w:tcPr>
            <w:tcW w:w="1020" w:type="dxa"/>
            <w:vAlign w:val="bottom"/>
            <w:tcBorders>
              <w:bottom w:val="single" w:sz="8" w:color="70AD47"/>
              <w:right w:val="single" w:sz="8" w:color="70AD47"/>
            </w:tcBorders>
            <w:shd w:val="clear" w:color="auto" w:fill="C6E0B4"/>
          </w:tcPr>
          <w:p>
            <w:pPr>
              <w:spacing w:after="0"/>
              <w:rPr>
                <w:sz w:val="24"/>
                <w:szCs w:val="24"/>
                <w:color w:val="auto"/>
              </w:rPr>
            </w:pPr>
          </w:p>
        </w:tc>
        <w:tc>
          <w:tcPr>
            <w:tcW w:w="1020" w:type="dxa"/>
            <w:vAlign w:val="bottom"/>
            <w:tcBorders>
              <w:bottom w:val="single" w:sz="8" w:color="70AD47"/>
              <w:right w:val="single" w:sz="8" w:color="70AD47"/>
            </w:tcBorders>
          </w:tcPr>
          <w:p>
            <w:pPr>
              <w:spacing w:after="0"/>
              <w:rPr>
                <w:sz w:val="24"/>
                <w:szCs w:val="24"/>
                <w:color w:val="auto"/>
              </w:rPr>
            </w:pPr>
          </w:p>
        </w:tc>
        <w:tc>
          <w:tcPr>
            <w:tcW w:w="180" w:type="dxa"/>
            <w:vAlign w:val="bottom"/>
            <w:tcBorders>
              <w:bottom w:val="single" w:sz="8" w:color="70AD47"/>
            </w:tcBorders>
          </w:tcPr>
          <w:p>
            <w:pPr>
              <w:spacing w:after="0"/>
              <w:rPr>
                <w:sz w:val="24"/>
                <w:szCs w:val="24"/>
                <w:color w:val="auto"/>
              </w:rPr>
            </w:pPr>
          </w:p>
        </w:tc>
        <w:tc>
          <w:tcPr>
            <w:tcW w:w="840" w:type="dxa"/>
            <w:vAlign w:val="bottom"/>
            <w:tcBorders>
              <w:bottom w:val="single" w:sz="8" w:color="70AD47"/>
              <w:right w:val="single" w:sz="8" w:color="70AD47"/>
            </w:tcBorders>
          </w:tcPr>
          <w:p>
            <w:pPr>
              <w:spacing w:after="0"/>
              <w:rPr>
                <w:sz w:val="24"/>
                <w:szCs w:val="24"/>
                <w:color w:val="auto"/>
              </w:rPr>
            </w:pPr>
          </w:p>
        </w:tc>
        <w:tc>
          <w:tcPr>
            <w:tcW w:w="1040" w:type="dxa"/>
            <w:vAlign w:val="bottom"/>
            <w:tcBorders>
              <w:bottom w:val="single" w:sz="8" w:color="70AD47"/>
              <w:right w:val="single" w:sz="8" w:color="70AD47"/>
            </w:tcBorders>
            <w:shd w:val="clear" w:color="auto" w:fill="C6E0B4"/>
          </w:tcPr>
          <w:p>
            <w:pPr>
              <w:spacing w:after="0"/>
              <w:rPr>
                <w:sz w:val="24"/>
                <w:szCs w:val="24"/>
                <w:color w:val="auto"/>
              </w:rPr>
            </w:pPr>
          </w:p>
        </w:tc>
        <w:tc>
          <w:tcPr>
            <w:tcW w:w="1020" w:type="dxa"/>
            <w:vAlign w:val="bottom"/>
            <w:tcBorders>
              <w:bottom w:val="single" w:sz="8" w:color="70AD47"/>
              <w:right w:val="single" w:sz="8" w:color="70AD47"/>
            </w:tcBorders>
            <w:shd w:val="clear" w:color="auto" w:fill="C6E0B4"/>
          </w:tcPr>
          <w:p>
            <w:pPr>
              <w:spacing w:after="0"/>
              <w:rPr>
                <w:sz w:val="24"/>
                <w:szCs w:val="24"/>
                <w:color w:val="auto"/>
              </w:rPr>
            </w:pPr>
          </w:p>
        </w:tc>
        <w:tc>
          <w:tcPr>
            <w:tcW w:w="1040" w:type="dxa"/>
            <w:vAlign w:val="bottom"/>
            <w:tcBorders>
              <w:bottom w:val="single" w:sz="8" w:color="70AD47"/>
              <w:right w:val="single" w:sz="8" w:color="70AD47"/>
            </w:tcBorders>
          </w:tcPr>
          <w:p>
            <w:pPr>
              <w:spacing w:after="0"/>
              <w:rPr>
                <w:sz w:val="24"/>
                <w:szCs w:val="24"/>
                <w:color w:val="auto"/>
              </w:rPr>
            </w:pPr>
          </w:p>
        </w:tc>
        <w:tc>
          <w:tcPr>
            <w:tcW w:w="160" w:type="dxa"/>
            <w:vAlign w:val="bottom"/>
            <w:tcBorders>
              <w:bottom w:val="single" w:sz="8" w:color="70AD47"/>
            </w:tcBorders>
          </w:tcPr>
          <w:p>
            <w:pPr>
              <w:spacing w:after="0"/>
              <w:rPr>
                <w:sz w:val="24"/>
                <w:szCs w:val="24"/>
                <w:color w:val="auto"/>
              </w:rPr>
            </w:pPr>
          </w:p>
        </w:tc>
        <w:tc>
          <w:tcPr>
            <w:tcW w:w="840" w:type="dxa"/>
            <w:vAlign w:val="bottom"/>
            <w:tcBorders>
              <w:bottom w:val="single" w:sz="8" w:color="70AD47"/>
              <w:right w:val="single" w:sz="8" w:color="70AD47"/>
            </w:tcBorders>
          </w:tcPr>
          <w:p>
            <w:pPr>
              <w:spacing w:after="0"/>
              <w:rPr>
                <w:sz w:val="24"/>
                <w:szCs w:val="24"/>
                <w:color w:val="auto"/>
              </w:rPr>
            </w:pPr>
          </w:p>
        </w:tc>
      </w:tr>
    </w:tbl>
    <w:p>
      <w:pPr>
        <w:spacing w:after="0" w:line="262" w:lineRule="exact"/>
        <w:rPr>
          <w:sz w:val="20"/>
          <w:szCs w:val="20"/>
          <w:color w:val="auto"/>
        </w:rPr>
      </w:pPr>
    </w:p>
    <w:p>
      <w:pPr>
        <w:jc w:val="both"/>
        <w:ind w:left="640" w:firstLine="6"/>
        <w:spacing w:after="0" w:line="204" w:lineRule="auto"/>
        <w:tabs>
          <w:tab w:leader="none" w:pos="1161" w:val="left"/>
        </w:tabs>
        <w:numPr>
          <w:ilvl w:val="0"/>
          <w:numId w:val="24"/>
        </w:numPr>
        <w:rPr>
          <w:rFonts w:ascii="Arial" w:cs="Arial" w:eastAsia="Arial" w:hAnsi="Arial"/>
          <w:sz w:val="28"/>
          <w:szCs w:val="28"/>
          <w:color w:val="auto"/>
          <w:vertAlign w:val="superscript"/>
        </w:rPr>
      </w:pPr>
      <w:r>
        <w:rPr>
          <w:rFonts w:ascii="Arial" w:cs="Arial" w:eastAsia="Arial" w:hAnsi="Arial"/>
          <w:sz w:val="22"/>
          <w:szCs w:val="22"/>
          <w:color w:val="auto"/>
        </w:rPr>
        <w:t>Jens Holstein was appointed to the Management Board as Chief Financial Officer (CFO) on July 1, 2021. His compensation excludes the one-time signing bonus granted to him at the time of his appointment to the Supervisory Board.</w:t>
      </w:r>
    </w:p>
    <w:p>
      <w:pPr>
        <w:spacing w:after="0" w:line="160" w:lineRule="exact"/>
        <w:rPr>
          <w:sz w:val="20"/>
          <w:szCs w:val="20"/>
          <w:color w:val="auto"/>
        </w:rPr>
      </w:pPr>
    </w:p>
    <w:p>
      <w:pPr>
        <w:jc w:val="both"/>
        <w:ind w:left="640"/>
        <w:spacing w:after="0" w:line="246" w:lineRule="auto"/>
        <w:rPr>
          <w:sz w:val="20"/>
          <w:szCs w:val="20"/>
          <w:color w:val="auto"/>
        </w:rPr>
      </w:pPr>
      <w:r>
        <w:rPr>
          <w:rFonts w:ascii="Arial" w:cs="Arial" w:eastAsia="Arial" w:hAnsi="Arial"/>
          <w:sz w:val="19"/>
          <w:szCs w:val="19"/>
          <w:color w:val="231F20"/>
        </w:rPr>
        <w:t>Starting with the phantom share options issued in May 2021 (see section 6) the agreements include a maximum compensation (expense cap) clause limiting the total cash payment that the Management Board members are entitled to receive to €20.0 million for our Chief Executive Officer (CEO) or €10.0 million for all other Management Board members, less other compensation components received by each such board member in the respective grant year. It is not important when the respective compensation element was paid out, but for which financial year it was granted. Therefore, the application only becomes visible when all compensation components (including the long-term incentive) are considered owed and granted. That means that the target total achievement of the share-based payments (incl. long-term incentive) cannot be accessed in the year ended December 31, 2021.</w:t>
      </w:r>
    </w:p>
    <w:p>
      <w:pPr>
        <w:spacing w:after="0" w:line="254"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19"/>
          <w:szCs w:val="19"/>
          <w:b w:val="1"/>
          <w:bCs w:val="1"/>
          <w:color w:val="auto"/>
        </w:rPr>
        <w:t>Additional Disclosures on Share-Based Payment Instruments</w:t>
      </w:r>
    </w:p>
    <w:p>
      <w:pPr>
        <w:spacing w:after="0" w:line="185" w:lineRule="exact"/>
        <w:rPr>
          <w:sz w:val="20"/>
          <w:szCs w:val="20"/>
          <w:color w:val="auto"/>
        </w:rPr>
      </w:pPr>
    </w:p>
    <w:p>
      <w:pPr>
        <w:jc w:val="both"/>
        <w:ind w:left="640"/>
        <w:spacing w:after="0" w:line="232" w:lineRule="auto"/>
        <w:rPr>
          <w:sz w:val="20"/>
          <w:szCs w:val="20"/>
          <w:color w:val="auto"/>
        </w:rPr>
      </w:pPr>
      <w:r>
        <w:rPr>
          <w:rFonts w:ascii="Arial" w:cs="Arial" w:eastAsia="Arial" w:hAnsi="Arial"/>
          <w:sz w:val="22"/>
          <w:szCs w:val="22"/>
          <w:color w:val="231F20"/>
        </w:rPr>
        <w:t>In accordance with Sec. 162 para. 1 no. 3 AktG, the table below provides an overview of the share options and other share-based payment instruments allocated to our Management Board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192"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53"/>
        </w:trPr>
        <w:tc>
          <w:tcPr>
            <w:tcW w:w="3020" w:type="dxa"/>
            <w:vAlign w:val="bottom"/>
            <w:tcBorders>
              <w:right w:val="single" w:sz="8" w:color="70AD47"/>
            </w:tcBorders>
          </w:tcPr>
          <w:p>
            <w:pPr>
              <w:spacing w:after="0"/>
              <w:rPr>
                <w:sz w:val="21"/>
                <w:szCs w:val="21"/>
                <w:color w:val="auto"/>
              </w:rPr>
            </w:pPr>
          </w:p>
        </w:tc>
        <w:tc>
          <w:tcPr>
            <w:tcW w:w="1440" w:type="dxa"/>
            <w:vAlign w:val="bottom"/>
            <w:tcBorders>
              <w:right w:val="single" w:sz="8" w:color="70AD47"/>
            </w:tcBorders>
          </w:tcPr>
          <w:p>
            <w:pPr>
              <w:jc w:val="center"/>
              <w:spacing w:after="0"/>
              <w:rPr>
                <w:sz w:val="20"/>
                <w:szCs w:val="20"/>
                <w:color w:val="auto"/>
              </w:rPr>
            </w:pPr>
            <w:r>
              <w:rPr>
                <w:rFonts w:ascii="Arial" w:cs="Arial" w:eastAsia="Arial" w:hAnsi="Arial"/>
                <w:sz w:val="22"/>
                <w:szCs w:val="22"/>
                <w:b w:val="1"/>
                <w:bCs w:val="1"/>
                <w:color w:val="auto"/>
                <w:w w:val="92"/>
              </w:rPr>
              <w:t>Grant Date /</w:t>
            </w:r>
          </w:p>
        </w:tc>
        <w:tc>
          <w:tcPr>
            <w:tcW w:w="1300" w:type="dxa"/>
            <w:vAlign w:val="bottom"/>
            <w:tcBorders>
              <w:right w:val="single" w:sz="8" w:color="70AD47"/>
            </w:tcBorders>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40" w:type="dxa"/>
            <w:vAlign w:val="bottom"/>
            <w:tcBorders>
              <w:right w:val="single" w:sz="8" w:color="70AD47"/>
            </w:tcBorders>
          </w:tcPr>
          <w:p>
            <w:pPr>
              <w:jc w:val="center"/>
              <w:spacing w:after="0"/>
              <w:rPr>
                <w:sz w:val="20"/>
                <w:szCs w:val="20"/>
                <w:color w:val="auto"/>
              </w:rPr>
            </w:pPr>
            <w:r>
              <w:rPr>
                <w:rFonts w:ascii="Arial" w:cs="Arial" w:eastAsia="Arial" w:hAnsi="Arial"/>
                <w:sz w:val="22"/>
                <w:szCs w:val="22"/>
                <w:b w:val="1"/>
                <w:bCs w:val="1"/>
                <w:color w:val="auto"/>
                <w:w w:val="90"/>
              </w:rPr>
              <w:t>Option</w:t>
            </w:r>
          </w:p>
        </w:tc>
        <w:tc>
          <w:tcPr>
            <w:tcW w:w="1400" w:type="dxa"/>
            <w:vAlign w:val="bottom"/>
            <w:tcBorders>
              <w:right w:val="single" w:sz="8" w:color="70AD47"/>
            </w:tcBorders>
          </w:tcPr>
          <w:p>
            <w:pPr>
              <w:jc w:val="center"/>
              <w:spacing w:after="0"/>
              <w:rPr>
                <w:sz w:val="20"/>
                <w:szCs w:val="20"/>
                <w:color w:val="auto"/>
              </w:rPr>
            </w:pPr>
            <w:r>
              <w:rPr>
                <w:rFonts w:ascii="Arial" w:cs="Arial" w:eastAsia="Arial" w:hAnsi="Arial"/>
                <w:sz w:val="22"/>
                <w:szCs w:val="22"/>
                <w:b w:val="1"/>
                <w:bCs w:val="1"/>
                <w:color w:val="auto"/>
                <w:w w:val="90"/>
              </w:rPr>
              <w:t>Earliest</w:t>
            </w:r>
          </w:p>
        </w:tc>
        <w:tc>
          <w:tcPr>
            <w:tcW w:w="1360" w:type="dxa"/>
            <w:vAlign w:val="bottom"/>
            <w:tcBorders>
              <w:right w:val="single" w:sz="8" w:color="70AD47"/>
            </w:tcBorders>
          </w:tcPr>
          <w:p>
            <w:pPr>
              <w:jc w:val="center"/>
              <w:spacing w:after="0"/>
              <w:rPr>
                <w:sz w:val="20"/>
                <w:szCs w:val="20"/>
                <w:color w:val="auto"/>
              </w:rPr>
            </w:pPr>
            <w:r>
              <w:rPr>
                <w:rFonts w:ascii="Arial" w:cs="Arial" w:eastAsia="Arial" w:hAnsi="Arial"/>
                <w:sz w:val="22"/>
                <w:szCs w:val="22"/>
                <w:b w:val="1"/>
                <w:bCs w:val="1"/>
                <w:color w:val="auto"/>
                <w:w w:val="93"/>
              </w:rPr>
              <w:t>Option</w:t>
            </w:r>
          </w:p>
        </w:tc>
        <w:tc>
          <w:tcPr>
            <w:tcW w:w="1380" w:type="dxa"/>
            <w:vAlign w:val="bottom"/>
            <w:tcBorders>
              <w:right w:val="single" w:sz="8" w:color="70AD47"/>
            </w:tcBorders>
          </w:tcPr>
          <w:p>
            <w:pPr>
              <w:jc w:val="center"/>
              <w:spacing w:after="0"/>
              <w:rPr>
                <w:sz w:val="20"/>
                <w:szCs w:val="20"/>
                <w:color w:val="auto"/>
              </w:rPr>
            </w:pPr>
            <w:r>
              <w:rPr>
                <w:rFonts w:ascii="Arial" w:cs="Arial" w:eastAsia="Arial" w:hAnsi="Arial"/>
                <w:sz w:val="22"/>
                <w:szCs w:val="22"/>
                <w:b w:val="1"/>
                <w:bCs w:val="1"/>
                <w:color w:val="auto"/>
                <w:w w:val="88"/>
              </w:rPr>
              <w:t>Name of the</w:t>
            </w:r>
          </w:p>
        </w:tc>
        <w:tc>
          <w:tcPr>
            <w:tcW w:w="0" w:type="dxa"/>
            <w:vAlign w:val="bottom"/>
          </w:tcPr>
          <w:p>
            <w:pPr>
              <w:spacing w:after="0"/>
              <w:rPr>
                <w:sz w:val="1"/>
                <w:szCs w:val="1"/>
                <w:color w:val="auto"/>
              </w:rPr>
            </w:pPr>
          </w:p>
        </w:tc>
      </w:tr>
      <w:tr>
        <w:trPr>
          <w:trHeight w:val="176"/>
        </w:trPr>
        <w:tc>
          <w:tcPr>
            <w:tcW w:w="3020" w:type="dxa"/>
            <w:vAlign w:val="bottom"/>
            <w:tcBorders>
              <w:right w:val="single" w:sz="8" w:color="70AD47"/>
            </w:tcBorders>
          </w:tcPr>
          <w:p>
            <w:pPr>
              <w:spacing w:after="0"/>
              <w:rPr>
                <w:sz w:val="15"/>
                <w:szCs w:val="15"/>
                <w:color w:val="auto"/>
              </w:rPr>
            </w:pPr>
          </w:p>
        </w:tc>
        <w:tc>
          <w:tcPr>
            <w:tcW w:w="1440" w:type="dxa"/>
            <w:vAlign w:val="bottom"/>
            <w:tcBorders>
              <w:right w:val="single" w:sz="8" w:color="70AD47"/>
            </w:tcBorders>
          </w:tcPr>
          <w:p>
            <w:pPr>
              <w:jc w:val="center"/>
              <w:spacing w:after="0" w:line="175" w:lineRule="exact"/>
              <w:rPr>
                <w:sz w:val="20"/>
                <w:szCs w:val="20"/>
                <w:color w:val="auto"/>
              </w:rPr>
            </w:pPr>
            <w:r>
              <w:rPr>
                <w:rFonts w:ascii="Arial" w:cs="Arial" w:eastAsia="Arial" w:hAnsi="Arial"/>
                <w:sz w:val="19"/>
                <w:szCs w:val="19"/>
                <w:b w:val="1"/>
                <w:bCs w:val="1"/>
                <w:color w:val="auto"/>
              </w:rPr>
              <w:t>(Estimated)</w:t>
            </w:r>
          </w:p>
        </w:tc>
        <w:tc>
          <w:tcPr>
            <w:tcW w:w="1300" w:type="dxa"/>
            <w:vAlign w:val="bottom"/>
            <w:tcBorders>
              <w:right w:val="single" w:sz="8" w:color="70AD47"/>
            </w:tcBorders>
          </w:tcPr>
          <w:p>
            <w:pPr>
              <w:jc w:val="center"/>
              <w:spacing w:after="0" w:line="175" w:lineRule="exact"/>
              <w:rPr>
                <w:sz w:val="20"/>
                <w:szCs w:val="20"/>
                <w:color w:val="auto"/>
              </w:rPr>
            </w:pPr>
            <w:r>
              <w:rPr>
                <w:rFonts w:ascii="Arial" w:cs="Arial" w:eastAsia="Arial" w:hAnsi="Arial"/>
                <w:sz w:val="19"/>
                <w:szCs w:val="19"/>
                <w:b w:val="1"/>
                <w:bCs w:val="1"/>
                <w:color w:val="auto"/>
              </w:rPr>
              <w:t>Ordinary</w:t>
            </w:r>
          </w:p>
        </w:tc>
        <w:tc>
          <w:tcPr>
            <w:tcW w:w="1340" w:type="dxa"/>
            <w:vAlign w:val="bottom"/>
            <w:tcBorders>
              <w:right w:val="single" w:sz="8" w:color="70AD47"/>
            </w:tcBorders>
            <w:vMerge w:val="restart"/>
          </w:tcPr>
          <w:p>
            <w:pPr>
              <w:jc w:val="center"/>
              <w:spacing w:after="0"/>
              <w:rPr>
                <w:sz w:val="20"/>
                <w:szCs w:val="20"/>
                <w:color w:val="auto"/>
              </w:rPr>
            </w:pPr>
            <w:r>
              <w:rPr>
                <w:rFonts w:ascii="Arial" w:cs="Arial" w:eastAsia="Arial" w:hAnsi="Arial"/>
                <w:sz w:val="22"/>
                <w:szCs w:val="22"/>
                <w:b w:val="1"/>
                <w:bCs w:val="1"/>
                <w:color w:val="auto"/>
                <w:w w:val="86"/>
              </w:rPr>
              <w:t>Exercise</w:t>
            </w:r>
          </w:p>
        </w:tc>
        <w:tc>
          <w:tcPr>
            <w:tcW w:w="1400" w:type="dxa"/>
            <w:vAlign w:val="bottom"/>
            <w:tcBorders>
              <w:right w:val="single" w:sz="8" w:color="70AD47"/>
            </w:tcBorders>
            <w:vMerge w:val="restart"/>
          </w:tcPr>
          <w:p>
            <w:pPr>
              <w:jc w:val="center"/>
              <w:spacing w:after="0"/>
              <w:rPr>
                <w:sz w:val="20"/>
                <w:szCs w:val="20"/>
                <w:color w:val="auto"/>
              </w:rPr>
            </w:pPr>
            <w:r>
              <w:rPr>
                <w:rFonts w:ascii="Arial" w:cs="Arial" w:eastAsia="Arial" w:hAnsi="Arial"/>
                <w:sz w:val="22"/>
                <w:szCs w:val="22"/>
                <w:b w:val="1"/>
                <w:bCs w:val="1"/>
                <w:color w:val="auto"/>
                <w:w w:val="93"/>
              </w:rPr>
              <w:t>Option</w:t>
            </w:r>
          </w:p>
        </w:tc>
        <w:tc>
          <w:tcPr>
            <w:tcW w:w="1360" w:type="dxa"/>
            <w:vAlign w:val="bottom"/>
            <w:tcBorders>
              <w:right w:val="single" w:sz="8" w:color="70AD47"/>
            </w:tcBorders>
          </w:tcPr>
          <w:p>
            <w:pPr>
              <w:jc w:val="center"/>
              <w:spacing w:after="0" w:line="175" w:lineRule="exact"/>
              <w:rPr>
                <w:sz w:val="20"/>
                <w:szCs w:val="20"/>
                <w:color w:val="auto"/>
              </w:rPr>
            </w:pPr>
            <w:r>
              <w:rPr>
                <w:rFonts w:ascii="Arial" w:cs="Arial" w:eastAsia="Arial" w:hAnsi="Arial"/>
                <w:sz w:val="19"/>
                <w:szCs w:val="19"/>
                <w:b w:val="1"/>
                <w:bCs w:val="1"/>
                <w:color w:val="auto"/>
              </w:rPr>
              <w:t>Expiration</w:t>
            </w:r>
          </w:p>
        </w:tc>
        <w:tc>
          <w:tcPr>
            <w:tcW w:w="1380" w:type="dxa"/>
            <w:vAlign w:val="bottom"/>
            <w:tcBorders>
              <w:right w:val="single" w:sz="8" w:color="70AD47"/>
            </w:tcBorders>
          </w:tcPr>
          <w:p>
            <w:pPr>
              <w:jc w:val="center"/>
              <w:spacing w:after="0" w:line="175" w:lineRule="exact"/>
              <w:rPr>
                <w:sz w:val="20"/>
                <w:szCs w:val="20"/>
                <w:color w:val="auto"/>
              </w:rPr>
            </w:pPr>
            <w:r>
              <w:rPr>
                <w:rFonts w:ascii="Arial" w:cs="Arial" w:eastAsia="Arial" w:hAnsi="Arial"/>
                <w:sz w:val="19"/>
                <w:szCs w:val="19"/>
                <w:b w:val="1"/>
                <w:bCs w:val="1"/>
                <w:color w:val="auto"/>
              </w:rPr>
              <w:t>Program</w:t>
            </w:r>
          </w:p>
        </w:tc>
        <w:tc>
          <w:tcPr>
            <w:tcW w:w="0" w:type="dxa"/>
            <w:vAlign w:val="bottom"/>
          </w:tcPr>
          <w:p>
            <w:pPr>
              <w:spacing w:after="0"/>
              <w:rPr>
                <w:sz w:val="1"/>
                <w:szCs w:val="1"/>
                <w:color w:val="auto"/>
              </w:rPr>
            </w:pPr>
          </w:p>
        </w:tc>
      </w:tr>
      <w:tr>
        <w:trPr>
          <w:trHeight w:val="185"/>
        </w:trPr>
        <w:tc>
          <w:tcPr>
            <w:tcW w:w="3020" w:type="dxa"/>
            <w:vAlign w:val="bottom"/>
            <w:tcBorders>
              <w:right w:val="single" w:sz="8" w:color="70AD47"/>
            </w:tcBorders>
          </w:tcPr>
          <w:p>
            <w:pPr>
              <w:spacing w:after="0"/>
              <w:rPr>
                <w:sz w:val="16"/>
                <w:szCs w:val="16"/>
                <w:color w:val="auto"/>
              </w:rPr>
            </w:pPr>
          </w:p>
        </w:tc>
        <w:tc>
          <w:tcPr>
            <w:tcW w:w="1440" w:type="dxa"/>
            <w:vAlign w:val="bottom"/>
            <w:tcBorders>
              <w:right w:val="single" w:sz="8" w:color="70AD47"/>
            </w:tcBorders>
            <w:vMerge w:val="restart"/>
          </w:tcPr>
          <w:p>
            <w:pPr>
              <w:jc w:val="center"/>
              <w:spacing w:after="0" w:line="216" w:lineRule="exact"/>
              <w:rPr>
                <w:sz w:val="20"/>
                <w:szCs w:val="20"/>
                <w:color w:val="auto"/>
              </w:rPr>
            </w:pPr>
            <w:r>
              <w:rPr>
                <w:rFonts w:ascii="Arial" w:cs="Arial" w:eastAsia="Arial" w:hAnsi="Arial"/>
                <w:sz w:val="22"/>
                <w:szCs w:val="22"/>
                <w:b w:val="1"/>
                <w:bCs w:val="1"/>
                <w:color w:val="auto"/>
                <w:w w:val="88"/>
              </w:rPr>
              <w:t>Allocation</w:t>
            </w:r>
          </w:p>
        </w:tc>
        <w:tc>
          <w:tcPr>
            <w:tcW w:w="1300" w:type="dxa"/>
            <w:vAlign w:val="bottom"/>
            <w:tcBorders>
              <w:right w:val="single" w:sz="8" w:color="70AD47"/>
            </w:tcBorders>
            <w:vMerge w:val="restart"/>
          </w:tcPr>
          <w:p>
            <w:pPr>
              <w:jc w:val="center"/>
              <w:spacing w:after="0" w:line="216" w:lineRule="exact"/>
              <w:rPr>
                <w:sz w:val="20"/>
                <w:szCs w:val="20"/>
                <w:color w:val="auto"/>
              </w:rPr>
            </w:pPr>
            <w:r>
              <w:rPr>
                <w:rFonts w:ascii="Arial" w:cs="Arial" w:eastAsia="Arial" w:hAnsi="Arial"/>
                <w:sz w:val="22"/>
                <w:szCs w:val="22"/>
                <w:b w:val="1"/>
                <w:bCs w:val="1"/>
                <w:color w:val="auto"/>
                <w:w w:val="84"/>
              </w:rPr>
              <w:t>Shares</w:t>
            </w:r>
          </w:p>
        </w:tc>
        <w:tc>
          <w:tcPr>
            <w:tcW w:w="1340" w:type="dxa"/>
            <w:vAlign w:val="bottom"/>
            <w:tcBorders>
              <w:right w:val="single" w:sz="8" w:color="70AD47"/>
            </w:tcBorders>
            <w:vMerge w:val="continue"/>
          </w:tcPr>
          <w:p>
            <w:pPr>
              <w:spacing w:after="0"/>
              <w:rPr>
                <w:sz w:val="16"/>
                <w:szCs w:val="16"/>
                <w:color w:val="auto"/>
              </w:rPr>
            </w:pPr>
          </w:p>
        </w:tc>
        <w:tc>
          <w:tcPr>
            <w:tcW w:w="1400" w:type="dxa"/>
            <w:vAlign w:val="bottom"/>
            <w:tcBorders>
              <w:right w:val="single" w:sz="8" w:color="70AD47"/>
            </w:tcBorders>
            <w:vMerge w:val="continue"/>
          </w:tcPr>
          <w:p>
            <w:pPr>
              <w:spacing w:after="0"/>
              <w:rPr>
                <w:sz w:val="16"/>
                <w:szCs w:val="16"/>
                <w:color w:val="auto"/>
              </w:rPr>
            </w:pPr>
          </w:p>
        </w:tc>
        <w:tc>
          <w:tcPr>
            <w:tcW w:w="1360" w:type="dxa"/>
            <w:vAlign w:val="bottom"/>
            <w:tcBorders>
              <w:right w:val="single" w:sz="8" w:color="70AD47"/>
            </w:tcBorders>
            <w:vMerge w:val="restart"/>
          </w:tcPr>
          <w:p>
            <w:pPr>
              <w:jc w:val="center"/>
              <w:spacing w:after="0" w:line="216" w:lineRule="exact"/>
              <w:rPr>
                <w:sz w:val="20"/>
                <w:szCs w:val="20"/>
                <w:color w:val="auto"/>
              </w:rPr>
            </w:pPr>
            <w:r>
              <w:rPr>
                <w:rFonts w:ascii="Arial" w:cs="Arial" w:eastAsia="Arial" w:hAnsi="Arial"/>
                <w:sz w:val="22"/>
                <w:szCs w:val="22"/>
                <w:b w:val="1"/>
                <w:bCs w:val="1"/>
                <w:color w:val="auto"/>
                <w:w w:val="87"/>
              </w:rPr>
              <w:t>Date</w:t>
            </w:r>
          </w:p>
        </w:tc>
        <w:tc>
          <w:tcPr>
            <w:tcW w:w="1380" w:type="dxa"/>
            <w:vAlign w:val="bottom"/>
            <w:tcBorders>
              <w:right w:val="single" w:sz="8" w:color="70AD47"/>
            </w:tcBorders>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3020" w:type="dxa"/>
            <w:vAlign w:val="bottom"/>
            <w:tcBorders>
              <w:right w:val="single" w:sz="8" w:color="70AD47"/>
            </w:tcBorders>
          </w:tcPr>
          <w:p>
            <w:pPr>
              <w:spacing w:after="0"/>
              <w:rPr>
                <w:sz w:val="2"/>
                <w:szCs w:val="2"/>
                <w:color w:val="auto"/>
              </w:rPr>
            </w:pPr>
          </w:p>
        </w:tc>
        <w:tc>
          <w:tcPr>
            <w:tcW w:w="1440" w:type="dxa"/>
            <w:vAlign w:val="bottom"/>
            <w:tcBorders>
              <w:right w:val="single" w:sz="8" w:color="70AD47"/>
            </w:tcBorders>
            <w:vMerge w:val="continue"/>
          </w:tcPr>
          <w:p>
            <w:pPr>
              <w:spacing w:after="0"/>
              <w:rPr>
                <w:sz w:val="2"/>
                <w:szCs w:val="2"/>
                <w:color w:val="auto"/>
              </w:rPr>
            </w:pPr>
          </w:p>
        </w:tc>
        <w:tc>
          <w:tcPr>
            <w:tcW w:w="1300" w:type="dxa"/>
            <w:vAlign w:val="bottom"/>
            <w:tcBorders>
              <w:right w:val="single" w:sz="8" w:color="70AD47"/>
            </w:tcBorders>
            <w:vMerge w:val="continue"/>
          </w:tcPr>
          <w:p>
            <w:pPr>
              <w:spacing w:after="0"/>
              <w:rPr>
                <w:sz w:val="2"/>
                <w:szCs w:val="2"/>
                <w:color w:val="auto"/>
              </w:rPr>
            </w:pPr>
          </w:p>
        </w:tc>
        <w:tc>
          <w:tcPr>
            <w:tcW w:w="1340" w:type="dxa"/>
            <w:vAlign w:val="bottom"/>
            <w:tcBorders>
              <w:right w:val="single" w:sz="8" w:color="70AD47"/>
            </w:tcBorders>
            <w:vMerge w:val="restart"/>
          </w:tcPr>
          <w:p>
            <w:pPr>
              <w:jc w:val="center"/>
              <w:spacing w:after="0" w:line="246" w:lineRule="exact"/>
              <w:rPr>
                <w:sz w:val="20"/>
                <w:szCs w:val="20"/>
                <w:color w:val="auto"/>
              </w:rPr>
            </w:pPr>
            <w:r>
              <w:rPr>
                <w:rFonts w:ascii="Arial" w:cs="Arial" w:eastAsia="Arial" w:hAnsi="Arial"/>
                <w:sz w:val="22"/>
                <w:szCs w:val="22"/>
                <w:b w:val="1"/>
                <w:bCs w:val="1"/>
                <w:color w:val="auto"/>
                <w:w w:val="87"/>
              </w:rPr>
              <w:t>Price (€)</w:t>
            </w:r>
            <w:r>
              <w:rPr>
                <w:rFonts w:ascii="Arial" w:cs="Arial" w:eastAsia="Arial" w:hAnsi="Arial"/>
                <w:sz w:val="28"/>
                <w:szCs w:val="28"/>
                <w:b w:val="1"/>
                <w:bCs w:val="1"/>
                <w:color w:val="auto"/>
                <w:w w:val="87"/>
                <w:vertAlign w:val="superscript"/>
              </w:rPr>
              <w:t>(9)</w:t>
            </w:r>
          </w:p>
        </w:tc>
        <w:tc>
          <w:tcPr>
            <w:tcW w:w="1400" w:type="dxa"/>
            <w:vAlign w:val="bottom"/>
            <w:tcBorders>
              <w:right w:val="single" w:sz="8" w:color="70AD47"/>
            </w:tcBorders>
            <w:vMerge w:val="restart"/>
          </w:tcPr>
          <w:p>
            <w:pPr>
              <w:jc w:val="center"/>
              <w:spacing w:after="0" w:line="246" w:lineRule="exact"/>
              <w:rPr>
                <w:sz w:val="20"/>
                <w:szCs w:val="20"/>
                <w:color w:val="auto"/>
              </w:rPr>
            </w:pPr>
            <w:r>
              <w:rPr>
                <w:rFonts w:ascii="Arial" w:cs="Arial" w:eastAsia="Arial" w:hAnsi="Arial"/>
                <w:sz w:val="22"/>
                <w:szCs w:val="22"/>
                <w:b w:val="1"/>
                <w:bCs w:val="1"/>
                <w:color w:val="auto"/>
                <w:w w:val="86"/>
              </w:rPr>
              <w:t>Exercise</w:t>
            </w:r>
          </w:p>
        </w:tc>
        <w:tc>
          <w:tcPr>
            <w:tcW w:w="1360" w:type="dxa"/>
            <w:vAlign w:val="bottom"/>
            <w:tcBorders>
              <w:right w:val="single" w:sz="8" w:color="70AD47"/>
            </w:tcBorders>
            <w:vMerge w:val="continue"/>
          </w:tcPr>
          <w:p>
            <w:pPr>
              <w:spacing w:after="0"/>
              <w:rPr>
                <w:sz w:val="2"/>
                <w:szCs w:val="2"/>
                <w:color w:val="auto"/>
              </w:rPr>
            </w:pPr>
          </w:p>
        </w:tc>
        <w:tc>
          <w:tcPr>
            <w:tcW w:w="1380" w:type="dxa"/>
            <w:vAlign w:val="bottom"/>
            <w:tcBorders>
              <w:right w:val="single" w:sz="8" w:color="70AD47"/>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20" w:type="dxa"/>
            <w:vAlign w:val="bottom"/>
            <w:tcBorders>
              <w:right w:val="single" w:sz="8" w:color="70AD47"/>
            </w:tcBorders>
          </w:tcPr>
          <w:p>
            <w:pPr>
              <w:spacing w:after="0"/>
              <w:rPr>
                <w:sz w:val="18"/>
                <w:szCs w:val="18"/>
                <w:color w:val="auto"/>
              </w:rPr>
            </w:pPr>
          </w:p>
        </w:tc>
        <w:tc>
          <w:tcPr>
            <w:tcW w:w="1440" w:type="dxa"/>
            <w:vAlign w:val="bottom"/>
            <w:tcBorders>
              <w:right w:val="single" w:sz="8" w:color="70AD47"/>
            </w:tcBorders>
          </w:tcPr>
          <w:p>
            <w:pPr>
              <w:jc w:val="center"/>
              <w:spacing w:after="0" w:line="216" w:lineRule="exact"/>
              <w:rPr>
                <w:sz w:val="20"/>
                <w:szCs w:val="20"/>
                <w:color w:val="auto"/>
              </w:rPr>
            </w:pPr>
            <w:r>
              <w:rPr>
                <w:rFonts w:ascii="Arial" w:cs="Arial" w:eastAsia="Arial" w:hAnsi="Arial"/>
                <w:sz w:val="22"/>
                <w:szCs w:val="22"/>
                <w:b w:val="1"/>
                <w:bCs w:val="1"/>
                <w:color w:val="auto"/>
                <w:w w:val="92"/>
              </w:rPr>
              <w:t>Date</w:t>
            </w:r>
          </w:p>
        </w:tc>
        <w:tc>
          <w:tcPr>
            <w:tcW w:w="1300" w:type="dxa"/>
            <w:vAlign w:val="bottom"/>
            <w:tcBorders>
              <w:right w:val="single" w:sz="8" w:color="70AD47"/>
            </w:tcBorders>
          </w:tcPr>
          <w:p>
            <w:pPr>
              <w:jc w:val="center"/>
              <w:spacing w:after="0" w:line="216" w:lineRule="exact"/>
              <w:rPr>
                <w:sz w:val="20"/>
                <w:szCs w:val="20"/>
                <w:color w:val="auto"/>
              </w:rPr>
            </w:pPr>
            <w:r>
              <w:rPr>
                <w:rFonts w:ascii="Arial" w:cs="Arial" w:eastAsia="Arial" w:hAnsi="Arial"/>
                <w:sz w:val="22"/>
                <w:szCs w:val="22"/>
                <w:b w:val="1"/>
                <w:bCs w:val="1"/>
                <w:color w:val="auto"/>
                <w:w w:val="90"/>
              </w:rPr>
              <w:t>Underlying</w:t>
            </w:r>
          </w:p>
        </w:tc>
        <w:tc>
          <w:tcPr>
            <w:tcW w:w="1340" w:type="dxa"/>
            <w:vAlign w:val="bottom"/>
            <w:tcBorders>
              <w:right w:val="single" w:sz="8" w:color="70AD47"/>
            </w:tcBorders>
            <w:vMerge w:val="continue"/>
          </w:tcPr>
          <w:p>
            <w:pPr>
              <w:spacing w:after="0"/>
              <w:rPr>
                <w:sz w:val="18"/>
                <w:szCs w:val="18"/>
                <w:color w:val="auto"/>
              </w:rPr>
            </w:pPr>
          </w:p>
        </w:tc>
        <w:tc>
          <w:tcPr>
            <w:tcW w:w="1400" w:type="dxa"/>
            <w:vAlign w:val="bottom"/>
            <w:tcBorders>
              <w:right w:val="single" w:sz="8" w:color="70AD47"/>
            </w:tcBorders>
            <w:vMerge w:val="continue"/>
          </w:tcPr>
          <w:p>
            <w:pPr>
              <w:spacing w:after="0"/>
              <w:rPr>
                <w:sz w:val="18"/>
                <w:szCs w:val="18"/>
                <w:color w:val="auto"/>
              </w:rPr>
            </w:pPr>
          </w:p>
        </w:tc>
        <w:tc>
          <w:tcPr>
            <w:tcW w:w="1360" w:type="dxa"/>
            <w:vAlign w:val="bottom"/>
            <w:tcBorders>
              <w:right w:val="single" w:sz="8" w:color="70AD47"/>
            </w:tcBorders>
          </w:tcPr>
          <w:p>
            <w:pPr>
              <w:spacing w:after="0"/>
              <w:rPr>
                <w:sz w:val="18"/>
                <w:szCs w:val="18"/>
                <w:color w:val="auto"/>
              </w:rPr>
            </w:pPr>
          </w:p>
        </w:tc>
        <w:tc>
          <w:tcPr>
            <w:tcW w:w="1380" w:type="dxa"/>
            <w:vAlign w:val="bottom"/>
            <w:tcBorders>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020" w:type="dxa"/>
            <w:vAlign w:val="bottom"/>
            <w:tcBorders>
              <w:right w:val="single" w:sz="8" w:color="70AD47"/>
            </w:tcBorders>
          </w:tcPr>
          <w:p>
            <w:pPr>
              <w:spacing w:after="0"/>
              <w:rPr>
                <w:sz w:val="20"/>
                <w:szCs w:val="20"/>
                <w:color w:val="auto"/>
              </w:rPr>
            </w:pPr>
          </w:p>
        </w:tc>
        <w:tc>
          <w:tcPr>
            <w:tcW w:w="1440" w:type="dxa"/>
            <w:vAlign w:val="bottom"/>
            <w:tcBorders>
              <w:right w:val="single" w:sz="8" w:color="70AD47"/>
            </w:tcBorders>
          </w:tcPr>
          <w:p>
            <w:pPr>
              <w:spacing w:after="0"/>
              <w:rPr>
                <w:sz w:val="20"/>
                <w:szCs w:val="20"/>
                <w:color w:val="auto"/>
              </w:rPr>
            </w:pPr>
          </w:p>
        </w:tc>
        <w:tc>
          <w:tcPr>
            <w:tcW w:w="1300" w:type="dxa"/>
            <w:vAlign w:val="bottom"/>
            <w:tcBorders>
              <w:right w:val="single" w:sz="8" w:color="70AD47"/>
            </w:tcBorders>
          </w:tcPr>
          <w:p>
            <w:pPr>
              <w:jc w:val="center"/>
              <w:spacing w:after="0" w:line="240" w:lineRule="exact"/>
              <w:rPr>
                <w:sz w:val="20"/>
                <w:szCs w:val="20"/>
                <w:color w:val="auto"/>
              </w:rPr>
            </w:pPr>
            <w:r>
              <w:rPr>
                <w:rFonts w:ascii="Arial" w:cs="Arial" w:eastAsia="Arial" w:hAnsi="Arial"/>
                <w:sz w:val="22"/>
                <w:szCs w:val="22"/>
                <w:b w:val="1"/>
                <w:bCs w:val="1"/>
                <w:color w:val="auto"/>
                <w:w w:val="84"/>
              </w:rPr>
              <w:t>Share</w:t>
            </w:r>
          </w:p>
        </w:tc>
        <w:tc>
          <w:tcPr>
            <w:tcW w:w="1340" w:type="dxa"/>
            <w:vAlign w:val="bottom"/>
            <w:tcBorders>
              <w:right w:val="single" w:sz="8" w:color="70AD47"/>
            </w:tcBorders>
          </w:tcPr>
          <w:p>
            <w:pPr>
              <w:spacing w:after="0"/>
              <w:rPr>
                <w:sz w:val="20"/>
                <w:szCs w:val="20"/>
                <w:color w:val="auto"/>
              </w:rPr>
            </w:pPr>
          </w:p>
        </w:tc>
        <w:tc>
          <w:tcPr>
            <w:tcW w:w="1400" w:type="dxa"/>
            <w:vAlign w:val="bottom"/>
            <w:tcBorders>
              <w:right w:val="single" w:sz="8" w:color="70AD47"/>
            </w:tcBorders>
          </w:tcPr>
          <w:p>
            <w:pPr>
              <w:jc w:val="center"/>
              <w:spacing w:after="0" w:line="240" w:lineRule="exact"/>
              <w:rPr>
                <w:sz w:val="20"/>
                <w:szCs w:val="20"/>
                <w:color w:val="auto"/>
              </w:rPr>
            </w:pPr>
            <w:r>
              <w:rPr>
                <w:rFonts w:ascii="Arial" w:cs="Arial" w:eastAsia="Arial" w:hAnsi="Arial"/>
                <w:sz w:val="21"/>
                <w:szCs w:val="21"/>
                <w:b w:val="1"/>
                <w:bCs w:val="1"/>
                <w:color w:val="auto"/>
                <w:w w:val="83"/>
              </w:rPr>
              <w:t xml:space="preserve">Date </w:t>
            </w:r>
            <w:r>
              <w:rPr>
                <w:rFonts w:ascii="Arial" w:cs="Arial" w:eastAsia="Arial" w:hAnsi="Arial"/>
                <w:sz w:val="27"/>
                <w:szCs w:val="27"/>
                <w:b w:val="1"/>
                <w:bCs w:val="1"/>
                <w:color w:val="auto"/>
                <w:w w:val="83"/>
                <w:vertAlign w:val="superscript"/>
              </w:rPr>
              <w:t>(11)</w:t>
            </w:r>
          </w:p>
        </w:tc>
        <w:tc>
          <w:tcPr>
            <w:tcW w:w="1360" w:type="dxa"/>
            <w:vAlign w:val="bottom"/>
            <w:tcBorders>
              <w:right w:val="single" w:sz="8" w:color="70AD47"/>
            </w:tcBorders>
          </w:tcPr>
          <w:p>
            <w:pPr>
              <w:spacing w:after="0"/>
              <w:rPr>
                <w:sz w:val="20"/>
                <w:szCs w:val="20"/>
                <w:color w:val="auto"/>
              </w:rPr>
            </w:pPr>
          </w:p>
        </w:tc>
        <w:tc>
          <w:tcPr>
            <w:tcW w:w="1380" w:type="dxa"/>
            <w:vAlign w:val="bottom"/>
            <w:tcBorders>
              <w:right w:val="single" w:sz="8" w:color="70AD47"/>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020" w:type="dxa"/>
            <w:vAlign w:val="bottom"/>
            <w:tcBorders>
              <w:right w:val="single" w:sz="8" w:color="70AD47"/>
            </w:tcBorders>
          </w:tcPr>
          <w:p>
            <w:pPr>
              <w:spacing w:after="0"/>
              <w:rPr>
                <w:sz w:val="16"/>
                <w:szCs w:val="16"/>
                <w:color w:val="auto"/>
              </w:rPr>
            </w:pPr>
          </w:p>
        </w:tc>
        <w:tc>
          <w:tcPr>
            <w:tcW w:w="1440" w:type="dxa"/>
            <w:vAlign w:val="bottom"/>
            <w:tcBorders>
              <w:right w:val="single" w:sz="8" w:color="70AD47"/>
            </w:tcBorders>
          </w:tcPr>
          <w:p>
            <w:pPr>
              <w:spacing w:after="0"/>
              <w:rPr>
                <w:sz w:val="16"/>
                <w:szCs w:val="16"/>
                <w:color w:val="auto"/>
              </w:rPr>
            </w:pPr>
          </w:p>
        </w:tc>
        <w:tc>
          <w:tcPr>
            <w:tcW w:w="1300" w:type="dxa"/>
            <w:vAlign w:val="bottom"/>
            <w:tcBorders>
              <w:right w:val="single" w:sz="8" w:color="70AD47"/>
            </w:tcBorders>
          </w:tcPr>
          <w:p>
            <w:pPr>
              <w:jc w:val="center"/>
              <w:spacing w:after="0" w:line="192" w:lineRule="exact"/>
              <w:rPr>
                <w:sz w:val="20"/>
                <w:szCs w:val="20"/>
                <w:color w:val="auto"/>
              </w:rPr>
            </w:pPr>
            <w:r>
              <w:rPr>
                <w:rFonts w:ascii="Arial" w:cs="Arial" w:eastAsia="Arial" w:hAnsi="Arial"/>
                <w:sz w:val="22"/>
                <w:szCs w:val="22"/>
                <w:b w:val="1"/>
                <w:bCs w:val="1"/>
                <w:color w:val="auto"/>
                <w:w w:val="88"/>
              </w:rPr>
              <w:t>Options /</w:t>
            </w:r>
          </w:p>
        </w:tc>
        <w:tc>
          <w:tcPr>
            <w:tcW w:w="1340" w:type="dxa"/>
            <w:vAlign w:val="bottom"/>
            <w:tcBorders>
              <w:right w:val="single" w:sz="8" w:color="70AD47"/>
            </w:tcBorders>
          </w:tcPr>
          <w:p>
            <w:pPr>
              <w:spacing w:after="0"/>
              <w:rPr>
                <w:sz w:val="16"/>
                <w:szCs w:val="16"/>
                <w:color w:val="auto"/>
              </w:rPr>
            </w:pPr>
          </w:p>
        </w:tc>
        <w:tc>
          <w:tcPr>
            <w:tcW w:w="1400" w:type="dxa"/>
            <w:vAlign w:val="bottom"/>
            <w:tcBorders>
              <w:right w:val="single" w:sz="8" w:color="70AD47"/>
            </w:tcBorders>
          </w:tcPr>
          <w:p>
            <w:pPr>
              <w:spacing w:after="0"/>
              <w:rPr>
                <w:sz w:val="16"/>
                <w:szCs w:val="16"/>
                <w:color w:val="auto"/>
              </w:rPr>
            </w:pPr>
          </w:p>
        </w:tc>
        <w:tc>
          <w:tcPr>
            <w:tcW w:w="1360" w:type="dxa"/>
            <w:vAlign w:val="bottom"/>
            <w:tcBorders>
              <w:right w:val="single" w:sz="8" w:color="70AD47"/>
            </w:tcBorders>
          </w:tcPr>
          <w:p>
            <w:pPr>
              <w:spacing w:after="0"/>
              <w:rPr>
                <w:sz w:val="16"/>
                <w:szCs w:val="16"/>
                <w:color w:val="auto"/>
              </w:rPr>
            </w:pPr>
          </w:p>
        </w:tc>
        <w:tc>
          <w:tcPr>
            <w:tcW w:w="1380" w:type="dxa"/>
            <w:vAlign w:val="bottom"/>
            <w:tcBorders>
              <w:right w:val="single" w:sz="8" w:color="70AD47"/>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20" w:type="dxa"/>
            <w:vAlign w:val="bottom"/>
            <w:tcBorders>
              <w:right w:val="single" w:sz="8" w:color="70AD47"/>
            </w:tcBorders>
          </w:tcPr>
          <w:p>
            <w:pPr>
              <w:spacing w:after="0"/>
              <w:rPr>
                <w:sz w:val="18"/>
                <w:szCs w:val="18"/>
                <w:color w:val="auto"/>
              </w:rPr>
            </w:pPr>
          </w:p>
        </w:tc>
        <w:tc>
          <w:tcPr>
            <w:tcW w:w="1440" w:type="dxa"/>
            <w:vAlign w:val="bottom"/>
            <w:tcBorders>
              <w:right w:val="single" w:sz="8" w:color="70AD47"/>
            </w:tcBorders>
          </w:tcPr>
          <w:p>
            <w:pPr>
              <w:spacing w:after="0"/>
              <w:rPr>
                <w:sz w:val="18"/>
                <w:szCs w:val="18"/>
                <w:color w:val="auto"/>
              </w:rPr>
            </w:pPr>
          </w:p>
        </w:tc>
        <w:tc>
          <w:tcPr>
            <w:tcW w:w="1300" w:type="dxa"/>
            <w:vAlign w:val="bottom"/>
            <w:tcBorders>
              <w:right w:val="single" w:sz="8" w:color="70AD47"/>
            </w:tcBorders>
          </w:tcPr>
          <w:p>
            <w:pPr>
              <w:jc w:val="center"/>
              <w:spacing w:after="0" w:line="216" w:lineRule="exact"/>
              <w:rPr>
                <w:sz w:val="20"/>
                <w:szCs w:val="20"/>
                <w:color w:val="auto"/>
              </w:rPr>
            </w:pPr>
            <w:r>
              <w:rPr>
                <w:rFonts w:ascii="Arial" w:cs="Arial" w:eastAsia="Arial" w:hAnsi="Arial"/>
                <w:sz w:val="22"/>
                <w:szCs w:val="22"/>
                <w:b w:val="1"/>
                <w:bCs w:val="1"/>
                <w:color w:val="auto"/>
                <w:w w:val="90"/>
              </w:rPr>
              <w:t>Number of</w:t>
            </w:r>
          </w:p>
        </w:tc>
        <w:tc>
          <w:tcPr>
            <w:tcW w:w="1340" w:type="dxa"/>
            <w:vAlign w:val="bottom"/>
            <w:tcBorders>
              <w:right w:val="single" w:sz="8" w:color="70AD47"/>
            </w:tcBorders>
          </w:tcPr>
          <w:p>
            <w:pPr>
              <w:spacing w:after="0"/>
              <w:rPr>
                <w:sz w:val="18"/>
                <w:szCs w:val="18"/>
                <w:color w:val="auto"/>
              </w:rPr>
            </w:pPr>
          </w:p>
        </w:tc>
        <w:tc>
          <w:tcPr>
            <w:tcW w:w="1400" w:type="dxa"/>
            <w:vAlign w:val="bottom"/>
            <w:tcBorders>
              <w:right w:val="single" w:sz="8" w:color="70AD47"/>
            </w:tcBorders>
          </w:tcPr>
          <w:p>
            <w:pPr>
              <w:spacing w:after="0"/>
              <w:rPr>
                <w:sz w:val="18"/>
                <w:szCs w:val="18"/>
                <w:color w:val="auto"/>
              </w:rPr>
            </w:pPr>
          </w:p>
        </w:tc>
        <w:tc>
          <w:tcPr>
            <w:tcW w:w="1360" w:type="dxa"/>
            <w:vAlign w:val="bottom"/>
            <w:tcBorders>
              <w:right w:val="single" w:sz="8" w:color="70AD47"/>
            </w:tcBorders>
          </w:tcPr>
          <w:p>
            <w:pPr>
              <w:spacing w:after="0"/>
              <w:rPr>
                <w:sz w:val="18"/>
                <w:szCs w:val="18"/>
                <w:color w:val="auto"/>
              </w:rPr>
            </w:pPr>
          </w:p>
        </w:tc>
        <w:tc>
          <w:tcPr>
            <w:tcW w:w="1380" w:type="dxa"/>
            <w:vAlign w:val="bottom"/>
            <w:tcBorders>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Borders>
              <w:right w:val="single" w:sz="8" w:color="70AD47"/>
            </w:tcBorders>
          </w:tcPr>
          <w:p>
            <w:pPr>
              <w:spacing w:after="0"/>
              <w:rPr>
                <w:sz w:val="18"/>
                <w:szCs w:val="18"/>
                <w:color w:val="auto"/>
              </w:rPr>
            </w:pPr>
          </w:p>
        </w:tc>
        <w:tc>
          <w:tcPr>
            <w:tcW w:w="1440" w:type="dxa"/>
            <w:vAlign w:val="bottom"/>
            <w:tcBorders>
              <w:right w:val="single" w:sz="8" w:color="70AD47"/>
            </w:tcBorders>
          </w:tcPr>
          <w:p>
            <w:pPr>
              <w:spacing w:after="0"/>
              <w:rPr>
                <w:sz w:val="18"/>
                <w:szCs w:val="18"/>
                <w:color w:val="auto"/>
              </w:rPr>
            </w:pPr>
          </w:p>
        </w:tc>
        <w:tc>
          <w:tcPr>
            <w:tcW w:w="1300" w:type="dxa"/>
            <w:vAlign w:val="bottom"/>
            <w:tcBorders>
              <w:right w:val="single" w:sz="8" w:color="70AD47"/>
            </w:tcBorders>
          </w:tcPr>
          <w:p>
            <w:pPr>
              <w:jc w:val="center"/>
              <w:spacing w:after="0" w:line="216" w:lineRule="exact"/>
              <w:rPr>
                <w:sz w:val="20"/>
                <w:szCs w:val="20"/>
                <w:color w:val="auto"/>
              </w:rPr>
            </w:pPr>
            <w:r>
              <w:rPr>
                <w:rFonts w:ascii="Arial" w:cs="Arial" w:eastAsia="Arial" w:hAnsi="Arial"/>
                <w:sz w:val="22"/>
                <w:szCs w:val="22"/>
                <w:b w:val="1"/>
                <w:bCs w:val="1"/>
                <w:color w:val="auto"/>
                <w:w w:val="89"/>
              </w:rPr>
              <w:t>Phantom</w:t>
            </w:r>
          </w:p>
        </w:tc>
        <w:tc>
          <w:tcPr>
            <w:tcW w:w="1340" w:type="dxa"/>
            <w:vAlign w:val="bottom"/>
            <w:tcBorders>
              <w:right w:val="single" w:sz="8" w:color="70AD47"/>
            </w:tcBorders>
          </w:tcPr>
          <w:p>
            <w:pPr>
              <w:spacing w:after="0"/>
              <w:rPr>
                <w:sz w:val="18"/>
                <w:szCs w:val="18"/>
                <w:color w:val="auto"/>
              </w:rPr>
            </w:pPr>
          </w:p>
        </w:tc>
        <w:tc>
          <w:tcPr>
            <w:tcW w:w="1400" w:type="dxa"/>
            <w:vAlign w:val="bottom"/>
            <w:tcBorders>
              <w:right w:val="single" w:sz="8" w:color="70AD47"/>
            </w:tcBorders>
          </w:tcPr>
          <w:p>
            <w:pPr>
              <w:spacing w:after="0"/>
              <w:rPr>
                <w:sz w:val="18"/>
                <w:szCs w:val="18"/>
                <w:color w:val="auto"/>
              </w:rPr>
            </w:pPr>
          </w:p>
        </w:tc>
        <w:tc>
          <w:tcPr>
            <w:tcW w:w="1360" w:type="dxa"/>
            <w:vAlign w:val="bottom"/>
            <w:tcBorders>
              <w:right w:val="single" w:sz="8" w:color="70AD47"/>
            </w:tcBorders>
          </w:tcPr>
          <w:p>
            <w:pPr>
              <w:spacing w:after="0"/>
              <w:rPr>
                <w:sz w:val="18"/>
                <w:szCs w:val="18"/>
                <w:color w:val="auto"/>
              </w:rPr>
            </w:pPr>
          </w:p>
        </w:tc>
        <w:tc>
          <w:tcPr>
            <w:tcW w:w="1380" w:type="dxa"/>
            <w:vAlign w:val="bottom"/>
            <w:tcBorders>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Borders>
              <w:right w:val="single" w:sz="8" w:color="70AD47"/>
            </w:tcBorders>
          </w:tcPr>
          <w:p>
            <w:pPr>
              <w:spacing w:after="0"/>
              <w:rPr>
                <w:sz w:val="18"/>
                <w:szCs w:val="18"/>
                <w:color w:val="auto"/>
              </w:rPr>
            </w:pPr>
          </w:p>
        </w:tc>
        <w:tc>
          <w:tcPr>
            <w:tcW w:w="1440" w:type="dxa"/>
            <w:vAlign w:val="bottom"/>
            <w:tcBorders>
              <w:right w:val="single" w:sz="8" w:color="70AD47"/>
            </w:tcBorders>
          </w:tcPr>
          <w:p>
            <w:pPr>
              <w:spacing w:after="0"/>
              <w:rPr>
                <w:sz w:val="18"/>
                <w:szCs w:val="18"/>
                <w:color w:val="auto"/>
              </w:rPr>
            </w:pPr>
          </w:p>
        </w:tc>
        <w:tc>
          <w:tcPr>
            <w:tcW w:w="1300" w:type="dxa"/>
            <w:vAlign w:val="bottom"/>
            <w:tcBorders>
              <w:right w:val="single" w:sz="8" w:color="70AD47"/>
            </w:tcBorders>
          </w:tcPr>
          <w:p>
            <w:pPr>
              <w:jc w:val="center"/>
              <w:spacing w:after="0" w:line="216" w:lineRule="exact"/>
              <w:rPr>
                <w:sz w:val="20"/>
                <w:szCs w:val="20"/>
                <w:color w:val="auto"/>
              </w:rPr>
            </w:pPr>
            <w:r>
              <w:rPr>
                <w:rFonts w:ascii="Arial" w:cs="Arial" w:eastAsia="Arial" w:hAnsi="Arial"/>
                <w:sz w:val="22"/>
                <w:szCs w:val="22"/>
                <w:b w:val="1"/>
                <w:bCs w:val="1"/>
                <w:color w:val="auto"/>
                <w:w w:val="84"/>
              </w:rPr>
              <w:t>Share</w:t>
            </w:r>
          </w:p>
        </w:tc>
        <w:tc>
          <w:tcPr>
            <w:tcW w:w="1340" w:type="dxa"/>
            <w:vAlign w:val="bottom"/>
            <w:tcBorders>
              <w:right w:val="single" w:sz="8" w:color="70AD47"/>
            </w:tcBorders>
          </w:tcPr>
          <w:p>
            <w:pPr>
              <w:spacing w:after="0"/>
              <w:rPr>
                <w:sz w:val="18"/>
                <w:szCs w:val="18"/>
                <w:color w:val="auto"/>
              </w:rPr>
            </w:pPr>
          </w:p>
        </w:tc>
        <w:tc>
          <w:tcPr>
            <w:tcW w:w="1400" w:type="dxa"/>
            <w:vAlign w:val="bottom"/>
            <w:tcBorders>
              <w:right w:val="single" w:sz="8" w:color="70AD47"/>
            </w:tcBorders>
          </w:tcPr>
          <w:p>
            <w:pPr>
              <w:spacing w:after="0"/>
              <w:rPr>
                <w:sz w:val="18"/>
                <w:szCs w:val="18"/>
                <w:color w:val="auto"/>
              </w:rPr>
            </w:pPr>
          </w:p>
        </w:tc>
        <w:tc>
          <w:tcPr>
            <w:tcW w:w="1360" w:type="dxa"/>
            <w:vAlign w:val="bottom"/>
            <w:tcBorders>
              <w:right w:val="single" w:sz="8" w:color="70AD47"/>
            </w:tcBorders>
          </w:tcPr>
          <w:p>
            <w:pPr>
              <w:spacing w:after="0"/>
              <w:rPr>
                <w:sz w:val="18"/>
                <w:szCs w:val="18"/>
                <w:color w:val="auto"/>
              </w:rPr>
            </w:pPr>
          </w:p>
        </w:tc>
        <w:tc>
          <w:tcPr>
            <w:tcW w:w="1380" w:type="dxa"/>
            <w:vAlign w:val="bottom"/>
            <w:tcBorders>
              <w:right w:val="single" w:sz="8" w:color="70AD47"/>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020" w:type="dxa"/>
            <w:vAlign w:val="bottom"/>
            <w:tcBorders>
              <w:bottom w:val="single" w:sz="8" w:color="70AD47"/>
              <w:right w:val="single" w:sz="8" w:color="70AD47"/>
            </w:tcBorders>
          </w:tcPr>
          <w:p>
            <w:pPr>
              <w:spacing w:after="0"/>
              <w:rPr>
                <w:sz w:val="24"/>
                <w:szCs w:val="24"/>
                <w:color w:val="auto"/>
              </w:rPr>
            </w:pPr>
          </w:p>
        </w:tc>
        <w:tc>
          <w:tcPr>
            <w:tcW w:w="1440" w:type="dxa"/>
            <w:vAlign w:val="bottom"/>
            <w:tcBorders>
              <w:bottom w:val="single" w:sz="8" w:color="70AD47"/>
              <w:right w:val="single" w:sz="8" w:color="70AD47"/>
            </w:tcBorders>
          </w:tcPr>
          <w:p>
            <w:pPr>
              <w:spacing w:after="0"/>
              <w:rPr>
                <w:sz w:val="24"/>
                <w:szCs w:val="24"/>
                <w:color w:val="auto"/>
              </w:rPr>
            </w:pPr>
          </w:p>
        </w:tc>
        <w:tc>
          <w:tcPr>
            <w:tcW w:w="1300" w:type="dxa"/>
            <w:vAlign w:val="bottom"/>
            <w:tcBorders>
              <w:bottom w:val="single" w:sz="8" w:color="70AD47"/>
              <w:right w:val="single" w:sz="8" w:color="70AD47"/>
            </w:tcBorders>
          </w:tcPr>
          <w:p>
            <w:pPr>
              <w:jc w:val="center"/>
              <w:spacing w:after="0" w:line="284" w:lineRule="exact"/>
              <w:rPr>
                <w:sz w:val="20"/>
                <w:szCs w:val="20"/>
                <w:color w:val="auto"/>
              </w:rPr>
            </w:pPr>
            <w:r>
              <w:rPr>
                <w:rFonts w:ascii="Arial" w:cs="Arial" w:eastAsia="Arial" w:hAnsi="Arial"/>
                <w:sz w:val="22"/>
                <w:szCs w:val="22"/>
                <w:b w:val="1"/>
                <w:bCs w:val="1"/>
                <w:color w:val="auto"/>
                <w:w w:val="82"/>
              </w:rPr>
              <w:t xml:space="preserve">Options </w:t>
            </w:r>
            <w:r>
              <w:rPr>
                <w:rFonts w:ascii="Arial" w:cs="Arial" w:eastAsia="Arial" w:hAnsi="Arial"/>
                <w:sz w:val="28"/>
                <w:szCs w:val="28"/>
                <w:b w:val="1"/>
                <w:bCs w:val="1"/>
                <w:color w:val="auto"/>
                <w:w w:val="82"/>
                <w:vertAlign w:val="superscript"/>
              </w:rPr>
              <w:t>(2)</w:t>
            </w:r>
          </w:p>
        </w:tc>
        <w:tc>
          <w:tcPr>
            <w:tcW w:w="1340" w:type="dxa"/>
            <w:vAlign w:val="bottom"/>
            <w:tcBorders>
              <w:bottom w:val="single" w:sz="8" w:color="70AD47"/>
              <w:right w:val="single" w:sz="8" w:color="70AD47"/>
            </w:tcBorders>
          </w:tcPr>
          <w:p>
            <w:pPr>
              <w:spacing w:after="0"/>
              <w:rPr>
                <w:sz w:val="24"/>
                <w:szCs w:val="24"/>
                <w:color w:val="auto"/>
              </w:rPr>
            </w:pPr>
          </w:p>
        </w:tc>
        <w:tc>
          <w:tcPr>
            <w:tcW w:w="1400" w:type="dxa"/>
            <w:vAlign w:val="bottom"/>
            <w:tcBorders>
              <w:bottom w:val="single" w:sz="8" w:color="70AD47"/>
              <w:right w:val="single" w:sz="8" w:color="70AD47"/>
            </w:tcBorders>
          </w:tcPr>
          <w:p>
            <w:pPr>
              <w:spacing w:after="0"/>
              <w:rPr>
                <w:sz w:val="24"/>
                <w:szCs w:val="24"/>
                <w:color w:val="auto"/>
              </w:rPr>
            </w:pPr>
          </w:p>
        </w:tc>
        <w:tc>
          <w:tcPr>
            <w:tcW w:w="1360" w:type="dxa"/>
            <w:vAlign w:val="bottom"/>
            <w:tcBorders>
              <w:bottom w:val="single" w:sz="8" w:color="70AD47"/>
              <w:right w:val="single" w:sz="8" w:color="70AD47"/>
            </w:tcBorders>
          </w:tcPr>
          <w:p>
            <w:pPr>
              <w:spacing w:after="0"/>
              <w:rPr>
                <w:sz w:val="24"/>
                <w:szCs w:val="24"/>
                <w:color w:val="auto"/>
              </w:rPr>
            </w:pPr>
          </w:p>
        </w:tc>
        <w:tc>
          <w:tcPr>
            <w:tcW w:w="1380" w:type="dxa"/>
            <w:vAlign w:val="bottom"/>
            <w:tcBorders>
              <w:bottom w:val="single" w:sz="8" w:color="70AD47"/>
              <w:right w:val="single" w:sz="8" w:color="70AD47"/>
            </w:tcBorders>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302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91"/>
              </w:rPr>
              <w:t>Prof. Ugur Sahin, M.D.</w:t>
            </w:r>
          </w:p>
        </w:tc>
        <w:tc>
          <w:tcPr>
            <w:tcW w:w="1440" w:type="dxa"/>
            <w:vAlign w:val="bottom"/>
            <w:tcBorders>
              <w:right w:val="single" w:sz="8" w:color="70AD47"/>
            </w:tcBorders>
            <w:vMerge w:val="restart"/>
          </w:tcPr>
          <w:p>
            <w:pPr>
              <w:jc w:val="center"/>
              <w:spacing w:after="0"/>
              <w:rPr>
                <w:sz w:val="20"/>
                <w:szCs w:val="20"/>
                <w:color w:val="auto"/>
              </w:rPr>
            </w:pPr>
            <w:r>
              <w:rPr>
                <w:rFonts w:ascii="Arial" w:cs="Arial" w:eastAsia="Arial" w:hAnsi="Arial"/>
                <w:sz w:val="22"/>
                <w:szCs w:val="22"/>
                <w:color w:val="auto"/>
                <w:w w:val="87"/>
              </w:rPr>
              <w:t>15.11.2018</w:t>
            </w:r>
          </w:p>
        </w:tc>
        <w:tc>
          <w:tcPr>
            <w:tcW w:w="13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9"/>
              </w:rPr>
              <w:t>1.830.348</w:t>
            </w:r>
          </w:p>
        </w:tc>
        <w:tc>
          <w:tcPr>
            <w:tcW w:w="13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7"/>
              </w:rPr>
              <w:t>10,14</w:t>
            </w:r>
          </w:p>
        </w:tc>
        <w:tc>
          <w:tcPr>
            <w:tcW w:w="14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16.09.2022</w:t>
            </w:r>
          </w:p>
        </w:tc>
        <w:tc>
          <w:tcPr>
            <w:tcW w:w="136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17.09.2026</w:t>
            </w:r>
          </w:p>
        </w:tc>
        <w:tc>
          <w:tcPr>
            <w:tcW w:w="138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6"/>
              </w:rPr>
              <w:t>ESOP 2018</w:t>
            </w:r>
          </w:p>
        </w:tc>
        <w:tc>
          <w:tcPr>
            <w:tcW w:w="0" w:type="dxa"/>
            <w:vAlign w:val="bottom"/>
          </w:tcPr>
          <w:p>
            <w:pPr>
              <w:spacing w:after="0"/>
              <w:rPr>
                <w:sz w:val="1"/>
                <w:szCs w:val="1"/>
                <w:color w:val="auto"/>
              </w:rPr>
            </w:pPr>
          </w:p>
        </w:tc>
      </w:tr>
      <w:tr>
        <w:trPr>
          <w:trHeight w:val="69"/>
        </w:trPr>
        <w:tc>
          <w:tcPr>
            <w:tcW w:w="3020" w:type="dxa"/>
            <w:vAlign w:val="bottom"/>
            <w:tcBorders>
              <w:right w:val="single" w:sz="8" w:color="70AD47"/>
            </w:tcBorders>
          </w:tcPr>
          <w:p>
            <w:pPr>
              <w:spacing w:after="0"/>
              <w:rPr>
                <w:sz w:val="5"/>
                <w:szCs w:val="5"/>
                <w:color w:val="auto"/>
              </w:rPr>
            </w:pPr>
          </w:p>
        </w:tc>
        <w:tc>
          <w:tcPr>
            <w:tcW w:w="1440" w:type="dxa"/>
            <w:vAlign w:val="bottom"/>
            <w:tcBorders>
              <w:right w:val="single" w:sz="8" w:color="70AD47"/>
            </w:tcBorders>
            <w:vMerge w:val="continue"/>
          </w:tcPr>
          <w:p>
            <w:pPr>
              <w:spacing w:after="0"/>
              <w:rPr>
                <w:sz w:val="5"/>
                <w:szCs w:val="5"/>
                <w:color w:val="auto"/>
              </w:rPr>
            </w:pPr>
          </w:p>
        </w:tc>
        <w:tc>
          <w:tcPr>
            <w:tcW w:w="1300" w:type="dxa"/>
            <w:vAlign w:val="bottom"/>
            <w:tcBorders>
              <w:right w:val="single" w:sz="8" w:color="70AD47"/>
            </w:tcBorders>
          </w:tcPr>
          <w:p>
            <w:pPr>
              <w:spacing w:after="0"/>
              <w:rPr>
                <w:sz w:val="5"/>
                <w:szCs w:val="5"/>
                <w:color w:val="auto"/>
              </w:rPr>
            </w:pPr>
          </w:p>
        </w:tc>
        <w:tc>
          <w:tcPr>
            <w:tcW w:w="1340" w:type="dxa"/>
            <w:vAlign w:val="bottom"/>
            <w:tcBorders>
              <w:right w:val="single" w:sz="8" w:color="70AD47"/>
            </w:tcBorders>
          </w:tcPr>
          <w:p>
            <w:pPr>
              <w:spacing w:after="0"/>
              <w:rPr>
                <w:sz w:val="5"/>
                <w:szCs w:val="5"/>
                <w:color w:val="auto"/>
              </w:rPr>
            </w:pPr>
          </w:p>
        </w:tc>
        <w:tc>
          <w:tcPr>
            <w:tcW w:w="1400" w:type="dxa"/>
            <w:vAlign w:val="bottom"/>
            <w:tcBorders>
              <w:right w:val="single" w:sz="8" w:color="70AD47"/>
            </w:tcBorders>
          </w:tcPr>
          <w:p>
            <w:pPr>
              <w:spacing w:after="0"/>
              <w:rPr>
                <w:sz w:val="5"/>
                <w:szCs w:val="5"/>
                <w:color w:val="auto"/>
              </w:rPr>
            </w:pPr>
          </w:p>
        </w:tc>
        <w:tc>
          <w:tcPr>
            <w:tcW w:w="1360" w:type="dxa"/>
            <w:vAlign w:val="bottom"/>
            <w:tcBorders>
              <w:right w:val="single" w:sz="8" w:color="70AD47"/>
            </w:tcBorders>
          </w:tcPr>
          <w:p>
            <w:pPr>
              <w:spacing w:after="0"/>
              <w:rPr>
                <w:sz w:val="5"/>
                <w:szCs w:val="5"/>
                <w:color w:val="auto"/>
              </w:rPr>
            </w:pPr>
          </w:p>
        </w:tc>
        <w:tc>
          <w:tcPr>
            <w:tcW w:w="1380" w:type="dxa"/>
            <w:vAlign w:val="bottom"/>
            <w:tcBorders>
              <w:right w:val="single" w:sz="8" w:color="70AD47"/>
            </w:tcBorders>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3020" w:type="dxa"/>
            <w:vAlign w:val="bottom"/>
            <w:tcBorders>
              <w:right w:val="single" w:sz="8" w:color="70AD47"/>
            </w:tcBorders>
          </w:tcPr>
          <w:p>
            <w:pPr>
              <w:spacing w:after="0"/>
              <w:rPr>
                <w:sz w:val="15"/>
                <w:szCs w:val="15"/>
                <w:color w:val="auto"/>
              </w:rPr>
            </w:pPr>
          </w:p>
        </w:tc>
        <w:tc>
          <w:tcPr>
            <w:tcW w:w="1440" w:type="dxa"/>
            <w:vAlign w:val="bottom"/>
            <w:tcBorders>
              <w:right w:val="single" w:sz="8" w:color="70AD47"/>
            </w:tcBorders>
          </w:tcPr>
          <w:p>
            <w:pPr>
              <w:jc w:val="center"/>
              <w:spacing w:after="0"/>
              <w:rPr>
                <w:sz w:val="20"/>
                <w:szCs w:val="20"/>
                <w:color w:val="auto"/>
              </w:rPr>
            </w:pPr>
            <w:r>
              <w:rPr>
                <w:rFonts w:ascii="Arial" w:cs="Arial" w:eastAsia="Arial" w:hAnsi="Arial"/>
                <w:sz w:val="14"/>
                <w:szCs w:val="14"/>
                <w:color w:val="auto"/>
                <w:w w:val="93"/>
              </w:rPr>
              <w:t>(1)</w:t>
            </w:r>
          </w:p>
        </w:tc>
        <w:tc>
          <w:tcPr>
            <w:tcW w:w="1300" w:type="dxa"/>
            <w:vAlign w:val="bottom"/>
            <w:tcBorders>
              <w:right w:val="single" w:sz="8" w:color="70AD47"/>
            </w:tcBorders>
          </w:tcPr>
          <w:p>
            <w:pPr>
              <w:spacing w:after="0"/>
              <w:rPr>
                <w:sz w:val="15"/>
                <w:szCs w:val="15"/>
                <w:color w:val="auto"/>
              </w:rPr>
            </w:pPr>
          </w:p>
        </w:tc>
        <w:tc>
          <w:tcPr>
            <w:tcW w:w="1340" w:type="dxa"/>
            <w:vAlign w:val="bottom"/>
            <w:tcBorders>
              <w:right w:val="single" w:sz="8" w:color="70AD47"/>
            </w:tcBorders>
          </w:tcPr>
          <w:p>
            <w:pPr>
              <w:spacing w:after="0"/>
              <w:rPr>
                <w:sz w:val="15"/>
                <w:szCs w:val="15"/>
                <w:color w:val="auto"/>
              </w:rPr>
            </w:pPr>
          </w:p>
        </w:tc>
        <w:tc>
          <w:tcPr>
            <w:tcW w:w="1400" w:type="dxa"/>
            <w:vAlign w:val="bottom"/>
            <w:tcBorders>
              <w:right w:val="single" w:sz="8" w:color="70AD47"/>
            </w:tcBorders>
          </w:tcPr>
          <w:p>
            <w:pPr>
              <w:spacing w:after="0"/>
              <w:rPr>
                <w:sz w:val="15"/>
                <w:szCs w:val="15"/>
                <w:color w:val="auto"/>
              </w:rPr>
            </w:pPr>
          </w:p>
        </w:tc>
        <w:tc>
          <w:tcPr>
            <w:tcW w:w="1360" w:type="dxa"/>
            <w:vAlign w:val="bottom"/>
            <w:tcBorders>
              <w:right w:val="single" w:sz="8" w:color="70AD47"/>
            </w:tcBorders>
          </w:tcPr>
          <w:p>
            <w:pPr>
              <w:spacing w:after="0"/>
              <w:rPr>
                <w:sz w:val="15"/>
                <w:szCs w:val="15"/>
                <w:color w:val="auto"/>
              </w:rPr>
            </w:pPr>
          </w:p>
        </w:tc>
        <w:tc>
          <w:tcPr>
            <w:tcW w:w="1380" w:type="dxa"/>
            <w:vAlign w:val="bottom"/>
            <w:tcBorders>
              <w:right w:val="single" w:sz="8" w:color="70AD47"/>
            </w:tcBorders>
          </w:tcPr>
          <w:p>
            <w:pPr>
              <w:spacing w:after="0"/>
              <w:rPr>
                <w:sz w:val="15"/>
                <w:szCs w:val="15"/>
                <w:color w:val="auto"/>
              </w:rPr>
            </w:pPr>
          </w:p>
        </w:tc>
        <w:tc>
          <w:tcPr>
            <w:tcW w:w="0" w:type="dxa"/>
            <w:vAlign w:val="bottom"/>
          </w:tcPr>
          <w:p>
            <w:pPr>
              <w:spacing w:after="0"/>
              <w:rPr>
                <w:sz w:val="1"/>
                <w:szCs w:val="1"/>
                <w:color w:val="auto"/>
              </w:rPr>
            </w:pPr>
          </w:p>
        </w:tc>
      </w:tr>
      <w:tr>
        <w:trPr>
          <w:trHeight w:val="390"/>
        </w:trPr>
        <w:tc>
          <w:tcPr>
            <w:tcW w:w="3020" w:type="dxa"/>
            <w:vAlign w:val="bottom"/>
            <w:tcBorders>
              <w:right w:val="single" w:sz="8" w:color="70AD47"/>
            </w:tcBorders>
          </w:tcPr>
          <w:p>
            <w:pPr>
              <w:spacing w:after="0"/>
              <w:rPr>
                <w:sz w:val="24"/>
                <w:szCs w:val="24"/>
                <w:color w:val="auto"/>
              </w:rPr>
            </w:pPr>
          </w:p>
        </w:tc>
        <w:tc>
          <w:tcPr>
            <w:tcW w:w="14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10.10.2019</w:t>
            </w:r>
          </w:p>
        </w:tc>
        <w:tc>
          <w:tcPr>
            <w:tcW w:w="13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9"/>
              </w:rPr>
              <w:t>4.374.963</w:t>
            </w:r>
          </w:p>
        </w:tc>
        <w:tc>
          <w:tcPr>
            <w:tcW w:w="13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7"/>
              </w:rPr>
              <w:t>13,60</w:t>
            </w:r>
          </w:p>
        </w:tc>
        <w:tc>
          <w:tcPr>
            <w:tcW w:w="14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10.10.2023</w:t>
            </w:r>
          </w:p>
        </w:tc>
        <w:tc>
          <w:tcPr>
            <w:tcW w:w="136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10.10.2029</w:t>
            </w:r>
          </w:p>
        </w:tc>
        <w:tc>
          <w:tcPr>
            <w:tcW w:w="138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CEO Grant</w:t>
            </w:r>
          </w:p>
        </w:tc>
        <w:tc>
          <w:tcPr>
            <w:tcW w:w="0" w:type="dxa"/>
            <w:vAlign w:val="bottom"/>
          </w:tcPr>
          <w:p>
            <w:pPr>
              <w:spacing w:after="0"/>
              <w:rPr>
                <w:sz w:val="1"/>
                <w:szCs w:val="1"/>
                <w:color w:val="auto"/>
              </w:rPr>
            </w:pPr>
          </w:p>
        </w:tc>
      </w:tr>
      <w:tr>
        <w:trPr>
          <w:trHeight w:val="274"/>
        </w:trPr>
        <w:tc>
          <w:tcPr>
            <w:tcW w:w="3020" w:type="dxa"/>
            <w:vAlign w:val="bottom"/>
            <w:tcBorders>
              <w:right w:val="single" w:sz="8" w:color="70AD47"/>
            </w:tcBorders>
          </w:tcPr>
          <w:p>
            <w:pPr>
              <w:spacing w:after="0"/>
              <w:rPr>
                <w:sz w:val="23"/>
                <w:szCs w:val="23"/>
                <w:color w:val="auto"/>
              </w:rPr>
            </w:pPr>
          </w:p>
        </w:tc>
        <w:tc>
          <w:tcPr>
            <w:tcW w:w="1440" w:type="dxa"/>
            <w:vAlign w:val="bottom"/>
            <w:tcBorders>
              <w:right w:val="single" w:sz="8" w:color="70AD47"/>
            </w:tcBorders>
          </w:tcPr>
          <w:p>
            <w:pPr>
              <w:jc w:val="center"/>
              <w:spacing w:after="0"/>
              <w:rPr>
                <w:sz w:val="20"/>
                <w:szCs w:val="20"/>
                <w:color w:val="auto"/>
              </w:rPr>
            </w:pPr>
            <w:r>
              <w:rPr>
                <w:rFonts w:ascii="Arial" w:cs="Arial" w:eastAsia="Arial" w:hAnsi="Arial"/>
                <w:sz w:val="14"/>
                <w:szCs w:val="14"/>
                <w:color w:val="auto"/>
                <w:w w:val="93"/>
              </w:rPr>
              <w:t>(3)</w:t>
            </w:r>
          </w:p>
        </w:tc>
        <w:tc>
          <w:tcPr>
            <w:tcW w:w="1300" w:type="dxa"/>
            <w:vAlign w:val="bottom"/>
            <w:tcBorders>
              <w:right w:val="single" w:sz="8" w:color="70AD47"/>
            </w:tcBorders>
          </w:tcPr>
          <w:p>
            <w:pPr>
              <w:spacing w:after="0"/>
              <w:rPr>
                <w:sz w:val="23"/>
                <w:szCs w:val="23"/>
                <w:color w:val="auto"/>
              </w:rPr>
            </w:pPr>
          </w:p>
        </w:tc>
        <w:tc>
          <w:tcPr>
            <w:tcW w:w="1340" w:type="dxa"/>
            <w:vAlign w:val="bottom"/>
            <w:tcBorders>
              <w:right w:val="single" w:sz="8" w:color="70AD47"/>
            </w:tcBorders>
          </w:tcPr>
          <w:p>
            <w:pPr>
              <w:spacing w:after="0"/>
              <w:rPr>
                <w:sz w:val="23"/>
                <w:szCs w:val="23"/>
                <w:color w:val="auto"/>
              </w:rPr>
            </w:pPr>
          </w:p>
        </w:tc>
        <w:tc>
          <w:tcPr>
            <w:tcW w:w="1400" w:type="dxa"/>
            <w:vAlign w:val="bottom"/>
            <w:tcBorders>
              <w:right w:val="single" w:sz="8" w:color="70AD47"/>
            </w:tcBorders>
          </w:tcPr>
          <w:p>
            <w:pPr>
              <w:spacing w:after="0"/>
              <w:rPr>
                <w:sz w:val="23"/>
                <w:szCs w:val="23"/>
                <w:color w:val="auto"/>
              </w:rPr>
            </w:pPr>
          </w:p>
        </w:tc>
        <w:tc>
          <w:tcPr>
            <w:tcW w:w="1360" w:type="dxa"/>
            <w:vAlign w:val="bottom"/>
            <w:tcBorders>
              <w:right w:val="single" w:sz="8" w:color="70AD47"/>
            </w:tcBorders>
          </w:tcPr>
          <w:p>
            <w:pPr>
              <w:spacing w:after="0"/>
              <w:rPr>
                <w:sz w:val="23"/>
                <w:szCs w:val="23"/>
                <w:color w:val="auto"/>
              </w:rPr>
            </w:pPr>
          </w:p>
        </w:tc>
        <w:tc>
          <w:tcPr>
            <w:tcW w:w="138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9"/>
              </w:rPr>
              <w:t>2019</w:t>
            </w:r>
          </w:p>
        </w:tc>
        <w:tc>
          <w:tcPr>
            <w:tcW w:w="0" w:type="dxa"/>
            <w:vAlign w:val="bottom"/>
          </w:tcPr>
          <w:p>
            <w:pPr>
              <w:spacing w:after="0"/>
              <w:rPr>
                <w:sz w:val="1"/>
                <w:szCs w:val="1"/>
                <w:color w:val="auto"/>
              </w:rPr>
            </w:pPr>
          </w:p>
        </w:tc>
      </w:tr>
      <w:tr>
        <w:trPr>
          <w:trHeight w:val="358"/>
        </w:trPr>
        <w:tc>
          <w:tcPr>
            <w:tcW w:w="3020" w:type="dxa"/>
            <w:vAlign w:val="bottom"/>
            <w:tcBorders>
              <w:right w:val="single" w:sz="8" w:color="70AD47"/>
            </w:tcBorders>
          </w:tcPr>
          <w:p>
            <w:pPr>
              <w:spacing w:after="0"/>
              <w:rPr>
                <w:sz w:val="24"/>
                <w:szCs w:val="24"/>
                <w:color w:val="auto"/>
              </w:rPr>
            </w:pPr>
          </w:p>
        </w:tc>
        <w:tc>
          <w:tcPr>
            <w:tcW w:w="14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13.02.2020</w:t>
            </w:r>
          </w:p>
        </w:tc>
        <w:tc>
          <w:tcPr>
            <w:tcW w:w="13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9"/>
              </w:rPr>
              <w:t>97.420</w:t>
            </w:r>
          </w:p>
        </w:tc>
        <w:tc>
          <w:tcPr>
            <w:tcW w:w="13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7"/>
              </w:rPr>
              <w:t>28,32</w:t>
            </w:r>
          </w:p>
        </w:tc>
        <w:tc>
          <w:tcPr>
            <w:tcW w:w="14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13.02.2024</w:t>
            </w:r>
          </w:p>
        </w:tc>
        <w:tc>
          <w:tcPr>
            <w:tcW w:w="136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13.02.2030</w:t>
            </w:r>
          </w:p>
        </w:tc>
        <w:tc>
          <w:tcPr>
            <w:tcW w:w="138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6"/>
              </w:rPr>
              <w:t>LTI 2020</w:t>
            </w:r>
            <w:r>
              <w:rPr>
                <w:rFonts w:ascii="Arial" w:cs="Arial" w:eastAsia="Arial" w:hAnsi="Arial"/>
                <w:sz w:val="28"/>
                <w:szCs w:val="28"/>
                <w:color w:val="auto"/>
                <w:w w:val="86"/>
                <w:vertAlign w:val="superscript"/>
              </w:rPr>
              <w:t>(12)</w:t>
            </w:r>
          </w:p>
        </w:tc>
        <w:tc>
          <w:tcPr>
            <w:tcW w:w="0" w:type="dxa"/>
            <w:vAlign w:val="bottom"/>
          </w:tcPr>
          <w:p>
            <w:pPr>
              <w:spacing w:after="0"/>
              <w:rPr>
                <w:sz w:val="1"/>
                <w:szCs w:val="1"/>
                <w:color w:val="auto"/>
              </w:rPr>
            </w:pPr>
          </w:p>
        </w:tc>
      </w:tr>
      <w:tr>
        <w:trPr>
          <w:trHeight w:val="179"/>
        </w:trPr>
        <w:tc>
          <w:tcPr>
            <w:tcW w:w="3020" w:type="dxa"/>
            <w:vAlign w:val="bottom"/>
            <w:tcBorders>
              <w:right w:val="single" w:sz="8" w:color="70AD47"/>
            </w:tcBorders>
          </w:tcPr>
          <w:p>
            <w:pPr>
              <w:spacing w:after="0"/>
              <w:rPr>
                <w:sz w:val="15"/>
                <w:szCs w:val="15"/>
                <w:color w:val="auto"/>
              </w:rPr>
            </w:pPr>
          </w:p>
        </w:tc>
        <w:tc>
          <w:tcPr>
            <w:tcW w:w="1440" w:type="dxa"/>
            <w:vAlign w:val="bottom"/>
            <w:tcBorders>
              <w:right w:val="single" w:sz="8" w:color="70AD47"/>
            </w:tcBorders>
          </w:tcPr>
          <w:p>
            <w:pPr>
              <w:jc w:val="center"/>
              <w:spacing w:after="0"/>
              <w:rPr>
                <w:sz w:val="20"/>
                <w:szCs w:val="20"/>
                <w:color w:val="auto"/>
              </w:rPr>
            </w:pPr>
            <w:r>
              <w:rPr>
                <w:rFonts w:ascii="Arial" w:cs="Arial" w:eastAsia="Arial" w:hAnsi="Arial"/>
                <w:sz w:val="14"/>
                <w:szCs w:val="14"/>
                <w:color w:val="auto"/>
                <w:w w:val="93"/>
              </w:rPr>
              <w:t>(4)</w:t>
            </w:r>
          </w:p>
        </w:tc>
        <w:tc>
          <w:tcPr>
            <w:tcW w:w="1300" w:type="dxa"/>
            <w:vAlign w:val="bottom"/>
            <w:tcBorders>
              <w:right w:val="single" w:sz="8" w:color="70AD47"/>
            </w:tcBorders>
          </w:tcPr>
          <w:p>
            <w:pPr>
              <w:spacing w:after="0"/>
              <w:rPr>
                <w:sz w:val="15"/>
                <w:szCs w:val="15"/>
                <w:color w:val="auto"/>
              </w:rPr>
            </w:pPr>
          </w:p>
        </w:tc>
        <w:tc>
          <w:tcPr>
            <w:tcW w:w="1340" w:type="dxa"/>
            <w:vAlign w:val="bottom"/>
            <w:tcBorders>
              <w:right w:val="single" w:sz="8" w:color="70AD47"/>
            </w:tcBorders>
          </w:tcPr>
          <w:p>
            <w:pPr>
              <w:spacing w:after="0"/>
              <w:rPr>
                <w:sz w:val="15"/>
                <w:szCs w:val="15"/>
                <w:color w:val="auto"/>
              </w:rPr>
            </w:pPr>
          </w:p>
        </w:tc>
        <w:tc>
          <w:tcPr>
            <w:tcW w:w="1400" w:type="dxa"/>
            <w:vAlign w:val="bottom"/>
            <w:tcBorders>
              <w:right w:val="single" w:sz="8" w:color="70AD47"/>
            </w:tcBorders>
          </w:tcPr>
          <w:p>
            <w:pPr>
              <w:spacing w:after="0"/>
              <w:rPr>
                <w:sz w:val="15"/>
                <w:szCs w:val="15"/>
                <w:color w:val="auto"/>
              </w:rPr>
            </w:pPr>
          </w:p>
        </w:tc>
        <w:tc>
          <w:tcPr>
            <w:tcW w:w="1360" w:type="dxa"/>
            <w:vAlign w:val="bottom"/>
            <w:tcBorders>
              <w:right w:val="single" w:sz="8" w:color="70AD47"/>
            </w:tcBorders>
          </w:tcPr>
          <w:p>
            <w:pPr>
              <w:spacing w:after="0"/>
              <w:rPr>
                <w:sz w:val="15"/>
                <w:szCs w:val="15"/>
                <w:color w:val="auto"/>
              </w:rPr>
            </w:pPr>
          </w:p>
        </w:tc>
        <w:tc>
          <w:tcPr>
            <w:tcW w:w="1380" w:type="dxa"/>
            <w:vAlign w:val="bottom"/>
            <w:tcBorders>
              <w:right w:val="single" w:sz="8" w:color="70AD47"/>
            </w:tcBorders>
          </w:tcPr>
          <w:p>
            <w:pPr>
              <w:spacing w:after="0"/>
              <w:rPr>
                <w:sz w:val="15"/>
                <w:szCs w:val="15"/>
                <w:color w:val="auto"/>
              </w:rPr>
            </w:pPr>
          </w:p>
        </w:tc>
        <w:tc>
          <w:tcPr>
            <w:tcW w:w="0" w:type="dxa"/>
            <w:vAlign w:val="bottom"/>
          </w:tcPr>
          <w:p>
            <w:pPr>
              <w:spacing w:after="0"/>
              <w:rPr>
                <w:sz w:val="1"/>
                <w:szCs w:val="1"/>
                <w:color w:val="auto"/>
              </w:rPr>
            </w:pPr>
          </w:p>
        </w:tc>
      </w:tr>
      <w:tr>
        <w:trPr>
          <w:trHeight w:val="482"/>
        </w:trPr>
        <w:tc>
          <w:tcPr>
            <w:tcW w:w="3020" w:type="dxa"/>
            <w:vAlign w:val="bottom"/>
            <w:tcBorders>
              <w:right w:val="single" w:sz="8" w:color="70AD47"/>
            </w:tcBorders>
          </w:tcPr>
          <w:p>
            <w:pPr>
              <w:spacing w:after="0"/>
              <w:rPr>
                <w:sz w:val="24"/>
                <w:szCs w:val="24"/>
                <w:color w:val="auto"/>
              </w:rPr>
            </w:pPr>
          </w:p>
        </w:tc>
        <w:tc>
          <w:tcPr>
            <w:tcW w:w="14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12.05.2021</w:t>
            </w:r>
          </w:p>
        </w:tc>
        <w:tc>
          <w:tcPr>
            <w:tcW w:w="13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9"/>
              </w:rPr>
              <w:t>17.780</w:t>
            </w:r>
          </w:p>
        </w:tc>
        <w:tc>
          <w:tcPr>
            <w:tcW w:w="13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9"/>
              </w:rPr>
              <w:t>163,54</w:t>
            </w:r>
          </w:p>
        </w:tc>
        <w:tc>
          <w:tcPr>
            <w:tcW w:w="14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12.05.2025</w:t>
            </w:r>
          </w:p>
        </w:tc>
        <w:tc>
          <w:tcPr>
            <w:tcW w:w="136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12.05.2031</w:t>
            </w:r>
          </w:p>
        </w:tc>
        <w:tc>
          <w:tcPr>
            <w:tcW w:w="138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6"/>
              </w:rPr>
              <w:t>LTI 2021</w:t>
            </w:r>
            <w:r>
              <w:rPr>
                <w:rFonts w:ascii="Arial" w:cs="Arial" w:eastAsia="Arial" w:hAnsi="Arial"/>
                <w:sz w:val="28"/>
                <w:szCs w:val="28"/>
                <w:color w:val="auto"/>
                <w:w w:val="86"/>
                <w:vertAlign w:val="superscript"/>
              </w:rPr>
              <w:t>(12)</w:t>
            </w:r>
          </w:p>
        </w:tc>
        <w:tc>
          <w:tcPr>
            <w:tcW w:w="0" w:type="dxa"/>
            <w:vAlign w:val="bottom"/>
          </w:tcPr>
          <w:p>
            <w:pPr>
              <w:spacing w:after="0"/>
              <w:rPr>
                <w:sz w:val="1"/>
                <w:szCs w:val="1"/>
                <w:color w:val="auto"/>
              </w:rPr>
            </w:pPr>
          </w:p>
        </w:tc>
      </w:tr>
      <w:tr>
        <w:trPr>
          <w:trHeight w:val="179"/>
        </w:trPr>
        <w:tc>
          <w:tcPr>
            <w:tcW w:w="3020" w:type="dxa"/>
            <w:vAlign w:val="bottom"/>
            <w:tcBorders>
              <w:right w:val="single" w:sz="8" w:color="70AD47"/>
            </w:tcBorders>
          </w:tcPr>
          <w:p>
            <w:pPr>
              <w:spacing w:after="0"/>
              <w:rPr>
                <w:sz w:val="15"/>
                <w:szCs w:val="15"/>
                <w:color w:val="auto"/>
              </w:rPr>
            </w:pPr>
          </w:p>
        </w:tc>
        <w:tc>
          <w:tcPr>
            <w:tcW w:w="1440" w:type="dxa"/>
            <w:vAlign w:val="bottom"/>
            <w:tcBorders>
              <w:right w:val="single" w:sz="8" w:color="70AD47"/>
            </w:tcBorders>
          </w:tcPr>
          <w:p>
            <w:pPr>
              <w:jc w:val="center"/>
              <w:spacing w:after="0"/>
              <w:rPr>
                <w:sz w:val="20"/>
                <w:szCs w:val="20"/>
                <w:color w:val="auto"/>
              </w:rPr>
            </w:pPr>
            <w:r>
              <w:rPr>
                <w:rFonts w:ascii="Arial" w:cs="Arial" w:eastAsia="Arial" w:hAnsi="Arial"/>
                <w:sz w:val="14"/>
                <w:szCs w:val="14"/>
                <w:color w:val="auto"/>
                <w:w w:val="93"/>
              </w:rPr>
              <w:t>(5)</w:t>
            </w:r>
          </w:p>
        </w:tc>
        <w:tc>
          <w:tcPr>
            <w:tcW w:w="1300" w:type="dxa"/>
            <w:vAlign w:val="bottom"/>
            <w:tcBorders>
              <w:right w:val="single" w:sz="8" w:color="70AD47"/>
            </w:tcBorders>
          </w:tcPr>
          <w:p>
            <w:pPr>
              <w:spacing w:after="0"/>
              <w:rPr>
                <w:sz w:val="15"/>
                <w:szCs w:val="15"/>
                <w:color w:val="auto"/>
              </w:rPr>
            </w:pPr>
          </w:p>
        </w:tc>
        <w:tc>
          <w:tcPr>
            <w:tcW w:w="1340" w:type="dxa"/>
            <w:vAlign w:val="bottom"/>
            <w:tcBorders>
              <w:right w:val="single" w:sz="8" w:color="70AD47"/>
            </w:tcBorders>
          </w:tcPr>
          <w:p>
            <w:pPr>
              <w:spacing w:after="0"/>
              <w:rPr>
                <w:sz w:val="15"/>
                <w:szCs w:val="15"/>
                <w:color w:val="auto"/>
              </w:rPr>
            </w:pPr>
          </w:p>
        </w:tc>
        <w:tc>
          <w:tcPr>
            <w:tcW w:w="1400" w:type="dxa"/>
            <w:vAlign w:val="bottom"/>
            <w:tcBorders>
              <w:right w:val="single" w:sz="8" w:color="70AD47"/>
            </w:tcBorders>
          </w:tcPr>
          <w:p>
            <w:pPr>
              <w:spacing w:after="0"/>
              <w:rPr>
                <w:sz w:val="15"/>
                <w:szCs w:val="15"/>
                <w:color w:val="auto"/>
              </w:rPr>
            </w:pPr>
          </w:p>
        </w:tc>
        <w:tc>
          <w:tcPr>
            <w:tcW w:w="1360" w:type="dxa"/>
            <w:vAlign w:val="bottom"/>
            <w:tcBorders>
              <w:right w:val="single" w:sz="8" w:color="70AD47"/>
            </w:tcBorders>
          </w:tcPr>
          <w:p>
            <w:pPr>
              <w:spacing w:after="0"/>
              <w:rPr>
                <w:sz w:val="15"/>
                <w:szCs w:val="15"/>
                <w:color w:val="auto"/>
              </w:rPr>
            </w:pPr>
          </w:p>
        </w:tc>
        <w:tc>
          <w:tcPr>
            <w:tcW w:w="1380" w:type="dxa"/>
            <w:vAlign w:val="bottom"/>
            <w:tcBorders>
              <w:right w:val="single" w:sz="8" w:color="70AD47"/>
            </w:tcBorders>
          </w:tcPr>
          <w:p>
            <w:pPr>
              <w:spacing w:after="0"/>
              <w:rPr>
                <w:sz w:val="15"/>
                <w:szCs w:val="15"/>
                <w:color w:val="auto"/>
              </w:rPr>
            </w:pPr>
          </w:p>
        </w:tc>
        <w:tc>
          <w:tcPr>
            <w:tcW w:w="0" w:type="dxa"/>
            <w:vAlign w:val="bottom"/>
          </w:tcPr>
          <w:p>
            <w:pPr>
              <w:spacing w:after="0"/>
              <w:rPr>
                <w:sz w:val="1"/>
                <w:szCs w:val="1"/>
                <w:color w:val="auto"/>
              </w:rPr>
            </w:pPr>
          </w:p>
        </w:tc>
      </w:tr>
      <w:tr>
        <w:trPr>
          <w:trHeight w:val="414"/>
        </w:trPr>
        <w:tc>
          <w:tcPr>
            <w:tcW w:w="302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Sean Marett</w:t>
            </w:r>
          </w:p>
        </w:tc>
        <w:tc>
          <w:tcPr>
            <w:tcW w:w="1440" w:type="dxa"/>
            <w:vAlign w:val="bottom"/>
            <w:tcBorders>
              <w:right w:val="single" w:sz="8" w:color="70AD47"/>
            </w:tcBorders>
            <w:vMerge w:val="restart"/>
          </w:tcPr>
          <w:p>
            <w:pPr>
              <w:jc w:val="center"/>
              <w:spacing w:after="0"/>
              <w:rPr>
                <w:sz w:val="20"/>
                <w:szCs w:val="20"/>
                <w:color w:val="auto"/>
              </w:rPr>
            </w:pPr>
            <w:r>
              <w:rPr>
                <w:rFonts w:ascii="Arial" w:cs="Arial" w:eastAsia="Arial" w:hAnsi="Arial"/>
                <w:sz w:val="22"/>
                <w:szCs w:val="22"/>
                <w:color w:val="auto"/>
                <w:w w:val="87"/>
              </w:rPr>
              <w:t>15.11.2018</w:t>
            </w:r>
          </w:p>
        </w:tc>
        <w:tc>
          <w:tcPr>
            <w:tcW w:w="13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5"/>
              </w:rPr>
              <w:t>610.110</w:t>
            </w:r>
          </w:p>
        </w:tc>
        <w:tc>
          <w:tcPr>
            <w:tcW w:w="13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7"/>
              </w:rPr>
              <w:t>10,14</w:t>
            </w:r>
          </w:p>
        </w:tc>
        <w:tc>
          <w:tcPr>
            <w:tcW w:w="14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16.09.2022</w:t>
            </w:r>
          </w:p>
        </w:tc>
        <w:tc>
          <w:tcPr>
            <w:tcW w:w="136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17.09.2026</w:t>
            </w:r>
          </w:p>
        </w:tc>
        <w:tc>
          <w:tcPr>
            <w:tcW w:w="138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6"/>
              </w:rPr>
              <w:t>ESOP 2018</w:t>
            </w:r>
          </w:p>
        </w:tc>
        <w:tc>
          <w:tcPr>
            <w:tcW w:w="0" w:type="dxa"/>
            <w:vAlign w:val="bottom"/>
          </w:tcPr>
          <w:p>
            <w:pPr>
              <w:spacing w:after="0"/>
              <w:rPr>
                <w:sz w:val="1"/>
                <w:szCs w:val="1"/>
                <w:color w:val="auto"/>
              </w:rPr>
            </w:pPr>
          </w:p>
        </w:tc>
      </w:tr>
      <w:tr>
        <w:trPr>
          <w:trHeight w:val="69"/>
        </w:trPr>
        <w:tc>
          <w:tcPr>
            <w:tcW w:w="3020" w:type="dxa"/>
            <w:vAlign w:val="bottom"/>
            <w:tcBorders>
              <w:right w:val="single" w:sz="8" w:color="70AD47"/>
            </w:tcBorders>
          </w:tcPr>
          <w:p>
            <w:pPr>
              <w:spacing w:after="0"/>
              <w:rPr>
                <w:sz w:val="5"/>
                <w:szCs w:val="5"/>
                <w:color w:val="auto"/>
              </w:rPr>
            </w:pPr>
          </w:p>
        </w:tc>
        <w:tc>
          <w:tcPr>
            <w:tcW w:w="1440" w:type="dxa"/>
            <w:vAlign w:val="bottom"/>
            <w:tcBorders>
              <w:right w:val="single" w:sz="8" w:color="70AD47"/>
            </w:tcBorders>
            <w:vMerge w:val="continue"/>
          </w:tcPr>
          <w:p>
            <w:pPr>
              <w:spacing w:after="0"/>
              <w:rPr>
                <w:sz w:val="5"/>
                <w:szCs w:val="5"/>
                <w:color w:val="auto"/>
              </w:rPr>
            </w:pPr>
          </w:p>
        </w:tc>
        <w:tc>
          <w:tcPr>
            <w:tcW w:w="1300" w:type="dxa"/>
            <w:vAlign w:val="bottom"/>
            <w:tcBorders>
              <w:right w:val="single" w:sz="8" w:color="70AD47"/>
            </w:tcBorders>
          </w:tcPr>
          <w:p>
            <w:pPr>
              <w:spacing w:after="0"/>
              <w:rPr>
                <w:sz w:val="5"/>
                <w:szCs w:val="5"/>
                <w:color w:val="auto"/>
              </w:rPr>
            </w:pPr>
          </w:p>
        </w:tc>
        <w:tc>
          <w:tcPr>
            <w:tcW w:w="1340" w:type="dxa"/>
            <w:vAlign w:val="bottom"/>
            <w:tcBorders>
              <w:right w:val="single" w:sz="8" w:color="70AD47"/>
            </w:tcBorders>
          </w:tcPr>
          <w:p>
            <w:pPr>
              <w:spacing w:after="0"/>
              <w:rPr>
                <w:sz w:val="5"/>
                <w:szCs w:val="5"/>
                <w:color w:val="auto"/>
              </w:rPr>
            </w:pPr>
          </w:p>
        </w:tc>
        <w:tc>
          <w:tcPr>
            <w:tcW w:w="1400" w:type="dxa"/>
            <w:vAlign w:val="bottom"/>
            <w:tcBorders>
              <w:right w:val="single" w:sz="8" w:color="70AD47"/>
            </w:tcBorders>
          </w:tcPr>
          <w:p>
            <w:pPr>
              <w:spacing w:after="0"/>
              <w:rPr>
                <w:sz w:val="5"/>
                <w:szCs w:val="5"/>
                <w:color w:val="auto"/>
              </w:rPr>
            </w:pPr>
          </w:p>
        </w:tc>
        <w:tc>
          <w:tcPr>
            <w:tcW w:w="1360" w:type="dxa"/>
            <w:vAlign w:val="bottom"/>
            <w:tcBorders>
              <w:right w:val="single" w:sz="8" w:color="70AD47"/>
            </w:tcBorders>
          </w:tcPr>
          <w:p>
            <w:pPr>
              <w:spacing w:after="0"/>
              <w:rPr>
                <w:sz w:val="5"/>
                <w:szCs w:val="5"/>
                <w:color w:val="auto"/>
              </w:rPr>
            </w:pPr>
          </w:p>
        </w:tc>
        <w:tc>
          <w:tcPr>
            <w:tcW w:w="1380" w:type="dxa"/>
            <w:vAlign w:val="bottom"/>
            <w:tcBorders>
              <w:right w:val="single" w:sz="8" w:color="70AD47"/>
            </w:tcBorders>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3020" w:type="dxa"/>
            <w:vAlign w:val="bottom"/>
            <w:tcBorders>
              <w:right w:val="single" w:sz="8" w:color="70AD47"/>
            </w:tcBorders>
          </w:tcPr>
          <w:p>
            <w:pPr>
              <w:spacing w:after="0"/>
              <w:rPr>
                <w:sz w:val="15"/>
                <w:szCs w:val="15"/>
                <w:color w:val="auto"/>
              </w:rPr>
            </w:pPr>
          </w:p>
        </w:tc>
        <w:tc>
          <w:tcPr>
            <w:tcW w:w="1440" w:type="dxa"/>
            <w:vAlign w:val="bottom"/>
            <w:tcBorders>
              <w:right w:val="single" w:sz="8" w:color="70AD47"/>
            </w:tcBorders>
          </w:tcPr>
          <w:p>
            <w:pPr>
              <w:jc w:val="center"/>
              <w:spacing w:after="0"/>
              <w:rPr>
                <w:sz w:val="20"/>
                <w:szCs w:val="20"/>
                <w:color w:val="auto"/>
              </w:rPr>
            </w:pPr>
            <w:r>
              <w:rPr>
                <w:rFonts w:ascii="Arial" w:cs="Arial" w:eastAsia="Arial" w:hAnsi="Arial"/>
                <w:sz w:val="14"/>
                <w:szCs w:val="14"/>
                <w:color w:val="auto"/>
                <w:w w:val="93"/>
              </w:rPr>
              <w:t>(1)</w:t>
            </w:r>
          </w:p>
        </w:tc>
        <w:tc>
          <w:tcPr>
            <w:tcW w:w="1300" w:type="dxa"/>
            <w:vAlign w:val="bottom"/>
            <w:tcBorders>
              <w:right w:val="single" w:sz="8" w:color="70AD47"/>
            </w:tcBorders>
          </w:tcPr>
          <w:p>
            <w:pPr>
              <w:spacing w:after="0"/>
              <w:rPr>
                <w:sz w:val="15"/>
                <w:szCs w:val="15"/>
                <w:color w:val="auto"/>
              </w:rPr>
            </w:pPr>
          </w:p>
        </w:tc>
        <w:tc>
          <w:tcPr>
            <w:tcW w:w="1340" w:type="dxa"/>
            <w:vAlign w:val="bottom"/>
            <w:tcBorders>
              <w:right w:val="single" w:sz="8" w:color="70AD47"/>
            </w:tcBorders>
          </w:tcPr>
          <w:p>
            <w:pPr>
              <w:spacing w:after="0"/>
              <w:rPr>
                <w:sz w:val="15"/>
                <w:szCs w:val="15"/>
                <w:color w:val="auto"/>
              </w:rPr>
            </w:pPr>
          </w:p>
        </w:tc>
        <w:tc>
          <w:tcPr>
            <w:tcW w:w="1400" w:type="dxa"/>
            <w:vAlign w:val="bottom"/>
            <w:tcBorders>
              <w:right w:val="single" w:sz="8" w:color="70AD47"/>
            </w:tcBorders>
          </w:tcPr>
          <w:p>
            <w:pPr>
              <w:spacing w:after="0"/>
              <w:rPr>
                <w:sz w:val="15"/>
                <w:szCs w:val="15"/>
                <w:color w:val="auto"/>
              </w:rPr>
            </w:pPr>
          </w:p>
        </w:tc>
        <w:tc>
          <w:tcPr>
            <w:tcW w:w="1360" w:type="dxa"/>
            <w:vAlign w:val="bottom"/>
            <w:tcBorders>
              <w:right w:val="single" w:sz="8" w:color="70AD47"/>
            </w:tcBorders>
          </w:tcPr>
          <w:p>
            <w:pPr>
              <w:spacing w:after="0"/>
              <w:rPr>
                <w:sz w:val="15"/>
                <w:szCs w:val="15"/>
                <w:color w:val="auto"/>
              </w:rPr>
            </w:pPr>
          </w:p>
        </w:tc>
        <w:tc>
          <w:tcPr>
            <w:tcW w:w="1380" w:type="dxa"/>
            <w:vAlign w:val="bottom"/>
            <w:tcBorders>
              <w:right w:val="single" w:sz="8" w:color="70AD47"/>
            </w:tcBorders>
          </w:tcPr>
          <w:p>
            <w:pPr>
              <w:spacing w:after="0"/>
              <w:rPr>
                <w:sz w:val="15"/>
                <w:szCs w:val="15"/>
                <w:color w:val="auto"/>
              </w:rPr>
            </w:pPr>
          </w:p>
        </w:tc>
        <w:tc>
          <w:tcPr>
            <w:tcW w:w="0" w:type="dxa"/>
            <w:vAlign w:val="bottom"/>
          </w:tcPr>
          <w:p>
            <w:pPr>
              <w:spacing w:after="0"/>
              <w:rPr>
                <w:sz w:val="1"/>
                <w:szCs w:val="1"/>
                <w:color w:val="auto"/>
              </w:rPr>
            </w:pPr>
          </w:p>
        </w:tc>
      </w:tr>
      <w:tr>
        <w:trPr>
          <w:trHeight w:val="482"/>
        </w:trPr>
        <w:tc>
          <w:tcPr>
            <w:tcW w:w="3020" w:type="dxa"/>
            <w:vAlign w:val="bottom"/>
            <w:tcBorders>
              <w:right w:val="single" w:sz="8" w:color="70AD47"/>
            </w:tcBorders>
          </w:tcPr>
          <w:p>
            <w:pPr>
              <w:spacing w:after="0"/>
              <w:rPr>
                <w:sz w:val="24"/>
                <w:szCs w:val="24"/>
                <w:color w:val="auto"/>
              </w:rPr>
            </w:pPr>
          </w:p>
        </w:tc>
        <w:tc>
          <w:tcPr>
            <w:tcW w:w="14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13.02.2020</w:t>
            </w:r>
          </w:p>
        </w:tc>
        <w:tc>
          <w:tcPr>
            <w:tcW w:w="13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9"/>
              </w:rPr>
              <w:t>38.968</w:t>
            </w:r>
          </w:p>
        </w:tc>
        <w:tc>
          <w:tcPr>
            <w:tcW w:w="13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7"/>
              </w:rPr>
              <w:t>28,32</w:t>
            </w:r>
          </w:p>
        </w:tc>
        <w:tc>
          <w:tcPr>
            <w:tcW w:w="14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13.02.2024</w:t>
            </w:r>
          </w:p>
        </w:tc>
        <w:tc>
          <w:tcPr>
            <w:tcW w:w="136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13.02.2030</w:t>
            </w:r>
          </w:p>
        </w:tc>
        <w:tc>
          <w:tcPr>
            <w:tcW w:w="138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6"/>
              </w:rPr>
              <w:t>LTI 2020</w:t>
            </w:r>
            <w:r>
              <w:rPr>
                <w:rFonts w:ascii="Arial" w:cs="Arial" w:eastAsia="Arial" w:hAnsi="Arial"/>
                <w:sz w:val="28"/>
                <w:szCs w:val="28"/>
                <w:color w:val="auto"/>
                <w:w w:val="86"/>
                <w:vertAlign w:val="superscript"/>
              </w:rPr>
              <w:t>(12)</w:t>
            </w:r>
          </w:p>
        </w:tc>
        <w:tc>
          <w:tcPr>
            <w:tcW w:w="0" w:type="dxa"/>
            <w:vAlign w:val="bottom"/>
          </w:tcPr>
          <w:p>
            <w:pPr>
              <w:spacing w:after="0"/>
              <w:rPr>
                <w:sz w:val="1"/>
                <w:szCs w:val="1"/>
                <w:color w:val="auto"/>
              </w:rPr>
            </w:pPr>
          </w:p>
        </w:tc>
      </w:tr>
      <w:tr>
        <w:trPr>
          <w:trHeight w:val="179"/>
        </w:trPr>
        <w:tc>
          <w:tcPr>
            <w:tcW w:w="3020" w:type="dxa"/>
            <w:vAlign w:val="bottom"/>
            <w:tcBorders>
              <w:right w:val="single" w:sz="8" w:color="70AD47"/>
            </w:tcBorders>
          </w:tcPr>
          <w:p>
            <w:pPr>
              <w:spacing w:after="0"/>
              <w:rPr>
                <w:sz w:val="15"/>
                <w:szCs w:val="15"/>
                <w:color w:val="auto"/>
              </w:rPr>
            </w:pPr>
          </w:p>
        </w:tc>
        <w:tc>
          <w:tcPr>
            <w:tcW w:w="1440" w:type="dxa"/>
            <w:vAlign w:val="bottom"/>
            <w:tcBorders>
              <w:right w:val="single" w:sz="8" w:color="70AD47"/>
            </w:tcBorders>
          </w:tcPr>
          <w:p>
            <w:pPr>
              <w:jc w:val="center"/>
              <w:spacing w:after="0"/>
              <w:rPr>
                <w:sz w:val="20"/>
                <w:szCs w:val="20"/>
                <w:color w:val="auto"/>
              </w:rPr>
            </w:pPr>
            <w:r>
              <w:rPr>
                <w:rFonts w:ascii="Arial" w:cs="Arial" w:eastAsia="Arial" w:hAnsi="Arial"/>
                <w:sz w:val="14"/>
                <w:szCs w:val="14"/>
                <w:color w:val="auto"/>
                <w:w w:val="93"/>
              </w:rPr>
              <w:t>(4)</w:t>
            </w:r>
          </w:p>
        </w:tc>
        <w:tc>
          <w:tcPr>
            <w:tcW w:w="1300" w:type="dxa"/>
            <w:vAlign w:val="bottom"/>
            <w:tcBorders>
              <w:right w:val="single" w:sz="8" w:color="70AD47"/>
            </w:tcBorders>
          </w:tcPr>
          <w:p>
            <w:pPr>
              <w:spacing w:after="0"/>
              <w:rPr>
                <w:sz w:val="15"/>
                <w:szCs w:val="15"/>
                <w:color w:val="auto"/>
              </w:rPr>
            </w:pPr>
          </w:p>
        </w:tc>
        <w:tc>
          <w:tcPr>
            <w:tcW w:w="1340" w:type="dxa"/>
            <w:vAlign w:val="bottom"/>
            <w:tcBorders>
              <w:right w:val="single" w:sz="8" w:color="70AD47"/>
            </w:tcBorders>
          </w:tcPr>
          <w:p>
            <w:pPr>
              <w:spacing w:after="0"/>
              <w:rPr>
                <w:sz w:val="15"/>
                <w:szCs w:val="15"/>
                <w:color w:val="auto"/>
              </w:rPr>
            </w:pPr>
          </w:p>
        </w:tc>
        <w:tc>
          <w:tcPr>
            <w:tcW w:w="1400" w:type="dxa"/>
            <w:vAlign w:val="bottom"/>
            <w:tcBorders>
              <w:right w:val="single" w:sz="8" w:color="70AD47"/>
            </w:tcBorders>
          </w:tcPr>
          <w:p>
            <w:pPr>
              <w:spacing w:after="0"/>
              <w:rPr>
                <w:sz w:val="15"/>
                <w:szCs w:val="15"/>
                <w:color w:val="auto"/>
              </w:rPr>
            </w:pPr>
          </w:p>
        </w:tc>
        <w:tc>
          <w:tcPr>
            <w:tcW w:w="1360" w:type="dxa"/>
            <w:vAlign w:val="bottom"/>
            <w:tcBorders>
              <w:right w:val="single" w:sz="8" w:color="70AD47"/>
            </w:tcBorders>
          </w:tcPr>
          <w:p>
            <w:pPr>
              <w:spacing w:after="0"/>
              <w:rPr>
                <w:sz w:val="15"/>
                <w:szCs w:val="15"/>
                <w:color w:val="auto"/>
              </w:rPr>
            </w:pPr>
          </w:p>
        </w:tc>
        <w:tc>
          <w:tcPr>
            <w:tcW w:w="1380" w:type="dxa"/>
            <w:vAlign w:val="bottom"/>
            <w:tcBorders>
              <w:right w:val="single" w:sz="8" w:color="70AD47"/>
            </w:tcBorders>
          </w:tcPr>
          <w:p>
            <w:pPr>
              <w:spacing w:after="0"/>
              <w:rPr>
                <w:sz w:val="15"/>
                <w:szCs w:val="15"/>
                <w:color w:val="auto"/>
              </w:rPr>
            </w:pPr>
          </w:p>
        </w:tc>
        <w:tc>
          <w:tcPr>
            <w:tcW w:w="0" w:type="dxa"/>
            <w:vAlign w:val="bottom"/>
          </w:tcPr>
          <w:p>
            <w:pPr>
              <w:spacing w:after="0"/>
              <w:rPr>
                <w:sz w:val="1"/>
                <w:szCs w:val="1"/>
                <w:color w:val="auto"/>
              </w:rPr>
            </w:pPr>
          </w:p>
        </w:tc>
      </w:tr>
      <w:tr>
        <w:trPr>
          <w:trHeight w:val="482"/>
        </w:trPr>
        <w:tc>
          <w:tcPr>
            <w:tcW w:w="3020" w:type="dxa"/>
            <w:vAlign w:val="bottom"/>
            <w:tcBorders>
              <w:right w:val="single" w:sz="8" w:color="70AD47"/>
            </w:tcBorders>
          </w:tcPr>
          <w:p>
            <w:pPr>
              <w:spacing w:after="0"/>
              <w:rPr>
                <w:sz w:val="24"/>
                <w:szCs w:val="24"/>
                <w:color w:val="auto"/>
              </w:rPr>
            </w:pPr>
          </w:p>
        </w:tc>
        <w:tc>
          <w:tcPr>
            <w:tcW w:w="14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12.05.2021</w:t>
            </w:r>
          </w:p>
        </w:tc>
        <w:tc>
          <w:tcPr>
            <w:tcW w:w="13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7"/>
              </w:rPr>
              <w:t>7.112</w:t>
            </w:r>
          </w:p>
        </w:tc>
        <w:tc>
          <w:tcPr>
            <w:tcW w:w="13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9"/>
              </w:rPr>
              <w:t>163,54</w:t>
            </w:r>
          </w:p>
        </w:tc>
        <w:tc>
          <w:tcPr>
            <w:tcW w:w="14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12.05.2025</w:t>
            </w:r>
          </w:p>
        </w:tc>
        <w:tc>
          <w:tcPr>
            <w:tcW w:w="136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12.05.2031</w:t>
            </w:r>
          </w:p>
        </w:tc>
        <w:tc>
          <w:tcPr>
            <w:tcW w:w="138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6"/>
              </w:rPr>
              <w:t>LTI 2021</w:t>
            </w:r>
            <w:r>
              <w:rPr>
                <w:rFonts w:ascii="Arial" w:cs="Arial" w:eastAsia="Arial" w:hAnsi="Arial"/>
                <w:sz w:val="28"/>
                <w:szCs w:val="28"/>
                <w:color w:val="auto"/>
                <w:w w:val="86"/>
                <w:vertAlign w:val="superscript"/>
              </w:rPr>
              <w:t>(12)</w:t>
            </w:r>
          </w:p>
        </w:tc>
        <w:tc>
          <w:tcPr>
            <w:tcW w:w="0" w:type="dxa"/>
            <w:vAlign w:val="bottom"/>
          </w:tcPr>
          <w:p>
            <w:pPr>
              <w:spacing w:after="0"/>
              <w:rPr>
                <w:sz w:val="1"/>
                <w:szCs w:val="1"/>
                <w:color w:val="auto"/>
              </w:rPr>
            </w:pPr>
          </w:p>
        </w:tc>
      </w:tr>
      <w:tr>
        <w:trPr>
          <w:trHeight w:val="179"/>
        </w:trPr>
        <w:tc>
          <w:tcPr>
            <w:tcW w:w="3020" w:type="dxa"/>
            <w:vAlign w:val="bottom"/>
            <w:tcBorders>
              <w:right w:val="single" w:sz="8" w:color="70AD47"/>
            </w:tcBorders>
          </w:tcPr>
          <w:p>
            <w:pPr>
              <w:spacing w:after="0"/>
              <w:rPr>
                <w:sz w:val="15"/>
                <w:szCs w:val="15"/>
                <w:color w:val="auto"/>
              </w:rPr>
            </w:pPr>
          </w:p>
        </w:tc>
        <w:tc>
          <w:tcPr>
            <w:tcW w:w="1440" w:type="dxa"/>
            <w:vAlign w:val="bottom"/>
            <w:tcBorders>
              <w:right w:val="single" w:sz="8" w:color="70AD47"/>
            </w:tcBorders>
          </w:tcPr>
          <w:p>
            <w:pPr>
              <w:jc w:val="center"/>
              <w:spacing w:after="0"/>
              <w:rPr>
                <w:sz w:val="20"/>
                <w:szCs w:val="20"/>
                <w:color w:val="auto"/>
              </w:rPr>
            </w:pPr>
            <w:r>
              <w:rPr>
                <w:rFonts w:ascii="Arial" w:cs="Arial" w:eastAsia="Arial" w:hAnsi="Arial"/>
                <w:sz w:val="14"/>
                <w:szCs w:val="14"/>
                <w:color w:val="auto"/>
                <w:w w:val="93"/>
              </w:rPr>
              <w:t>(5)</w:t>
            </w:r>
          </w:p>
        </w:tc>
        <w:tc>
          <w:tcPr>
            <w:tcW w:w="1300" w:type="dxa"/>
            <w:vAlign w:val="bottom"/>
            <w:tcBorders>
              <w:right w:val="single" w:sz="8" w:color="70AD47"/>
            </w:tcBorders>
          </w:tcPr>
          <w:p>
            <w:pPr>
              <w:spacing w:after="0"/>
              <w:rPr>
                <w:sz w:val="15"/>
                <w:szCs w:val="15"/>
                <w:color w:val="auto"/>
              </w:rPr>
            </w:pPr>
          </w:p>
        </w:tc>
        <w:tc>
          <w:tcPr>
            <w:tcW w:w="1340" w:type="dxa"/>
            <w:vAlign w:val="bottom"/>
            <w:tcBorders>
              <w:right w:val="single" w:sz="8" w:color="70AD47"/>
            </w:tcBorders>
          </w:tcPr>
          <w:p>
            <w:pPr>
              <w:spacing w:after="0"/>
              <w:rPr>
                <w:sz w:val="15"/>
                <w:szCs w:val="15"/>
                <w:color w:val="auto"/>
              </w:rPr>
            </w:pPr>
          </w:p>
        </w:tc>
        <w:tc>
          <w:tcPr>
            <w:tcW w:w="1400" w:type="dxa"/>
            <w:vAlign w:val="bottom"/>
            <w:tcBorders>
              <w:right w:val="single" w:sz="8" w:color="70AD47"/>
            </w:tcBorders>
          </w:tcPr>
          <w:p>
            <w:pPr>
              <w:spacing w:after="0"/>
              <w:rPr>
                <w:sz w:val="15"/>
                <w:szCs w:val="15"/>
                <w:color w:val="auto"/>
              </w:rPr>
            </w:pPr>
          </w:p>
        </w:tc>
        <w:tc>
          <w:tcPr>
            <w:tcW w:w="1360" w:type="dxa"/>
            <w:vAlign w:val="bottom"/>
            <w:tcBorders>
              <w:right w:val="single" w:sz="8" w:color="70AD47"/>
            </w:tcBorders>
          </w:tcPr>
          <w:p>
            <w:pPr>
              <w:spacing w:after="0"/>
              <w:rPr>
                <w:sz w:val="15"/>
                <w:szCs w:val="15"/>
                <w:color w:val="auto"/>
              </w:rPr>
            </w:pPr>
          </w:p>
        </w:tc>
        <w:tc>
          <w:tcPr>
            <w:tcW w:w="1380" w:type="dxa"/>
            <w:vAlign w:val="bottom"/>
            <w:tcBorders>
              <w:right w:val="single" w:sz="8" w:color="70AD47"/>
            </w:tcBorders>
          </w:tcPr>
          <w:p>
            <w:pPr>
              <w:spacing w:after="0"/>
              <w:rPr>
                <w:sz w:val="15"/>
                <w:szCs w:val="15"/>
                <w:color w:val="auto"/>
              </w:rPr>
            </w:pPr>
          </w:p>
        </w:tc>
        <w:tc>
          <w:tcPr>
            <w:tcW w:w="0" w:type="dxa"/>
            <w:vAlign w:val="bottom"/>
          </w:tcPr>
          <w:p>
            <w:pPr>
              <w:spacing w:after="0"/>
              <w:rPr>
                <w:sz w:val="1"/>
                <w:szCs w:val="1"/>
                <w:color w:val="auto"/>
              </w:rPr>
            </w:pPr>
          </w:p>
        </w:tc>
      </w:tr>
      <w:tr>
        <w:trPr>
          <w:trHeight w:val="414"/>
        </w:trPr>
        <w:tc>
          <w:tcPr>
            <w:tcW w:w="302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9"/>
              </w:rPr>
              <w:t>Dr. Sierk Poetting</w:t>
            </w:r>
          </w:p>
        </w:tc>
        <w:tc>
          <w:tcPr>
            <w:tcW w:w="1440" w:type="dxa"/>
            <w:vAlign w:val="bottom"/>
            <w:tcBorders>
              <w:right w:val="single" w:sz="8" w:color="70AD47"/>
            </w:tcBorders>
            <w:vMerge w:val="restart"/>
          </w:tcPr>
          <w:p>
            <w:pPr>
              <w:jc w:val="center"/>
              <w:spacing w:after="0"/>
              <w:rPr>
                <w:sz w:val="20"/>
                <w:szCs w:val="20"/>
                <w:color w:val="auto"/>
              </w:rPr>
            </w:pPr>
            <w:r>
              <w:rPr>
                <w:rFonts w:ascii="Arial" w:cs="Arial" w:eastAsia="Arial" w:hAnsi="Arial"/>
                <w:sz w:val="22"/>
                <w:szCs w:val="22"/>
                <w:color w:val="auto"/>
                <w:w w:val="87"/>
              </w:rPr>
              <w:t>15.11.2018</w:t>
            </w:r>
          </w:p>
        </w:tc>
        <w:tc>
          <w:tcPr>
            <w:tcW w:w="13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5"/>
              </w:rPr>
              <w:t>610.110</w:t>
            </w:r>
          </w:p>
        </w:tc>
        <w:tc>
          <w:tcPr>
            <w:tcW w:w="13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7"/>
              </w:rPr>
              <w:t>10,14</w:t>
            </w:r>
          </w:p>
        </w:tc>
        <w:tc>
          <w:tcPr>
            <w:tcW w:w="14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16.09.2022</w:t>
            </w:r>
          </w:p>
        </w:tc>
        <w:tc>
          <w:tcPr>
            <w:tcW w:w="136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17.09.2026</w:t>
            </w:r>
          </w:p>
        </w:tc>
        <w:tc>
          <w:tcPr>
            <w:tcW w:w="138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6"/>
              </w:rPr>
              <w:t>ESOP 2018</w:t>
            </w:r>
          </w:p>
        </w:tc>
        <w:tc>
          <w:tcPr>
            <w:tcW w:w="0" w:type="dxa"/>
            <w:vAlign w:val="bottom"/>
          </w:tcPr>
          <w:p>
            <w:pPr>
              <w:spacing w:after="0"/>
              <w:rPr>
                <w:sz w:val="1"/>
                <w:szCs w:val="1"/>
                <w:color w:val="auto"/>
              </w:rPr>
            </w:pPr>
          </w:p>
        </w:tc>
      </w:tr>
      <w:tr>
        <w:trPr>
          <w:trHeight w:val="69"/>
        </w:trPr>
        <w:tc>
          <w:tcPr>
            <w:tcW w:w="3020" w:type="dxa"/>
            <w:vAlign w:val="bottom"/>
            <w:tcBorders>
              <w:right w:val="single" w:sz="8" w:color="70AD47"/>
            </w:tcBorders>
          </w:tcPr>
          <w:p>
            <w:pPr>
              <w:spacing w:after="0"/>
              <w:rPr>
                <w:sz w:val="5"/>
                <w:szCs w:val="5"/>
                <w:color w:val="auto"/>
              </w:rPr>
            </w:pPr>
          </w:p>
        </w:tc>
        <w:tc>
          <w:tcPr>
            <w:tcW w:w="1440" w:type="dxa"/>
            <w:vAlign w:val="bottom"/>
            <w:tcBorders>
              <w:right w:val="single" w:sz="8" w:color="70AD47"/>
            </w:tcBorders>
            <w:vMerge w:val="continue"/>
          </w:tcPr>
          <w:p>
            <w:pPr>
              <w:spacing w:after="0"/>
              <w:rPr>
                <w:sz w:val="5"/>
                <w:szCs w:val="5"/>
                <w:color w:val="auto"/>
              </w:rPr>
            </w:pPr>
          </w:p>
        </w:tc>
        <w:tc>
          <w:tcPr>
            <w:tcW w:w="1300" w:type="dxa"/>
            <w:vAlign w:val="bottom"/>
            <w:tcBorders>
              <w:right w:val="single" w:sz="8" w:color="70AD47"/>
            </w:tcBorders>
          </w:tcPr>
          <w:p>
            <w:pPr>
              <w:spacing w:after="0"/>
              <w:rPr>
                <w:sz w:val="5"/>
                <w:szCs w:val="5"/>
                <w:color w:val="auto"/>
              </w:rPr>
            </w:pPr>
          </w:p>
        </w:tc>
        <w:tc>
          <w:tcPr>
            <w:tcW w:w="1340" w:type="dxa"/>
            <w:vAlign w:val="bottom"/>
            <w:tcBorders>
              <w:right w:val="single" w:sz="8" w:color="70AD47"/>
            </w:tcBorders>
          </w:tcPr>
          <w:p>
            <w:pPr>
              <w:spacing w:after="0"/>
              <w:rPr>
                <w:sz w:val="5"/>
                <w:szCs w:val="5"/>
                <w:color w:val="auto"/>
              </w:rPr>
            </w:pPr>
          </w:p>
        </w:tc>
        <w:tc>
          <w:tcPr>
            <w:tcW w:w="1400" w:type="dxa"/>
            <w:vAlign w:val="bottom"/>
            <w:tcBorders>
              <w:right w:val="single" w:sz="8" w:color="70AD47"/>
            </w:tcBorders>
          </w:tcPr>
          <w:p>
            <w:pPr>
              <w:spacing w:after="0"/>
              <w:rPr>
                <w:sz w:val="5"/>
                <w:szCs w:val="5"/>
                <w:color w:val="auto"/>
              </w:rPr>
            </w:pPr>
          </w:p>
        </w:tc>
        <w:tc>
          <w:tcPr>
            <w:tcW w:w="1360" w:type="dxa"/>
            <w:vAlign w:val="bottom"/>
            <w:tcBorders>
              <w:right w:val="single" w:sz="8" w:color="70AD47"/>
            </w:tcBorders>
          </w:tcPr>
          <w:p>
            <w:pPr>
              <w:spacing w:after="0"/>
              <w:rPr>
                <w:sz w:val="5"/>
                <w:szCs w:val="5"/>
                <w:color w:val="auto"/>
              </w:rPr>
            </w:pPr>
          </w:p>
        </w:tc>
        <w:tc>
          <w:tcPr>
            <w:tcW w:w="1380" w:type="dxa"/>
            <w:vAlign w:val="bottom"/>
            <w:tcBorders>
              <w:right w:val="single" w:sz="8" w:color="70AD47"/>
            </w:tcBorders>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3020" w:type="dxa"/>
            <w:vAlign w:val="bottom"/>
            <w:tcBorders>
              <w:right w:val="single" w:sz="8" w:color="70AD47"/>
            </w:tcBorders>
          </w:tcPr>
          <w:p>
            <w:pPr>
              <w:spacing w:after="0"/>
              <w:rPr>
                <w:sz w:val="15"/>
                <w:szCs w:val="15"/>
                <w:color w:val="auto"/>
              </w:rPr>
            </w:pPr>
          </w:p>
        </w:tc>
        <w:tc>
          <w:tcPr>
            <w:tcW w:w="1440" w:type="dxa"/>
            <w:vAlign w:val="bottom"/>
            <w:tcBorders>
              <w:right w:val="single" w:sz="8" w:color="70AD47"/>
            </w:tcBorders>
          </w:tcPr>
          <w:p>
            <w:pPr>
              <w:jc w:val="center"/>
              <w:spacing w:after="0"/>
              <w:rPr>
                <w:sz w:val="20"/>
                <w:szCs w:val="20"/>
                <w:color w:val="auto"/>
              </w:rPr>
            </w:pPr>
            <w:r>
              <w:rPr>
                <w:rFonts w:ascii="Arial" w:cs="Arial" w:eastAsia="Arial" w:hAnsi="Arial"/>
                <w:sz w:val="14"/>
                <w:szCs w:val="14"/>
                <w:color w:val="auto"/>
                <w:w w:val="93"/>
              </w:rPr>
              <w:t>(1)</w:t>
            </w:r>
          </w:p>
        </w:tc>
        <w:tc>
          <w:tcPr>
            <w:tcW w:w="1300" w:type="dxa"/>
            <w:vAlign w:val="bottom"/>
            <w:tcBorders>
              <w:right w:val="single" w:sz="8" w:color="70AD47"/>
            </w:tcBorders>
          </w:tcPr>
          <w:p>
            <w:pPr>
              <w:spacing w:after="0"/>
              <w:rPr>
                <w:sz w:val="15"/>
                <w:szCs w:val="15"/>
                <w:color w:val="auto"/>
              </w:rPr>
            </w:pPr>
          </w:p>
        </w:tc>
        <w:tc>
          <w:tcPr>
            <w:tcW w:w="1340" w:type="dxa"/>
            <w:vAlign w:val="bottom"/>
            <w:tcBorders>
              <w:right w:val="single" w:sz="8" w:color="70AD47"/>
            </w:tcBorders>
          </w:tcPr>
          <w:p>
            <w:pPr>
              <w:spacing w:after="0"/>
              <w:rPr>
                <w:sz w:val="15"/>
                <w:szCs w:val="15"/>
                <w:color w:val="auto"/>
              </w:rPr>
            </w:pPr>
          </w:p>
        </w:tc>
        <w:tc>
          <w:tcPr>
            <w:tcW w:w="1400" w:type="dxa"/>
            <w:vAlign w:val="bottom"/>
            <w:tcBorders>
              <w:right w:val="single" w:sz="8" w:color="70AD47"/>
            </w:tcBorders>
          </w:tcPr>
          <w:p>
            <w:pPr>
              <w:spacing w:after="0"/>
              <w:rPr>
                <w:sz w:val="15"/>
                <w:szCs w:val="15"/>
                <w:color w:val="auto"/>
              </w:rPr>
            </w:pPr>
          </w:p>
        </w:tc>
        <w:tc>
          <w:tcPr>
            <w:tcW w:w="1360" w:type="dxa"/>
            <w:vAlign w:val="bottom"/>
            <w:tcBorders>
              <w:right w:val="single" w:sz="8" w:color="70AD47"/>
            </w:tcBorders>
          </w:tcPr>
          <w:p>
            <w:pPr>
              <w:spacing w:after="0"/>
              <w:rPr>
                <w:sz w:val="15"/>
                <w:szCs w:val="15"/>
                <w:color w:val="auto"/>
              </w:rPr>
            </w:pPr>
          </w:p>
        </w:tc>
        <w:tc>
          <w:tcPr>
            <w:tcW w:w="1380" w:type="dxa"/>
            <w:vAlign w:val="bottom"/>
            <w:tcBorders>
              <w:right w:val="single" w:sz="8" w:color="70AD47"/>
            </w:tcBorders>
          </w:tcPr>
          <w:p>
            <w:pPr>
              <w:spacing w:after="0"/>
              <w:rPr>
                <w:sz w:val="15"/>
                <w:szCs w:val="15"/>
                <w:color w:val="auto"/>
              </w:rPr>
            </w:pPr>
          </w:p>
        </w:tc>
        <w:tc>
          <w:tcPr>
            <w:tcW w:w="0" w:type="dxa"/>
            <w:vAlign w:val="bottom"/>
          </w:tcPr>
          <w:p>
            <w:pPr>
              <w:spacing w:after="0"/>
              <w:rPr>
                <w:sz w:val="1"/>
                <w:szCs w:val="1"/>
                <w:color w:val="auto"/>
              </w:rPr>
            </w:pPr>
          </w:p>
        </w:tc>
      </w:tr>
      <w:tr>
        <w:trPr>
          <w:trHeight w:val="482"/>
        </w:trPr>
        <w:tc>
          <w:tcPr>
            <w:tcW w:w="3020" w:type="dxa"/>
            <w:vAlign w:val="bottom"/>
            <w:tcBorders>
              <w:right w:val="single" w:sz="8" w:color="70AD47"/>
            </w:tcBorders>
          </w:tcPr>
          <w:p>
            <w:pPr>
              <w:spacing w:after="0"/>
              <w:rPr>
                <w:sz w:val="24"/>
                <w:szCs w:val="24"/>
                <w:color w:val="auto"/>
              </w:rPr>
            </w:pPr>
          </w:p>
        </w:tc>
        <w:tc>
          <w:tcPr>
            <w:tcW w:w="14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13.02.2020</w:t>
            </w:r>
          </w:p>
        </w:tc>
        <w:tc>
          <w:tcPr>
            <w:tcW w:w="13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9"/>
              </w:rPr>
              <w:t>38.968</w:t>
            </w:r>
          </w:p>
        </w:tc>
        <w:tc>
          <w:tcPr>
            <w:tcW w:w="13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7"/>
              </w:rPr>
              <w:t>28,32</w:t>
            </w:r>
          </w:p>
        </w:tc>
        <w:tc>
          <w:tcPr>
            <w:tcW w:w="14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13.02.2024</w:t>
            </w:r>
          </w:p>
        </w:tc>
        <w:tc>
          <w:tcPr>
            <w:tcW w:w="136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13.02.2030</w:t>
            </w:r>
          </w:p>
        </w:tc>
        <w:tc>
          <w:tcPr>
            <w:tcW w:w="138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6"/>
              </w:rPr>
              <w:t>LTI 2020</w:t>
            </w:r>
            <w:r>
              <w:rPr>
                <w:rFonts w:ascii="Arial" w:cs="Arial" w:eastAsia="Arial" w:hAnsi="Arial"/>
                <w:sz w:val="28"/>
                <w:szCs w:val="28"/>
                <w:color w:val="auto"/>
                <w:w w:val="86"/>
                <w:vertAlign w:val="superscript"/>
              </w:rPr>
              <w:t>(12)</w:t>
            </w:r>
          </w:p>
        </w:tc>
        <w:tc>
          <w:tcPr>
            <w:tcW w:w="0" w:type="dxa"/>
            <w:vAlign w:val="bottom"/>
          </w:tcPr>
          <w:p>
            <w:pPr>
              <w:spacing w:after="0"/>
              <w:rPr>
                <w:sz w:val="1"/>
                <w:szCs w:val="1"/>
                <w:color w:val="auto"/>
              </w:rPr>
            </w:pPr>
          </w:p>
        </w:tc>
      </w:tr>
      <w:tr>
        <w:trPr>
          <w:trHeight w:val="179"/>
        </w:trPr>
        <w:tc>
          <w:tcPr>
            <w:tcW w:w="3020" w:type="dxa"/>
            <w:vAlign w:val="bottom"/>
            <w:tcBorders>
              <w:right w:val="single" w:sz="8" w:color="70AD47"/>
            </w:tcBorders>
          </w:tcPr>
          <w:p>
            <w:pPr>
              <w:spacing w:after="0"/>
              <w:rPr>
                <w:sz w:val="15"/>
                <w:szCs w:val="15"/>
                <w:color w:val="auto"/>
              </w:rPr>
            </w:pPr>
          </w:p>
        </w:tc>
        <w:tc>
          <w:tcPr>
            <w:tcW w:w="1440" w:type="dxa"/>
            <w:vAlign w:val="bottom"/>
            <w:tcBorders>
              <w:right w:val="single" w:sz="8" w:color="70AD47"/>
            </w:tcBorders>
          </w:tcPr>
          <w:p>
            <w:pPr>
              <w:jc w:val="center"/>
              <w:spacing w:after="0"/>
              <w:rPr>
                <w:sz w:val="20"/>
                <w:szCs w:val="20"/>
                <w:color w:val="auto"/>
              </w:rPr>
            </w:pPr>
            <w:r>
              <w:rPr>
                <w:rFonts w:ascii="Arial" w:cs="Arial" w:eastAsia="Arial" w:hAnsi="Arial"/>
                <w:sz w:val="14"/>
                <w:szCs w:val="14"/>
                <w:color w:val="auto"/>
                <w:w w:val="93"/>
              </w:rPr>
              <w:t>(4)</w:t>
            </w:r>
          </w:p>
        </w:tc>
        <w:tc>
          <w:tcPr>
            <w:tcW w:w="1300" w:type="dxa"/>
            <w:vAlign w:val="bottom"/>
            <w:tcBorders>
              <w:right w:val="single" w:sz="8" w:color="70AD47"/>
            </w:tcBorders>
          </w:tcPr>
          <w:p>
            <w:pPr>
              <w:spacing w:after="0"/>
              <w:rPr>
                <w:sz w:val="15"/>
                <w:szCs w:val="15"/>
                <w:color w:val="auto"/>
              </w:rPr>
            </w:pPr>
          </w:p>
        </w:tc>
        <w:tc>
          <w:tcPr>
            <w:tcW w:w="1340" w:type="dxa"/>
            <w:vAlign w:val="bottom"/>
            <w:tcBorders>
              <w:right w:val="single" w:sz="8" w:color="70AD47"/>
            </w:tcBorders>
          </w:tcPr>
          <w:p>
            <w:pPr>
              <w:spacing w:after="0"/>
              <w:rPr>
                <w:sz w:val="15"/>
                <w:szCs w:val="15"/>
                <w:color w:val="auto"/>
              </w:rPr>
            </w:pPr>
          </w:p>
        </w:tc>
        <w:tc>
          <w:tcPr>
            <w:tcW w:w="1400" w:type="dxa"/>
            <w:vAlign w:val="bottom"/>
            <w:tcBorders>
              <w:right w:val="single" w:sz="8" w:color="70AD47"/>
            </w:tcBorders>
          </w:tcPr>
          <w:p>
            <w:pPr>
              <w:spacing w:after="0"/>
              <w:rPr>
                <w:sz w:val="15"/>
                <w:szCs w:val="15"/>
                <w:color w:val="auto"/>
              </w:rPr>
            </w:pPr>
          </w:p>
        </w:tc>
        <w:tc>
          <w:tcPr>
            <w:tcW w:w="1360" w:type="dxa"/>
            <w:vAlign w:val="bottom"/>
            <w:tcBorders>
              <w:right w:val="single" w:sz="8" w:color="70AD47"/>
            </w:tcBorders>
          </w:tcPr>
          <w:p>
            <w:pPr>
              <w:spacing w:after="0"/>
              <w:rPr>
                <w:sz w:val="15"/>
                <w:szCs w:val="15"/>
                <w:color w:val="auto"/>
              </w:rPr>
            </w:pPr>
          </w:p>
        </w:tc>
        <w:tc>
          <w:tcPr>
            <w:tcW w:w="1380" w:type="dxa"/>
            <w:vAlign w:val="bottom"/>
            <w:tcBorders>
              <w:right w:val="single" w:sz="8" w:color="70AD47"/>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020" w:type="dxa"/>
            <w:vAlign w:val="bottom"/>
            <w:tcBorders>
              <w:right w:val="single" w:sz="8" w:color="70AD47"/>
            </w:tcBorders>
          </w:tcPr>
          <w:p>
            <w:pPr>
              <w:spacing w:after="0"/>
              <w:rPr>
                <w:sz w:val="12"/>
                <w:szCs w:val="12"/>
                <w:color w:val="auto"/>
              </w:rPr>
            </w:pPr>
          </w:p>
        </w:tc>
        <w:tc>
          <w:tcPr>
            <w:tcW w:w="1440" w:type="dxa"/>
            <w:vAlign w:val="bottom"/>
            <w:tcBorders>
              <w:right w:val="single" w:sz="8" w:color="70AD47"/>
            </w:tcBorders>
          </w:tcPr>
          <w:p>
            <w:pPr>
              <w:spacing w:after="0"/>
              <w:rPr>
                <w:sz w:val="12"/>
                <w:szCs w:val="12"/>
                <w:color w:val="auto"/>
              </w:rPr>
            </w:pPr>
          </w:p>
        </w:tc>
        <w:tc>
          <w:tcPr>
            <w:tcW w:w="1300" w:type="dxa"/>
            <w:vAlign w:val="bottom"/>
            <w:tcBorders>
              <w:right w:val="single" w:sz="8" w:color="70AD47"/>
            </w:tcBorders>
          </w:tcPr>
          <w:p>
            <w:pPr>
              <w:spacing w:after="0"/>
              <w:rPr>
                <w:sz w:val="12"/>
                <w:szCs w:val="12"/>
                <w:color w:val="auto"/>
              </w:rPr>
            </w:pPr>
          </w:p>
        </w:tc>
        <w:tc>
          <w:tcPr>
            <w:tcW w:w="1340" w:type="dxa"/>
            <w:vAlign w:val="bottom"/>
            <w:tcBorders>
              <w:right w:val="single" w:sz="8" w:color="70AD47"/>
            </w:tcBorders>
          </w:tcPr>
          <w:p>
            <w:pPr>
              <w:spacing w:after="0"/>
              <w:rPr>
                <w:sz w:val="12"/>
                <w:szCs w:val="12"/>
                <w:color w:val="auto"/>
              </w:rPr>
            </w:pPr>
          </w:p>
        </w:tc>
        <w:tc>
          <w:tcPr>
            <w:tcW w:w="1400" w:type="dxa"/>
            <w:vAlign w:val="bottom"/>
            <w:tcBorders>
              <w:right w:val="single" w:sz="8" w:color="70AD47"/>
            </w:tcBorders>
          </w:tcPr>
          <w:p>
            <w:pPr>
              <w:spacing w:after="0"/>
              <w:rPr>
                <w:sz w:val="12"/>
                <w:szCs w:val="12"/>
                <w:color w:val="auto"/>
              </w:rPr>
            </w:pPr>
          </w:p>
        </w:tc>
        <w:tc>
          <w:tcPr>
            <w:tcW w:w="1360" w:type="dxa"/>
            <w:vAlign w:val="bottom"/>
            <w:tcBorders>
              <w:right w:val="single" w:sz="8" w:color="70AD47"/>
            </w:tcBorders>
          </w:tcPr>
          <w:p>
            <w:pPr>
              <w:spacing w:after="0"/>
              <w:rPr>
                <w:sz w:val="12"/>
                <w:szCs w:val="12"/>
                <w:color w:val="auto"/>
              </w:rPr>
            </w:pPr>
          </w:p>
        </w:tc>
        <w:tc>
          <w:tcPr>
            <w:tcW w:w="1380" w:type="dxa"/>
            <w:vAlign w:val="bottom"/>
            <w:tcBorders>
              <w:right w:val="single" w:sz="8" w:color="70AD47"/>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183" w:right="339" w:bottom="1440" w:gutter="0" w:footer="0" w:header="0"/>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72"/>
        <w:spacing w:after="0"/>
        <w:rPr>
          <w:sz w:val="20"/>
          <w:szCs w:val="20"/>
          <w:color w:val="auto"/>
        </w:rPr>
      </w:pPr>
      <w:r>
        <w:rPr>
          <w:rFonts w:ascii="Arial" w:cs="Arial" w:eastAsia="Arial" w:hAnsi="Arial"/>
          <w:sz w:val="19"/>
          <w:szCs w:val="19"/>
          <w:color w:val="auto"/>
        </w:rPr>
        <w:t>Prof. Özlem Türeci,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72"/>
        <w:spacing w:after="0"/>
        <w:rPr>
          <w:sz w:val="20"/>
          <w:szCs w:val="20"/>
          <w:color w:val="auto"/>
        </w:rPr>
      </w:pPr>
      <w:r>
        <w:rPr>
          <w:rFonts w:ascii="Arial" w:cs="Arial" w:eastAsia="Arial" w:hAnsi="Arial"/>
          <w:sz w:val="22"/>
          <w:szCs w:val="22"/>
          <w:color w:val="auto"/>
        </w:rPr>
        <w:t>Ryan Richardson</w:t>
      </w:r>
      <w:r>
        <w:rPr>
          <w:rFonts w:ascii="Arial" w:cs="Arial" w:eastAsia="Arial" w:hAnsi="Arial"/>
          <w:sz w:val="28"/>
          <w:szCs w:val="28"/>
          <w:color w:val="auto"/>
          <w:vertAlign w:val="superscript"/>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12"/>
        <w:spacing w:after="0"/>
        <w:rPr>
          <w:sz w:val="20"/>
          <w:szCs w:val="20"/>
          <w:color w:val="auto"/>
        </w:rPr>
      </w:pPr>
      <w:r>
        <w:rPr>
          <w:rFonts w:ascii="Arial" w:cs="Arial" w:eastAsia="Arial" w:hAnsi="Arial"/>
          <w:sz w:val="22"/>
          <w:szCs w:val="22"/>
          <w:color w:val="auto"/>
        </w:rPr>
        <w:t>Jens Holstein</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12.05.2021</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15.11.2018</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(6)</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13.02.2020</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(4)</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12.05.2021</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(5)</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15.11.2018</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(8)</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13.02.2020</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(4)</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12.05.2021</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(5)</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17.05.2021</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01.07.2021</w:t>
      </w:r>
    </w:p>
    <w:p>
      <w:pPr>
        <w:spacing w:after="0" w:line="1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4"/>
        </w:trPr>
        <w:tc>
          <w:tcPr>
            <w:tcW w:w="1100" w:type="dxa"/>
            <w:vAlign w:val="bottom"/>
            <w:tcBorders>
              <w:right w:val="single" w:sz="8" w:color="70AD47"/>
            </w:tcBorders>
          </w:tcPr>
          <w:p>
            <w:pPr>
              <w:jc w:val="center"/>
              <w:ind w:right="112"/>
              <w:spacing w:after="0"/>
              <w:rPr>
                <w:sz w:val="20"/>
                <w:szCs w:val="20"/>
                <w:color w:val="auto"/>
              </w:rPr>
            </w:pPr>
            <w:r>
              <w:rPr>
                <w:rFonts w:ascii="Arial" w:cs="Arial" w:eastAsia="Arial" w:hAnsi="Arial"/>
                <w:sz w:val="22"/>
                <w:szCs w:val="22"/>
                <w:color w:val="auto"/>
                <w:w w:val="87"/>
              </w:rPr>
              <w:t>7.112</w:t>
            </w:r>
          </w:p>
        </w:tc>
        <w:tc>
          <w:tcPr>
            <w:tcW w:w="13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9"/>
              </w:rPr>
              <w:t>163,54</w:t>
            </w:r>
          </w:p>
        </w:tc>
        <w:tc>
          <w:tcPr>
            <w:tcW w:w="14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12.05.2025</w:t>
            </w:r>
          </w:p>
        </w:tc>
        <w:tc>
          <w:tcPr>
            <w:tcW w:w="1160" w:type="dxa"/>
            <w:vAlign w:val="bottom"/>
          </w:tcPr>
          <w:p>
            <w:pPr>
              <w:jc w:val="center"/>
              <w:ind w:left="76"/>
              <w:spacing w:after="0"/>
              <w:rPr>
                <w:sz w:val="20"/>
                <w:szCs w:val="20"/>
                <w:color w:val="auto"/>
              </w:rPr>
            </w:pPr>
            <w:r>
              <w:rPr>
                <w:rFonts w:ascii="Arial" w:cs="Arial" w:eastAsia="Arial" w:hAnsi="Arial"/>
                <w:sz w:val="22"/>
                <w:szCs w:val="22"/>
                <w:color w:val="auto"/>
                <w:w w:val="88"/>
              </w:rPr>
              <w:t>12.05.2031</w:t>
            </w:r>
          </w:p>
        </w:tc>
      </w:tr>
      <w:tr>
        <w:trPr>
          <w:trHeight w:val="634"/>
        </w:trPr>
        <w:tc>
          <w:tcPr>
            <w:tcW w:w="1100" w:type="dxa"/>
            <w:vAlign w:val="bottom"/>
            <w:tcBorders>
              <w:right w:val="single" w:sz="8" w:color="70AD47"/>
            </w:tcBorders>
          </w:tcPr>
          <w:p>
            <w:pPr>
              <w:jc w:val="center"/>
              <w:ind w:right="112"/>
              <w:spacing w:after="0"/>
              <w:rPr>
                <w:sz w:val="20"/>
                <w:szCs w:val="20"/>
                <w:color w:val="auto"/>
              </w:rPr>
            </w:pPr>
            <w:r>
              <w:rPr>
                <w:rFonts w:ascii="Arial" w:cs="Arial" w:eastAsia="Arial" w:hAnsi="Arial"/>
                <w:sz w:val="22"/>
                <w:szCs w:val="22"/>
                <w:color w:val="auto"/>
                <w:w w:val="89"/>
              </w:rPr>
              <w:t>1.952.334</w:t>
            </w:r>
          </w:p>
        </w:tc>
        <w:tc>
          <w:tcPr>
            <w:tcW w:w="13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7"/>
              </w:rPr>
              <w:t>10,14</w:t>
            </w:r>
          </w:p>
        </w:tc>
        <w:tc>
          <w:tcPr>
            <w:tcW w:w="14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16.09.2022</w:t>
            </w:r>
          </w:p>
        </w:tc>
        <w:tc>
          <w:tcPr>
            <w:tcW w:w="1160" w:type="dxa"/>
            <w:vAlign w:val="bottom"/>
          </w:tcPr>
          <w:p>
            <w:pPr>
              <w:jc w:val="center"/>
              <w:ind w:left="76"/>
              <w:spacing w:after="0"/>
              <w:rPr>
                <w:sz w:val="20"/>
                <w:szCs w:val="20"/>
                <w:color w:val="auto"/>
              </w:rPr>
            </w:pPr>
            <w:r>
              <w:rPr>
                <w:rFonts w:ascii="Arial" w:cs="Arial" w:eastAsia="Arial" w:hAnsi="Arial"/>
                <w:sz w:val="22"/>
                <w:szCs w:val="22"/>
                <w:color w:val="auto"/>
                <w:w w:val="88"/>
              </w:rPr>
              <w:t>17.09.2026</w:t>
            </w:r>
          </w:p>
        </w:tc>
      </w:tr>
      <w:tr>
        <w:trPr>
          <w:trHeight w:val="540"/>
        </w:trPr>
        <w:tc>
          <w:tcPr>
            <w:tcW w:w="1100" w:type="dxa"/>
            <w:vAlign w:val="bottom"/>
            <w:tcBorders>
              <w:right w:val="single" w:sz="8" w:color="70AD47"/>
            </w:tcBorders>
          </w:tcPr>
          <w:p>
            <w:pPr>
              <w:jc w:val="center"/>
              <w:ind w:right="112"/>
              <w:spacing w:after="0"/>
              <w:rPr>
                <w:sz w:val="20"/>
                <w:szCs w:val="20"/>
                <w:color w:val="auto"/>
              </w:rPr>
            </w:pPr>
            <w:r>
              <w:rPr>
                <w:rFonts w:ascii="Arial" w:cs="Arial" w:eastAsia="Arial" w:hAnsi="Arial"/>
                <w:sz w:val="22"/>
                <w:szCs w:val="22"/>
                <w:color w:val="auto"/>
                <w:w w:val="89"/>
              </w:rPr>
              <w:t>38.968</w:t>
            </w:r>
          </w:p>
        </w:tc>
        <w:tc>
          <w:tcPr>
            <w:tcW w:w="13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7"/>
              </w:rPr>
              <w:t>28,32</w:t>
            </w:r>
          </w:p>
        </w:tc>
        <w:tc>
          <w:tcPr>
            <w:tcW w:w="14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13.02.2024</w:t>
            </w:r>
          </w:p>
        </w:tc>
        <w:tc>
          <w:tcPr>
            <w:tcW w:w="1160" w:type="dxa"/>
            <w:vAlign w:val="bottom"/>
          </w:tcPr>
          <w:p>
            <w:pPr>
              <w:jc w:val="center"/>
              <w:ind w:left="76"/>
              <w:spacing w:after="0"/>
              <w:rPr>
                <w:sz w:val="20"/>
                <w:szCs w:val="20"/>
                <w:color w:val="auto"/>
              </w:rPr>
            </w:pPr>
            <w:r>
              <w:rPr>
                <w:rFonts w:ascii="Arial" w:cs="Arial" w:eastAsia="Arial" w:hAnsi="Arial"/>
                <w:sz w:val="22"/>
                <w:szCs w:val="22"/>
                <w:color w:val="auto"/>
                <w:w w:val="88"/>
              </w:rPr>
              <w:t>13.02.2030</w:t>
            </w:r>
          </w:p>
        </w:tc>
      </w:tr>
      <w:tr>
        <w:trPr>
          <w:trHeight w:val="662"/>
        </w:trPr>
        <w:tc>
          <w:tcPr>
            <w:tcW w:w="1100" w:type="dxa"/>
            <w:vAlign w:val="bottom"/>
            <w:tcBorders>
              <w:right w:val="single" w:sz="8" w:color="70AD47"/>
            </w:tcBorders>
          </w:tcPr>
          <w:p>
            <w:pPr>
              <w:jc w:val="center"/>
              <w:ind w:right="112"/>
              <w:spacing w:after="0"/>
              <w:rPr>
                <w:sz w:val="20"/>
                <w:szCs w:val="20"/>
                <w:color w:val="auto"/>
              </w:rPr>
            </w:pPr>
            <w:r>
              <w:rPr>
                <w:rFonts w:ascii="Arial" w:cs="Arial" w:eastAsia="Arial" w:hAnsi="Arial"/>
                <w:sz w:val="22"/>
                <w:szCs w:val="22"/>
                <w:color w:val="auto"/>
                <w:w w:val="87"/>
              </w:rPr>
              <w:t>7.112</w:t>
            </w:r>
          </w:p>
        </w:tc>
        <w:tc>
          <w:tcPr>
            <w:tcW w:w="13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9"/>
              </w:rPr>
              <w:t>163,54</w:t>
            </w:r>
          </w:p>
        </w:tc>
        <w:tc>
          <w:tcPr>
            <w:tcW w:w="14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12.05.2025</w:t>
            </w:r>
          </w:p>
        </w:tc>
        <w:tc>
          <w:tcPr>
            <w:tcW w:w="1160" w:type="dxa"/>
            <w:vAlign w:val="bottom"/>
          </w:tcPr>
          <w:p>
            <w:pPr>
              <w:jc w:val="center"/>
              <w:ind w:left="76"/>
              <w:spacing w:after="0"/>
              <w:rPr>
                <w:sz w:val="20"/>
                <w:szCs w:val="20"/>
                <w:color w:val="auto"/>
              </w:rPr>
            </w:pPr>
            <w:r>
              <w:rPr>
                <w:rFonts w:ascii="Arial" w:cs="Arial" w:eastAsia="Arial" w:hAnsi="Arial"/>
                <w:sz w:val="22"/>
                <w:szCs w:val="22"/>
                <w:color w:val="auto"/>
                <w:w w:val="88"/>
              </w:rPr>
              <w:t>12.05.2031</w:t>
            </w:r>
          </w:p>
        </w:tc>
      </w:tr>
      <w:tr>
        <w:trPr>
          <w:trHeight w:val="662"/>
        </w:trPr>
        <w:tc>
          <w:tcPr>
            <w:tcW w:w="1100" w:type="dxa"/>
            <w:vAlign w:val="bottom"/>
            <w:tcBorders>
              <w:right w:val="single" w:sz="8" w:color="70AD47"/>
            </w:tcBorders>
          </w:tcPr>
          <w:p>
            <w:pPr>
              <w:jc w:val="center"/>
              <w:ind w:right="112"/>
              <w:spacing w:after="0"/>
              <w:rPr>
                <w:sz w:val="20"/>
                <w:szCs w:val="20"/>
                <w:color w:val="auto"/>
              </w:rPr>
            </w:pPr>
            <w:r>
              <w:rPr>
                <w:rFonts w:ascii="Arial" w:cs="Arial" w:eastAsia="Arial" w:hAnsi="Arial"/>
                <w:sz w:val="22"/>
                <w:szCs w:val="22"/>
                <w:color w:val="auto"/>
                <w:w w:val="90"/>
              </w:rPr>
              <w:t>149.508</w:t>
            </w:r>
          </w:p>
        </w:tc>
        <w:tc>
          <w:tcPr>
            <w:tcW w:w="13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7"/>
              </w:rPr>
              <w:t>10,14</w:t>
            </w:r>
          </w:p>
        </w:tc>
        <w:tc>
          <w:tcPr>
            <w:tcW w:w="14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16.09.2022</w:t>
            </w:r>
          </w:p>
        </w:tc>
        <w:tc>
          <w:tcPr>
            <w:tcW w:w="1160" w:type="dxa"/>
            <w:vAlign w:val="bottom"/>
          </w:tcPr>
          <w:p>
            <w:pPr>
              <w:jc w:val="center"/>
              <w:ind w:left="76"/>
              <w:spacing w:after="0"/>
              <w:rPr>
                <w:sz w:val="20"/>
                <w:szCs w:val="20"/>
                <w:color w:val="auto"/>
              </w:rPr>
            </w:pPr>
            <w:r>
              <w:rPr>
                <w:rFonts w:ascii="Arial" w:cs="Arial" w:eastAsia="Arial" w:hAnsi="Arial"/>
                <w:sz w:val="22"/>
                <w:szCs w:val="22"/>
                <w:color w:val="auto"/>
                <w:w w:val="88"/>
              </w:rPr>
              <w:t>17.09.2026</w:t>
            </w:r>
          </w:p>
        </w:tc>
      </w:tr>
      <w:tr>
        <w:trPr>
          <w:trHeight w:val="661"/>
        </w:trPr>
        <w:tc>
          <w:tcPr>
            <w:tcW w:w="1100" w:type="dxa"/>
            <w:vAlign w:val="bottom"/>
            <w:tcBorders>
              <w:right w:val="single" w:sz="8" w:color="70AD47"/>
            </w:tcBorders>
          </w:tcPr>
          <w:p>
            <w:pPr>
              <w:jc w:val="center"/>
              <w:ind w:right="112"/>
              <w:spacing w:after="0"/>
              <w:rPr>
                <w:sz w:val="20"/>
                <w:szCs w:val="20"/>
                <w:color w:val="auto"/>
              </w:rPr>
            </w:pPr>
            <w:r>
              <w:rPr>
                <w:rFonts w:ascii="Arial" w:cs="Arial" w:eastAsia="Arial" w:hAnsi="Arial"/>
                <w:sz w:val="22"/>
                <w:szCs w:val="22"/>
                <w:color w:val="auto"/>
                <w:w w:val="89"/>
              </w:rPr>
              <w:t>33.772</w:t>
            </w:r>
          </w:p>
        </w:tc>
        <w:tc>
          <w:tcPr>
            <w:tcW w:w="13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7"/>
              </w:rPr>
              <w:t>28,32</w:t>
            </w:r>
          </w:p>
        </w:tc>
        <w:tc>
          <w:tcPr>
            <w:tcW w:w="14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13.02.2024</w:t>
            </w:r>
          </w:p>
        </w:tc>
        <w:tc>
          <w:tcPr>
            <w:tcW w:w="1160" w:type="dxa"/>
            <w:vAlign w:val="bottom"/>
          </w:tcPr>
          <w:p>
            <w:pPr>
              <w:jc w:val="center"/>
              <w:ind w:left="76"/>
              <w:spacing w:after="0"/>
              <w:rPr>
                <w:sz w:val="20"/>
                <w:szCs w:val="20"/>
                <w:color w:val="auto"/>
              </w:rPr>
            </w:pPr>
            <w:r>
              <w:rPr>
                <w:rFonts w:ascii="Arial" w:cs="Arial" w:eastAsia="Arial" w:hAnsi="Arial"/>
                <w:sz w:val="22"/>
                <w:szCs w:val="22"/>
                <w:color w:val="auto"/>
                <w:w w:val="88"/>
              </w:rPr>
              <w:t>13.02.2030</w:t>
            </w:r>
          </w:p>
        </w:tc>
      </w:tr>
      <w:tr>
        <w:trPr>
          <w:trHeight w:val="662"/>
        </w:trPr>
        <w:tc>
          <w:tcPr>
            <w:tcW w:w="1100" w:type="dxa"/>
            <w:vAlign w:val="bottom"/>
            <w:tcBorders>
              <w:right w:val="single" w:sz="8" w:color="70AD47"/>
            </w:tcBorders>
          </w:tcPr>
          <w:p>
            <w:pPr>
              <w:jc w:val="center"/>
              <w:ind w:right="112"/>
              <w:spacing w:after="0"/>
              <w:rPr>
                <w:sz w:val="20"/>
                <w:szCs w:val="20"/>
                <w:color w:val="auto"/>
              </w:rPr>
            </w:pPr>
            <w:r>
              <w:rPr>
                <w:rFonts w:ascii="Arial" w:cs="Arial" w:eastAsia="Arial" w:hAnsi="Arial"/>
                <w:sz w:val="22"/>
                <w:szCs w:val="22"/>
                <w:color w:val="auto"/>
                <w:w w:val="87"/>
              </w:rPr>
              <w:t>6.163</w:t>
            </w:r>
          </w:p>
        </w:tc>
        <w:tc>
          <w:tcPr>
            <w:tcW w:w="13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9"/>
              </w:rPr>
              <w:t>163,54</w:t>
            </w:r>
          </w:p>
        </w:tc>
        <w:tc>
          <w:tcPr>
            <w:tcW w:w="14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12.05.2025</w:t>
            </w:r>
          </w:p>
        </w:tc>
        <w:tc>
          <w:tcPr>
            <w:tcW w:w="1160" w:type="dxa"/>
            <w:vAlign w:val="bottom"/>
          </w:tcPr>
          <w:p>
            <w:pPr>
              <w:jc w:val="center"/>
              <w:ind w:left="76"/>
              <w:spacing w:after="0"/>
              <w:rPr>
                <w:sz w:val="20"/>
                <w:szCs w:val="20"/>
                <w:color w:val="auto"/>
              </w:rPr>
            </w:pPr>
            <w:r>
              <w:rPr>
                <w:rFonts w:ascii="Arial" w:cs="Arial" w:eastAsia="Arial" w:hAnsi="Arial"/>
                <w:sz w:val="22"/>
                <w:szCs w:val="22"/>
                <w:color w:val="auto"/>
                <w:w w:val="88"/>
              </w:rPr>
              <w:t>12.05.2031</w:t>
            </w:r>
          </w:p>
        </w:tc>
      </w:tr>
      <w:tr>
        <w:trPr>
          <w:trHeight w:val="662"/>
        </w:trPr>
        <w:tc>
          <w:tcPr>
            <w:tcW w:w="1100" w:type="dxa"/>
            <w:vAlign w:val="bottom"/>
            <w:tcBorders>
              <w:right w:val="single" w:sz="8" w:color="70AD47"/>
            </w:tcBorders>
          </w:tcPr>
          <w:p>
            <w:pPr>
              <w:jc w:val="center"/>
              <w:ind w:right="112"/>
              <w:spacing w:after="0"/>
              <w:rPr>
                <w:sz w:val="20"/>
                <w:szCs w:val="20"/>
                <w:color w:val="auto"/>
              </w:rPr>
            </w:pPr>
            <w:r>
              <w:rPr>
                <w:rFonts w:ascii="Arial" w:cs="Arial" w:eastAsia="Arial" w:hAnsi="Arial"/>
                <w:sz w:val="22"/>
                <w:szCs w:val="22"/>
                <w:color w:val="auto"/>
                <w:w w:val="87"/>
              </w:rPr>
              <w:t>6.463</w:t>
            </w:r>
          </w:p>
        </w:tc>
        <w:tc>
          <w:tcPr>
            <w:tcW w:w="134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9"/>
              </w:rPr>
              <w:t>164,96</w:t>
            </w:r>
          </w:p>
        </w:tc>
        <w:tc>
          <w:tcPr>
            <w:tcW w:w="14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17.05.2025</w:t>
            </w:r>
          </w:p>
        </w:tc>
        <w:tc>
          <w:tcPr>
            <w:tcW w:w="1160" w:type="dxa"/>
            <w:vAlign w:val="bottom"/>
          </w:tcPr>
          <w:p>
            <w:pPr>
              <w:jc w:val="center"/>
              <w:ind w:left="76"/>
              <w:spacing w:after="0"/>
              <w:rPr>
                <w:sz w:val="20"/>
                <w:szCs w:val="20"/>
                <w:color w:val="auto"/>
              </w:rPr>
            </w:pPr>
            <w:r>
              <w:rPr>
                <w:rFonts w:ascii="Arial" w:cs="Arial" w:eastAsia="Arial" w:hAnsi="Arial"/>
                <w:sz w:val="22"/>
                <w:szCs w:val="22"/>
                <w:color w:val="auto"/>
                <w:w w:val="88"/>
              </w:rPr>
              <w:t>17.05.2031</w:t>
            </w:r>
          </w:p>
        </w:tc>
      </w:tr>
      <w:tr>
        <w:trPr>
          <w:trHeight w:val="638"/>
        </w:trPr>
        <w:tc>
          <w:tcPr>
            <w:tcW w:w="1100" w:type="dxa"/>
            <w:vAlign w:val="bottom"/>
            <w:tcBorders>
              <w:right w:val="single" w:sz="8" w:color="70AD47"/>
            </w:tcBorders>
          </w:tcPr>
          <w:p>
            <w:pPr>
              <w:jc w:val="center"/>
              <w:ind w:right="112"/>
              <w:spacing w:after="0"/>
              <w:rPr>
                <w:sz w:val="20"/>
                <w:szCs w:val="20"/>
                <w:color w:val="auto"/>
              </w:rPr>
            </w:pPr>
            <w:r>
              <w:rPr>
                <w:rFonts w:ascii="Arial" w:cs="Arial" w:eastAsia="Arial" w:hAnsi="Arial"/>
                <w:sz w:val="22"/>
                <w:szCs w:val="22"/>
                <w:color w:val="auto"/>
                <w:w w:val="87"/>
              </w:rPr>
              <w:t>4.246</w:t>
            </w:r>
          </w:p>
        </w:tc>
        <w:tc>
          <w:tcPr>
            <w:tcW w:w="1340" w:type="dxa"/>
            <w:vAlign w:val="bottom"/>
            <w:tcBorders>
              <w:right w:val="single" w:sz="8" w:color="70AD47"/>
            </w:tcBorders>
          </w:tcPr>
          <w:p>
            <w:pPr>
              <w:ind w:left="380"/>
              <w:spacing w:after="0"/>
              <w:rPr>
                <w:sz w:val="20"/>
                <w:szCs w:val="20"/>
                <w:color w:val="auto"/>
              </w:rPr>
            </w:pPr>
            <w:r>
              <w:rPr>
                <w:rFonts w:ascii="Arial" w:cs="Arial" w:eastAsia="Arial" w:hAnsi="Arial"/>
                <w:sz w:val="43"/>
                <w:szCs w:val="43"/>
                <w:color w:val="auto"/>
                <w:vertAlign w:val="subscript"/>
              </w:rPr>
              <w:t>n/a</w:t>
            </w:r>
            <w:r>
              <w:rPr>
                <w:rFonts w:ascii="Arial" w:cs="Arial" w:eastAsia="Arial" w:hAnsi="Arial"/>
                <w:sz w:val="14"/>
                <w:szCs w:val="14"/>
                <w:color w:val="auto"/>
              </w:rPr>
              <w:t xml:space="preserve"> (10)</w:t>
            </w:r>
          </w:p>
        </w:tc>
        <w:tc>
          <w:tcPr>
            <w:tcW w:w="1400" w:type="dxa"/>
            <w:vAlign w:val="bottom"/>
            <w:tcBorders>
              <w:right w:val="single" w:sz="8" w:color="70AD47"/>
            </w:tcBorders>
          </w:tcPr>
          <w:p>
            <w:pPr>
              <w:jc w:val="center"/>
              <w:spacing w:after="0"/>
              <w:rPr>
                <w:sz w:val="20"/>
                <w:szCs w:val="20"/>
                <w:color w:val="auto"/>
              </w:rPr>
            </w:pPr>
            <w:r>
              <w:rPr>
                <w:rFonts w:ascii="Arial" w:cs="Arial" w:eastAsia="Arial" w:hAnsi="Arial"/>
                <w:sz w:val="22"/>
                <w:szCs w:val="22"/>
                <w:color w:val="auto"/>
                <w:w w:val="88"/>
              </w:rPr>
              <w:t>07.01.2025</w:t>
            </w:r>
          </w:p>
        </w:tc>
        <w:tc>
          <w:tcPr>
            <w:tcW w:w="1160" w:type="dxa"/>
            <w:vAlign w:val="bottom"/>
          </w:tcPr>
          <w:p>
            <w:pPr>
              <w:jc w:val="center"/>
              <w:ind w:left="76"/>
              <w:spacing w:after="0"/>
              <w:rPr>
                <w:sz w:val="20"/>
                <w:szCs w:val="20"/>
                <w:color w:val="auto"/>
              </w:rPr>
            </w:pPr>
            <w:r>
              <w:rPr>
                <w:rFonts w:ascii="Arial" w:cs="Arial" w:eastAsia="Arial" w:hAnsi="Arial"/>
                <w:sz w:val="43"/>
                <w:szCs w:val="43"/>
                <w:color w:val="auto"/>
                <w:w w:val="78"/>
                <w:vertAlign w:val="subscript"/>
              </w:rPr>
              <w:t>n/a</w:t>
            </w:r>
            <w:r>
              <w:rPr>
                <w:rFonts w:ascii="Arial" w:cs="Arial" w:eastAsia="Arial" w:hAnsi="Arial"/>
                <w:sz w:val="14"/>
                <w:szCs w:val="14"/>
                <w:color w:val="auto"/>
                <w:w w:val="78"/>
              </w:rPr>
              <w:t xml:space="preserve"> (10)</w:t>
            </w:r>
          </w:p>
        </w:tc>
      </w:tr>
      <w:tr>
        <w:trPr>
          <w:trHeight w:val="179"/>
        </w:trPr>
        <w:tc>
          <w:tcPr>
            <w:tcW w:w="1100" w:type="dxa"/>
            <w:vAlign w:val="bottom"/>
            <w:tcBorders>
              <w:right w:val="single" w:sz="8" w:color="70AD47"/>
            </w:tcBorders>
          </w:tcPr>
          <w:p>
            <w:pPr>
              <w:spacing w:after="0"/>
              <w:rPr>
                <w:sz w:val="15"/>
                <w:szCs w:val="15"/>
                <w:color w:val="auto"/>
              </w:rPr>
            </w:pPr>
          </w:p>
        </w:tc>
        <w:tc>
          <w:tcPr>
            <w:tcW w:w="1340" w:type="dxa"/>
            <w:vAlign w:val="bottom"/>
            <w:tcBorders>
              <w:right w:val="single" w:sz="8" w:color="70AD47"/>
            </w:tcBorders>
          </w:tcPr>
          <w:p>
            <w:pPr>
              <w:spacing w:after="0"/>
              <w:rPr>
                <w:sz w:val="15"/>
                <w:szCs w:val="15"/>
                <w:color w:val="auto"/>
              </w:rPr>
            </w:pPr>
          </w:p>
        </w:tc>
        <w:tc>
          <w:tcPr>
            <w:tcW w:w="1400" w:type="dxa"/>
            <w:vAlign w:val="bottom"/>
            <w:tcBorders>
              <w:right w:val="single" w:sz="8" w:color="70AD47"/>
            </w:tcBorders>
          </w:tcPr>
          <w:p>
            <w:pPr>
              <w:jc w:val="center"/>
              <w:spacing w:after="0"/>
              <w:rPr>
                <w:sz w:val="20"/>
                <w:szCs w:val="20"/>
                <w:color w:val="auto"/>
              </w:rPr>
            </w:pPr>
            <w:r>
              <w:rPr>
                <w:rFonts w:ascii="Arial" w:cs="Arial" w:eastAsia="Arial" w:hAnsi="Arial"/>
                <w:sz w:val="14"/>
                <w:szCs w:val="14"/>
                <w:color w:val="auto"/>
                <w:w w:val="88"/>
              </w:rPr>
              <w:t>(10)</w:t>
            </w:r>
          </w:p>
        </w:tc>
        <w:tc>
          <w:tcPr>
            <w:tcW w:w="1160" w:type="dxa"/>
            <w:vAlign w:val="bottom"/>
          </w:tcPr>
          <w:p>
            <w:pPr>
              <w:spacing w:after="0"/>
              <w:rPr>
                <w:sz w:val="15"/>
                <w:szCs w:val="15"/>
                <w:color w:val="auto"/>
              </w:rPr>
            </w:pPr>
          </w:p>
        </w:tc>
      </w:tr>
      <w:tr>
        <w:trPr>
          <w:trHeight w:val="131"/>
        </w:trPr>
        <w:tc>
          <w:tcPr>
            <w:tcW w:w="1100" w:type="dxa"/>
            <w:vAlign w:val="bottom"/>
            <w:tcBorders>
              <w:right w:val="single" w:sz="8" w:color="70AD47"/>
            </w:tcBorders>
          </w:tcPr>
          <w:p>
            <w:pPr>
              <w:spacing w:after="0"/>
              <w:rPr>
                <w:sz w:val="11"/>
                <w:szCs w:val="11"/>
                <w:color w:val="auto"/>
              </w:rPr>
            </w:pPr>
          </w:p>
        </w:tc>
        <w:tc>
          <w:tcPr>
            <w:tcW w:w="1340" w:type="dxa"/>
            <w:vAlign w:val="bottom"/>
            <w:tcBorders>
              <w:right w:val="single" w:sz="8" w:color="70AD47"/>
            </w:tcBorders>
          </w:tcPr>
          <w:p>
            <w:pPr>
              <w:spacing w:after="0"/>
              <w:rPr>
                <w:sz w:val="11"/>
                <w:szCs w:val="11"/>
                <w:color w:val="auto"/>
              </w:rPr>
            </w:pPr>
          </w:p>
        </w:tc>
        <w:tc>
          <w:tcPr>
            <w:tcW w:w="1400" w:type="dxa"/>
            <w:vAlign w:val="bottom"/>
            <w:tcBorders>
              <w:right w:val="single" w:sz="8" w:color="70AD47"/>
            </w:tcBorders>
          </w:tcPr>
          <w:p>
            <w:pPr>
              <w:spacing w:after="0"/>
              <w:rPr>
                <w:sz w:val="11"/>
                <w:szCs w:val="11"/>
                <w:color w:val="auto"/>
              </w:rPr>
            </w:pPr>
          </w:p>
        </w:tc>
        <w:tc>
          <w:tcPr>
            <w:tcW w:w="11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-3634105</wp:posOffset>
            </wp:positionV>
            <wp:extent cx="7132320" cy="3634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634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9"/>
          <w:szCs w:val="19"/>
          <w:color w:val="auto"/>
        </w:rPr>
        <w:t>LTI 2021</w:t>
      </w:r>
      <w:r>
        <w:rPr>
          <w:rFonts w:ascii="Arial" w:cs="Arial" w:eastAsia="Arial" w:hAnsi="Arial"/>
          <w:sz w:val="24"/>
          <w:szCs w:val="24"/>
          <w:color w:val="auto"/>
          <w:vertAlign w:val="superscript"/>
        </w:rPr>
        <w:t>(12)</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9"/>
          <w:szCs w:val="19"/>
          <w:color w:val="auto"/>
        </w:rPr>
        <w:t>ESOP 2018</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LTI 2020</w:t>
      </w:r>
      <w:r>
        <w:rPr>
          <w:rFonts w:ascii="Arial" w:cs="Arial" w:eastAsia="Arial" w:hAnsi="Arial"/>
          <w:sz w:val="24"/>
          <w:szCs w:val="24"/>
          <w:color w:val="auto"/>
          <w:vertAlign w:val="superscript"/>
        </w:rPr>
        <w:t>(12)</w:t>
      </w:r>
    </w:p>
    <w:p>
      <w:pPr>
        <w:spacing w:after="0" w:line="386" w:lineRule="exact"/>
        <w:rPr>
          <w:sz w:val="20"/>
          <w:szCs w:val="20"/>
          <w:color w:val="auto"/>
        </w:rPr>
      </w:pPr>
    </w:p>
    <w:p>
      <w:pPr>
        <w:spacing w:after="0"/>
        <w:rPr>
          <w:sz w:val="20"/>
          <w:szCs w:val="20"/>
          <w:color w:val="auto"/>
        </w:rPr>
      </w:pPr>
      <w:r>
        <w:rPr>
          <w:rFonts w:ascii="Arial" w:cs="Arial" w:eastAsia="Arial" w:hAnsi="Arial"/>
          <w:sz w:val="19"/>
          <w:szCs w:val="19"/>
          <w:color w:val="auto"/>
        </w:rPr>
        <w:t>LTI 2021</w:t>
      </w:r>
      <w:r>
        <w:rPr>
          <w:rFonts w:ascii="Arial" w:cs="Arial" w:eastAsia="Arial" w:hAnsi="Arial"/>
          <w:sz w:val="24"/>
          <w:szCs w:val="24"/>
          <w:color w:val="auto"/>
          <w:vertAlign w:val="superscript"/>
        </w:rPr>
        <w:t>(12)</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9"/>
          <w:szCs w:val="19"/>
          <w:color w:val="auto"/>
        </w:rPr>
        <w:t>ESOP 2018</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9"/>
          <w:szCs w:val="19"/>
          <w:color w:val="auto"/>
        </w:rPr>
        <w:t>LTI 2020</w:t>
      </w:r>
      <w:r>
        <w:rPr>
          <w:rFonts w:ascii="Arial" w:cs="Arial" w:eastAsia="Arial" w:hAnsi="Arial"/>
          <w:sz w:val="24"/>
          <w:szCs w:val="24"/>
          <w:color w:val="auto"/>
          <w:vertAlign w:val="superscript"/>
        </w:rPr>
        <w:t>(12)</w:t>
      </w:r>
    </w:p>
    <w:p>
      <w:pPr>
        <w:spacing w:after="0" w:line="386" w:lineRule="exact"/>
        <w:rPr>
          <w:sz w:val="20"/>
          <w:szCs w:val="20"/>
          <w:color w:val="auto"/>
        </w:rPr>
      </w:pPr>
    </w:p>
    <w:p>
      <w:pPr>
        <w:spacing w:after="0"/>
        <w:rPr>
          <w:sz w:val="20"/>
          <w:szCs w:val="20"/>
          <w:color w:val="auto"/>
        </w:rPr>
      </w:pPr>
      <w:r>
        <w:rPr>
          <w:rFonts w:ascii="Arial" w:cs="Arial" w:eastAsia="Arial" w:hAnsi="Arial"/>
          <w:sz w:val="19"/>
          <w:szCs w:val="19"/>
          <w:color w:val="auto"/>
        </w:rPr>
        <w:t>LTI 2021</w:t>
      </w:r>
      <w:r>
        <w:rPr>
          <w:rFonts w:ascii="Arial" w:cs="Arial" w:eastAsia="Arial" w:hAnsi="Arial"/>
          <w:sz w:val="24"/>
          <w:szCs w:val="24"/>
          <w:color w:val="auto"/>
          <w:vertAlign w:val="superscript"/>
        </w:rPr>
        <w:t>(12)</w:t>
      </w:r>
    </w:p>
    <w:p>
      <w:pPr>
        <w:spacing w:after="0" w:line="386" w:lineRule="exact"/>
        <w:rPr>
          <w:sz w:val="20"/>
          <w:szCs w:val="20"/>
          <w:color w:val="auto"/>
        </w:rPr>
      </w:pPr>
    </w:p>
    <w:p>
      <w:pPr>
        <w:spacing w:after="0"/>
        <w:rPr>
          <w:sz w:val="20"/>
          <w:szCs w:val="20"/>
          <w:color w:val="auto"/>
        </w:rPr>
      </w:pPr>
      <w:r>
        <w:rPr>
          <w:rFonts w:ascii="Arial" w:cs="Arial" w:eastAsia="Arial" w:hAnsi="Arial"/>
          <w:sz w:val="19"/>
          <w:szCs w:val="19"/>
          <w:color w:val="auto"/>
        </w:rPr>
        <w:t>LTI 2021</w:t>
      </w:r>
      <w:r>
        <w:rPr>
          <w:rFonts w:ascii="Arial" w:cs="Arial" w:eastAsia="Arial" w:hAnsi="Arial"/>
          <w:sz w:val="24"/>
          <w:szCs w:val="24"/>
          <w:color w:val="auto"/>
          <w:vertAlign w:val="superscript"/>
        </w:rPr>
        <w:t>(12)</w:t>
      </w:r>
    </w:p>
    <w:p>
      <w:pPr>
        <w:spacing w:after="0" w:line="28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Signing</w:t>
      </w:r>
    </w:p>
    <w:p>
      <w:pPr>
        <w:ind w:left="240"/>
        <w:spacing w:after="0"/>
        <w:rPr>
          <w:sz w:val="20"/>
          <w:szCs w:val="20"/>
          <w:color w:val="auto"/>
        </w:rPr>
      </w:pPr>
      <w:r>
        <w:rPr>
          <w:rFonts w:ascii="Arial" w:cs="Arial" w:eastAsia="Arial" w:hAnsi="Arial"/>
          <w:sz w:val="22"/>
          <w:szCs w:val="22"/>
          <w:color w:val="auto"/>
        </w:rPr>
        <w:t>Bonus</w:t>
      </w:r>
    </w:p>
    <w:p>
      <w:pPr>
        <w:spacing w:after="0" w:line="274" w:lineRule="exact"/>
        <w:rPr>
          <w:sz w:val="20"/>
          <w:szCs w:val="20"/>
          <w:color w:val="auto"/>
        </w:rPr>
      </w:pPr>
    </w:p>
    <w:p>
      <w:pPr>
        <w:sectPr>
          <w:pgSz w:w="11900" w:h="16838" w:orient="portrait"/>
          <w:cols w:equalWidth="0" w:num="4">
            <w:col w:w="2612" w:space="620"/>
            <w:col w:w="980" w:space="440"/>
            <w:col w:w="5000" w:space="360"/>
            <w:col w:w="1220"/>
          </w:cols>
          <w:pgMar w:left="328" w:top="1192" w:right="339" w:bottom="1440" w:gutter="0" w:footer="0" w:header="0"/>
        </w:sectPr>
      </w:pPr>
    </w:p>
    <w:p>
      <w:pPr>
        <w:spacing w:after="0" w:line="15" w:lineRule="exact"/>
        <w:rPr>
          <w:sz w:val="20"/>
          <w:szCs w:val="20"/>
          <w:color w:val="auto"/>
        </w:rPr>
      </w:pPr>
    </w:p>
    <w:p>
      <w:pPr>
        <w:ind w:left="372" w:hanging="372"/>
        <w:spacing w:after="0"/>
        <w:tabs>
          <w:tab w:leader="none" w:pos="372" w:val="left"/>
        </w:tabs>
        <w:numPr>
          <w:ilvl w:val="0"/>
          <w:numId w:val="25"/>
        </w:numPr>
        <w:rPr>
          <w:rFonts w:ascii="Arial" w:cs="Arial" w:eastAsia="Arial" w:hAnsi="Arial"/>
          <w:sz w:val="28"/>
          <w:szCs w:val="28"/>
          <w:color w:val="auto"/>
          <w:vertAlign w:val="superscript"/>
        </w:rPr>
      </w:pPr>
      <w:r>
        <w:rPr>
          <w:rFonts w:ascii="Arial" w:cs="Arial" w:eastAsia="Arial" w:hAnsi="Arial"/>
          <w:sz w:val="22"/>
          <w:szCs w:val="22"/>
          <w:color w:val="auto"/>
        </w:rPr>
        <w:t>Options fully vest on September 16, 2022.</w:t>
      </w:r>
    </w:p>
    <w:p>
      <w:pPr>
        <w:spacing w:after="0" w:line="157" w:lineRule="exact"/>
        <w:rPr>
          <w:rFonts w:ascii="Arial" w:cs="Arial" w:eastAsia="Arial" w:hAnsi="Arial"/>
          <w:sz w:val="28"/>
          <w:szCs w:val="28"/>
          <w:color w:val="auto"/>
          <w:vertAlign w:val="superscript"/>
        </w:rPr>
      </w:pPr>
    </w:p>
    <w:p>
      <w:pPr>
        <w:ind w:left="-8" w:right="20" w:firstLine="8"/>
        <w:spacing w:after="0" w:line="204" w:lineRule="auto"/>
        <w:tabs>
          <w:tab w:leader="none" w:pos="513" w:val="left"/>
        </w:tabs>
        <w:numPr>
          <w:ilvl w:val="0"/>
          <w:numId w:val="25"/>
        </w:numPr>
        <w:rPr>
          <w:rFonts w:ascii="Arial" w:cs="Arial" w:eastAsia="Arial" w:hAnsi="Arial"/>
          <w:sz w:val="28"/>
          <w:szCs w:val="28"/>
          <w:color w:val="auto"/>
          <w:vertAlign w:val="superscript"/>
        </w:rPr>
      </w:pPr>
      <w:r>
        <w:rPr>
          <w:rFonts w:ascii="Arial" w:cs="Arial" w:eastAsia="Arial" w:hAnsi="Arial"/>
          <w:sz w:val="22"/>
          <w:szCs w:val="22"/>
          <w:color w:val="auto"/>
        </w:rPr>
        <w:t>18-for-1 stock split of our ordinary shares, which became effective on September 18, 2019 upon registration with the commercial register (Handelsregister) is reflected in share amounts granted in advance.</w:t>
      </w:r>
    </w:p>
    <w:p>
      <w:pPr>
        <w:spacing w:after="0" w:line="159" w:lineRule="exact"/>
        <w:rPr>
          <w:rFonts w:ascii="Arial" w:cs="Arial" w:eastAsia="Arial" w:hAnsi="Arial"/>
          <w:sz w:val="28"/>
          <w:szCs w:val="28"/>
          <w:color w:val="auto"/>
          <w:vertAlign w:val="superscript"/>
        </w:rPr>
      </w:pPr>
    </w:p>
    <w:p>
      <w:pPr>
        <w:ind w:left="-8" w:firstLine="8"/>
        <w:spacing w:after="0" w:line="204" w:lineRule="auto"/>
        <w:tabs>
          <w:tab w:leader="none" w:pos="423" w:val="left"/>
        </w:tabs>
        <w:numPr>
          <w:ilvl w:val="0"/>
          <w:numId w:val="25"/>
        </w:numPr>
        <w:rPr>
          <w:rFonts w:ascii="Arial" w:cs="Arial" w:eastAsia="Arial" w:hAnsi="Arial"/>
          <w:sz w:val="28"/>
          <w:szCs w:val="28"/>
          <w:color w:val="auto"/>
          <w:vertAlign w:val="superscript"/>
        </w:rPr>
      </w:pPr>
      <w:r>
        <w:rPr>
          <w:rFonts w:ascii="Arial" w:cs="Arial" w:eastAsia="Arial" w:hAnsi="Arial"/>
          <w:sz w:val="22"/>
          <w:szCs w:val="22"/>
          <w:color w:val="auto"/>
        </w:rPr>
        <w:t>Options vest in four equal installments on October 10 of 2020, 2021, 2022 and 2023 but will not become exercisable until October 10, 2023.</w:t>
      </w:r>
    </w:p>
    <w:p>
      <w:pPr>
        <w:spacing w:after="0" w:line="159" w:lineRule="exact"/>
        <w:rPr>
          <w:rFonts w:ascii="Arial" w:cs="Arial" w:eastAsia="Arial" w:hAnsi="Arial"/>
          <w:sz w:val="28"/>
          <w:szCs w:val="28"/>
          <w:color w:val="auto"/>
          <w:vertAlign w:val="superscript"/>
        </w:rPr>
      </w:pPr>
    </w:p>
    <w:p>
      <w:pPr>
        <w:ind w:left="-8" w:firstLine="8"/>
        <w:spacing w:after="0" w:line="204" w:lineRule="auto"/>
        <w:tabs>
          <w:tab w:leader="none" w:pos="410" w:val="left"/>
        </w:tabs>
        <w:numPr>
          <w:ilvl w:val="0"/>
          <w:numId w:val="25"/>
        </w:numPr>
        <w:rPr>
          <w:rFonts w:ascii="Arial" w:cs="Arial" w:eastAsia="Arial" w:hAnsi="Arial"/>
          <w:sz w:val="28"/>
          <w:szCs w:val="28"/>
          <w:color w:val="auto"/>
          <w:vertAlign w:val="superscript"/>
        </w:rPr>
      </w:pPr>
      <w:r>
        <w:rPr>
          <w:rFonts w:ascii="Arial" w:cs="Arial" w:eastAsia="Arial" w:hAnsi="Arial"/>
          <w:sz w:val="22"/>
          <w:szCs w:val="22"/>
          <w:color w:val="auto"/>
        </w:rPr>
        <w:t>Options vest in four equal installments on February 13 of 2021, 2022, 2023 and 2024 but will not become exercisable until February 13, 2024.</w:t>
      </w:r>
    </w:p>
    <w:p>
      <w:pPr>
        <w:spacing w:after="0" w:line="159" w:lineRule="exact"/>
        <w:rPr>
          <w:rFonts w:ascii="Arial" w:cs="Arial" w:eastAsia="Arial" w:hAnsi="Arial"/>
          <w:sz w:val="28"/>
          <w:szCs w:val="28"/>
          <w:color w:val="auto"/>
          <w:vertAlign w:val="superscript"/>
        </w:rPr>
      </w:pPr>
    </w:p>
    <w:p>
      <w:pPr>
        <w:jc w:val="both"/>
        <w:ind w:left="-8" w:firstLine="8"/>
        <w:spacing w:after="0" w:line="204" w:lineRule="auto"/>
        <w:tabs>
          <w:tab w:leader="none" w:pos="402" w:val="left"/>
        </w:tabs>
        <w:numPr>
          <w:ilvl w:val="0"/>
          <w:numId w:val="25"/>
        </w:numPr>
        <w:rPr>
          <w:rFonts w:ascii="Arial" w:cs="Arial" w:eastAsia="Arial" w:hAnsi="Arial"/>
          <w:sz w:val="28"/>
          <w:szCs w:val="28"/>
          <w:color w:val="auto"/>
          <w:vertAlign w:val="superscript"/>
        </w:rPr>
      </w:pPr>
      <w:r>
        <w:rPr>
          <w:rFonts w:ascii="Arial" w:cs="Arial" w:eastAsia="Arial" w:hAnsi="Arial"/>
          <w:sz w:val="22"/>
          <w:szCs w:val="22"/>
          <w:color w:val="auto"/>
        </w:rPr>
        <w:t>Options were issued as phantom share options and vest in four equal installments on May 12 of 2022, 2023, 2024 and 2025 for all Management Board members but Jens Holstein and May 17 of 2022, 2023, 2024 and 2025 for Jens Holstein. The options will not become exercisable until May 12, 2025 and May 17,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32"/>
          </w:cols>
          <w:pgMar w:left="328" w:top="1192" w:right="339" w:bottom="1440" w:gutter="0" w:footer="0" w:header="0"/>
          <w:type w:val="continuous"/>
        </w:sectPr>
      </w:pPr>
    </w:p>
    <w:bookmarkStart w:id="32" w:name="page33"/>
    <w:bookmarkEnd w:id="32"/>
    <w:p>
      <w:pPr>
        <w:ind w:left="380" w:hanging="372"/>
        <w:spacing w:after="0"/>
        <w:tabs>
          <w:tab w:leader="none" w:pos="380" w:val="left"/>
        </w:tabs>
        <w:numPr>
          <w:ilvl w:val="0"/>
          <w:numId w:val="26"/>
        </w:numPr>
        <w:rPr>
          <w:rFonts w:ascii="Arial" w:cs="Arial" w:eastAsia="Arial" w:hAnsi="Arial"/>
          <w:sz w:val="26"/>
          <w:szCs w:val="26"/>
          <w:color w:val="auto"/>
          <w:vertAlign w:val="superscript"/>
        </w:rPr>
      </w:pPr>
      <w:r>
        <w:rPr>
          <w:rFonts w:ascii="Arial" w:cs="Arial" w:eastAsia="Arial" w:hAnsi="Arial"/>
          <w:sz w:val="20"/>
          <w:szCs w:val="20"/>
          <w:color w:val="auto"/>
        </w:rPr>
        <w:t>Options fully vested on March 16, 2019, however these options will not become exercisable until September 16, 2022.</w:t>
      </w:r>
    </w:p>
    <w:p>
      <w:pPr>
        <w:spacing w:after="0" w:line="157" w:lineRule="exact"/>
        <w:rPr>
          <w:rFonts w:ascii="Arial" w:cs="Arial" w:eastAsia="Arial" w:hAnsi="Arial"/>
          <w:sz w:val="26"/>
          <w:szCs w:val="26"/>
          <w:color w:val="auto"/>
          <w:vertAlign w:val="superscript"/>
        </w:rPr>
      </w:pPr>
    </w:p>
    <w:p>
      <w:pPr>
        <w:jc w:val="both"/>
        <w:ind w:firstLine="8"/>
        <w:spacing w:after="0" w:line="204" w:lineRule="auto"/>
        <w:tabs>
          <w:tab w:leader="none" w:pos="498" w:val="left"/>
        </w:tabs>
        <w:numPr>
          <w:ilvl w:val="0"/>
          <w:numId w:val="26"/>
        </w:numPr>
        <w:rPr>
          <w:rFonts w:ascii="Arial" w:cs="Arial" w:eastAsia="Arial" w:hAnsi="Arial"/>
          <w:sz w:val="28"/>
          <w:szCs w:val="28"/>
          <w:color w:val="auto"/>
          <w:vertAlign w:val="superscript"/>
        </w:rPr>
      </w:pPr>
      <w:r>
        <w:rPr>
          <w:rFonts w:ascii="Arial" w:cs="Arial" w:eastAsia="Arial" w:hAnsi="Arial"/>
          <w:sz w:val="22"/>
          <w:szCs w:val="22"/>
          <w:color w:val="auto"/>
        </w:rPr>
        <w:t>Ryan Richardson was appointed to the Management Board as Chief Strategy Officer (CSO) and Managing Director on January 12, 2020. The share options granted on November 15, 2018 under the Employee Stock Ownership Plan were granted before his appointment to the Management Board.</w:t>
      </w:r>
    </w:p>
    <w:p>
      <w:pPr>
        <w:spacing w:after="0" w:line="135" w:lineRule="exact"/>
        <w:rPr>
          <w:rFonts w:ascii="Arial" w:cs="Arial" w:eastAsia="Arial" w:hAnsi="Arial"/>
          <w:sz w:val="28"/>
          <w:szCs w:val="28"/>
          <w:color w:val="auto"/>
          <w:vertAlign w:val="superscript"/>
        </w:rPr>
      </w:pPr>
    </w:p>
    <w:p>
      <w:pPr>
        <w:ind w:left="380" w:hanging="372"/>
        <w:spacing w:after="0"/>
        <w:tabs>
          <w:tab w:leader="none" w:pos="380" w:val="left"/>
        </w:tabs>
        <w:numPr>
          <w:ilvl w:val="0"/>
          <w:numId w:val="26"/>
        </w:numPr>
        <w:rPr>
          <w:rFonts w:ascii="Arial" w:cs="Arial" w:eastAsia="Arial" w:hAnsi="Arial"/>
          <w:sz w:val="26"/>
          <w:szCs w:val="26"/>
          <w:color w:val="auto"/>
          <w:vertAlign w:val="superscript"/>
        </w:rPr>
      </w:pPr>
      <w:r>
        <w:rPr>
          <w:rFonts w:ascii="Arial" w:cs="Arial" w:eastAsia="Arial" w:hAnsi="Arial"/>
          <w:sz w:val="20"/>
          <w:szCs w:val="20"/>
          <w:color w:val="auto"/>
        </w:rPr>
        <w:t>Options fully vested on October 10, 2019, however these options will not become exercisable until September 16, 2022.</w:t>
      </w:r>
    </w:p>
    <w:p>
      <w:pPr>
        <w:spacing w:after="0" w:line="157" w:lineRule="exact"/>
        <w:rPr>
          <w:rFonts w:ascii="Arial" w:cs="Arial" w:eastAsia="Arial" w:hAnsi="Arial"/>
          <w:sz w:val="26"/>
          <w:szCs w:val="26"/>
          <w:color w:val="auto"/>
          <w:vertAlign w:val="superscript"/>
        </w:rPr>
      </w:pPr>
    </w:p>
    <w:p>
      <w:pPr>
        <w:jc w:val="both"/>
        <w:ind w:firstLine="8"/>
        <w:spacing w:after="0" w:line="224" w:lineRule="auto"/>
        <w:tabs>
          <w:tab w:leader="none" w:pos="546" w:val="left"/>
        </w:tabs>
        <w:numPr>
          <w:ilvl w:val="0"/>
          <w:numId w:val="26"/>
        </w:numPr>
        <w:rPr>
          <w:rFonts w:ascii="Arial" w:cs="Arial" w:eastAsia="Arial" w:hAnsi="Arial"/>
          <w:sz w:val="26"/>
          <w:szCs w:val="26"/>
          <w:color w:val="auto"/>
          <w:vertAlign w:val="superscript"/>
        </w:rPr>
      </w:pPr>
      <w:r>
        <w:rPr>
          <w:rFonts w:ascii="Arial" w:cs="Arial" w:eastAsia="Arial" w:hAnsi="Arial"/>
          <w:sz w:val="20"/>
          <w:szCs w:val="20"/>
          <w:color w:val="auto"/>
        </w:rPr>
        <w:t>As of December 31, 2021, all options other than those granted to Ryan Richardson before he was appointed to the Management Board are subject to an effective exercise price cap. This means that the exercise price shall effectively be adjusted to ensure that the current price of an ADS as of the exercise date does not exceed 800% of the exercise price. As of December 31, 2021, with respect to the phantom share options issued in May 2021, all agreements include an additional maximum compensation clause limiting the total cash payment that the Management Board members are entitled to receive to €20.0 million for Ugur Sahin as Chief Executive Officer (CEO) or €10.0 million for all other Management Board members, less other compensation components received by each such board member in the respective grant year.</w:t>
      </w:r>
    </w:p>
    <w:p>
      <w:pPr>
        <w:spacing w:after="0" w:line="161" w:lineRule="exact"/>
        <w:rPr>
          <w:rFonts w:ascii="Arial" w:cs="Arial" w:eastAsia="Arial" w:hAnsi="Arial"/>
          <w:sz w:val="26"/>
          <w:szCs w:val="26"/>
          <w:color w:val="auto"/>
          <w:vertAlign w:val="superscript"/>
        </w:rPr>
      </w:pPr>
    </w:p>
    <w:p>
      <w:pPr>
        <w:ind w:firstLine="8"/>
        <w:spacing w:after="0" w:line="204" w:lineRule="auto"/>
        <w:tabs>
          <w:tab w:leader="none" w:pos="539" w:val="left"/>
        </w:tabs>
        <w:numPr>
          <w:ilvl w:val="0"/>
          <w:numId w:val="26"/>
        </w:numPr>
        <w:rPr>
          <w:rFonts w:ascii="Arial" w:cs="Arial" w:eastAsia="Arial" w:hAnsi="Arial"/>
          <w:sz w:val="28"/>
          <w:szCs w:val="28"/>
          <w:color w:val="auto"/>
          <w:vertAlign w:val="superscript"/>
        </w:rPr>
      </w:pPr>
      <w:r>
        <w:rPr>
          <w:rFonts w:ascii="Arial" w:cs="Arial" w:eastAsia="Arial" w:hAnsi="Arial"/>
          <w:sz w:val="22"/>
          <w:szCs w:val="22"/>
          <w:color w:val="auto"/>
        </w:rPr>
        <w:t>As of July 1, 2021 when Jens Holstein was appointed to the Management Board as Chief Financial Officer (CFO), the Supervisory Board granted Jens Holstein a one-time signing bonus as outlined in section 5.4.</w:t>
      </w:r>
    </w:p>
    <w:p>
      <w:pPr>
        <w:spacing w:after="0" w:line="123" w:lineRule="exact"/>
        <w:rPr>
          <w:rFonts w:ascii="Arial" w:cs="Arial" w:eastAsia="Arial" w:hAnsi="Arial"/>
          <w:sz w:val="28"/>
          <w:szCs w:val="28"/>
          <w:color w:val="auto"/>
          <w:vertAlign w:val="superscript"/>
        </w:rPr>
      </w:pPr>
    </w:p>
    <w:p>
      <w:pPr>
        <w:ind w:left="460" w:hanging="452"/>
        <w:spacing w:after="0"/>
        <w:tabs>
          <w:tab w:leader="none" w:pos="460" w:val="left"/>
        </w:tabs>
        <w:numPr>
          <w:ilvl w:val="0"/>
          <w:numId w:val="26"/>
        </w:numPr>
        <w:rPr>
          <w:rFonts w:ascii="Arial" w:cs="Arial" w:eastAsia="Arial" w:hAnsi="Arial"/>
          <w:sz w:val="27"/>
          <w:szCs w:val="27"/>
          <w:color w:val="auto"/>
          <w:vertAlign w:val="superscript"/>
        </w:rPr>
      </w:pPr>
      <w:r>
        <w:rPr>
          <w:rFonts w:ascii="Arial" w:cs="Arial" w:eastAsia="Arial" w:hAnsi="Arial"/>
          <w:sz w:val="21"/>
          <w:szCs w:val="21"/>
          <w:color w:val="auto"/>
        </w:rPr>
        <w:t>Indicates end of the respective waiting period, additional restrictions with respect to exercise windows may apply.</w:t>
      </w:r>
    </w:p>
    <w:p>
      <w:pPr>
        <w:spacing w:after="0" w:line="110" w:lineRule="exact"/>
        <w:rPr>
          <w:rFonts w:ascii="Arial" w:cs="Arial" w:eastAsia="Arial" w:hAnsi="Arial"/>
          <w:sz w:val="27"/>
          <w:szCs w:val="27"/>
          <w:color w:val="auto"/>
          <w:vertAlign w:val="superscript"/>
        </w:rPr>
      </w:pPr>
    </w:p>
    <w:p>
      <w:pPr>
        <w:ind w:left="380" w:hanging="372"/>
        <w:spacing w:after="0"/>
        <w:tabs>
          <w:tab w:leader="none" w:pos="380" w:val="left"/>
        </w:tabs>
        <w:numPr>
          <w:ilvl w:val="0"/>
          <w:numId w:val="26"/>
        </w:numPr>
        <w:rPr>
          <w:rFonts w:ascii="Arial" w:cs="Arial" w:eastAsia="Arial" w:hAnsi="Arial"/>
          <w:sz w:val="28"/>
          <w:szCs w:val="28"/>
          <w:color w:val="auto"/>
          <w:vertAlign w:val="superscript"/>
        </w:rPr>
      </w:pPr>
      <w:r>
        <w:rPr>
          <w:rFonts w:ascii="Arial" w:cs="Arial" w:eastAsia="Arial" w:hAnsi="Arial"/>
          <w:sz w:val="22"/>
          <w:szCs w:val="22"/>
          <w:color w:val="auto"/>
        </w:rPr>
        <w:t>Management Board Grant (Long-Term Incentive) in the respective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106" w:right="339" w:bottom="1440" w:gutter="0" w:footer="0" w:header="0"/>
        </w:sectPr>
      </w:pPr>
    </w:p>
    <w:bookmarkStart w:id="33" w:name="page34"/>
    <w:bookmarkEnd w:id="33"/>
    <w:p>
      <w:pPr>
        <w:spacing w:after="0"/>
        <w:rPr>
          <w:sz w:val="20"/>
          <w:szCs w:val="20"/>
          <w:color w:val="auto"/>
        </w:rPr>
      </w:pPr>
      <w:r>
        <w:rPr>
          <w:rFonts w:ascii="Arial" w:cs="Arial" w:eastAsia="Arial" w:hAnsi="Arial"/>
          <w:sz w:val="22"/>
          <w:szCs w:val="22"/>
          <w:i w:val="1"/>
          <w:iCs w:val="1"/>
          <w:color w:val="231F20"/>
        </w:rPr>
        <w:t>Employee Stock Ownership Plan 2018</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Based on a pertinent authorization of the general meeting on August 18, 2017, we established a share option program under which we granted selected employees options to receive our shares. The program is designed as an Employee Stock Ownership Plan, or ESOP. We have offered the participants a certain number of rights by explicit acceptance of the participants. The exercise of the option rights in accordance with the agreement gives the participants the right to obtain shares against payment of the exercise price. The option rights (other than Prof. Özlem Türeci’s and Ryan Richardson’s options referred to in the above table and footnotes) generally fully vest after four years and can only be exercised if: (i) the waiting period of four years has elapsed; and (ii) at the time of exercise, the average closing price of the shares of the Company or the average closing price of the right or certificate to be converted into an amount per share on the previous ten trading days preceding the exercise of the option right exceeds the strike price by a minimum of 32%, with this percentage increasing by eight percentage points as of the fifth anniversary of the respective issue date and as of each subsequent anniversary date. The option rights can be exercised at the latest eight years after the allocation date. If they have not been exercised by that date, they will forfeit without compensation.</w:t>
      </w:r>
    </w:p>
    <w:p>
      <w:pPr>
        <w:spacing w:after="0" w:line="164"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As of December 31, 2021, with respect to the Management Board members, other than Ryan Richardson who was not a Management Board member at the time the options were granted, the options are subject to an effective exercise price cap. This means that the exercise price shall effectively be adjusted to ensure that the current price of an ADS as of the exercise date does not exceed 800% of the exercise price.</w:t>
      </w:r>
    </w:p>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By way of shareholders’ resolution of the general meeting on August 19, 2019, the authorization to issue such option rights was amended such, that, in order for the options to be exercisable, the average closing price of the Company’s shares or the average closing price of the right or certificate to be converted into an amount per share on the ten trading days immediately preceding the exercise must exceed the strike price by a minimum of 28%, with this percentage increasing by seven percentage points as of the fifth anniversary of the issue date and as of each subsequent anniversary date. Also, in addition to the aforementioned requirements, the exercise is only possible if the share price (calculated by reference to the price of the ordinary share underlying the ADS) has performed similar to or better than the Nasdaq Biotechnology Index. The changes made do not affect option rights already issued.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i w:val="1"/>
          <w:iCs w:val="1"/>
          <w:color w:val="231F20"/>
        </w:rPr>
        <w:t>Chief Executive Officer Grant 2019</w:t>
      </w:r>
    </w:p>
    <w:p>
      <w:pPr>
        <w:spacing w:after="0" w:line="179"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In September 2019, we granted Prof. Ugur Sahin, M.D., our co-founder and Chief Executive Officer, an option to purchase 4,374,963 of our ordinary shares, subject to Prof. Sahin’s continuous employment with us. The option is subject to the terms, conditions, definitions and provisions of our ESOP and the applicable option agreement thereunder. The options’ exercise price per share is the Euro translation of the public offering price from our initial public offering, $15.00 (€13.60) which, as of December 31, 2021, is subject to the effective exercise price cap. The option will vest annually in equal installments after four years commencing on the first anniversary of our initial public offering and will be exercisable four years after our initial public offering. The vested option rights can only be exercised if and to the extent that each of the following performance criteria has been achieved: (i) at the time of exercise, the current price is equal to or greater than the threshold amount (that is, the exercise price, provided that such amount increases by seven percentage points on each anniversary of the allocation date); (ii) at the time of exercise, the current price is at least equal to the Target Price (that is, (a) for the twelve-month period starting on the fourth anniversary of the allocation date, $8.5 billion divided by the total number of the shares outstanding immediately following the initial public offering (other than shares owned by us), and (b) for each twelve-month period starting on the fifth or subsequent anniversary of the allocation date, 107% of the target share price applicable for the prior twelve-month period); and (iii) the closing price for the fifth trading day prior to the start of the relevant exercise window is higher than the exercise price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600"/>
          </w:cols>
          <w:pgMar w:left="960" w:top="1131" w:right="339" w:bottom="1440" w:gutter="0" w:footer="0" w:header="0"/>
        </w:sectPr>
      </w:pPr>
    </w:p>
    <w:bookmarkStart w:id="34" w:name="page35"/>
    <w:bookmarkEnd w:id="34"/>
    <w:p>
      <w:pPr>
        <w:jc w:val="both"/>
        <w:spacing w:after="0" w:line="268" w:lineRule="auto"/>
        <w:rPr>
          <w:sz w:val="20"/>
          <w:szCs w:val="20"/>
          <w:color w:val="auto"/>
        </w:rPr>
      </w:pPr>
      <w:r>
        <w:rPr>
          <w:rFonts w:ascii="Arial" w:cs="Arial" w:eastAsia="Arial" w:hAnsi="Arial"/>
          <w:sz w:val="19"/>
          <w:szCs w:val="19"/>
          <w:color w:val="auto"/>
        </w:rPr>
        <w:t>at least the same percentage by which the Nasdaq Biotechnology Index or a comparable successor index as of such time is higher than such index was as of the last trading day before the allocation date. The option rights can be exercised up to ten years after the allocation date. If they have not been exercised by that date, they will lapse without compensation.</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i w:val="1"/>
          <w:iCs w:val="1"/>
          <w:color w:val="231F20"/>
        </w:rPr>
        <w:t>Management Board Grant (Long-Term Incentive)</w:t>
      </w:r>
    </w:p>
    <w:p>
      <w:pPr>
        <w:spacing w:after="0" w:line="179"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231F20"/>
        </w:rPr>
        <w:t>The service agreements with our Management Board provide for a long-term incentive compensation in terms of an annual grant of options to purchase BioNTech shares for the years of their respective service periods. The options granted each year will be subject to the terms, conditions, definitions and provisions of our Employee Stock Ownership Plan (ESOP) and the applicable option agreement thereunder. The allocation of the number of issued options in 2020 occurred in February 2020 (2020 allocation date). In May 2021 (2021 allocation date), phantom options equivalent to the number of options the Management Board members would have been entitled to receive for the year 2021 were granted under the Management Board Grant.</w:t>
      </w:r>
    </w:p>
    <w:p>
      <w:pPr>
        <w:spacing w:after="0" w:line="164" w:lineRule="exact"/>
        <w:rPr>
          <w:sz w:val="20"/>
          <w:szCs w:val="20"/>
          <w:color w:val="auto"/>
        </w:rPr>
      </w:pPr>
    </w:p>
    <w:p>
      <w:pPr>
        <w:jc w:val="both"/>
        <w:spacing w:after="0"/>
        <w:rPr>
          <w:sz w:val="20"/>
          <w:szCs w:val="20"/>
          <w:color w:val="auto"/>
        </w:rPr>
      </w:pPr>
      <w:r>
        <w:rPr>
          <w:rFonts w:ascii="Arial" w:cs="Arial" w:eastAsia="Arial" w:hAnsi="Arial"/>
          <w:sz w:val="19"/>
          <w:szCs w:val="19"/>
          <w:color w:val="231F20"/>
        </w:rPr>
        <w:t>The per share exercise price of the options is the Euro equivalent of the arithmetic mean of the closing prices of the ten last trading days prior to the allocation date. For the awards allocated as of February 2020, the exercise price has been determined to be $30.78 (€28.32), calculated as of grant date using the foreign exchange rate as published by the German Central Bank (Deutsche Bundesbank). As of December 31, 2021, the awards allocated as of February 2020 are subject to the effective exercise price cap. For the awards allocated as of May 12, 2021, and May 17, 2021 the exercise price has been determined to be $185.23 (€163.54) and $186.83 (€164.96), respectively (both amounts calculated as of December 31, 2021 using the foreign exchange rate as published by the German Central Bank (Deutsche Bundesbank). With respect to the phantom share options issued in May 2021, as of December 31, 2021, all agreements include the effective exercise price cap and an additional maximum compensation clause limiting the total cash payment that the Management Board members are entitled to receive to €20.0 million for Ugur Sahin as Chief Executive Officer (CEO) or €10.0 million for all other Management Board members, less other compensation components received by each such board member in the respective grant year. The options will vest annually in equal installments over four years commencing on the first anniversary of the allocation date and will be exercisable four years after the allocation date. The vested options can only be exercised if and to the extent that each of the following performance criteria has been achieved: (i) at the time of exercise, the current price is equal to or greater than the threshold amount (that is, the exercise price, provided that such amount increases by seven percentage points on each anniversary of the allocation date); (ii) at the time of exercise, the current price is at least equal to the target price (that is, (a) for the twelve-month period starting on the fourth anniversary of the allocation date, $8.5 billion divided by the total number of the ordinary shares outstanding immediately following the initial public offering (other than ordinary shares owned by BioNTech), and (b) for each twelve-month period starting on the fifth or subsequent anniversary of the allocation date, 107% of the target share price applicable for the prior twelve-month period); and (iii) the closing price for the fifth trading day prior to the start of the relevant exercise window is higher than the exercise price by at least the same percentage by which the Nasdaq Biotechnology Index or a comparable successor index as of such time is higher than such index was as of the last trading day before the allocation date. The options expire ten years after the allocation date. If they have not been exercised by that date, they will lapse without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600"/>
          </w:cols>
          <w:pgMar w:left="960" w:top="1131" w:right="339" w:bottom="1440" w:gutter="0" w:footer="0" w:header="0"/>
        </w:sectPr>
      </w:pPr>
    </w:p>
    <w:bookmarkStart w:id="35" w:name="page36"/>
    <w:bookmarkEnd w:id="35"/>
    <w:p>
      <w:pPr>
        <w:ind w:left="640" w:hanging="632"/>
        <w:spacing w:after="0" w:line="235" w:lineRule="auto"/>
        <w:tabs>
          <w:tab w:leader="none" w:pos="459"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Information on the Relative Development of the Compensation of the Management Board, the Compensation of the Employees and the Development of the Company's Earnings</w:t>
      </w:r>
    </w:p>
    <w:p>
      <w:pPr>
        <w:spacing w:after="0" w:line="159" w:lineRule="exact"/>
        <w:rPr>
          <w:sz w:val="20"/>
          <w:szCs w:val="20"/>
          <w:color w:val="auto"/>
        </w:rPr>
      </w:pPr>
    </w:p>
    <w:p>
      <w:pPr>
        <w:jc w:val="both"/>
        <w:ind w:left="640"/>
        <w:spacing w:after="0" w:line="223" w:lineRule="auto"/>
        <w:rPr>
          <w:sz w:val="20"/>
          <w:szCs w:val="20"/>
          <w:color w:val="auto"/>
        </w:rPr>
      </w:pPr>
      <w:r>
        <w:rPr>
          <w:rFonts w:ascii="Arial" w:cs="Arial" w:eastAsia="Arial" w:hAnsi="Arial"/>
          <w:sz w:val="22"/>
          <w:szCs w:val="22"/>
          <w:color w:val="auto"/>
        </w:rPr>
        <w:t>The following table shows the relative development during the year ended December 31, 2021 compared to the prior year of the compensation granted and owed to the Supervisory and Management Board members, the average compensation of our employees and selected key earning indicators.</w:t>
      </w:r>
    </w:p>
    <w:p>
      <w:pPr>
        <w:spacing w:after="0" w:line="159" w:lineRule="exact"/>
        <w:rPr>
          <w:sz w:val="20"/>
          <w:szCs w:val="20"/>
          <w:color w:val="auto"/>
        </w:rPr>
      </w:pPr>
    </w:p>
    <w:p>
      <w:pPr>
        <w:jc w:val="both"/>
        <w:ind w:left="640"/>
        <w:spacing w:after="0" w:line="214" w:lineRule="auto"/>
        <w:rPr>
          <w:sz w:val="20"/>
          <w:szCs w:val="20"/>
          <w:color w:val="auto"/>
        </w:rPr>
      </w:pPr>
      <w:r>
        <w:rPr>
          <w:rFonts w:ascii="Arial" w:cs="Arial" w:eastAsia="Arial" w:hAnsi="Arial"/>
          <w:sz w:val="22"/>
          <w:szCs w:val="22"/>
          <w:color w:val="auto"/>
        </w:rPr>
        <w:t>Selected key earning indicators considered by Sec. 162 para. 1 no. 2 AktG generally measure the development of earnings on the basis of revenues, operating income/ (loss) of the BioNTech Group (IFRS) and net income (HGB) of BioNTech SE. Considering our operational and financial development our key earnings indicators increased exceptionally and changed significantly during the year ended December 31, 2021 compared to the prior-year period. Therefore, the development of those indicators relative to our Supervisory and Management Board members' compensation is not considered meaningful.</w:t>
      </w:r>
    </w:p>
    <w:p>
      <w:pPr>
        <w:spacing w:after="0" w:line="159" w:lineRule="exact"/>
        <w:rPr>
          <w:sz w:val="20"/>
          <w:szCs w:val="20"/>
          <w:color w:val="auto"/>
        </w:rPr>
      </w:pPr>
    </w:p>
    <w:p>
      <w:pPr>
        <w:jc w:val="both"/>
        <w:ind w:left="640"/>
        <w:spacing w:after="0" w:line="232" w:lineRule="auto"/>
        <w:rPr>
          <w:sz w:val="20"/>
          <w:szCs w:val="20"/>
          <w:color w:val="auto"/>
        </w:rPr>
      </w:pPr>
      <w:r>
        <w:rPr>
          <w:rFonts w:ascii="Arial" w:cs="Arial" w:eastAsia="Arial" w:hAnsi="Arial"/>
          <w:sz w:val="22"/>
          <w:szCs w:val="22"/>
          <w:color w:val="auto"/>
        </w:rPr>
        <w:t>For the presentation of the average compensation of employees, the calculation was based on the average number of full-time equivalent people employed during the respective period by the BioNTech Group.</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200" w:type="dxa"/>
            <w:vAlign w:val="bottom"/>
            <w:tcBorders>
              <w:right w:val="single" w:sz="8" w:color="70AD47"/>
            </w:tcBorders>
            <w:vMerge w:val="restart"/>
          </w:tcPr>
          <w:p>
            <w:pPr>
              <w:ind w:left="20"/>
              <w:spacing w:after="0"/>
              <w:rPr>
                <w:sz w:val="20"/>
                <w:szCs w:val="20"/>
                <w:color w:val="auto"/>
              </w:rPr>
            </w:pPr>
            <w:r>
              <w:rPr>
                <w:rFonts w:ascii="Arial" w:cs="Arial" w:eastAsia="Arial" w:hAnsi="Arial"/>
                <w:sz w:val="22"/>
                <w:szCs w:val="22"/>
                <w:i w:val="1"/>
                <w:iCs w:val="1"/>
                <w:color w:val="auto"/>
              </w:rPr>
              <w:t>in %</w:t>
            </w:r>
          </w:p>
        </w:tc>
        <w:tc>
          <w:tcPr>
            <w:tcW w:w="2040" w:type="dxa"/>
            <w:vAlign w:val="bottom"/>
            <w:tcBorders>
              <w:right w:val="single" w:sz="8" w:color="70AD47"/>
            </w:tcBorders>
            <w:gridSpan w:val="3"/>
            <w:shd w:val="clear" w:color="auto" w:fill="C6E0B4"/>
          </w:tcPr>
          <w:p>
            <w:pPr>
              <w:ind w:left="260"/>
              <w:spacing w:after="0"/>
              <w:rPr>
                <w:sz w:val="20"/>
                <w:szCs w:val="20"/>
                <w:color w:val="auto"/>
              </w:rPr>
            </w:pPr>
            <w:r>
              <w:rPr>
                <w:rFonts w:ascii="Arial" w:cs="Arial" w:eastAsia="Arial" w:hAnsi="Arial"/>
                <w:sz w:val="22"/>
                <w:szCs w:val="22"/>
                <w:b w:val="1"/>
                <w:bCs w:val="1"/>
                <w:color w:val="auto"/>
              </w:rPr>
              <w:t>Change 2021 vs.</w:t>
            </w:r>
          </w:p>
        </w:tc>
        <w:tc>
          <w:tcPr>
            <w:tcW w:w="0" w:type="dxa"/>
            <w:vAlign w:val="bottom"/>
          </w:tcPr>
          <w:p>
            <w:pPr>
              <w:spacing w:after="0"/>
              <w:rPr>
                <w:sz w:val="1"/>
                <w:szCs w:val="1"/>
                <w:color w:val="auto"/>
              </w:rPr>
            </w:pPr>
          </w:p>
        </w:tc>
      </w:tr>
      <w:tr>
        <w:trPr>
          <w:trHeight w:val="172"/>
        </w:trPr>
        <w:tc>
          <w:tcPr>
            <w:tcW w:w="9200" w:type="dxa"/>
            <w:vAlign w:val="bottom"/>
            <w:tcBorders>
              <w:right w:val="single" w:sz="8" w:color="70AD47"/>
            </w:tcBorders>
            <w:vMerge w:val="continue"/>
          </w:tcPr>
          <w:p>
            <w:pPr>
              <w:spacing w:after="0"/>
              <w:rPr>
                <w:sz w:val="14"/>
                <w:szCs w:val="14"/>
                <w:color w:val="auto"/>
              </w:rPr>
            </w:pPr>
          </w:p>
        </w:tc>
        <w:tc>
          <w:tcPr>
            <w:tcW w:w="1340" w:type="dxa"/>
            <w:vAlign w:val="bottom"/>
            <w:gridSpan w:val="2"/>
            <w:vMerge w:val="restart"/>
            <w:shd w:val="clear" w:color="auto" w:fill="C6E0B4"/>
          </w:tcPr>
          <w:p>
            <w:pPr>
              <w:jc w:val="center"/>
              <w:ind w:left="592"/>
              <w:spacing w:after="0"/>
              <w:rPr>
                <w:sz w:val="20"/>
                <w:szCs w:val="20"/>
                <w:color w:val="auto"/>
              </w:rPr>
            </w:pPr>
            <w:r>
              <w:rPr>
                <w:rFonts w:ascii="Arial" w:cs="Arial" w:eastAsia="Arial" w:hAnsi="Arial"/>
                <w:sz w:val="22"/>
                <w:szCs w:val="22"/>
                <w:b w:val="1"/>
                <w:bCs w:val="1"/>
                <w:color w:val="auto"/>
                <w:w w:val="89"/>
              </w:rPr>
              <w:t>2020</w:t>
            </w:r>
          </w:p>
        </w:tc>
        <w:tc>
          <w:tcPr>
            <w:tcW w:w="700" w:type="dxa"/>
            <w:vAlign w:val="bottom"/>
            <w:tcBorders>
              <w:right w:val="single" w:sz="8" w:color="70AD47"/>
            </w:tcBorders>
            <w:shd w:val="clear" w:color="auto" w:fill="C6E0B4"/>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9200" w:type="dxa"/>
            <w:vAlign w:val="bottom"/>
            <w:tcBorders>
              <w:bottom w:val="single" w:sz="8" w:color="70AD47"/>
              <w:right w:val="single" w:sz="8" w:color="70AD47"/>
            </w:tcBorders>
          </w:tcPr>
          <w:p>
            <w:pPr>
              <w:spacing w:after="0"/>
              <w:rPr>
                <w:sz w:val="9"/>
                <w:szCs w:val="9"/>
                <w:color w:val="auto"/>
              </w:rPr>
            </w:pPr>
          </w:p>
        </w:tc>
        <w:tc>
          <w:tcPr>
            <w:tcW w:w="1340" w:type="dxa"/>
            <w:vAlign w:val="bottom"/>
            <w:tcBorders>
              <w:bottom w:val="single" w:sz="8" w:color="70AD47"/>
            </w:tcBorders>
            <w:gridSpan w:val="2"/>
            <w:vMerge w:val="continue"/>
            <w:shd w:val="clear" w:color="auto" w:fill="C6E0B4"/>
          </w:tcPr>
          <w:p>
            <w:pPr>
              <w:spacing w:after="0"/>
              <w:rPr>
                <w:sz w:val="9"/>
                <w:szCs w:val="9"/>
                <w:color w:val="auto"/>
              </w:rPr>
            </w:pPr>
          </w:p>
        </w:tc>
        <w:tc>
          <w:tcPr>
            <w:tcW w:w="700" w:type="dxa"/>
            <w:vAlign w:val="bottom"/>
            <w:tcBorders>
              <w:bottom w:val="single" w:sz="8" w:color="70AD47"/>
              <w:right w:val="single" w:sz="8" w:color="70AD47"/>
            </w:tcBorders>
            <w:shd w:val="clear" w:color="auto" w:fill="C6E0B4"/>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9200" w:type="dxa"/>
            <w:vAlign w:val="bottom"/>
            <w:tcBorders>
              <w:bottom w:val="single" w:sz="8" w:color="70AD47"/>
              <w:right w:val="single" w:sz="8" w:color="70AD47"/>
            </w:tcBorders>
          </w:tcPr>
          <w:p>
            <w:pPr>
              <w:ind w:left="20"/>
              <w:spacing w:after="0"/>
              <w:rPr>
                <w:sz w:val="20"/>
                <w:szCs w:val="20"/>
                <w:color w:val="auto"/>
              </w:rPr>
            </w:pPr>
            <w:r>
              <w:rPr>
                <w:rFonts w:ascii="Arial" w:cs="Arial" w:eastAsia="Arial" w:hAnsi="Arial"/>
                <w:sz w:val="22"/>
                <w:szCs w:val="22"/>
                <w:b w:val="1"/>
                <w:bCs w:val="1"/>
                <w:color w:val="auto"/>
              </w:rPr>
              <w:t>Management Board</w:t>
            </w:r>
          </w:p>
        </w:tc>
        <w:tc>
          <w:tcPr>
            <w:tcW w:w="1180" w:type="dxa"/>
            <w:vAlign w:val="bottom"/>
            <w:tcBorders>
              <w:bottom w:val="single" w:sz="8" w:color="70AD47"/>
            </w:tcBorders>
            <w:shd w:val="clear" w:color="auto" w:fill="C6E0B4"/>
          </w:tcPr>
          <w:p>
            <w:pPr>
              <w:spacing w:after="0"/>
              <w:rPr>
                <w:sz w:val="23"/>
                <w:szCs w:val="23"/>
                <w:color w:val="auto"/>
              </w:rPr>
            </w:pPr>
          </w:p>
        </w:tc>
        <w:tc>
          <w:tcPr>
            <w:tcW w:w="160" w:type="dxa"/>
            <w:vAlign w:val="bottom"/>
            <w:tcBorders>
              <w:bottom w:val="single" w:sz="8" w:color="70AD47"/>
            </w:tcBorders>
            <w:shd w:val="clear" w:color="auto" w:fill="C6E0B4"/>
          </w:tcPr>
          <w:p>
            <w:pPr>
              <w:spacing w:after="0"/>
              <w:rPr>
                <w:sz w:val="23"/>
                <w:szCs w:val="23"/>
                <w:color w:val="auto"/>
              </w:rPr>
            </w:pPr>
          </w:p>
        </w:tc>
        <w:tc>
          <w:tcPr>
            <w:tcW w:w="700" w:type="dxa"/>
            <w:vAlign w:val="bottom"/>
            <w:tcBorders>
              <w:bottom w:val="single" w:sz="8" w:color="70AD47"/>
              <w:right w:val="single" w:sz="8" w:color="70AD47"/>
            </w:tcBorders>
            <w:shd w:val="clear" w:color="auto" w:fill="C6E0B4"/>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9200" w:type="dxa"/>
            <w:vAlign w:val="bottom"/>
            <w:tcBorders>
              <w:right w:val="single" w:sz="8" w:color="70AD47"/>
            </w:tcBorders>
          </w:tcPr>
          <w:p>
            <w:pPr>
              <w:ind w:left="20"/>
              <w:spacing w:after="0"/>
              <w:rPr>
                <w:sz w:val="20"/>
                <w:szCs w:val="20"/>
                <w:color w:val="auto"/>
              </w:rPr>
            </w:pPr>
            <w:r>
              <w:rPr>
                <w:rFonts w:ascii="Arial" w:cs="Arial" w:eastAsia="Arial" w:hAnsi="Arial"/>
                <w:sz w:val="22"/>
                <w:szCs w:val="22"/>
                <w:color w:val="auto"/>
              </w:rPr>
              <w:t>Prof. Ugur Sahin, M.D.</w:t>
            </w:r>
          </w:p>
        </w:tc>
        <w:tc>
          <w:tcPr>
            <w:tcW w:w="2040" w:type="dxa"/>
            <w:vAlign w:val="bottom"/>
            <w:tcBorders>
              <w:right w:val="single" w:sz="8" w:color="70AD47"/>
            </w:tcBorders>
            <w:gridSpan w:val="3"/>
            <w:shd w:val="clear" w:color="auto" w:fill="C6E0B4"/>
          </w:tcPr>
          <w:p>
            <w:pPr>
              <w:jc w:val="center"/>
              <w:ind w:right="20"/>
              <w:spacing w:after="0"/>
              <w:rPr>
                <w:sz w:val="20"/>
                <w:szCs w:val="20"/>
                <w:color w:val="auto"/>
              </w:rPr>
            </w:pPr>
            <w:r>
              <w:rPr>
                <w:rFonts w:ascii="Arial" w:cs="Arial" w:eastAsia="Arial" w:hAnsi="Arial"/>
                <w:sz w:val="22"/>
                <w:szCs w:val="22"/>
                <w:color w:val="auto"/>
                <w:w w:val="99"/>
              </w:rPr>
              <w:t>—</w:t>
            </w:r>
          </w:p>
        </w:tc>
        <w:tc>
          <w:tcPr>
            <w:tcW w:w="0" w:type="dxa"/>
            <w:vAlign w:val="bottom"/>
          </w:tcPr>
          <w:p>
            <w:pPr>
              <w:spacing w:after="0"/>
              <w:rPr>
                <w:sz w:val="1"/>
                <w:szCs w:val="1"/>
                <w:color w:val="auto"/>
              </w:rPr>
            </w:pPr>
          </w:p>
        </w:tc>
      </w:tr>
      <w:tr>
        <w:trPr>
          <w:trHeight w:val="270"/>
        </w:trPr>
        <w:tc>
          <w:tcPr>
            <w:tcW w:w="9200" w:type="dxa"/>
            <w:vAlign w:val="bottom"/>
            <w:tcBorders>
              <w:right w:val="single" w:sz="8" w:color="70AD47"/>
            </w:tcBorders>
          </w:tcPr>
          <w:p>
            <w:pPr>
              <w:ind w:left="20"/>
              <w:spacing w:after="0"/>
              <w:rPr>
                <w:sz w:val="20"/>
                <w:szCs w:val="20"/>
                <w:color w:val="auto"/>
              </w:rPr>
            </w:pPr>
            <w:r>
              <w:rPr>
                <w:rFonts w:ascii="Arial" w:cs="Arial" w:eastAsia="Arial" w:hAnsi="Arial"/>
                <w:sz w:val="22"/>
                <w:szCs w:val="22"/>
                <w:color w:val="auto"/>
              </w:rPr>
              <w:t>Sean Marett</w:t>
            </w:r>
          </w:p>
        </w:tc>
        <w:tc>
          <w:tcPr>
            <w:tcW w:w="1180" w:type="dxa"/>
            <w:vAlign w:val="bottom"/>
            <w:shd w:val="clear" w:color="auto" w:fill="C6E0B4"/>
          </w:tcPr>
          <w:p>
            <w:pPr>
              <w:jc w:val="center"/>
              <w:ind w:left="732"/>
              <w:spacing w:after="0"/>
              <w:rPr>
                <w:sz w:val="20"/>
                <w:szCs w:val="20"/>
                <w:color w:val="auto"/>
              </w:rPr>
            </w:pPr>
            <w:r>
              <w:rPr>
                <w:rFonts w:ascii="Arial" w:cs="Arial" w:eastAsia="Arial" w:hAnsi="Arial"/>
                <w:sz w:val="22"/>
                <w:szCs w:val="22"/>
                <w:color w:val="auto"/>
                <w:w w:val="81"/>
              </w:rPr>
              <w:t>2</w:t>
            </w:r>
          </w:p>
        </w:tc>
        <w:tc>
          <w:tcPr>
            <w:tcW w:w="160" w:type="dxa"/>
            <w:vAlign w:val="bottom"/>
            <w:shd w:val="clear" w:color="auto" w:fill="C6E0B4"/>
          </w:tcPr>
          <w:p>
            <w:pPr>
              <w:spacing w:after="0"/>
              <w:rPr>
                <w:sz w:val="23"/>
                <w:szCs w:val="23"/>
                <w:color w:val="auto"/>
              </w:rPr>
            </w:pPr>
          </w:p>
        </w:tc>
        <w:tc>
          <w:tcPr>
            <w:tcW w:w="700" w:type="dxa"/>
            <w:vAlign w:val="bottom"/>
            <w:tcBorders>
              <w:right w:val="single" w:sz="8" w:color="70AD47"/>
            </w:tcBorders>
            <w:shd w:val="clear" w:color="auto" w:fill="C6E0B4"/>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200" w:type="dxa"/>
            <w:vAlign w:val="bottom"/>
            <w:tcBorders>
              <w:right w:val="single" w:sz="8" w:color="70AD47"/>
            </w:tcBorders>
          </w:tcPr>
          <w:p>
            <w:pPr>
              <w:ind w:left="20"/>
              <w:spacing w:after="0"/>
              <w:rPr>
                <w:sz w:val="20"/>
                <w:szCs w:val="20"/>
                <w:color w:val="auto"/>
              </w:rPr>
            </w:pPr>
            <w:r>
              <w:rPr>
                <w:rFonts w:ascii="Arial" w:cs="Arial" w:eastAsia="Arial" w:hAnsi="Arial"/>
                <w:sz w:val="22"/>
                <w:szCs w:val="22"/>
                <w:color w:val="auto"/>
              </w:rPr>
              <w:t>Dr. Sierk Poetting</w:t>
            </w:r>
          </w:p>
        </w:tc>
        <w:tc>
          <w:tcPr>
            <w:tcW w:w="1180" w:type="dxa"/>
            <w:vAlign w:val="bottom"/>
            <w:shd w:val="clear" w:color="auto" w:fill="C6E0B4"/>
          </w:tcPr>
          <w:p>
            <w:pPr>
              <w:jc w:val="center"/>
              <w:ind w:left="732"/>
              <w:spacing w:after="0"/>
              <w:rPr>
                <w:sz w:val="20"/>
                <w:szCs w:val="20"/>
                <w:color w:val="auto"/>
              </w:rPr>
            </w:pPr>
            <w:r>
              <w:rPr>
                <w:rFonts w:ascii="Arial" w:cs="Arial" w:eastAsia="Arial" w:hAnsi="Arial"/>
                <w:sz w:val="22"/>
                <w:szCs w:val="22"/>
                <w:color w:val="auto"/>
                <w:w w:val="81"/>
              </w:rPr>
              <w:t>2</w:t>
            </w:r>
          </w:p>
        </w:tc>
        <w:tc>
          <w:tcPr>
            <w:tcW w:w="160" w:type="dxa"/>
            <w:vAlign w:val="bottom"/>
            <w:shd w:val="clear" w:color="auto" w:fill="C6E0B4"/>
          </w:tcPr>
          <w:p>
            <w:pPr>
              <w:spacing w:after="0"/>
              <w:rPr>
                <w:sz w:val="23"/>
                <w:szCs w:val="23"/>
                <w:color w:val="auto"/>
              </w:rPr>
            </w:pPr>
          </w:p>
        </w:tc>
        <w:tc>
          <w:tcPr>
            <w:tcW w:w="700" w:type="dxa"/>
            <w:vAlign w:val="bottom"/>
            <w:tcBorders>
              <w:right w:val="single" w:sz="8" w:color="70AD47"/>
            </w:tcBorders>
            <w:shd w:val="clear" w:color="auto" w:fill="C6E0B4"/>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200" w:type="dxa"/>
            <w:vAlign w:val="bottom"/>
            <w:tcBorders>
              <w:right w:val="single" w:sz="8" w:color="70AD47"/>
            </w:tcBorders>
          </w:tcPr>
          <w:p>
            <w:pPr>
              <w:ind w:left="20"/>
              <w:spacing w:after="0"/>
              <w:rPr>
                <w:sz w:val="20"/>
                <w:szCs w:val="20"/>
                <w:color w:val="auto"/>
              </w:rPr>
            </w:pPr>
            <w:r>
              <w:rPr>
                <w:rFonts w:ascii="Arial" w:cs="Arial" w:eastAsia="Arial" w:hAnsi="Arial"/>
                <w:sz w:val="22"/>
                <w:szCs w:val="22"/>
                <w:color w:val="auto"/>
              </w:rPr>
              <w:t>Prof. Özlem Türeci, M.D.</w:t>
            </w:r>
          </w:p>
        </w:tc>
        <w:tc>
          <w:tcPr>
            <w:tcW w:w="1180" w:type="dxa"/>
            <w:vAlign w:val="bottom"/>
            <w:shd w:val="clear" w:color="auto" w:fill="C6E0B4"/>
          </w:tcPr>
          <w:p>
            <w:pPr>
              <w:jc w:val="center"/>
              <w:ind w:left="732"/>
              <w:spacing w:after="0"/>
              <w:rPr>
                <w:sz w:val="20"/>
                <w:szCs w:val="20"/>
                <w:color w:val="auto"/>
              </w:rPr>
            </w:pPr>
            <w:r>
              <w:rPr>
                <w:rFonts w:ascii="Arial" w:cs="Arial" w:eastAsia="Arial" w:hAnsi="Arial"/>
                <w:sz w:val="22"/>
                <w:szCs w:val="22"/>
                <w:color w:val="auto"/>
                <w:w w:val="96"/>
              </w:rPr>
              <w:t>(1)</w:t>
            </w:r>
          </w:p>
        </w:tc>
        <w:tc>
          <w:tcPr>
            <w:tcW w:w="160" w:type="dxa"/>
            <w:vAlign w:val="bottom"/>
            <w:shd w:val="clear" w:color="auto" w:fill="C6E0B4"/>
          </w:tcPr>
          <w:p>
            <w:pPr>
              <w:spacing w:after="0"/>
              <w:rPr>
                <w:sz w:val="23"/>
                <w:szCs w:val="23"/>
                <w:color w:val="auto"/>
              </w:rPr>
            </w:pPr>
          </w:p>
        </w:tc>
        <w:tc>
          <w:tcPr>
            <w:tcW w:w="700" w:type="dxa"/>
            <w:vAlign w:val="bottom"/>
            <w:tcBorders>
              <w:right w:val="single" w:sz="8" w:color="70AD47"/>
            </w:tcBorders>
            <w:shd w:val="clear" w:color="auto" w:fill="C6E0B4"/>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9200" w:type="dxa"/>
            <w:vAlign w:val="bottom"/>
            <w:tcBorders>
              <w:right w:val="single" w:sz="8" w:color="70AD47"/>
            </w:tcBorders>
          </w:tcPr>
          <w:p>
            <w:pPr>
              <w:ind w:left="20"/>
              <w:spacing w:after="0"/>
              <w:rPr>
                <w:sz w:val="20"/>
                <w:szCs w:val="20"/>
                <w:color w:val="auto"/>
              </w:rPr>
            </w:pPr>
            <w:r>
              <w:rPr>
                <w:rFonts w:ascii="Arial" w:cs="Arial" w:eastAsia="Arial" w:hAnsi="Arial"/>
                <w:sz w:val="22"/>
                <w:szCs w:val="22"/>
                <w:color w:val="auto"/>
              </w:rPr>
              <w:t>Ryan Richardson</w:t>
            </w:r>
          </w:p>
        </w:tc>
        <w:tc>
          <w:tcPr>
            <w:tcW w:w="1180" w:type="dxa"/>
            <w:vAlign w:val="bottom"/>
            <w:shd w:val="clear" w:color="auto" w:fill="C6E0B4"/>
          </w:tcPr>
          <w:p>
            <w:pPr>
              <w:jc w:val="center"/>
              <w:ind w:left="732"/>
              <w:spacing w:after="0"/>
              <w:rPr>
                <w:sz w:val="20"/>
                <w:szCs w:val="20"/>
                <w:color w:val="auto"/>
              </w:rPr>
            </w:pPr>
            <w:r>
              <w:rPr>
                <w:rFonts w:ascii="Arial" w:cs="Arial" w:eastAsia="Arial" w:hAnsi="Arial"/>
                <w:sz w:val="22"/>
                <w:szCs w:val="22"/>
                <w:color w:val="auto"/>
                <w:w w:val="81"/>
              </w:rPr>
              <w:t>2</w:t>
            </w:r>
          </w:p>
        </w:tc>
        <w:tc>
          <w:tcPr>
            <w:tcW w:w="160" w:type="dxa"/>
            <w:vAlign w:val="bottom"/>
            <w:shd w:val="clear" w:color="auto" w:fill="C6E0B4"/>
          </w:tcPr>
          <w:p>
            <w:pPr>
              <w:spacing w:after="0"/>
              <w:rPr>
                <w:sz w:val="23"/>
                <w:szCs w:val="23"/>
                <w:color w:val="auto"/>
              </w:rPr>
            </w:pPr>
          </w:p>
        </w:tc>
        <w:tc>
          <w:tcPr>
            <w:tcW w:w="700" w:type="dxa"/>
            <w:vAlign w:val="bottom"/>
            <w:tcBorders>
              <w:right w:val="single" w:sz="8" w:color="70AD47"/>
            </w:tcBorders>
            <w:shd w:val="clear" w:color="auto" w:fill="C6E0B4"/>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9200" w:type="dxa"/>
            <w:vAlign w:val="bottom"/>
            <w:tcBorders>
              <w:right w:val="single" w:sz="8" w:color="70AD47"/>
            </w:tcBorders>
            <w:vMerge w:val="restart"/>
          </w:tcPr>
          <w:p>
            <w:pPr>
              <w:ind w:left="20"/>
              <w:spacing w:after="0"/>
              <w:rPr>
                <w:sz w:val="20"/>
                <w:szCs w:val="20"/>
                <w:color w:val="auto"/>
              </w:rPr>
            </w:pPr>
            <w:r>
              <w:rPr>
                <w:rFonts w:ascii="Arial" w:cs="Arial" w:eastAsia="Arial" w:hAnsi="Arial"/>
                <w:sz w:val="22"/>
                <w:szCs w:val="22"/>
                <w:color w:val="auto"/>
              </w:rPr>
              <w:t>Jens Holstein</w:t>
            </w:r>
            <w:r>
              <w:rPr>
                <w:rFonts w:ascii="Arial" w:cs="Arial" w:eastAsia="Arial" w:hAnsi="Arial"/>
                <w:sz w:val="28"/>
                <w:szCs w:val="28"/>
                <w:color w:val="auto"/>
                <w:vertAlign w:val="superscript"/>
              </w:rPr>
              <w:t>(1)</w:t>
            </w:r>
          </w:p>
        </w:tc>
        <w:tc>
          <w:tcPr>
            <w:tcW w:w="1180" w:type="dxa"/>
            <w:vAlign w:val="bottom"/>
            <w:vMerge w:val="restart"/>
            <w:shd w:val="clear" w:color="auto" w:fill="C6E0B4"/>
          </w:tcPr>
          <w:p>
            <w:pPr>
              <w:ind w:left="680"/>
              <w:spacing w:after="0"/>
              <w:rPr>
                <w:sz w:val="20"/>
                <w:szCs w:val="20"/>
                <w:color w:val="auto"/>
              </w:rPr>
            </w:pPr>
            <w:r>
              <w:rPr>
                <w:rFonts w:ascii="Arial" w:cs="Arial" w:eastAsia="Arial" w:hAnsi="Arial"/>
                <w:sz w:val="22"/>
                <w:szCs w:val="22"/>
                <w:color w:val="auto"/>
                <w:w w:val="98"/>
              </w:rPr>
              <w:t>n. m.</w:t>
            </w:r>
          </w:p>
        </w:tc>
        <w:tc>
          <w:tcPr>
            <w:tcW w:w="160" w:type="dxa"/>
            <w:vAlign w:val="bottom"/>
            <w:shd w:val="clear" w:color="auto" w:fill="C6E0B4"/>
          </w:tcPr>
          <w:p>
            <w:pPr>
              <w:jc w:val="right"/>
              <w:spacing w:after="0"/>
              <w:rPr>
                <w:sz w:val="20"/>
                <w:szCs w:val="20"/>
                <w:color w:val="auto"/>
              </w:rPr>
            </w:pPr>
            <w:r>
              <w:rPr>
                <w:rFonts w:ascii="Arial" w:cs="Arial" w:eastAsia="Arial" w:hAnsi="Arial"/>
                <w:sz w:val="14"/>
                <w:szCs w:val="14"/>
                <w:color w:val="auto"/>
                <w:w w:val="81"/>
                <w:shd w:val="clear" w:color="auto" w:fill="C6E0B4"/>
              </w:rPr>
              <w:t>(6)</w:t>
            </w:r>
          </w:p>
        </w:tc>
        <w:tc>
          <w:tcPr>
            <w:tcW w:w="700" w:type="dxa"/>
            <w:vAlign w:val="bottom"/>
            <w:tcBorders>
              <w:right w:val="single" w:sz="8" w:color="70AD47"/>
            </w:tcBorders>
            <w:vMerge w:val="restart"/>
            <w:shd w:val="clear" w:color="auto" w:fill="C6E0B4"/>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9200" w:type="dxa"/>
            <w:vAlign w:val="bottom"/>
            <w:tcBorders>
              <w:bottom w:val="single" w:sz="8" w:color="70AD47"/>
              <w:right w:val="single" w:sz="8" w:color="70AD47"/>
            </w:tcBorders>
            <w:vMerge w:val="continue"/>
          </w:tcPr>
          <w:p>
            <w:pPr>
              <w:spacing w:after="0"/>
              <w:rPr>
                <w:sz w:val="15"/>
                <w:szCs w:val="15"/>
                <w:color w:val="auto"/>
              </w:rPr>
            </w:pPr>
          </w:p>
        </w:tc>
        <w:tc>
          <w:tcPr>
            <w:tcW w:w="1180" w:type="dxa"/>
            <w:vAlign w:val="bottom"/>
            <w:tcBorders>
              <w:bottom w:val="single" w:sz="8" w:color="70AD47"/>
            </w:tcBorders>
            <w:vMerge w:val="continue"/>
            <w:shd w:val="clear" w:color="auto" w:fill="C6E0B4"/>
          </w:tcPr>
          <w:p>
            <w:pPr>
              <w:spacing w:after="0"/>
              <w:rPr>
                <w:sz w:val="15"/>
                <w:szCs w:val="15"/>
                <w:color w:val="auto"/>
              </w:rPr>
            </w:pPr>
          </w:p>
        </w:tc>
        <w:tc>
          <w:tcPr>
            <w:tcW w:w="160" w:type="dxa"/>
            <w:vAlign w:val="bottom"/>
            <w:tcBorders>
              <w:bottom w:val="single" w:sz="8" w:color="70AD47"/>
            </w:tcBorders>
            <w:shd w:val="clear" w:color="auto" w:fill="C6E0B4"/>
          </w:tcPr>
          <w:p>
            <w:pPr>
              <w:spacing w:after="0"/>
              <w:rPr>
                <w:sz w:val="15"/>
                <w:szCs w:val="15"/>
                <w:color w:val="auto"/>
              </w:rPr>
            </w:pPr>
          </w:p>
        </w:tc>
        <w:tc>
          <w:tcPr>
            <w:tcW w:w="700" w:type="dxa"/>
            <w:vAlign w:val="bottom"/>
            <w:tcBorders>
              <w:bottom w:val="single" w:sz="8" w:color="70AD47"/>
              <w:right w:val="single" w:sz="8" w:color="70AD47"/>
            </w:tcBorders>
            <w:vMerge w:val="continue"/>
            <w:shd w:val="clear" w:color="auto" w:fill="C6E0B4"/>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9200" w:type="dxa"/>
            <w:vAlign w:val="bottom"/>
            <w:tcBorders>
              <w:bottom w:val="single" w:sz="8" w:color="70AD47"/>
              <w:right w:val="single" w:sz="8" w:color="70AD47"/>
            </w:tcBorders>
          </w:tcPr>
          <w:p>
            <w:pPr>
              <w:ind w:left="20"/>
              <w:spacing w:after="0"/>
              <w:rPr>
                <w:sz w:val="20"/>
                <w:szCs w:val="20"/>
                <w:color w:val="auto"/>
              </w:rPr>
            </w:pPr>
            <w:r>
              <w:rPr>
                <w:rFonts w:ascii="Arial" w:cs="Arial" w:eastAsia="Arial" w:hAnsi="Arial"/>
                <w:sz w:val="22"/>
                <w:szCs w:val="22"/>
                <w:b w:val="1"/>
                <w:bCs w:val="1"/>
                <w:color w:val="auto"/>
              </w:rPr>
              <w:t>Supervisory Board</w:t>
            </w:r>
          </w:p>
        </w:tc>
        <w:tc>
          <w:tcPr>
            <w:tcW w:w="1180" w:type="dxa"/>
            <w:vAlign w:val="bottom"/>
            <w:tcBorders>
              <w:bottom w:val="single" w:sz="8" w:color="70AD47"/>
            </w:tcBorders>
            <w:shd w:val="clear" w:color="auto" w:fill="C6E0B4"/>
          </w:tcPr>
          <w:p>
            <w:pPr>
              <w:spacing w:after="0"/>
              <w:rPr>
                <w:sz w:val="22"/>
                <w:szCs w:val="22"/>
                <w:color w:val="auto"/>
              </w:rPr>
            </w:pPr>
          </w:p>
        </w:tc>
        <w:tc>
          <w:tcPr>
            <w:tcW w:w="160" w:type="dxa"/>
            <w:vAlign w:val="bottom"/>
            <w:tcBorders>
              <w:bottom w:val="single" w:sz="8" w:color="70AD47"/>
            </w:tcBorders>
            <w:shd w:val="clear" w:color="auto" w:fill="C6E0B4"/>
          </w:tcPr>
          <w:p>
            <w:pPr>
              <w:spacing w:after="0"/>
              <w:rPr>
                <w:sz w:val="22"/>
                <w:szCs w:val="22"/>
                <w:color w:val="auto"/>
              </w:rPr>
            </w:pPr>
          </w:p>
        </w:tc>
        <w:tc>
          <w:tcPr>
            <w:tcW w:w="700" w:type="dxa"/>
            <w:vAlign w:val="bottom"/>
            <w:tcBorders>
              <w:bottom w:val="single" w:sz="8" w:color="70AD47"/>
              <w:right w:val="single" w:sz="8" w:color="70AD47"/>
            </w:tcBorders>
            <w:shd w:val="clear" w:color="auto" w:fill="C6E0B4"/>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9200" w:type="dxa"/>
            <w:vAlign w:val="bottom"/>
            <w:tcBorders>
              <w:right w:val="single" w:sz="8" w:color="70AD47"/>
            </w:tcBorders>
          </w:tcPr>
          <w:p>
            <w:pPr>
              <w:ind w:left="20"/>
              <w:spacing w:after="0"/>
              <w:rPr>
                <w:sz w:val="20"/>
                <w:szCs w:val="20"/>
                <w:color w:val="auto"/>
              </w:rPr>
            </w:pPr>
            <w:r>
              <w:rPr>
                <w:rFonts w:ascii="Arial" w:cs="Arial" w:eastAsia="Arial" w:hAnsi="Arial"/>
                <w:sz w:val="22"/>
                <w:szCs w:val="22"/>
                <w:color w:val="auto"/>
              </w:rPr>
              <w:t>Helmut Jeggle</w:t>
            </w:r>
          </w:p>
        </w:tc>
        <w:tc>
          <w:tcPr>
            <w:tcW w:w="1180" w:type="dxa"/>
            <w:vAlign w:val="bottom"/>
            <w:shd w:val="clear" w:color="auto" w:fill="C6E0B4"/>
          </w:tcPr>
          <w:p>
            <w:pPr>
              <w:jc w:val="center"/>
              <w:ind w:left="732"/>
              <w:spacing w:after="0"/>
              <w:rPr>
                <w:sz w:val="20"/>
                <w:szCs w:val="20"/>
                <w:color w:val="auto"/>
              </w:rPr>
            </w:pPr>
            <w:r>
              <w:rPr>
                <w:rFonts w:ascii="Arial" w:cs="Arial" w:eastAsia="Arial" w:hAnsi="Arial"/>
                <w:sz w:val="22"/>
                <w:szCs w:val="22"/>
                <w:color w:val="auto"/>
                <w:w w:val="89"/>
              </w:rPr>
              <w:t>21</w:t>
            </w:r>
          </w:p>
        </w:tc>
        <w:tc>
          <w:tcPr>
            <w:tcW w:w="160" w:type="dxa"/>
            <w:vAlign w:val="bottom"/>
            <w:shd w:val="clear" w:color="auto" w:fill="C6E0B4"/>
          </w:tcPr>
          <w:p>
            <w:pPr>
              <w:spacing w:after="0"/>
              <w:rPr>
                <w:sz w:val="22"/>
                <w:szCs w:val="22"/>
                <w:color w:val="auto"/>
              </w:rPr>
            </w:pPr>
          </w:p>
        </w:tc>
        <w:tc>
          <w:tcPr>
            <w:tcW w:w="700" w:type="dxa"/>
            <w:vAlign w:val="bottom"/>
            <w:tcBorders>
              <w:right w:val="single" w:sz="8" w:color="70AD47"/>
            </w:tcBorders>
            <w:shd w:val="clear" w:color="auto" w:fill="C6E0B4"/>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200" w:type="dxa"/>
            <w:vAlign w:val="bottom"/>
            <w:tcBorders>
              <w:right w:val="single" w:sz="8" w:color="70AD47"/>
            </w:tcBorders>
          </w:tcPr>
          <w:p>
            <w:pPr>
              <w:ind w:left="20"/>
              <w:spacing w:after="0"/>
              <w:rPr>
                <w:sz w:val="20"/>
                <w:szCs w:val="20"/>
                <w:color w:val="auto"/>
              </w:rPr>
            </w:pPr>
            <w:r>
              <w:rPr>
                <w:rFonts w:ascii="Arial" w:cs="Arial" w:eastAsia="Arial" w:hAnsi="Arial"/>
                <w:sz w:val="22"/>
                <w:szCs w:val="22"/>
                <w:color w:val="auto"/>
              </w:rPr>
              <w:t>Michael Motschmann</w:t>
            </w:r>
          </w:p>
        </w:tc>
        <w:tc>
          <w:tcPr>
            <w:tcW w:w="1180" w:type="dxa"/>
            <w:vAlign w:val="bottom"/>
            <w:shd w:val="clear" w:color="auto" w:fill="C6E0B4"/>
          </w:tcPr>
          <w:p>
            <w:pPr>
              <w:jc w:val="center"/>
              <w:ind w:left="732"/>
              <w:spacing w:after="0"/>
              <w:rPr>
                <w:sz w:val="20"/>
                <w:szCs w:val="20"/>
                <w:color w:val="auto"/>
              </w:rPr>
            </w:pPr>
            <w:r>
              <w:rPr>
                <w:rFonts w:ascii="Arial" w:cs="Arial" w:eastAsia="Arial" w:hAnsi="Arial"/>
                <w:sz w:val="22"/>
                <w:szCs w:val="22"/>
                <w:color w:val="auto"/>
                <w:w w:val="89"/>
              </w:rPr>
              <w:t>26</w:t>
            </w:r>
          </w:p>
        </w:tc>
        <w:tc>
          <w:tcPr>
            <w:tcW w:w="160" w:type="dxa"/>
            <w:vAlign w:val="bottom"/>
            <w:shd w:val="clear" w:color="auto" w:fill="C6E0B4"/>
          </w:tcPr>
          <w:p>
            <w:pPr>
              <w:spacing w:after="0"/>
              <w:rPr>
                <w:sz w:val="23"/>
                <w:szCs w:val="23"/>
                <w:color w:val="auto"/>
              </w:rPr>
            </w:pPr>
          </w:p>
        </w:tc>
        <w:tc>
          <w:tcPr>
            <w:tcW w:w="700" w:type="dxa"/>
            <w:vAlign w:val="bottom"/>
            <w:tcBorders>
              <w:right w:val="single" w:sz="8" w:color="70AD47"/>
            </w:tcBorders>
            <w:shd w:val="clear" w:color="auto" w:fill="C6E0B4"/>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200" w:type="dxa"/>
            <w:vAlign w:val="bottom"/>
            <w:tcBorders>
              <w:right w:val="single" w:sz="8" w:color="70AD47"/>
            </w:tcBorders>
          </w:tcPr>
          <w:p>
            <w:pPr>
              <w:ind w:left="20"/>
              <w:spacing w:after="0"/>
              <w:rPr>
                <w:sz w:val="20"/>
                <w:szCs w:val="20"/>
                <w:color w:val="auto"/>
              </w:rPr>
            </w:pPr>
            <w:r>
              <w:rPr>
                <w:rFonts w:ascii="Arial" w:cs="Arial" w:eastAsia="Arial" w:hAnsi="Arial"/>
                <w:sz w:val="22"/>
                <w:szCs w:val="22"/>
                <w:color w:val="auto"/>
              </w:rPr>
              <w:t>Prof. Dr. med. Christoph Huber</w:t>
            </w:r>
          </w:p>
        </w:tc>
        <w:tc>
          <w:tcPr>
            <w:tcW w:w="1180" w:type="dxa"/>
            <w:vAlign w:val="bottom"/>
            <w:shd w:val="clear" w:color="auto" w:fill="C6E0B4"/>
          </w:tcPr>
          <w:p>
            <w:pPr>
              <w:jc w:val="center"/>
              <w:ind w:left="732"/>
              <w:spacing w:after="0"/>
              <w:rPr>
                <w:sz w:val="20"/>
                <w:szCs w:val="20"/>
                <w:color w:val="auto"/>
              </w:rPr>
            </w:pPr>
            <w:r>
              <w:rPr>
                <w:rFonts w:ascii="Arial" w:cs="Arial" w:eastAsia="Arial" w:hAnsi="Arial"/>
                <w:sz w:val="22"/>
                <w:szCs w:val="22"/>
                <w:color w:val="auto"/>
                <w:w w:val="89"/>
              </w:rPr>
              <w:t>18</w:t>
            </w:r>
          </w:p>
        </w:tc>
        <w:tc>
          <w:tcPr>
            <w:tcW w:w="160" w:type="dxa"/>
            <w:vAlign w:val="bottom"/>
            <w:shd w:val="clear" w:color="auto" w:fill="C6E0B4"/>
          </w:tcPr>
          <w:p>
            <w:pPr>
              <w:spacing w:after="0"/>
              <w:rPr>
                <w:sz w:val="23"/>
                <w:szCs w:val="23"/>
                <w:color w:val="auto"/>
              </w:rPr>
            </w:pPr>
          </w:p>
        </w:tc>
        <w:tc>
          <w:tcPr>
            <w:tcW w:w="700" w:type="dxa"/>
            <w:vAlign w:val="bottom"/>
            <w:tcBorders>
              <w:right w:val="single" w:sz="8" w:color="70AD47"/>
            </w:tcBorders>
            <w:shd w:val="clear" w:color="auto" w:fill="C6E0B4"/>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9200" w:type="dxa"/>
            <w:vAlign w:val="bottom"/>
            <w:tcBorders>
              <w:bottom w:val="single" w:sz="8" w:color="70AD47"/>
              <w:right w:val="single" w:sz="8" w:color="70AD47"/>
            </w:tcBorders>
          </w:tcPr>
          <w:p>
            <w:pPr>
              <w:ind w:left="20"/>
              <w:spacing w:after="0"/>
              <w:rPr>
                <w:sz w:val="20"/>
                <w:szCs w:val="20"/>
                <w:color w:val="auto"/>
              </w:rPr>
            </w:pPr>
            <w:r>
              <w:rPr>
                <w:rFonts w:ascii="Arial" w:cs="Arial" w:eastAsia="Arial" w:hAnsi="Arial"/>
                <w:sz w:val="22"/>
                <w:szCs w:val="22"/>
                <w:color w:val="auto"/>
              </w:rPr>
              <w:t>Dr. Ulrich Wandschneider</w:t>
            </w:r>
          </w:p>
        </w:tc>
        <w:tc>
          <w:tcPr>
            <w:tcW w:w="1180" w:type="dxa"/>
            <w:vAlign w:val="bottom"/>
            <w:tcBorders>
              <w:bottom w:val="single" w:sz="8" w:color="70AD47"/>
            </w:tcBorders>
            <w:shd w:val="clear" w:color="auto" w:fill="C6E0B4"/>
          </w:tcPr>
          <w:p>
            <w:pPr>
              <w:jc w:val="center"/>
              <w:ind w:left="732"/>
              <w:spacing w:after="0"/>
              <w:rPr>
                <w:sz w:val="20"/>
                <w:szCs w:val="20"/>
                <w:color w:val="auto"/>
              </w:rPr>
            </w:pPr>
            <w:r>
              <w:rPr>
                <w:rFonts w:ascii="Arial" w:cs="Arial" w:eastAsia="Arial" w:hAnsi="Arial"/>
                <w:sz w:val="22"/>
                <w:szCs w:val="22"/>
                <w:color w:val="auto"/>
                <w:w w:val="89"/>
              </w:rPr>
              <w:t>18</w:t>
            </w:r>
          </w:p>
        </w:tc>
        <w:tc>
          <w:tcPr>
            <w:tcW w:w="160" w:type="dxa"/>
            <w:vAlign w:val="bottom"/>
            <w:tcBorders>
              <w:bottom w:val="single" w:sz="8" w:color="70AD47"/>
            </w:tcBorders>
            <w:shd w:val="clear" w:color="auto" w:fill="C6E0B4"/>
          </w:tcPr>
          <w:p>
            <w:pPr>
              <w:spacing w:after="0"/>
              <w:rPr>
                <w:sz w:val="24"/>
                <w:szCs w:val="24"/>
                <w:color w:val="auto"/>
              </w:rPr>
            </w:pPr>
          </w:p>
        </w:tc>
        <w:tc>
          <w:tcPr>
            <w:tcW w:w="700" w:type="dxa"/>
            <w:vAlign w:val="bottom"/>
            <w:tcBorders>
              <w:bottom w:val="single" w:sz="8" w:color="70AD47"/>
              <w:right w:val="single" w:sz="8" w:color="70AD47"/>
            </w:tcBorders>
            <w:shd w:val="clear" w:color="auto" w:fill="C6E0B4"/>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9200" w:type="dxa"/>
            <w:vAlign w:val="bottom"/>
            <w:tcBorders>
              <w:bottom w:val="single" w:sz="8" w:color="70AD47"/>
              <w:right w:val="single" w:sz="8" w:color="70AD47"/>
            </w:tcBorders>
          </w:tcPr>
          <w:p>
            <w:pPr>
              <w:ind w:left="20"/>
              <w:spacing w:after="0"/>
              <w:rPr>
                <w:sz w:val="20"/>
                <w:szCs w:val="20"/>
                <w:color w:val="auto"/>
              </w:rPr>
            </w:pPr>
            <w:r>
              <w:rPr>
                <w:rFonts w:ascii="Arial" w:cs="Arial" w:eastAsia="Arial" w:hAnsi="Arial"/>
                <w:sz w:val="22"/>
                <w:szCs w:val="22"/>
                <w:b w:val="1"/>
                <w:bCs w:val="1"/>
                <w:color w:val="auto"/>
              </w:rPr>
              <w:t>Earnings indicators</w:t>
            </w:r>
          </w:p>
        </w:tc>
        <w:tc>
          <w:tcPr>
            <w:tcW w:w="1180" w:type="dxa"/>
            <w:vAlign w:val="bottom"/>
            <w:tcBorders>
              <w:bottom w:val="single" w:sz="8" w:color="70AD47"/>
            </w:tcBorders>
            <w:shd w:val="clear" w:color="auto" w:fill="C6E0B4"/>
          </w:tcPr>
          <w:p>
            <w:pPr>
              <w:spacing w:after="0"/>
              <w:rPr>
                <w:sz w:val="23"/>
                <w:szCs w:val="23"/>
                <w:color w:val="auto"/>
              </w:rPr>
            </w:pPr>
          </w:p>
        </w:tc>
        <w:tc>
          <w:tcPr>
            <w:tcW w:w="160" w:type="dxa"/>
            <w:vAlign w:val="bottom"/>
            <w:tcBorders>
              <w:bottom w:val="single" w:sz="8" w:color="70AD47"/>
            </w:tcBorders>
            <w:shd w:val="clear" w:color="auto" w:fill="C6E0B4"/>
          </w:tcPr>
          <w:p>
            <w:pPr>
              <w:spacing w:after="0"/>
              <w:rPr>
                <w:sz w:val="23"/>
                <w:szCs w:val="23"/>
                <w:color w:val="auto"/>
              </w:rPr>
            </w:pPr>
          </w:p>
        </w:tc>
        <w:tc>
          <w:tcPr>
            <w:tcW w:w="700" w:type="dxa"/>
            <w:vAlign w:val="bottom"/>
            <w:tcBorders>
              <w:bottom w:val="single" w:sz="8" w:color="70AD47"/>
              <w:right w:val="single" w:sz="8" w:color="70AD47"/>
            </w:tcBorders>
            <w:shd w:val="clear" w:color="auto" w:fill="C6E0B4"/>
          </w:tcPr>
          <w:p>
            <w:pPr>
              <w:spacing w:after="0"/>
              <w:rPr>
                <w:sz w:val="23"/>
                <w:szCs w:val="23"/>
                <w:color w:val="auto"/>
              </w:rPr>
            </w:pPr>
          </w:p>
        </w:tc>
        <w:tc>
          <w:tcPr>
            <w:tcW w:w="0" w:type="dxa"/>
            <w:vAlign w:val="bottom"/>
          </w:tcPr>
          <w:p>
            <w:pPr>
              <w:spacing w:after="0"/>
              <w:rPr>
                <w:sz w:val="1"/>
                <w:szCs w:val="1"/>
                <w:color w:val="auto"/>
              </w:rPr>
            </w:pPr>
          </w:p>
        </w:tc>
      </w:tr>
      <w:tr>
        <w:trPr>
          <w:trHeight w:val="412"/>
        </w:trPr>
        <w:tc>
          <w:tcPr>
            <w:tcW w:w="9200" w:type="dxa"/>
            <w:vAlign w:val="bottom"/>
            <w:tcBorders>
              <w:right w:val="single" w:sz="8" w:color="70AD47"/>
            </w:tcBorders>
          </w:tcPr>
          <w:p>
            <w:pPr>
              <w:ind w:left="20"/>
              <w:spacing w:after="0"/>
              <w:rPr>
                <w:sz w:val="20"/>
                <w:szCs w:val="20"/>
                <w:color w:val="auto"/>
              </w:rPr>
            </w:pPr>
            <w:r>
              <w:rPr>
                <w:rFonts w:ascii="Arial" w:cs="Arial" w:eastAsia="Arial" w:hAnsi="Arial"/>
                <w:sz w:val="22"/>
                <w:szCs w:val="22"/>
                <w:color w:val="auto"/>
              </w:rPr>
              <w:t>Revenues from contracts with customers (IFRS BioNTech Group)</w:t>
            </w:r>
            <w:r>
              <w:rPr>
                <w:rFonts w:ascii="Arial" w:cs="Arial" w:eastAsia="Arial" w:hAnsi="Arial"/>
                <w:sz w:val="28"/>
                <w:szCs w:val="28"/>
                <w:color w:val="auto"/>
                <w:vertAlign w:val="superscript"/>
              </w:rPr>
              <w:t>(2)</w:t>
            </w:r>
          </w:p>
        </w:tc>
        <w:tc>
          <w:tcPr>
            <w:tcW w:w="2040" w:type="dxa"/>
            <w:vAlign w:val="bottom"/>
            <w:tcBorders>
              <w:right w:val="single" w:sz="8" w:color="70AD47"/>
            </w:tcBorders>
            <w:gridSpan w:val="3"/>
            <w:shd w:val="clear" w:color="auto" w:fill="C6E0B4"/>
          </w:tcPr>
          <w:p>
            <w:pPr>
              <w:ind w:left="720"/>
              <w:spacing w:after="0"/>
              <w:rPr>
                <w:sz w:val="20"/>
                <w:szCs w:val="20"/>
                <w:color w:val="auto"/>
              </w:rPr>
            </w:pPr>
            <w:r>
              <w:rPr>
                <w:rFonts w:ascii="Arial" w:cs="Arial" w:eastAsia="Arial" w:hAnsi="Arial"/>
                <w:sz w:val="22"/>
                <w:szCs w:val="22"/>
                <w:color w:val="auto"/>
              </w:rPr>
              <w:t>n. m.</w:t>
            </w:r>
            <w:r>
              <w:rPr>
                <w:rFonts w:ascii="Arial" w:cs="Arial" w:eastAsia="Arial" w:hAnsi="Arial"/>
                <w:sz w:val="28"/>
                <w:szCs w:val="28"/>
                <w:color w:val="auto"/>
                <w:vertAlign w:val="superscript"/>
              </w:rPr>
              <w:t>(6)</w:t>
            </w:r>
          </w:p>
        </w:tc>
        <w:tc>
          <w:tcPr>
            <w:tcW w:w="0" w:type="dxa"/>
            <w:vAlign w:val="bottom"/>
          </w:tcPr>
          <w:p>
            <w:pPr>
              <w:spacing w:after="0"/>
              <w:rPr>
                <w:sz w:val="1"/>
                <w:szCs w:val="1"/>
                <w:color w:val="auto"/>
              </w:rPr>
            </w:pPr>
          </w:p>
        </w:tc>
      </w:tr>
      <w:tr>
        <w:trPr>
          <w:trHeight w:val="432"/>
        </w:trPr>
        <w:tc>
          <w:tcPr>
            <w:tcW w:w="9200" w:type="dxa"/>
            <w:vAlign w:val="bottom"/>
            <w:tcBorders>
              <w:right w:val="single" w:sz="8" w:color="70AD47"/>
            </w:tcBorders>
          </w:tcPr>
          <w:p>
            <w:pPr>
              <w:ind w:left="20"/>
              <w:spacing w:after="0"/>
              <w:rPr>
                <w:sz w:val="20"/>
                <w:szCs w:val="20"/>
                <w:color w:val="auto"/>
              </w:rPr>
            </w:pPr>
            <w:r>
              <w:rPr>
                <w:rFonts w:ascii="Arial" w:cs="Arial" w:eastAsia="Arial" w:hAnsi="Arial"/>
                <w:sz w:val="22"/>
                <w:szCs w:val="22"/>
                <w:color w:val="auto"/>
              </w:rPr>
              <w:t>Operating income/ (loss) (IFRS BioNTech Group)</w:t>
            </w:r>
            <w:r>
              <w:rPr>
                <w:rFonts w:ascii="Arial" w:cs="Arial" w:eastAsia="Arial" w:hAnsi="Arial"/>
                <w:sz w:val="28"/>
                <w:szCs w:val="28"/>
                <w:color w:val="auto"/>
                <w:vertAlign w:val="superscript"/>
              </w:rPr>
              <w:t>(3)</w:t>
            </w:r>
          </w:p>
        </w:tc>
        <w:tc>
          <w:tcPr>
            <w:tcW w:w="2040" w:type="dxa"/>
            <w:vAlign w:val="bottom"/>
            <w:tcBorders>
              <w:right w:val="single" w:sz="8" w:color="70AD47"/>
            </w:tcBorders>
            <w:gridSpan w:val="3"/>
            <w:shd w:val="clear" w:color="auto" w:fill="C6E0B4"/>
          </w:tcPr>
          <w:p>
            <w:pPr>
              <w:ind w:left="720"/>
              <w:spacing w:after="0"/>
              <w:rPr>
                <w:sz w:val="20"/>
                <w:szCs w:val="20"/>
                <w:color w:val="auto"/>
              </w:rPr>
            </w:pPr>
            <w:r>
              <w:rPr>
                <w:rFonts w:ascii="Arial" w:cs="Arial" w:eastAsia="Arial" w:hAnsi="Arial"/>
                <w:sz w:val="22"/>
                <w:szCs w:val="22"/>
                <w:color w:val="auto"/>
              </w:rPr>
              <w:t>n. m.</w:t>
            </w:r>
            <w:r>
              <w:rPr>
                <w:rFonts w:ascii="Arial" w:cs="Arial" w:eastAsia="Arial" w:hAnsi="Arial"/>
                <w:sz w:val="28"/>
                <w:szCs w:val="28"/>
                <w:color w:val="auto"/>
                <w:vertAlign w:val="superscript"/>
              </w:rPr>
              <w:t>(6)</w:t>
            </w:r>
          </w:p>
        </w:tc>
        <w:tc>
          <w:tcPr>
            <w:tcW w:w="0" w:type="dxa"/>
            <w:vAlign w:val="bottom"/>
          </w:tcPr>
          <w:p>
            <w:pPr>
              <w:spacing w:after="0"/>
              <w:rPr>
                <w:sz w:val="1"/>
                <w:szCs w:val="1"/>
                <w:color w:val="auto"/>
              </w:rPr>
            </w:pPr>
          </w:p>
        </w:tc>
      </w:tr>
      <w:tr>
        <w:trPr>
          <w:trHeight w:val="418"/>
        </w:trPr>
        <w:tc>
          <w:tcPr>
            <w:tcW w:w="9200" w:type="dxa"/>
            <w:vAlign w:val="bottom"/>
            <w:tcBorders>
              <w:bottom w:val="single" w:sz="8" w:color="70AD47"/>
              <w:right w:val="single" w:sz="8" w:color="70AD47"/>
            </w:tcBorders>
          </w:tcPr>
          <w:p>
            <w:pPr>
              <w:ind w:left="20"/>
              <w:spacing w:after="0"/>
              <w:rPr>
                <w:sz w:val="20"/>
                <w:szCs w:val="20"/>
                <w:color w:val="auto"/>
              </w:rPr>
            </w:pPr>
            <w:r>
              <w:rPr>
                <w:rFonts w:ascii="Arial" w:cs="Arial" w:eastAsia="Arial" w:hAnsi="Arial"/>
                <w:sz w:val="22"/>
                <w:szCs w:val="22"/>
                <w:color w:val="auto"/>
              </w:rPr>
              <w:t>Net income (HGB BioNTech SE)</w:t>
            </w:r>
            <w:r>
              <w:rPr>
                <w:rFonts w:ascii="Arial" w:cs="Arial" w:eastAsia="Arial" w:hAnsi="Arial"/>
                <w:sz w:val="28"/>
                <w:szCs w:val="28"/>
                <w:color w:val="auto"/>
                <w:vertAlign w:val="superscript"/>
              </w:rPr>
              <w:t>(4)</w:t>
            </w:r>
          </w:p>
        </w:tc>
        <w:tc>
          <w:tcPr>
            <w:tcW w:w="2040" w:type="dxa"/>
            <w:vAlign w:val="bottom"/>
            <w:tcBorders>
              <w:bottom w:val="single" w:sz="8" w:color="70AD47"/>
              <w:right w:val="single" w:sz="8" w:color="70AD47"/>
            </w:tcBorders>
            <w:gridSpan w:val="3"/>
            <w:shd w:val="clear" w:color="auto" w:fill="C6E0B4"/>
          </w:tcPr>
          <w:p>
            <w:pPr>
              <w:ind w:left="720"/>
              <w:spacing w:after="0"/>
              <w:rPr>
                <w:sz w:val="20"/>
                <w:szCs w:val="20"/>
                <w:color w:val="auto"/>
              </w:rPr>
            </w:pPr>
            <w:r>
              <w:rPr>
                <w:rFonts w:ascii="Arial" w:cs="Arial" w:eastAsia="Arial" w:hAnsi="Arial"/>
                <w:sz w:val="22"/>
                <w:szCs w:val="22"/>
                <w:color w:val="auto"/>
              </w:rPr>
              <w:t>n. m.</w:t>
            </w:r>
            <w:r>
              <w:rPr>
                <w:rFonts w:ascii="Arial" w:cs="Arial" w:eastAsia="Arial" w:hAnsi="Arial"/>
                <w:sz w:val="28"/>
                <w:szCs w:val="28"/>
                <w:color w:val="auto"/>
                <w:vertAlign w:val="superscript"/>
              </w:rPr>
              <w:t>(6)</w:t>
            </w:r>
          </w:p>
        </w:tc>
        <w:tc>
          <w:tcPr>
            <w:tcW w:w="0" w:type="dxa"/>
            <w:vAlign w:val="bottom"/>
          </w:tcPr>
          <w:p>
            <w:pPr>
              <w:spacing w:after="0"/>
              <w:rPr>
                <w:sz w:val="1"/>
                <w:szCs w:val="1"/>
                <w:color w:val="auto"/>
              </w:rPr>
            </w:pPr>
          </w:p>
        </w:tc>
      </w:tr>
      <w:tr>
        <w:trPr>
          <w:trHeight w:val="263"/>
        </w:trPr>
        <w:tc>
          <w:tcPr>
            <w:tcW w:w="9200" w:type="dxa"/>
            <w:vAlign w:val="bottom"/>
            <w:tcBorders>
              <w:bottom w:val="single" w:sz="8" w:color="70AD47"/>
              <w:right w:val="single" w:sz="8" w:color="70AD47"/>
            </w:tcBorders>
          </w:tcPr>
          <w:p>
            <w:pPr>
              <w:ind w:left="20"/>
              <w:spacing w:after="0"/>
              <w:rPr>
                <w:sz w:val="20"/>
                <w:szCs w:val="20"/>
                <w:color w:val="auto"/>
              </w:rPr>
            </w:pPr>
            <w:r>
              <w:rPr>
                <w:rFonts w:ascii="Arial" w:cs="Arial" w:eastAsia="Arial" w:hAnsi="Arial"/>
                <w:sz w:val="22"/>
                <w:szCs w:val="22"/>
                <w:b w:val="1"/>
                <w:bCs w:val="1"/>
                <w:color w:val="auto"/>
              </w:rPr>
              <w:t>Compensation of the workforce</w:t>
            </w:r>
          </w:p>
        </w:tc>
        <w:tc>
          <w:tcPr>
            <w:tcW w:w="1180" w:type="dxa"/>
            <w:vAlign w:val="bottom"/>
            <w:tcBorders>
              <w:bottom w:val="single" w:sz="8" w:color="70AD47"/>
            </w:tcBorders>
            <w:shd w:val="clear" w:color="auto" w:fill="C6E0B4"/>
          </w:tcPr>
          <w:p>
            <w:pPr>
              <w:spacing w:after="0"/>
              <w:rPr>
                <w:sz w:val="22"/>
                <w:szCs w:val="22"/>
                <w:color w:val="auto"/>
              </w:rPr>
            </w:pPr>
          </w:p>
        </w:tc>
        <w:tc>
          <w:tcPr>
            <w:tcW w:w="160" w:type="dxa"/>
            <w:vAlign w:val="bottom"/>
            <w:tcBorders>
              <w:bottom w:val="single" w:sz="8" w:color="70AD47"/>
            </w:tcBorders>
            <w:shd w:val="clear" w:color="auto" w:fill="C6E0B4"/>
          </w:tcPr>
          <w:p>
            <w:pPr>
              <w:spacing w:after="0"/>
              <w:rPr>
                <w:sz w:val="22"/>
                <w:szCs w:val="22"/>
                <w:color w:val="auto"/>
              </w:rPr>
            </w:pPr>
          </w:p>
        </w:tc>
        <w:tc>
          <w:tcPr>
            <w:tcW w:w="700" w:type="dxa"/>
            <w:vAlign w:val="bottom"/>
            <w:tcBorders>
              <w:bottom w:val="single" w:sz="8" w:color="70AD47"/>
              <w:right w:val="single" w:sz="8" w:color="70AD47"/>
            </w:tcBorders>
            <w:shd w:val="clear" w:color="auto" w:fill="C6E0B4"/>
          </w:tcPr>
          <w:p>
            <w:pPr>
              <w:spacing w:after="0"/>
              <w:rPr>
                <w:sz w:val="22"/>
                <w:szCs w:val="22"/>
                <w:color w:val="auto"/>
              </w:rPr>
            </w:pPr>
          </w:p>
        </w:tc>
        <w:tc>
          <w:tcPr>
            <w:tcW w:w="0" w:type="dxa"/>
            <w:vAlign w:val="bottom"/>
          </w:tcPr>
          <w:p>
            <w:pPr>
              <w:spacing w:after="0"/>
              <w:rPr>
                <w:sz w:val="1"/>
                <w:szCs w:val="1"/>
                <w:color w:val="auto"/>
              </w:rPr>
            </w:pPr>
          </w:p>
        </w:tc>
      </w:tr>
      <w:tr>
        <w:trPr>
          <w:trHeight w:val="345"/>
        </w:trPr>
        <w:tc>
          <w:tcPr>
            <w:tcW w:w="9200" w:type="dxa"/>
            <w:vAlign w:val="bottom"/>
            <w:tcBorders>
              <w:bottom w:val="single" w:sz="8" w:color="70AD47"/>
              <w:right w:val="single" w:sz="8" w:color="70AD47"/>
            </w:tcBorders>
          </w:tcPr>
          <w:p>
            <w:pPr>
              <w:ind w:left="20"/>
              <w:spacing w:after="0"/>
              <w:rPr>
                <w:sz w:val="20"/>
                <w:szCs w:val="20"/>
                <w:color w:val="auto"/>
              </w:rPr>
            </w:pPr>
            <w:r>
              <w:rPr>
                <w:rFonts w:ascii="Arial" w:cs="Arial" w:eastAsia="Arial" w:hAnsi="Arial"/>
                <w:sz w:val="22"/>
                <w:szCs w:val="22"/>
                <w:color w:val="auto"/>
              </w:rPr>
              <w:t>Total workforce</w:t>
            </w:r>
            <w:r>
              <w:rPr>
                <w:rFonts w:ascii="Arial" w:cs="Arial" w:eastAsia="Arial" w:hAnsi="Arial"/>
                <w:sz w:val="28"/>
                <w:szCs w:val="28"/>
                <w:color w:val="auto"/>
                <w:vertAlign w:val="superscript"/>
              </w:rPr>
              <w:t>(5)</w:t>
            </w:r>
          </w:p>
        </w:tc>
        <w:tc>
          <w:tcPr>
            <w:tcW w:w="1180" w:type="dxa"/>
            <w:vAlign w:val="bottom"/>
            <w:tcBorders>
              <w:bottom w:val="single" w:sz="8" w:color="70AD47"/>
            </w:tcBorders>
            <w:shd w:val="clear" w:color="auto" w:fill="C6E0B4"/>
          </w:tcPr>
          <w:p>
            <w:pPr>
              <w:jc w:val="center"/>
              <w:ind w:left="732"/>
              <w:spacing w:after="0"/>
              <w:rPr>
                <w:sz w:val="20"/>
                <w:szCs w:val="20"/>
                <w:color w:val="auto"/>
              </w:rPr>
            </w:pPr>
            <w:r>
              <w:rPr>
                <w:rFonts w:ascii="Arial" w:cs="Arial" w:eastAsia="Arial" w:hAnsi="Arial"/>
                <w:sz w:val="22"/>
                <w:szCs w:val="22"/>
                <w:color w:val="auto"/>
                <w:w w:val="81"/>
              </w:rPr>
              <w:t>5</w:t>
            </w:r>
          </w:p>
        </w:tc>
        <w:tc>
          <w:tcPr>
            <w:tcW w:w="160" w:type="dxa"/>
            <w:vAlign w:val="bottom"/>
            <w:tcBorders>
              <w:bottom w:val="single" w:sz="8" w:color="70AD47"/>
            </w:tcBorders>
            <w:shd w:val="clear" w:color="auto" w:fill="C6E0B4"/>
          </w:tcPr>
          <w:p>
            <w:pPr>
              <w:spacing w:after="0"/>
              <w:rPr>
                <w:sz w:val="24"/>
                <w:szCs w:val="24"/>
                <w:color w:val="auto"/>
              </w:rPr>
            </w:pPr>
          </w:p>
        </w:tc>
        <w:tc>
          <w:tcPr>
            <w:tcW w:w="700" w:type="dxa"/>
            <w:vAlign w:val="bottom"/>
            <w:tcBorders>
              <w:bottom w:val="single" w:sz="8" w:color="70AD47"/>
              <w:right w:val="single" w:sz="8" w:color="70AD47"/>
            </w:tcBorders>
            <w:shd w:val="clear" w:color="auto" w:fill="C6E0B4"/>
          </w:tcPr>
          <w:p>
            <w:pPr>
              <w:spacing w:after="0"/>
              <w:rPr>
                <w:sz w:val="24"/>
                <w:szCs w:val="24"/>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firstLine="8"/>
        <w:spacing w:after="0" w:line="204" w:lineRule="auto"/>
        <w:tabs>
          <w:tab w:leader="none" w:pos="766" w:val="left"/>
        </w:tabs>
        <w:numPr>
          <w:ilvl w:val="0"/>
          <w:numId w:val="28"/>
        </w:numPr>
        <w:rPr>
          <w:rFonts w:ascii="Arial" w:cs="Arial" w:eastAsia="Arial" w:hAnsi="Arial"/>
          <w:sz w:val="28"/>
          <w:szCs w:val="28"/>
          <w:color w:val="auto"/>
          <w:vertAlign w:val="superscript"/>
        </w:rPr>
      </w:pPr>
      <w:r>
        <w:rPr>
          <w:rFonts w:ascii="Arial" w:cs="Arial" w:eastAsia="Arial" w:hAnsi="Arial"/>
          <w:sz w:val="22"/>
          <w:szCs w:val="22"/>
          <w:color w:val="auto"/>
        </w:rPr>
        <w:t>Jens Holstein was appointed to the Management Board as Chief Financial Officer (CFO) on July 1, 2021. Therefore, a comparison with the prior year is not possible.</w:t>
      </w:r>
    </w:p>
    <w:p>
      <w:pPr>
        <w:spacing w:after="0" w:line="159" w:lineRule="exact"/>
        <w:rPr>
          <w:rFonts w:ascii="Arial" w:cs="Arial" w:eastAsia="Arial" w:hAnsi="Arial"/>
          <w:sz w:val="28"/>
          <w:szCs w:val="28"/>
          <w:color w:val="auto"/>
          <w:vertAlign w:val="superscript"/>
        </w:rPr>
      </w:pPr>
    </w:p>
    <w:p>
      <w:pPr>
        <w:ind w:firstLine="8"/>
        <w:spacing w:after="0" w:line="204" w:lineRule="auto"/>
        <w:tabs>
          <w:tab w:leader="none" w:pos="385" w:val="left"/>
        </w:tabs>
        <w:numPr>
          <w:ilvl w:val="0"/>
          <w:numId w:val="28"/>
        </w:numPr>
        <w:rPr>
          <w:rFonts w:ascii="Arial" w:cs="Arial" w:eastAsia="Arial" w:hAnsi="Arial"/>
          <w:sz w:val="28"/>
          <w:szCs w:val="28"/>
          <w:color w:val="auto"/>
          <w:vertAlign w:val="superscript"/>
        </w:rPr>
      </w:pPr>
      <w:r>
        <w:rPr>
          <w:rFonts w:ascii="Arial" w:cs="Arial" w:eastAsia="Arial" w:hAnsi="Arial"/>
          <w:sz w:val="22"/>
          <w:szCs w:val="22"/>
          <w:color w:val="auto"/>
        </w:rPr>
        <w:t>Revenues changed significantly from €482.3 million during the year ended December 31, 2020 to €18,977 million during the year ended December 31, 2021.</w:t>
      </w:r>
    </w:p>
    <w:p>
      <w:pPr>
        <w:sectPr>
          <w:pgSz w:w="11900" w:h="16838" w:orient="portrait"/>
          <w:cols w:equalWidth="0" w:num="1">
            <w:col w:w="11240"/>
          </w:cols>
          <w:pgMar w:left="320" w:top="1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1125" w:right="339" w:bottom="1440" w:gutter="0" w:footer="0" w:header="0"/>
          <w:type w:val="continuous"/>
        </w:sectPr>
      </w:pPr>
    </w:p>
    <w:bookmarkStart w:id="36" w:name="page37"/>
    <w:bookmarkEnd w:id="36"/>
    <w:p>
      <w:pPr>
        <w:ind w:left="-8" w:firstLine="8"/>
        <w:spacing w:after="0" w:line="204" w:lineRule="auto"/>
        <w:tabs>
          <w:tab w:leader="none" w:pos="379" w:val="left"/>
        </w:tabs>
        <w:numPr>
          <w:ilvl w:val="0"/>
          <w:numId w:val="29"/>
        </w:numPr>
        <w:rPr>
          <w:rFonts w:ascii="Arial" w:cs="Arial" w:eastAsia="Arial" w:hAnsi="Arial"/>
          <w:sz w:val="28"/>
          <w:szCs w:val="28"/>
          <w:color w:val="auto"/>
          <w:vertAlign w:val="superscript"/>
        </w:rPr>
      </w:pPr>
      <w:r>
        <w:rPr>
          <w:rFonts w:ascii="Arial" w:cs="Arial" w:eastAsia="Arial" w:hAnsi="Arial"/>
          <w:sz w:val="22"/>
          <w:szCs w:val="22"/>
          <w:color w:val="auto"/>
        </w:rPr>
        <w:t>Operating profit / (loss) changed significantly from €82.4 million operating loss during the year ended December 31, 2020 to €15,283.8 million operating profit during the year ended December 31, 2021.</w:t>
      </w:r>
    </w:p>
    <w:p>
      <w:pPr>
        <w:spacing w:after="0" w:line="159" w:lineRule="exact"/>
        <w:rPr>
          <w:rFonts w:ascii="Arial" w:cs="Arial" w:eastAsia="Arial" w:hAnsi="Arial"/>
          <w:sz w:val="28"/>
          <w:szCs w:val="28"/>
          <w:color w:val="auto"/>
          <w:vertAlign w:val="superscript"/>
        </w:rPr>
      </w:pPr>
    </w:p>
    <w:p>
      <w:pPr>
        <w:jc w:val="both"/>
        <w:ind w:left="-8" w:firstLine="8"/>
        <w:spacing w:after="0" w:line="213" w:lineRule="auto"/>
        <w:tabs>
          <w:tab w:leader="none" w:pos="536" w:val="left"/>
        </w:tabs>
        <w:numPr>
          <w:ilvl w:val="0"/>
          <w:numId w:val="29"/>
        </w:numPr>
        <w:rPr>
          <w:rFonts w:ascii="Arial" w:cs="Arial" w:eastAsia="Arial" w:hAnsi="Arial"/>
          <w:sz w:val="27"/>
          <w:szCs w:val="27"/>
          <w:color w:val="auto"/>
          <w:vertAlign w:val="superscript"/>
        </w:rPr>
      </w:pPr>
      <w:r>
        <w:rPr>
          <w:rFonts w:ascii="Arial" w:cs="Arial" w:eastAsia="Arial" w:hAnsi="Arial"/>
          <w:sz w:val="21"/>
          <w:szCs w:val="21"/>
          <w:color w:val="auto"/>
        </w:rPr>
        <w:t>Net income (HGB) changed significantly from €128.9 million net loss during the year ended December 31, 2020 to €10,777.6 million net income during the year ended December 31, 2021. The information on net income (HGB) is not representative for the group but is considered to be a key earning indicator in terms of Sec. 162 para. 1 no. 2 AktG.</w:t>
      </w:r>
    </w:p>
    <w:p>
      <w:pPr>
        <w:spacing w:after="0" w:line="159" w:lineRule="exact"/>
        <w:rPr>
          <w:rFonts w:ascii="Arial" w:cs="Arial" w:eastAsia="Arial" w:hAnsi="Arial"/>
          <w:sz w:val="27"/>
          <w:szCs w:val="27"/>
          <w:color w:val="auto"/>
          <w:vertAlign w:val="superscript"/>
        </w:rPr>
      </w:pPr>
    </w:p>
    <w:p>
      <w:pPr>
        <w:jc w:val="both"/>
        <w:ind w:left="-8" w:firstLine="8"/>
        <w:spacing w:after="0" w:line="204" w:lineRule="auto"/>
        <w:tabs>
          <w:tab w:leader="none" w:pos="396" w:val="left"/>
        </w:tabs>
        <w:numPr>
          <w:ilvl w:val="0"/>
          <w:numId w:val="29"/>
        </w:numPr>
        <w:rPr>
          <w:rFonts w:ascii="Arial" w:cs="Arial" w:eastAsia="Arial" w:hAnsi="Arial"/>
          <w:sz w:val="28"/>
          <w:szCs w:val="28"/>
          <w:color w:val="auto"/>
          <w:vertAlign w:val="superscript"/>
        </w:rPr>
      </w:pPr>
      <w:r>
        <w:rPr>
          <w:rFonts w:ascii="Arial" w:cs="Arial" w:eastAsia="Arial" w:hAnsi="Arial"/>
          <w:sz w:val="22"/>
          <w:szCs w:val="22"/>
          <w:color w:val="auto"/>
        </w:rPr>
        <w:t>The average employee compensation is based on the compensation of BioNTech Group employees including social security contributions, excluding expenses incurred from share-based payment as those are not yet considered granted and owed since the underlying performance and service requirements are not yet considered fulfilled, and calculated using the average full-time equivalent at the beginning and end of the respective period.</w:t>
      </w:r>
    </w:p>
    <w:p>
      <w:pPr>
        <w:spacing w:after="0" w:line="113" w:lineRule="exact"/>
        <w:rPr>
          <w:rFonts w:ascii="Arial" w:cs="Arial" w:eastAsia="Arial" w:hAnsi="Arial"/>
          <w:sz w:val="28"/>
          <w:szCs w:val="28"/>
          <w:color w:val="auto"/>
          <w:vertAlign w:val="superscript"/>
        </w:rPr>
      </w:pPr>
    </w:p>
    <w:p>
      <w:pPr>
        <w:ind w:left="592" w:hanging="592"/>
        <w:spacing w:after="0"/>
        <w:tabs>
          <w:tab w:leader="none" w:pos="592" w:val="left"/>
        </w:tabs>
        <w:numPr>
          <w:ilvl w:val="0"/>
          <w:numId w:val="29"/>
        </w:numPr>
        <w:rPr>
          <w:rFonts w:ascii="Arial" w:cs="Arial" w:eastAsia="Arial" w:hAnsi="Arial"/>
          <w:sz w:val="28"/>
          <w:szCs w:val="28"/>
          <w:color w:val="auto"/>
          <w:vertAlign w:val="superscript"/>
        </w:rPr>
      </w:pPr>
      <w:r>
        <w:rPr>
          <w:rFonts w:ascii="Arial" w:cs="Arial" w:eastAsia="Arial" w:hAnsi="Arial"/>
          <w:sz w:val="22"/>
          <w:szCs w:val="22"/>
          <w:color w:val="auto"/>
        </w:rPr>
        <w:t>n.m.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32"/>
          </w:cols>
          <w:pgMar w:left="328" w:top="1131" w:right="339" w:bottom="1440" w:gutter="0" w:footer="0" w:header="0"/>
        </w:sectPr>
      </w:pPr>
    </w:p>
    <w:bookmarkStart w:id="37" w:name="page38"/>
    <w:bookmarkEnd w:id="37"/>
    <w:p>
      <w:pPr>
        <w:spacing w:after="0" w:line="387" w:lineRule="exact"/>
        <w:rPr>
          <w:sz w:val="20"/>
          <w:szCs w:val="20"/>
          <w:color w:val="auto"/>
        </w:rPr>
      </w:pPr>
    </w:p>
    <w:p>
      <w:pPr>
        <w:ind w:left="400" w:hanging="392"/>
        <w:spacing w:after="0"/>
        <w:tabs>
          <w:tab w:leader="none" w:pos="40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Conclusion on Applied Remuneration System for the Year Ended December 31, 2021</w:t>
      </w:r>
    </w:p>
    <w:p>
      <w:pPr>
        <w:spacing w:after="0" w:line="185" w:lineRule="exact"/>
        <w:rPr>
          <w:sz w:val="20"/>
          <w:szCs w:val="20"/>
          <w:color w:val="auto"/>
        </w:rPr>
      </w:pPr>
    </w:p>
    <w:p>
      <w:pPr>
        <w:jc w:val="both"/>
        <w:ind w:left="640"/>
        <w:spacing w:after="0" w:line="218" w:lineRule="auto"/>
        <w:rPr>
          <w:sz w:val="20"/>
          <w:szCs w:val="20"/>
          <w:color w:val="auto"/>
        </w:rPr>
      </w:pPr>
      <w:r>
        <w:rPr>
          <w:rFonts w:ascii="Arial" w:cs="Arial" w:eastAsia="Arial" w:hAnsi="Arial"/>
          <w:sz w:val="22"/>
          <w:szCs w:val="22"/>
          <w:color w:val="auto"/>
        </w:rPr>
        <w:t>The year ended December 31, 2021 was another transformational year for us during which our Supervisory Board and Management Board remained constant, apart from the new addition of Jens Holstein who joined the Management Board as of July 1, 2021 as new CFO. During the year ended December 31, 2021 the service agreement with Dr. Sierk Poetting was renewed as of December 1, 2021.</w:t>
      </w:r>
    </w:p>
    <w:p>
      <w:pPr>
        <w:spacing w:after="0" w:line="161" w:lineRule="exact"/>
        <w:rPr>
          <w:sz w:val="20"/>
          <w:szCs w:val="20"/>
          <w:color w:val="auto"/>
        </w:rPr>
      </w:pPr>
    </w:p>
    <w:p>
      <w:pPr>
        <w:jc w:val="both"/>
        <w:ind w:left="640"/>
        <w:spacing w:after="0" w:line="226" w:lineRule="auto"/>
        <w:rPr>
          <w:sz w:val="20"/>
          <w:szCs w:val="20"/>
          <w:color w:val="auto"/>
        </w:rPr>
      </w:pPr>
      <w:r>
        <w:rPr>
          <w:rFonts w:ascii="Arial" w:cs="Arial" w:eastAsia="Arial" w:hAnsi="Arial"/>
          <w:sz w:val="21"/>
          <w:szCs w:val="21"/>
          <w:color w:val="auto"/>
        </w:rPr>
        <w:t>To promote the business strategy and the long-term development of BioNTech, we challenged our remuneration system during the year ended December 31, 2021. Following a thorough review, our Supervisory Board slightly modified the compensation system for the members of the Management Board and the remuneration system was approved by the AGM in June 2021. At the same AGM, the compensation of our Supervisory Board members was adjusted while generally retaining the system for the compensation of Supervisory Board members.</w:t>
      </w:r>
    </w:p>
    <w:p>
      <w:pPr>
        <w:spacing w:after="0" w:line="159" w:lineRule="exact"/>
        <w:rPr>
          <w:sz w:val="20"/>
          <w:szCs w:val="20"/>
          <w:color w:val="auto"/>
        </w:rPr>
      </w:pPr>
    </w:p>
    <w:p>
      <w:pPr>
        <w:jc w:val="both"/>
        <w:ind w:left="640"/>
        <w:spacing w:after="0" w:line="232" w:lineRule="auto"/>
        <w:rPr>
          <w:sz w:val="20"/>
          <w:szCs w:val="20"/>
          <w:color w:val="auto"/>
        </w:rPr>
      </w:pPr>
      <w:r>
        <w:rPr>
          <w:rFonts w:ascii="Arial" w:cs="Arial" w:eastAsia="Arial" w:hAnsi="Arial"/>
          <w:sz w:val="22"/>
          <w:szCs w:val="22"/>
          <w:color w:val="auto"/>
        </w:rPr>
        <w:t>Other than those listed in this report, the members of the Management Board and Supervisory Board received no further compensation or benefits in the reporting year.</w:t>
      </w:r>
    </w:p>
    <w:p>
      <w:pPr>
        <w:spacing w:after="0" w:line="159" w:lineRule="exact"/>
        <w:rPr>
          <w:sz w:val="20"/>
          <w:szCs w:val="20"/>
          <w:color w:val="auto"/>
        </w:rPr>
      </w:pPr>
    </w:p>
    <w:p>
      <w:pPr>
        <w:jc w:val="both"/>
        <w:ind w:left="640"/>
        <w:spacing w:after="0" w:line="268" w:lineRule="auto"/>
        <w:rPr>
          <w:sz w:val="20"/>
          <w:szCs w:val="20"/>
          <w:color w:val="auto"/>
        </w:rPr>
      </w:pPr>
      <w:r>
        <w:rPr>
          <w:rFonts w:ascii="Arial" w:cs="Arial" w:eastAsia="Arial" w:hAnsi="Arial"/>
          <w:sz w:val="19"/>
          <w:szCs w:val="19"/>
          <w:color w:val="auto"/>
        </w:rPr>
        <w:t>Based on the overall analysis, the Supervisory Board comes to the conclusion that the remuneration system for the Management Board and Supervisory Board was applied in all aspects as adopted at the Annual General Meeting during the year ended December 31, 2021. All agreements with the Management Board contribute to our business strategy.</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Mainz, March 29. 2022</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BioNTech SE</w:t>
      </w:r>
    </w:p>
    <w:p>
      <w:pPr>
        <w:spacing w:after="0" w:line="200" w:lineRule="exact"/>
        <w:rPr>
          <w:sz w:val="20"/>
          <w:szCs w:val="20"/>
          <w:color w:val="auto"/>
        </w:r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4620" w:type="dxa"/>
            <w:vAlign w:val="bottom"/>
          </w:tcPr>
          <w:p>
            <w:pPr>
              <w:spacing w:after="0"/>
              <w:rPr>
                <w:sz w:val="20"/>
                <w:szCs w:val="20"/>
                <w:color w:val="auto"/>
              </w:rPr>
            </w:pPr>
            <w:r>
              <w:rPr>
                <w:rFonts w:ascii="Arial" w:cs="Arial" w:eastAsia="Arial" w:hAnsi="Arial"/>
                <w:sz w:val="22"/>
                <w:szCs w:val="22"/>
                <w:color w:val="auto"/>
              </w:rPr>
              <w:t>For the Management Board</w:t>
            </w:r>
          </w:p>
        </w:tc>
        <w:tc>
          <w:tcPr>
            <w:tcW w:w="4040" w:type="dxa"/>
            <w:vAlign w:val="bottom"/>
            <w:vMerge w:val="restart"/>
          </w:tcPr>
          <w:p>
            <w:pPr>
              <w:ind w:left="1520"/>
              <w:spacing w:after="0"/>
              <w:rPr>
                <w:sz w:val="20"/>
                <w:szCs w:val="20"/>
                <w:color w:val="auto"/>
              </w:rPr>
            </w:pPr>
            <w:r>
              <w:rPr>
                <w:rFonts w:ascii="Arial" w:cs="Arial" w:eastAsia="Arial" w:hAnsi="Arial"/>
                <w:sz w:val="22"/>
                <w:szCs w:val="22"/>
                <w:color w:val="auto"/>
              </w:rPr>
              <w:t>Jens Holstein</w:t>
            </w:r>
          </w:p>
        </w:tc>
        <w:tc>
          <w:tcPr>
            <w:tcW w:w="0" w:type="dxa"/>
            <w:vAlign w:val="bottom"/>
          </w:tcPr>
          <w:p>
            <w:pPr>
              <w:spacing w:after="0"/>
              <w:rPr>
                <w:sz w:val="1"/>
                <w:szCs w:val="1"/>
                <w:color w:val="auto"/>
              </w:rPr>
            </w:pPr>
          </w:p>
        </w:tc>
      </w:tr>
      <w:tr>
        <w:trPr>
          <w:trHeight w:val="246"/>
        </w:trPr>
        <w:tc>
          <w:tcPr>
            <w:tcW w:w="4620" w:type="dxa"/>
            <w:vAlign w:val="bottom"/>
          </w:tcPr>
          <w:p>
            <w:pPr>
              <w:spacing w:after="0" w:line="246" w:lineRule="exact"/>
              <w:rPr>
                <w:sz w:val="20"/>
                <w:szCs w:val="20"/>
                <w:color w:val="auto"/>
              </w:rPr>
            </w:pPr>
            <w:r>
              <w:rPr>
                <w:rFonts w:ascii="Arial" w:cs="Arial" w:eastAsia="Arial" w:hAnsi="Arial"/>
                <w:sz w:val="22"/>
                <w:szCs w:val="22"/>
                <w:color w:val="auto"/>
              </w:rPr>
              <w:t>Prof. Ugur Sahin, M.D.</w:t>
            </w:r>
          </w:p>
        </w:tc>
        <w:tc>
          <w:tcPr>
            <w:tcW w:w="4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620" w:type="dxa"/>
            <w:vAlign w:val="bottom"/>
          </w:tcPr>
          <w:p>
            <w:pPr>
              <w:spacing w:after="0"/>
              <w:rPr>
                <w:sz w:val="20"/>
                <w:szCs w:val="20"/>
                <w:color w:val="auto"/>
              </w:rPr>
            </w:pPr>
            <w:r>
              <w:rPr>
                <w:rFonts w:ascii="Arial" w:cs="Arial" w:eastAsia="Arial" w:hAnsi="Arial"/>
                <w:sz w:val="22"/>
                <w:szCs w:val="22"/>
                <w:color w:val="auto"/>
              </w:rPr>
              <w:t>Chief Executive Officer, CEO</w:t>
            </w:r>
          </w:p>
        </w:tc>
        <w:tc>
          <w:tcPr>
            <w:tcW w:w="4040" w:type="dxa"/>
            <w:vAlign w:val="bottom"/>
          </w:tcPr>
          <w:p>
            <w:pPr>
              <w:ind w:left="1520"/>
              <w:spacing w:after="0"/>
              <w:rPr>
                <w:sz w:val="20"/>
                <w:szCs w:val="20"/>
                <w:color w:val="auto"/>
              </w:rPr>
            </w:pPr>
            <w:r>
              <w:rPr>
                <w:rFonts w:ascii="Arial" w:cs="Arial" w:eastAsia="Arial" w:hAnsi="Arial"/>
                <w:sz w:val="22"/>
                <w:szCs w:val="22"/>
                <w:color w:val="auto"/>
                <w:w w:val="90"/>
              </w:rPr>
              <w:t>Chief Financial Officer, CFO</w:t>
            </w:r>
          </w:p>
        </w:tc>
        <w:tc>
          <w:tcPr>
            <w:tcW w:w="0" w:type="dxa"/>
            <w:vAlign w:val="bottom"/>
          </w:tcPr>
          <w:p>
            <w:pPr>
              <w:spacing w:after="0"/>
              <w:rPr>
                <w:sz w:val="1"/>
                <w:szCs w:val="1"/>
                <w:color w:val="auto"/>
              </w:rPr>
            </w:pPr>
          </w:p>
        </w:tc>
      </w:tr>
      <w:tr>
        <w:trPr>
          <w:trHeight w:val="607"/>
        </w:trPr>
        <w:tc>
          <w:tcPr>
            <w:tcW w:w="4620" w:type="dxa"/>
            <w:vAlign w:val="bottom"/>
          </w:tcPr>
          <w:p>
            <w:pPr>
              <w:spacing w:after="0"/>
              <w:rPr>
                <w:sz w:val="20"/>
                <w:szCs w:val="20"/>
                <w:color w:val="auto"/>
              </w:rPr>
            </w:pPr>
            <w:r>
              <w:rPr>
                <w:rFonts w:ascii="Arial" w:cs="Arial" w:eastAsia="Arial" w:hAnsi="Arial"/>
                <w:sz w:val="22"/>
                <w:szCs w:val="22"/>
                <w:color w:val="auto"/>
              </w:rPr>
              <w:t>For the Supervisory Board</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620" w:type="dxa"/>
            <w:vAlign w:val="bottom"/>
          </w:tcPr>
          <w:p>
            <w:pPr>
              <w:spacing w:after="0"/>
              <w:rPr>
                <w:sz w:val="20"/>
                <w:szCs w:val="20"/>
                <w:color w:val="auto"/>
              </w:rPr>
            </w:pPr>
            <w:r>
              <w:rPr>
                <w:rFonts w:ascii="Arial" w:cs="Arial" w:eastAsia="Arial" w:hAnsi="Arial"/>
                <w:sz w:val="22"/>
                <w:szCs w:val="22"/>
                <w:color w:val="auto"/>
              </w:rPr>
              <w:t>Helmut Jeggle</w:t>
            </w:r>
          </w:p>
        </w:tc>
        <w:tc>
          <w:tcPr>
            <w:tcW w:w="4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620" w:type="dxa"/>
            <w:vAlign w:val="bottom"/>
          </w:tcPr>
          <w:p>
            <w:pPr>
              <w:spacing w:after="0"/>
              <w:rPr>
                <w:sz w:val="20"/>
                <w:szCs w:val="20"/>
                <w:color w:val="auto"/>
              </w:rPr>
            </w:pPr>
            <w:r>
              <w:rPr>
                <w:rFonts w:ascii="Arial" w:cs="Arial" w:eastAsia="Arial" w:hAnsi="Arial"/>
                <w:sz w:val="22"/>
                <w:szCs w:val="22"/>
                <w:color w:val="auto"/>
              </w:rPr>
              <w:t>Chairman of the Supervisory Board</w:t>
            </w:r>
          </w:p>
        </w:tc>
        <w:tc>
          <w:tcPr>
            <w:tcW w:w="4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38" w:name="page39"/>
    <w:bookmarkEnd w:id="38"/>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Auditor's Report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To BioNTech SE</w:t>
      </w:r>
    </w:p>
    <w:p>
      <w:pPr>
        <w:spacing w:after="0" w:line="179"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We have audited the accompanying remuneration report of BioNTech SE, Mainz, for the financial year from 1 January to 31 December 2021, including the related disclosures, which was prepared in accordance with Sec. 162 of the German Stock Corporation Act (AktG). We have not audited the content of the disclosures on the review of the appropriateness of the remuneration of the Management Board in Sec. 4, which constitute disclosures of the remuneration report beyond those required by Sec.162 of the German Stock Corporation Act (AktG).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Responsibility of the legal representatives and the Supervisory Board</w:t>
      </w:r>
    </w:p>
    <w:p>
      <w:pPr>
        <w:spacing w:after="0" w:line="179"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The legal representatives and the Supervisory Board of BioNTech SE are responsible for the preparation of the remuneration report, including the related disclosures, which complies with the requirements of Sec. 162 of the German Stock Corporation Act (AktG). The legal representatives and the Supervisory Board are also responsible for the internal controls as they deem necessary to enable the preparation of a remuneration report, including the related disclosures, that is free from material misstatement, whether due to fraud or error.</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Auditor's responsibility</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 xml:space="preserve">Our responsibility is to express an opinion on this remuneration report, including the related disclosures, based on our audit. We conducted our audit in accordance with German generally accepted standards for the audit of financial statements promulgated by the </w:t>
      </w:r>
      <w:r>
        <w:rPr>
          <w:rFonts w:ascii="Arial" w:cs="Arial" w:eastAsia="Arial" w:hAnsi="Arial"/>
          <w:sz w:val="19"/>
          <w:szCs w:val="19"/>
          <w:i w:val="1"/>
          <w:iCs w:val="1"/>
          <w:color w:val="auto"/>
        </w:rPr>
        <w:t>Institute of Public Auditors in Germany (Institut der Wirtschaftsprüfer, IDW)</w:t>
      </w:r>
      <w:r>
        <w:rPr>
          <w:rFonts w:ascii="Arial" w:cs="Arial" w:eastAsia="Arial" w:hAnsi="Arial"/>
          <w:sz w:val="19"/>
          <w:szCs w:val="19"/>
          <w:color w:val="auto"/>
        </w:rPr>
        <w:t>. Those standards require that we comply with ethical requirements and plan and perform the audit to obtain reasonable assurance about whether the remuneration report, including the related disclosures, is free from material misstatement.</w:t>
      </w:r>
    </w:p>
    <w:p>
      <w:pPr>
        <w:spacing w:after="0" w:line="149"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An audit involves performing procedures to obtain audit evidence about the amounts and disclosures in the remuneration report. The procedures selected depend on the auditor's judgment, including the assessment of the risks of material misstatement of the financial statements, whether due to fraud or error. The procedures selected depend on the auditor's judgment, including the assessment of the risks of material misstatement of the financial statements, whether due to fraud or error. In making those risk assessments, the auditor considers the internal control system relevant to the entity's preparation and fair presentation of the remuneration report and related disclosures. The objective is to design and perform audit procedures that are appropriate in the circumstances, but not for the purpose of expressing an opinion on the effectiveness of the entity's internal control. An audit also includes evaluating the accounting principles used and the reasonableness of accounting estimates made by management and the supervisory board, as well as evaluating the overall presentation of the remuneration report, including the related disclosures.</w:t>
      </w:r>
    </w:p>
    <w:p>
      <w:pPr>
        <w:spacing w:after="0" w:line="155" w:lineRule="exact"/>
        <w:rPr>
          <w:sz w:val="20"/>
          <w:szCs w:val="20"/>
          <w:color w:val="auto"/>
        </w:rPr>
      </w:pPr>
    </w:p>
    <w:p>
      <w:pPr>
        <w:ind w:right="120"/>
        <w:spacing w:after="0" w:line="430" w:lineRule="auto"/>
        <w:rPr>
          <w:sz w:val="20"/>
          <w:szCs w:val="20"/>
          <w:color w:val="auto"/>
        </w:rPr>
      </w:pPr>
      <w:r>
        <w:rPr>
          <w:rFonts w:ascii="Arial" w:cs="Arial" w:eastAsia="Arial" w:hAnsi="Arial"/>
          <w:sz w:val="22"/>
          <w:szCs w:val="22"/>
          <w:color w:val="auto"/>
        </w:rPr>
        <w:t>We believe that the audit evidence we have obtained is sufficient and appropriate to provide a basis for our audit opinion. Audit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600"/>
          </w:cols>
          <w:pgMar w:left="960" w:top="1440" w:right="339" w:bottom="1440" w:gutter="0" w:footer="0" w:header="0"/>
        </w:sectPr>
      </w:pPr>
    </w:p>
    <w:bookmarkStart w:id="39" w:name="page40"/>
    <w:bookmarkEnd w:id="39"/>
    <w:p>
      <w:pPr>
        <w:spacing w:after="0" w:line="69"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In our opinion, based on the findings of our audit, the remuneration report for the financial year from 1 January to 31 December 2021, including the related disclosures, complies in all material respects with the accounting provisions of Sec. 162 of the German Stock Corporation Act (AktG). Our opinion on the remuneration report does not cover the content of the above-mentioned disclosures in the remuneration report that exceed the scope of Sec. 162 of the German Stock Corporation Act (AktG).</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Other matters - Formal audit of the remuneration report</w:t>
      </w:r>
    </w:p>
    <w:p>
      <w:pPr>
        <w:spacing w:after="0" w:line="179"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The review of the content of the remuneration report described in this auditor's report includes the formal review of the remuneration report required by Sec 162 para. 3 of the German Stock Corporation Act (AktG), including the issuance of an opinion on this review. As we express an unqualified opinion on the content of the remuneration report, this opinion includes an opinion on whether the disclosures pursuant to Sec. 162 para. 1 and 2 German Stock Corporation Act (AktG) have been made in all material respects in the remuneration report.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Limitation of liability</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For the performance of the engagement and our responsibility and liability, also in relation to third parties, the "General Engagement Terms for German Public Auditors and Public Audit Firms" in the version of 1 January 2017 issued by the Institute of Public Auditors in Germany (</w:t>
      </w:r>
      <w:r>
        <w:rPr>
          <w:rFonts w:ascii="Arial" w:cs="Arial" w:eastAsia="Arial" w:hAnsi="Arial"/>
          <w:sz w:val="19"/>
          <w:szCs w:val="19"/>
          <w:i w:val="1"/>
          <w:iCs w:val="1"/>
          <w:color w:val="auto"/>
        </w:rPr>
        <w:t>Institut der Wirtschaftsprüfer, IDW</w:t>
      </w:r>
      <w:r>
        <w:rPr>
          <w:rFonts w:ascii="Arial" w:cs="Arial" w:eastAsia="Arial" w:hAnsi="Arial"/>
          <w:sz w:val="19"/>
          <w:szCs w:val="19"/>
          <w:color w:val="auto"/>
        </w:rPr>
        <w:t>) attached to this audit opinion apply.</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Köln, March 30, 2022</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Ernst &amp; Young GmbH</w:t>
      </w:r>
    </w:p>
    <w:p>
      <w:pPr>
        <w:spacing w:after="0"/>
        <w:rPr>
          <w:sz w:val="20"/>
          <w:szCs w:val="20"/>
          <w:color w:val="auto"/>
        </w:rPr>
      </w:pPr>
      <w:r>
        <w:rPr>
          <w:rFonts w:ascii="Arial" w:cs="Arial" w:eastAsia="Arial" w:hAnsi="Arial"/>
          <w:sz w:val="22"/>
          <w:szCs w:val="22"/>
          <w:color w:val="auto"/>
        </w:rPr>
        <w:t>Wirtschaftsprüfungsgesellschaft</w:t>
      </w:r>
    </w:p>
    <w:p>
      <w:pPr>
        <w:spacing w:after="0" w:line="142"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color w:val="auto"/>
        </w:rPr>
        <w:t>Zwirner</w:t>
      </w:r>
      <w:r>
        <w:rPr>
          <w:sz w:val="20"/>
          <w:szCs w:val="20"/>
          <w:color w:val="auto"/>
        </w:rPr>
        <w:tab/>
      </w:r>
      <w:r>
        <w:rPr>
          <w:rFonts w:ascii="Arial" w:cs="Arial" w:eastAsia="Arial" w:hAnsi="Arial"/>
          <w:sz w:val="22"/>
          <w:szCs w:val="22"/>
          <w:color w:val="auto"/>
        </w:rPr>
        <w:t>Weigel</w:t>
      </w:r>
    </w:p>
    <w:p>
      <w:pPr>
        <w:spacing w:after="0"/>
        <w:tabs>
          <w:tab w:leader="none" w:pos="2220" w:val="left"/>
        </w:tabs>
        <w:rPr>
          <w:sz w:val="20"/>
          <w:szCs w:val="20"/>
          <w:color w:val="auto"/>
        </w:rPr>
      </w:pPr>
      <w:r>
        <w:rPr>
          <w:rFonts w:ascii="Arial" w:cs="Arial" w:eastAsia="Arial" w:hAnsi="Arial"/>
          <w:sz w:val="22"/>
          <w:szCs w:val="22"/>
          <w:color w:val="auto"/>
        </w:rPr>
        <w:t>German Public Auditor</w:t>
      </w:r>
      <w:r>
        <w:rPr>
          <w:sz w:val="20"/>
          <w:szCs w:val="20"/>
          <w:color w:val="auto"/>
        </w:rPr>
        <w:tab/>
      </w:r>
      <w:r>
        <w:rPr>
          <w:rFonts w:ascii="Arial" w:cs="Arial" w:eastAsia="Arial" w:hAnsi="Arial"/>
          <w:sz w:val="19"/>
          <w:szCs w:val="19"/>
          <w:color w:val="auto"/>
        </w:rPr>
        <w:t>German Public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600"/>
          </w:cols>
          <w:pgMar w:left="960" w:top="1440" w:right="339" w:bottom="1440" w:gutter="0" w:footer="0" w:header="0"/>
        </w:sectPr>
      </w:pPr>
    </w:p>
    <w:bookmarkStart w:id="40" w:name="page41"/>
    <w:bookmarkEnd w:id="40"/>
    <w:p>
      <w:pPr>
        <w:spacing w:after="0" w:line="387" w:lineRule="exact"/>
        <w:rPr>
          <w:sz w:val="20"/>
          <w:szCs w:val="20"/>
          <w:color w:val="auto"/>
        </w:rPr>
      </w:pPr>
    </w:p>
    <w:p>
      <w:pPr>
        <w:ind w:left="640" w:hanging="632"/>
        <w:spacing w:after="0"/>
        <w:tabs>
          <w:tab w:leader="none" w:pos="64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Information on the Supervisory Board Candidates Proposed for Election under Agenda Item 8</w:t>
      </w:r>
    </w:p>
    <w:p>
      <w:pPr>
        <w:spacing w:after="0" w:line="166" w:lineRule="exact"/>
        <w:rPr>
          <w:rFonts w:ascii="Arial" w:cs="Arial" w:eastAsia="Arial" w:hAnsi="Arial"/>
          <w:sz w:val="22"/>
          <w:szCs w:val="22"/>
          <w:b w:val="1"/>
          <w:bCs w:val="1"/>
          <w:color w:val="auto"/>
        </w:rPr>
      </w:pPr>
    </w:p>
    <w:p>
      <w:pPr>
        <w:ind w:left="64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Prof. Dr. Anja Morawietz</w:t>
      </w:r>
      <w:r>
        <w:rPr>
          <w:rFonts w:ascii="Arial" w:cs="Arial" w:eastAsia="Arial" w:hAnsi="Arial"/>
          <w:sz w:val="22"/>
          <w:szCs w:val="22"/>
          <w:color w:val="auto"/>
        </w:rPr>
        <w:t>, Frankfurt am Main</w:t>
      </w:r>
    </w:p>
    <w:p>
      <w:pPr>
        <w:ind w:left="640" w:right="80"/>
        <w:spacing w:after="0" w:line="224" w:lineRule="auto"/>
        <w:rPr>
          <w:rFonts w:ascii="Arial" w:cs="Arial" w:eastAsia="Arial" w:hAnsi="Arial"/>
          <w:sz w:val="22"/>
          <w:szCs w:val="22"/>
          <w:b w:val="1"/>
          <w:bCs w:val="1"/>
          <w:color w:val="auto"/>
        </w:rPr>
      </w:pPr>
      <w:r>
        <w:rPr>
          <w:rFonts w:ascii="Arial" w:cs="Arial" w:eastAsia="Arial" w:hAnsi="Arial"/>
          <w:sz w:val="22"/>
          <w:szCs w:val="22"/>
          <w:color w:val="auto"/>
        </w:rPr>
        <w:t>Professor of External Accounting and General Business Administration at the Nuremberg University of Applied Sciences Georg Simon Ohm</w:t>
      </w:r>
    </w:p>
    <w:p>
      <w:pPr>
        <w:spacing w:after="0" w:line="138" w:lineRule="exact"/>
        <w:rPr>
          <w:rFonts w:ascii="Arial" w:cs="Arial" w:eastAsia="Arial" w:hAnsi="Arial"/>
          <w:sz w:val="22"/>
          <w:szCs w:val="22"/>
          <w:b w:val="1"/>
          <w:bCs w:val="1"/>
          <w:color w:val="auto"/>
        </w:rPr>
      </w:pPr>
    </w:p>
    <w:p>
      <w:pPr>
        <w:ind w:left="64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Personal Data:</w:t>
      </w:r>
    </w:p>
    <w:p>
      <w:pPr>
        <w:ind w:left="640"/>
        <w:spacing w:after="0" w:line="204" w:lineRule="auto"/>
        <w:rPr>
          <w:rFonts w:ascii="Arial" w:cs="Arial" w:eastAsia="Arial" w:hAnsi="Arial"/>
          <w:sz w:val="22"/>
          <w:szCs w:val="22"/>
          <w:b w:val="1"/>
          <w:bCs w:val="1"/>
          <w:color w:val="auto"/>
        </w:rPr>
      </w:pPr>
      <w:r>
        <w:rPr>
          <w:rFonts w:ascii="Arial" w:cs="Arial" w:eastAsia="Arial" w:hAnsi="Arial"/>
          <w:sz w:val="22"/>
          <w:szCs w:val="22"/>
          <w:color w:val="auto"/>
        </w:rPr>
        <w:t>Date of birth: 21 January 1977</w:t>
      </w:r>
    </w:p>
    <w:p>
      <w:pPr>
        <w:ind w:left="640"/>
        <w:spacing w:after="0" w:line="204" w:lineRule="auto"/>
        <w:rPr>
          <w:rFonts w:ascii="Arial" w:cs="Arial" w:eastAsia="Arial" w:hAnsi="Arial"/>
          <w:sz w:val="22"/>
          <w:szCs w:val="22"/>
          <w:b w:val="1"/>
          <w:bCs w:val="1"/>
          <w:color w:val="auto"/>
        </w:rPr>
      </w:pPr>
      <w:r>
        <w:rPr>
          <w:rFonts w:ascii="Arial" w:cs="Arial" w:eastAsia="Arial" w:hAnsi="Arial"/>
          <w:sz w:val="22"/>
          <w:szCs w:val="22"/>
          <w:color w:val="auto"/>
        </w:rPr>
        <w:t>Place of birth: Hoya</w:t>
      </w:r>
    </w:p>
    <w:p>
      <w:pPr>
        <w:ind w:left="640" w:right="8820"/>
        <w:spacing w:after="0" w:line="464" w:lineRule="auto"/>
        <w:rPr>
          <w:rFonts w:ascii="Arial" w:cs="Arial" w:eastAsia="Arial" w:hAnsi="Arial"/>
          <w:sz w:val="22"/>
          <w:szCs w:val="22"/>
          <w:b w:val="1"/>
          <w:bCs w:val="1"/>
          <w:color w:val="auto"/>
        </w:rPr>
      </w:pPr>
      <w:r>
        <w:rPr>
          <w:rFonts w:ascii="Arial" w:cs="Arial" w:eastAsia="Arial" w:hAnsi="Arial"/>
          <w:sz w:val="19"/>
          <w:szCs w:val="19"/>
          <w:color w:val="auto"/>
        </w:rPr>
        <w:t xml:space="preserve">Nationality: German </w:t>
      </w:r>
      <w:r>
        <w:rPr>
          <w:rFonts w:ascii="Arial" w:cs="Arial" w:eastAsia="Arial" w:hAnsi="Arial"/>
          <w:sz w:val="19"/>
          <w:szCs w:val="19"/>
          <w:b w:val="1"/>
          <w:bCs w:val="1"/>
          <w:color w:val="auto"/>
        </w:rPr>
        <w:t>Education</w:t>
      </w:r>
      <w:r>
        <w:rPr>
          <w:rFonts w:ascii="Arial" w:cs="Arial" w:eastAsia="Arial" w:hAnsi="Arial"/>
          <w:sz w:val="19"/>
          <w:szCs w:val="19"/>
          <w:color w:val="auto"/>
        </w:rPr>
        <w:t>:</w:t>
      </w:r>
    </w:p>
    <w:p>
      <w:pPr>
        <w:spacing w:after="0" w:line="1" w:lineRule="exact"/>
        <w:rPr>
          <w:rFonts w:ascii="Arial" w:cs="Arial" w:eastAsia="Arial" w:hAnsi="Arial"/>
          <w:sz w:val="22"/>
          <w:szCs w:val="22"/>
          <w:b w:val="1"/>
          <w:bCs w:val="1"/>
          <w:color w:val="auto"/>
        </w:rPr>
      </w:pPr>
    </w:p>
    <w:p>
      <w:pPr>
        <w:ind w:left="1280" w:hanging="310"/>
        <w:spacing w:after="0"/>
        <w:tabs>
          <w:tab w:leader="none" w:pos="1280" w:val="left"/>
        </w:tabs>
        <w:numPr>
          <w:ilvl w:val="1"/>
          <w:numId w:val="31"/>
        </w:numPr>
        <w:rPr>
          <w:rFonts w:ascii="Arial" w:cs="Arial" w:eastAsia="Arial" w:hAnsi="Arial"/>
          <w:sz w:val="22"/>
          <w:szCs w:val="22"/>
          <w:color w:val="auto"/>
        </w:rPr>
      </w:pPr>
      <w:r>
        <w:rPr>
          <w:rFonts w:ascii="Arial" w:cs="Arial" w:eastAsia="Arial" w:hAnsi="Arial"/>
          <w:sz w:val="22"/>
          <w:szCs w:val="22"/>
          <w:color w:val="auto"/>
        </w:rPr>
        <w:t>Apprenticeship as a bank clerk at Norddeutsche Landesbank, Hanover.</w:t>
      </w:r>
    </w:p>
    <w:p>
      <w:pPr>
        <w:spacing w:after="0" w:line="179" w:lineRule="exact"/>
        <w:rPr>
          <w:rFonts w:ascii="Arial" w:cs="Arial" w:eastAsia="Arial" w:hAnsi="Arial"/>
          <w:sz w:val="22"/>
          <w:szCs w:val="22"/>
          <w:color w:val="auto"/>
        </w:rPr>
      </w:pPr>
    </w:p>
    <w:p>
      <w:pPr>
        <w:ind w:left="1280" w:hanging="310"/>
        <w:spacing w:after="0"/>
        <w:tabs>
          <w:tab w:leader="none" w:pos="1280" w:val="left"/>
        </w:tabs>
        <w:numPr>
          <w:ilvl w:val="1"/>
          <w:numId w:val="31"/>
        </w:numPr>
        <w:rPr>
          <w:rFonts w:ascii="Arial" w:cs="Arial" w:eastAsia="Arial" w:hAnsi="Arial"/>
          <w:sz w:val="22"/>
          <w:szCs w:val="22"/>
          <w:color w:val="auto"/>
        </w:rPr>
      </w:pPr>
      <w:r>
        <w:rPr>
          <w:rFonts w:ascii="Arial" w:cs="Arial" w:eastAsia="Arial" w:hAnsi="Arial"/>
          <w:sz w:val="22"/>
          <w:szCs w:val="22"/>
          <w:color w:val="auto"/>
        </w:rPr>
        <w:t>Degree in business administration / specialization in banking at the Leibniz Academy, Hanover</w:t>
      </w:r>
    </w:p>
    <w:p>
      <w:pPr>
        <w:spacing w:after="0" w:line="179" w:lineRule="exact"/>
        <w:rPr>
          <w:rFonts w:ascii="Arial" w:cs="Arial" w:eastAsia="Arial" w:hAnsi="Arial"/>
          <w:sz w:val="22"/>
          <w:szCs w:val="22"/>
          <w:color w:val="auto"/>
        </w:rPr>
      </w:pPr>
    </w:p>
    <w:p>
      <w:pPr>
        <w:ind w:left="1280" w:hanging="310"/>
        <w:spacing w:after="0"/>
        <w:tabs>
          <w:tab w:leader="none" w:pos="1280" w:val="left"/>
        </w:tabs>
        <w:numPr>
          <w:ilvl w:val="1"/>
          <w:numId w:val="31"/>
        </w:numPr>
        <w:rPr>
          <w:rFonts w:ascii="Arial" w:cs="Arial" w:eastAsia="Arial" w:hAnsi="Arial"/>
          <w:sz w:val="22"/>
          <w:szCs w:val="22"/>
          <w:color w:val="auto"/>
        </w:rPr>
      </w:pPr>
      <w:r>
        <w:rPr>
          <w:rFonts w:ascii="Arial" w:cs="Arial" w:eastAsia="Arial" w:hAnsi="Arial"/>
          <w:sz w:val="22"/>
          <w:szCs w:val="22"/>
          <w:color w:val="auto"/>
        </w:rPr>
        <w:t>Studied business administration at Goethe University, Frankfurt am Main</w:t>
      </w:r>
    </w:p>
    <w:p>
      <w:pPr>
        <w:spacing w:after="0" w:line="179" w:lineRule="exact"/>
        <w:rPr>
          <w:rFonts w:ascii="Arial" w:cs="Arial" w:eastAsia="Arial" w:hAnsi="Arial"/>
          <w:sz w:val="22"/>
          <w:szCs w:val="22"/>
          <w:color w:val="auto"/>
        </w:rPr>
      </w:pPr>
    </w:p>
    <w:p>
      <w:pPr>
        <w:ind w:left="1280" w:hanging="310"/>
        <w:spacing w:after="0"/>
        <w:tabs>
          <w:tab w:leader="none" w:pos="1280" w:val="left"/>
        </w:tabs>
        <w:numPr>
          <w:ilvl w:val="1"/>
          <w:numId w:val="31"/>
        </w:numPr>
        <w:rPr>
          <w:rFonts w:ascii="Arial" w:cs="Arial" w:eastAsia="Arial" w:hAnsi="Arial"/>
          <w:sz w:val="22"/>
          <w:szCs w:val="22"/>
          <w:color w:val="auto"/>
        </w:rPr>
      </w:pPr>
      <w:r>
        <w:rPr>
          <w:rFonts w:ascii="Arial" w:cs="Arial" w:eastAsia="Arial" w:hAnsi="Arial"/>
          <w:sz w:val="22"/>
          <w:szCs w:val="22"/>
          <w:color w:val="auto"/>
        </w:rPr>
        <w:t>Doctorate as external doctoral candidate (Dr. rer. pol.) at Goethe University, Frankfurt am Main</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Professional Background:</w:t>
      </w:r>
    </w:p>
    <w:p>
      <w:pPr>
        <w:spacing w:after="0" w:line="185" w:lineRule="exact"/>
        <w:rPr>
          <w:sz w:val="20"/>
          <w:szCs w:val="20"/>
          <w:color w:val="auto"/>
        </w:rPr>
      </w:pPr>
    </w:p>
    <w:p>
      <w:pPr>
        <w:ind w:left="640"/>
        <w:spacing w:after="0" w:line="298" w:lineRule="auto"/>
        <w:rPr>
          <w:sz w:val="20"/>
          <w:szCs w:val="20"/>
          <w:color w:val="auto"/>
        </w:rPr>
      </w:pPr>
      <w:r>
        <w:rPr>
          <w:rFonts w:ascii="Arial" w:cs="Arial" w:eastAsia="Arial" w:hAnsi="Arial"/>
          <w:sz w:val="19"/>
          <w:szCs w:val="19"/>
          <w:color w:val="auto"/>
        </w:rPr>
        <w:t>2005 - 2015: KPMG AG Wirtschaftsprüfungsgesellschaft, Frankfurt am Main, Financial Services division - work in consulting and auditing (from April 2012 as authorized signatory (</w:t>
      </w:r>
      <w:r>
        <w:rPr>
          <w:rFonts w:ascii="Arial" w:cs="Arial" w:eastAsia="Arial" w:hAnsi="Arial"/>
          <w:sz w:val="19"/>
          <w:szCs w:val="19"/>
          <w:i w:val="1"/>
          <w:iCs w:val="1"/>
          <w:color w:val="auto"/>
        </w:rPr>
        <w:t>Prokuristin</w:t>
      </w:r>
      <w:r>
        <w:rPr>
          <w:rFonts w:ascii="Arial" w:cs="Arial" w:eastAsia="Arial" w:hAnsi="Arial"/>
          <w:sz w:val="19"/>
          <w:szCs w:val="19"/>
          <w:color w:val="auto"/>
        </w:rPr>
        <w:t>), January 2015 appointment as auditor).</w:t>
      </w:r>
    </w:p>
    <w:p>
      <w:pPr>
        <w:spacing w:after="0" w:line="105" w:lineRule="exact"/>
        <w:rPr>
          <w:sz w:val="20"/>
          <w:szCs w:val="20"/>
          <w:color w:val="auto"/>
        </w:rPr>
      </w:pPr>
    </w:p>
    <w:p>
      <w:pPr>
        <w:ind w:left="640"/>
        <w:spacing w:after="0" w:line="232" w:lineRule="auto"/>
        <w:rPr>
          <w:sz w:val="20"/>
          <w:szCs w:val="20"/>
          <w:color w:val="auto"/>
        </w:rPr>
      </w:pPr>
      <w:r>
        <w:rPr>
          <w:rFonts w:ascii="Arial" w:cs="Arial" w:eastAsia="Arial" w:hAnsi="Arial"/>
          <w:sz w:val="22"/>
          <w:szCs w:val="22"/>
          <w:color w:val="auto"/>
        </w:rPr>
        <w:t>2015 - present: Professor of External Accounting and General Business Administration at the Nuremberg University of Applied Sciences Georg Simon Ohm</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Membership in Domestic Supervisory Boards to be Formed by Law:</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None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Membership in Comparable Domestic or Foreign Supervisory Bodies of Commercial Enterprises: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None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Other Significant Activities:</w:t>
      </w:r>
    </w:p>
    <w:p>
      <w:pPr>
        <w:spacing w:after="0" w:line="185" w:lineRule="exact"/>
        <w:rPr>
          <w:sz w:val="20"/>
          <w:szCs w:val="20"/>
          <w:color w:val="auto"/>
        </w:rPr>
      </w:pPr>
    </w:p>
    <w:p>
      <w:pPr>
        <w:ind w:left="1300" w:hanging="330"/>
        <w:spacing w:after="0" w:line="232" w:lineRule="auto"/>
        <w:tabs>
          <w:tab w:leader="none" w:pos="1295" w:val="left"/>
        </w:tabs>
        <w:numPr>
          <w:ilvl w:val="0"/>
          <w:numId w:val="32"/>
        </w:numPr>
        <w:rPr>
          <w:rFonts w:ascii="Arial" w:cs="Arial" w:eastAsia="Arial" w:hAnsi="Arial"/>
          <w:sz w:val="22"/>
          <w:szCs w:val="22"/>
          <w:color w:val="auto"/>
        </w:rPr>
      </w:pPr>
      <w:r>
        <w:rPr>
          <w:rFonts w:ascii="Arial" w:cs="Arial" w:eastAsia="Arial" w:hAnsi="Arial"/>
          <w:sz w:val="22"/>
          <w:szCs w:val="22"/>
          <w:color w:val="auto"/>
        </w:rPr>
        <w:t>Freelance activities in the areas of accounting, financial and sustainability reporting, corporate governance and audit-related consulting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1" w:name="page42"/>
    <w:bookmarkEnd w:id="41"/>
    <w:p>
      <w:pPr>
        <w:spacing w:after="0" w:line="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Prof. Dr. Rudolf Staudigl</w:t>
      </w:r>
      <w:r>
        <w:rPr>
          <w:rFonts w:ascii="Arial" w:cs="Arial" w:eastAsia="Arial" w:hAnsi="Arial"/>
          <w:sz w:val="22"/>
          <w:szCs w:val="22"/>
          <w:color w:val="auto"/>
        </w:rPr>
        <w:t>, Burghausen</w:t>
      </w:r>
    </w:p>
    <w:p>
      <w:pPr>
        <w:ind w:right="2440"/>
        <w:spacing w:after="0" w:line="307" w:lineRule="auto"/>
        <w:rPr>
          <w:sz w:val="20"/>
          <w:szCs w:val="20"/>
          <w:color w:val="auto"/>
        </w:rPr>
      </w:pPr>
      <w:r>
        <w:rPr>
          <w:rFonts w:ascii="Arial" w:cs="Arial" w:eastAsia="Arial" w:hAnsi="Arial"/>
          <w:sz w:val="22"/>
          <w:szCs w:val="22"/>
          <w:color w:val="auto"/>
        </w:rPr>
        <w:t xml:space="preserve">Independent consultant and member of the Supervisory Board of TÜV Süd Aktiengesellschaft </w:t>
      </w:r>
      <w:r>
        <w:rPr>
          <w:rFonts w:ascii="Arial" w:cs="Arial" w:eastAsia="Arial" w:hAnsi="Arial"/>
          <w:sz w:val="22"/>
          <w:szCs w:val="22"/>
          <w:b w:val="1"/>
          <w:bCs w:val="1"/>
          <w:color w:val="auto"/>
        </w:rPr>
        <w:t>Personal Data:</w:t>
      </w:r>
    </w:p>
    <w:p>
      <w:pPr>
        <w:spacing w:after="0" w:line="205" w:lineRule="auto"/>
        <w:rPr>
          <w:sz w:val="20"/>
          <w:szCs w:val="20"/>
          <w:color w:val="auto"/>
        </w:rPr>
      </w:pPr>
      <w:r>
        <w:rPr>
          <w:rFonts w:ascii="Arial" w:cs="Arial" w:eastAsia="Arial" w:hAnsi="Arial"/>
          <w:sz w:val="22"/>
          <w:szCs w:val="22"/>
          <w:color w:val="auto"/>
        </w:rPr>
        <w:t>Date of birth: 18 June 1954</w:t>
      </w:r>
    </w:p>
    <w:p>
      <w:pPr>
        <w:spacing w:after="0" w:line="205" w:lineRule="auto"/>
        <w:rPr>
          <w:sz w:val="20"/>
          <w:szCs w:val="20"/>
          <w:color w:val="auto"/>
        </w:rPr>
      </w:pPr>
      <w:r>
        <w:rPr>
          <w:rFonts w:ascii="Arial" w:cs="Arial" w:eastAsia="Arial" w:hAnsi="Arial"/>
          <w:sz w:val="22"/>
          <w:szCs w:val="22"/>
          <w:color w:val="auto"/>
        </w:rPr>
        <w:t>Place of birth: Neufahrn bei Freising</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Nationality: German</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Education:</w:t>
      </w:r>
    </w:p>
    <w:p>
      <w:pPr>
        <w:spacing w:after="0" w:line="185" w:lineRule="exact"/>
        <w:rPr>
          <w:sz w:val="20"/>
          <w:szCs w:val="20"/>
          <w:color w:val="auto"/>
        </w:rPr>
      </w:pPr>
    </w:p>
    <w:p>
      <w:pPr>
        <w:ind w:left="640" w:hanging="310"/>
        <w:spacing w:after="0"/>
        <w:tabs>
          <w:tab w:leader="none" w:pos="6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Studied chemistry at the Ludwig-Maximilians-University, Munich</w:t>
      </w:r>
    </w:p>
    <w:p>
      <w:pPr>
        <w:spacing w:after="0" w:line="179" w:lineRule="exact"/>
        <w:rPr>
          <w:rFonts w:ascii="Arial" w:cs="Arial" w:eastAsia="Arial" w:hAnsi="Arial"/>
          <w:sz w:val="22"/>
          <w:szCs w:val="22"/>
          <w:color w:val="auto"/>
        </w:rPr>
      </w:pPr>
    </w:p>
    <w:p>
      <w:pPr>
        <w:ind w:left="640" w:hanging="310"/>
        <w:spacing w:after="0"/>
        <w:tabs>
          <w:tab w:leader="none" w:pos="6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Doctorate (Dr. rer. nat.)</w:t>
      </w:r>
    </w:p>
    <w:p>
      <w:pPr>
        <w:spacing w:after="0" w:line="179" w:lineRule="exact"/>
        <w:rPr>
          <w:rFonts w:ascii="Arial" w:cs="Arial" w:eastAsia="Arial" w:hAnsi="Arial"/>
          <w:sz w:val="22"/>
          <w:szCs w:val="22"/>
          <w:color w:val="auto"/>
        </w:rPr>
      </w:pPr>
    </w:p>
    <w:p>
      <w:pPr>
        <w:ind w:left="640" w:hanging="310"/>
        <w:spacing w:after="0"/>
        <w:tabs>
          <w:tab w:leader="none" w:pos="6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Post-doctoral researcher at Harvard University, Cambridge/Massachusetts, USA</w:t>
      </w:r>
    </w:p>
    <w:p>
      <w:pPr>
        <w:spacing w:after="0" w:line="179" w:lineRule="exact"/>
        <w:rPr>
          <w:rFonts w:ascii="Arial" w:cs="Arial" w:eastAsia="Arial" w:hAnsi="Arial"/>
          <w:sz w:val="22"/>
          <w:szCs w:val="22"/>
          <w:color w:val="auto"/>
        </w:rPr>
      </w:pPr>
    </w:p>
    <w:p>
      <w:pPr>
        <w:ind w:left="640" w:hanging="310"/>
        <w:spacing w:after="0"/>
        <w:tabs>
          <w:tab w:leader="none" w:pos="6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Academic councilor at the Ludwig-Maximilians-Universität, Munich</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Professional Background: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1983 - 1989: Manager Materials for Optical Fibers, Wacker Chemitronic GmbH, Burghausen, Germany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1989 - 1990: Vice President Operations, Wacker Siltronic Corporation, Portland, USA</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1990 - 1993: Chairman of the Management Board, Wacker Siltronic Corporation, Portland, USA</w:t>
      </w:r>
    </w:p>
    <w:p>
      <w:pPr>
        <w:spacing w:after="0" w:line="179"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1993 - 1995: Chief Technology Officer (Technical Managing Director, from 1994 Management Board), Wacker Chemitronic GmbH (from 1994 Wacker Chemitronik AG), Burghausen, Germany</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1995 - 2008: Member of the Management Board, Wacker Chemie GmbH (from 2005 Wacker Chemie Aktiengesellschaft), Munich, Germany</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2000 - 2008: Labor Director, Wacker Chemie GmbH (from 2005 Wacker Chemie Aktiengesellschaft), Munich, Germany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2008 to 2021: Chairman of the Management Board, Wacker Chemie Aktiengesellschaft, Munich, Germany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2008 to 2021: Chairman of the Supervisory Board of the Wacker Pension Fund</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2021: Retirement at the end of the Annual General Meeting of Wacker Chemie Aktien-gesellschaft on May 12, 2021</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Membership in Domestic Supervisory Boards to be Formed by Law:</w:t>
      </w:r>
    </w:p>
    <w:p>
      <w:pPr>
        <w:spacing w:after="0" w:line="185" w:lineRule="exact"/>
        <w:rPr>
          <w:sz w:val="20"/>
          <w:szCs w:val="20"/>
          <w:color w:val="auto"/>
        </w:rPr>
      </w:pPr>
    </w:p>
    <w:p>
      <w:pPr>
        <w:ind w:left="640" w:hanging="310"/>
        <w:spacing w:after="0"/>
        <w:tabs>
          <w:tab w:leader="none" w:pos="640" w:val="left"/>
        </w:tabs>
        <w:numPr>
          <w:ilvl w:val="0"/>
          <w:numId w:val="34"/>
        </w:numPr>
        <w:rPr>
          <w:rFonts w:ascii="Arial" w:cs="Arial" w:eastAsia="Arial" w:hAnsi="Arial"/>
          <w:sz w:val="22"/>
          <w:szCs w:val="22"/>
          <w:color w:val="auto"/>
        </w:rPr>
      </w:pPr>
      <w:r>
        <w:rPr>
          <w:rFonts w:ascii="Arial" w:cs="Arial" w:eastAsia="Arial" w:hAnsi="Arial"/>
          <w:sz w:val="22"/>
          <w:szCs w:val="22"/>
          <w:color w:val="auto"/>
        </w:rPr>
        <w:t>Member of the Supervisory Board of TÜV Süd Aktiengesellschaft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600"/>
          </w:cols>
          <w:pgMar w:left="960" w:top="1440" w:right="339" w:bottom="1440" w:gutter="0" w:footer="0" w:header="0"/>
        </w:sectPr>
      </w:pPr>
    </w:p>
    <w:bookmarkStart w:id="42" w:name="page43"/>
    <w:bookmarkEnd w:id="42"/>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Membership in Comparable Domestic or Foreign Supervisory Bodies of Commercial Enterprises:</w:t>
      </w:r>
    </w:p>
    <w:p>
      <w:pPr>
        <w:spacing w:after="0" w:line="185" w:lineRule="exact"/>
        <w:rPr>
          <w:sz w:val="20"/>
          <w:szCs w:val="20"/>
          <w:color w:val="auto"/>
        </w:rPr>
      </w:pPr>
    </w:p>
    <w:p>
      <w:pPr>
        <w:ind w:left="640" w:hanging="310"/>
        <w:spacing w:after="0"/>
        <w:tabs>
          <w:tab w:leader="none" w:pos="6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None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Significant Activities:</w:t>
      </w:r>
    </w:p>
    <w:p>
      <w:pPr>
        <w:spacing w:after="0" w:line="185" w:lineRule="exact"/>
        <w:rPr>
          <w:sz w:val="20"/>
          <w:szCs w:val="20"/>
          <w:color w:val="auto"/>
        </w:rPr>
      </w:pPr>
    </w:p>
    <w:p>
      <w:pPr>
        <w:ind w:left="640" w:hanging="310"/>
        <w:spacing w:after="0"/>
        <w:tabs>
          <w:tab w:leader="none" w:pos="6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Honorary professor of industrial chemistry at the Technical University of Munich</w:t>
      </w:r>
    </w:p>
    <w:p>
      <w:pPr>
        <w:spacing w:after="0" w:line="179" w:lineRule="exact"/>
        <w:rPr>
          <w:rFonts w:ascii="Arial" w:cs="Arial" w:eastAsia="Arial" w:hAnsi="Arial"/>
          <w:sz w:val="22"/>
          <w:szCs w:val="22"/>
          <w:color w:val="auto"/>
        </w:rPr>
      </w:pPr>
    </w:p>
    <w:p>
      <w:pPr>
        <w:ind w:left="640" w:hanging="310"/>
        <w:spacing w:after="0"/>
        <w:tabs>
          <w:tab w:leader="none" w:pos="6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Member of the Supervisory Board of Groz-Beckert KG (Deputy Chairman)</w:t>
      </w:r>
    </w:p>
    <w:p>
      <w:pPr>
        <w:spacing w:after="0" w:line="179" w:lineRule="exact"/>
        <w:rPr>
          <w:rFonts w:ascii="Arial" w:cs="Arial" w:eastAsia="Arial" w:hAnsi="Arial"/>
          <w:sz w:val="22"/>
          <w:szCs w:val="22"/>
          <w:color w:val="auto"/>
        </w:rPr>
      </w:pPr>
    </w:p>
    <w:p>
      <w:pPr>
        <w:ind w:left="660" w:hanging="330"/>
        <w:spacing w:after="0" w:line="232" w:lineRule="auto"/>
        <w:tabs>
          <w:tab w:leader="none" w:pos="655" w:val="left"/>
        </w:tabs>
        <w:numPr>
          <w:ilvl w:val="0"/>
          <w:numId w:val="36"/>
        </w:numPr>
        <w:rPr>
          <w:rFonts w:ascii="Arial" w:cs="Arial" w:eastAsia="Arial" w:hAnsi="Arial"/>
          <w:sz w:val="22"/>
          <w:szCs w:val="22"/>
          <w:color w:val="auto"/>
        </w:rPr>
      </w:pPr>
      <w:r>
        <w:rPr>
          <w:rFonts w:ascii="Arial" w:cs="Arial" w:eastAsia="Arial" w:hAnsi="Arial"/>
          <w:sz w:val="22"/>
          <w:szCs w:val="22"/>
          <w:color w:val="auto"/>
        </w:rPr>
        <w:t>Independent consultant to the Chairman of the Management Board of Contemporary Amperex Technology Ltd, Ningde,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580"/>
          </w:cols>
          <w:pgMar w:left="960" w:top="1440" w:right="359" w:bottom="1440" w:gutter="0" w:footer="0" w:header="0"/>
        </w:sectPr>
      </w:pPr>
    </w:p>
    <w:bookmarkStart w:id="43" w:name="page44"/>
    <w:bookmarkEnd w:id="43"/>
    <w:p>
      <w:pPr>
        <w:spacing w:after="0" w:line="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Helmut Jeggle</w:t>
      </w:r>
      <w:r>
        <w:rPr>
          <w:rFonts w:ascii="Arial" w:cs="Arial" w:eastAsia="Arial" w:hAnsi="Arial"/>
          <w:sz w:val="22"/>
          <w:szCs w:val="22"/>
          <w:color w:val="auto"/>
        </w:rPr>
        <w:t>, Holzkirchen</w:t>
      </w:r>
    </w:p>
    <w:p>
      <w:pPr>
        <w:spacing w:after="0"/>
        <w:rPr>
          <w:sz w:val="20"/>
          <w:szCs w:val="20"/>
          <w:color w:val="auto"/>
        </w:rPr>
      </w:pPr>
      <w:r>
        <w:rPr>
          <w:rFonts w:ascii="Arial" w:cs="Arial" w:eastAsia="Arial" w:hAnsi="Arial"/>
          <w:sz w:val="22"/>
          <w:szCs w:val="22"/>
          <w:color w:val="auto"/>
        </w:rPr>
        <w:t>Managing Partner of Salvia GmbH and entrepreneurial venture capital investor</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Personal Data:</w:t>
      </w:r>
    </w:p>
    <w:p>
      <w:pPr>
        <w:spacing w:after="0" w:line="204" w:lineRule="auto"/>
        <w:rPr>
          <w:sz w:val="20"/>
          <w:szCs w:val="20"/>
          <w:color w:val="auto"/>
        </w:rPr>
      </w:pPr>
      <w:r>
        <w:rPr>
          <w:rFonts w:ascii="Arial" w:cs="Arial" w:eastAsia="Arial" w:hAnsi="Arial"/>
          <w:sz w:val="22"/>
          <w:szCs w:val="22"/>
          <w:color w:val="auto"/>
        </w:rPr>
        <w:t>Date of birth: 7 September 1970</w:t>
      </w:r>
    </w:p>
    <w:p>
      <w:pPr>
        <w:spacing w:after="0" w:line="205" w:lineRule="auto"/>
        <w:rPr>
          <w:sz w:val="20"/>
          <w:szCs w:val="20"/>
          <w:color w:val="auto"/>
        </w:rPr>
      </w:pPr>
      <w:r>
        <w:rPr>
          <w:rFonts w:ascii="Arial" w:cs="Arial" w:eastAsia="Arial" w:hAnsi="Arial"/>
          <w:sz w:val="22"/>
          <w:szCs w:val="22"/>
          <w:color w:val="auto"/>
        </w:rPr>
        <w:t>Place of birth: Biberach an der Riß</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Nationality: German</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Education:</w:t>
      </w:r>
    </w:p>
    <w:p>
      <w:pPr>
        <w:spacing w:after="0" w:line="185" w:lineRule="exact"/>
        <w:rPr>
          <w:sz w:val="20"/>
          <w:szCs w:val="20"/>
          <w:color w:val="auto"/>
        </w:rPr>
      </w:pPr>
    </w:p>
    <w:p>
      <w:pPr>
        <w:ind w:left="640" w:hanging="310"/>
        <w:spacing w:after="0"/>
        <w:tabs>
          <w:tab w:leader="none" w:pos="6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Degree in Business Administration, Neu-Ulm University of Applied Sciences</w:t>
      </w:r>
    </w:p>
    <w:p>
      <w:pPr>
        <w:spacing w:after="0" w:line="179" w:lineRule="exact"/>
        <w:rPr>
          <w:rFonts w:ascii="Arial" w:cs="Arial" w:eastAsia="Arial" w:hAnsi="Arial"/>
          <w:sz w:val="22"/>
          <w:szCs w:val="22"/>
          <w:color w:val="auto"/>
        </w:rPr>
      </w:pPr>
    </w:p>
    <w:p>
      <w:pPr>
        <w:ind w:left="640" w:hanging="310"/>
        <w:spacing w:after="0"/>
        <w:tabs>
          <w:tab w:leader="none" w:pos="6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Master of Business Administration (MBA), Stuttgart Institute of Management and Technology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Professional Background: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2000 - 2002: Trainee in the Finance Department, Hexal AG, Holzkirchen, Germany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2002 - 2005: Head of Controlling, Hexal AG, Holzkirchen, Germany</w:t>
      </w:r>
    </w:p>
    <w:p>
      <w:pPr>
        <w:spacing w:after="0" w:line="17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2005 - 2007: Head of Corporate Planning and Analysis for Germany, Sandoz Pharmaceuticals GmbH, Holzkirchen, Germany</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2007 - 2015: Head of Investments Life Sciences, ATHOS Service GmbH, Munich, Germany</w:t>
      </w:r>
    </w:p>
    <w:p>
      <w:pPr>
        <w:spacing w:after="0" w:line="17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2008 - 2021: Managing Director and authorized signatory (</w:t>
      </w:r>
      <w:r>
        <w:rPr>
          <w:rFonts w:ascii="Arial" w:cs="Arial" w:eastAsia="Arial" w:hAnsi="Arial"/>
          <w:sz w:val="22"/>
          <w:szCs w:val="22"/>
          <w:i w:val="1"/>
          <w:iCs w:val="1"/>
          <w:color w:val="auto"/>
        </w:rPr>
        <w:t>Prokurist</w:t>
      </w:r>
      <w:r>
        <w:rPr>
          <w:rFonts w:ascii="Arial" w:cs="Arial" w:eastAsia="Arial" w:hAnsi="Arial"/>
          <w:sz w:val="22"/>
          <w:szCs w:val="22"/>
          <w:color w:val="auto"/>
        </w:rPr>
        <w:t>) in numerous subsidiaries of ATHOS Service GmbH, later ATHOS KG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2015 - 2019: Managing Director, ATHOS Service GmbH, Munich, Germany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2019 - 2021: Personally liable partner of ATHOS KG, Munich, Germany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Since 2014: Founder/Managing Director of Salvia GmbH, Holzkirchen, Germany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Since 2021: Managing Director of Salvia Service GmbH, Holzkirchen, Germany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Membership in Domestic Supervisory Boards to be Formed by Law:</w:t>
      </w:r>
    </w:p>
    <w:p>
      <w:pPr>
        <w:spacing w:after="0" w:line="185" w:lineRule="exact"/>
        <w:rPr>
          <w:sz w:val="20"/>
          <w:szCs w:val="20"/>
          <w:color w:val="auto"/>
        </w:rPr>
      </w:pPr>
    </w:p>
    <w:p>
      <w:pPr>
        <w:ind w:left="640" w:hanging="310"/>
        <w:spacing w:after="0"/>
        <w:tabs>
          <w:tab w:leader="none" w:pos="640" w:val="left"/>
        </w:tabs>
        <w:numPr>
          <w:ilvl w:val="0"/>
          <w:numId w:val="38"/>
        </w:numPr>
        <w:rPr>
          <w:rFonts w:ascii="Arial" w:cs="Arial" w:eastAsia="Arial" w:hAnsi="Arial"/>
          <w:sz w:val="22"/>
          <w:szCs w:val="22"/>
          <w:color w:val="auto"/>
        </w:rPr>
      </w:pPr>
      <w:r>
        <w:rPr>
          <w:rFonts w:ascii="Arial" w:cs="Arial" w:eastAsia="Arial" w:hAnsi="Arial"/>
          <w:sz w:val="22"/>
          <w:szCs w:val="22"/>
          <w:color w:val="auto"/>
        </w:rPr>
        <w:t>4SC AG, Planegg-Martinsried, Germany</w:t>
      </w:r>
    </w:p>
    <w:p>
      <w:pPr>
        <w:spacing w:after="0" w:line="179" w:lineRule="exact"/>
        <w:rPr>
          <w:rFonts w:ascii="Arial" w:cs="Arial" w:eastAsia="Arial" w:hAnsi="Arial"/>
          <w:sz w:val="22"/>
          <w:szCs w:val="22"/>
          <w:color w:val="auto"/>
        </w:rPr>
      </w:pPr>
    </w:p>
    <w:p>
      <w:pPr>
        <w:ind w:left="640" w:hanging="310"/>
        <w:spacing w:after="0"/>
        <w:tabs>
          <w:tab w:leader="none" w:pos="640" w:val="left"/>
        </w:tabs>
        <w:numPr>
          <w:ilvl w:val="0"/>
          <w:numId w:val="38"/>
        </w:numPr>
        <w:rPr>
          <w:rFonts w:ascii="Arial" w:cs="Arial" w:eastAsia="Arial" w:hAnsi="Arial"/>
          <w:sz w:val="22"/>
          <w:szCs w:val="22"/>
          <w:color w:val="auto"/>
        </w:rPr>
      </w:pPr>
      <w:r>
        <w:rPr>
          <w:rFonts w:ascii="Arial" w:cs="Arial" w:eastAsia="Arial" w:hAnsi="Arial"/>
          <w:sz w:val="22"/>
          <w:szCs w:val="22"/>
          <w:color w:val="auto"/>
        </w:rPr>
        <w:t>AiCuris Anti-infective Cures AG, Wuppertal, Germany</w:t>
      </w:r>
    </w:p>
    <w:p>
      <w:pPr>
        <w:spacing w:after="0" w:line="179" w:lineRule="exact"/>
        <w:rPr>
          <w:rFonts w:ascii="Arial" w:cs="Arial" w:eastAsia="Arial" w:hAnsi="Arial"/>
          <w:sz w:val="22"/>
          <w:szCs w:val="22"/>
          <w:color w:val="auto"/>
        </w:rPr>
      </w:pPr>
    </w:p>
    <w:p>
      <w:pPr>
        <w:ind w:left="640" w:hanging="310"/>
        <w:spacing w:after="0"/>
        <w:tabs>
          <w:tab w:leader="none" w:pos="640" w:val="left"/>
        </w:tabs>
        <w:numPr>
          <w:ilvl w:val="0"/>
          <w:numId w:val="38"/>
        </w:numPr>
        <w:rPr>
          <w:rFonts w:ascii="Arial" w:cs="Arial" w:eastAsia="Arial" w:hAnsi="Arial"/>
          <w:sz w:val="22"/>
          <w:szCs w:val="22"/>
          <w:color w:val="auto"/>
        </w:rPr>
      </w:pPr>
      <w:r>
        <w:rPr>
          <w:rFonts w:ascii="Arial" w:cs="Arial" w:eastAsia="Arial" w:hAnsi="Arial"/>
          <w:sz w:val="22"/>
          <w:szCs w:val="22"/>
          <w:color w:val="auto"/>
        </w:rPr>
        <w:t>APK AG, Merseburg, Germany</w:t>
      </w:r>
    </w:p>
    <w:p>
      <w:pPr>
        <w:spacing w:after="0" w:line="179" w:lineRule="exact"/>
        <w:rPr>
          <w:rFonts w:ascii="Arial" w:cs="Arial" w:eastAsia="Arial" w:hAnsi="Arial"/>
          <w:sz w:val="22"/>
          <w:szCs w:val="22"/>
          <w:color w:val="auto"/>
        </w:rPr>
      </w:pPr>
    </w:p>
    <w:p>
      <w:pPr>
        <w:ind w:left="640" w:hanging="310"/>
        <w:spacing w:after="0"/>
        <w:tabs>
          <w:tab w:leader="none" w:pos="640" w:val="left"/>
        </w:tabs>
        <w:numPr>
          <w:ilvl w:val="0"/>
          <w:numId w:val="38"/>
        </w:numPr>
        <w:rPr>
          <w:rFonts w:ascii="Arial" w:cs="Arial" w:eastAsia="Arial" w:hAnsi="Arial"/>
          <w:sz w:val="22"/>
          <w:szCs w:val="22"/>
          <w:color w:val="auto"/>
        </w:rPr>
      </w:pPr>
      <w:r>
        <w:rPr>
          <w:rFonts w:ascii="Arial" w:cs="Arial" w:eastAsia="Arial" w:hAnsi="Arial"/>
          <w:sz w:val="22"/>
          <w:szCs w:val="22"/>
          <w:color w:val="auto"/>
        </w:rPr>
        <w:t>BioNTech SE, Mainz (Chairman of the Supervisory Board), Germany</w:t>
      </w:r>
    </w:p>
    <w:p>
      <w:pPr>
        <w:spacing w:after="0" w:line="179" w:lineRule="exact"/>
        <w:rPr>
          <w:rFonts w:ascii="Arial" w:cs="Arial" w:eastAsia="Arial" w:hAnsi="Arial"/>
          <w:sz w:val="22"/>
          <w:szCs w:val="22"/>
          <w:color w:val="auto"/>
        </w:rPr>
      </w:pPr>
    </w:p>
    <w:p>
      <w:pPr>
        <w:ind w:left="640" w:hanging="310"/>
        <w:spacing w:after="0"/>
        <w:tabs>
          <w:tab w:leader="none" w:pos="640" w:val="left"/>
        </w:tabs>
        <w:numPr>
          <w:ilvl w:val="0"/>
          <w:numId w:val="38"/>
        </w:numPr>
        <w:rPr>
          <w:rFonts w:ascii="Arial" w:cs="Arial" w:eastAsia="Arial" w:hAnsi="Arial"/>
          <w:sz w:val="21"/>
          <w:szCs w:val="21"/>
          <w:color w:val="auto"/>
        </w:rPr>
      </w:pPr>
      <w:r>
        <w:rPr>
          <w:rFonts w:ascii="Arial" w:cs="Arial" w:eastAsia="Arial" w:hAnsi="Arial"/>
          <w:sz w:val="21"/>
          <w:szCs w:val="21"/>
          <w:color w:val="auto"/>
        </w:rPr>
        <w:t>tonies SE, Düsseldorf (boxine) (Member of the Supervisory Board and Chairman of the Audit Committee)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Membership in Comparable Domestic or Foreign Supervisory Bodies of Commercial Enterprises:</w:t>
      </w:r>
    </w:p>
    <w:p>
      <w:pPr>
        <w:sectPr>
          <w:pgSz w:w="11900" w:h="16838" w:orient="portrait"/>
          <w:cols w:equalWidth="0" w:num="1">
            <w:col w:w="10600"/>
          </w:cols>
          <w:pgMar w:left="96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0600"/>
          </w:cols>
          <w:pgMar w:left="960" w:top="1440" w:right="339" w:bottom="1440" w:gutter="0" w:footer="0" w:header="0"/>
          <w:type w:val="continuous"/>
        </w:sectPr>
      </w:pPr>
    </w:p>
    <w:bookmarkStart w:id="44" w:name="page45"/>
    <w:bookmarkEnd w:id="44"/>
    <w:p>
      <w:pPr>
        <w:spacing w:after="0" w:line="69" w:lineRule="exact"/>
        <w:rPr>
          <w:sz w:val="20"/>
          <w:szCs w:val="20"/>
          <w:color w:val="auto"/>
        </w:rPr>
      </w:pPr>
    </w:p>
    <w:p>
      <w:pPr>
        <w:ind w:left="640" w:hanging="310"/>
        <w:spacing w:after="0"/>
        <w:tabs>
          <w:tab w:leader="none" w:pos="640" w:val="left"/>
        </w:tabs>
        <w:numPr>
          <w:ilvl w:val="0"/>
          <w:numId w:val="39"/>
        </w:numPr>
        <w:rPr>
          <w:rFonts w:ascii="Arial" w:cs="Arial" w:eastAsia="Arial" w:hAnsi="Arial"/>
          <w:sz w:val="21"/>
          <w:szCs w:val="21"/>
          <w:color w:val="auto"/>
        </w:rPr>
      </w:pPr>
      <w:r>
        <w:rPr>
          <w:rFonts w:ascii="Arial" w:cs="Arial" w:eastAsia="Arial" w:hAnsi="Arial"/>
          <w:sz w:val="21"/>
          <w:szCs w:val="21"/>
          <w:color w:val="auto"/>
        </w:rPr>
        <w:t>Member of the Supervisory Board, AFFiRiS AG, Vienna, Austria</w:t>
      </w:r>
    </w:p>
    <w:p>
      <w:pPr>
        <w:spacing w:after="0" w:line="190" w:lineRule="exact"/>
        <w:rPr>
          <w:rFonts w:ascii="Arial" w:cs="Arial" w:eastAsia="Arial" w:hAnsi="Arial"/>
          <w:sz w:val="21"/>
          <w:szCs w:val="21"/>
          <w:color w:val="auto"/>
        </w:rPr>
      </w:pPr>
    </w:p>
    <w:p>
      <w:pPr>
        <w:ind w:left="640" w:hanging="310"/>
        <w:spacing w:after="0"/>
        <w:tabs>
          <w:tab w:leader="none" w:pos="6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Member of the Board, IQM, Espoo (Finland)</w:t>
      </w:r>
    </w:p>
    <w:p>
      <w:pPr>
        <w:spacing w:after="0" w:line="179" w:lineRule="exact"/>
        <w:rPr>
          <w:rFonts w:ascii="Arial" w:cs="Arial" w:eastAsia="Arial" w:hAnsi="Arial"/>
          <w:sz w:val="22"/>
          <w:szCs w:val="22"/>
          <w:color w:val="auto"/>
        </w:rPr>
      </w:pPr>
    </w:p>
    <w:p>
      <w:pPr>
        <w:ind w:left="640" w:hanging="310"/>
        <w:spacing w:after="0"/>
        <w:tabs>
          <w:tab w:leader="none" w:pos="6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Member of the Board, SiO2 Medical Products, Auburn (USA)</w:t>
      </w:r>
    </w:p>
    <w:p>
      <w:pPr>
        <w:spacing w:after="0" w:line="179" w:lineRule="exact"/>
        <w:rPr>
          <w:rFonts w:ascii="Arial" w:cs="Arial" w:eastAsia="Arial" w:hAnsi="Arial"/>
          <w:sz w:val="22"/>
          <w:szCs w:val="22"/>
          <w:color w:val="auto"/>
        </w:rPr>
      </w:pPr>
    </w:p>
    <w:p>
      <w:pPr>
        <w:ind w:left="640" w:hanging="310"/>
        <w:spacing w:after="0"/>
        <w:tabs>
          <w:tab w:leader="none" w:pos="6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Member of the Board, Solaris Pharma Corporation, Bridgewater (USA)</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Significant Activities:</w:t>
      </w:r>
    </w:p>
    <w:p>
      <w:pPr>
        <w:spacing w:after="0" w:line="185" w:lineRule="exact"/>
        <w:rPr>
          <w:sz w:val="20"/>
          <w:szCs w:val="20"/>
          <w:color w:val="auto"/>
        </w:rPr>
      </w:pPr>
    </w:p>
    <w:p>
      <w:pPr>
        <w:ind w:left="700" w:hanging="315"/>
        <w:spacing w:after="0"/>
        <w:tabs>
          <w:tab w:leader="none" w:pos="7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Chairman of the Advisory Board, CorTec GmbH, Freiburg, Germany</w:t>
      </w:r>
    </w:p>
    <w:p>
      <w:pPr>
        <w:spacing w:after="0" w:line="213" w:lineRule="exact"/>
        <w:rPr>
          <w:rFonts w:ascii="Arial" w:cs="Arial" w:eastAsia="Arial" w:hAnsi="Arial"/>
          <w:sz w:val="19"/>
          <w:szCs w:val="19"/>
          <w:color w:val="auto"/>
        </w:rPr>
      </w:pPr>
    </w:p>
    <w:p>
      <w:pPr>
        <w:ind w:left="700" w:hanging="315"/>
        <w:spacing w:after="0"/>
        <w:tabs>
          <w:tab w:leader="none" w:pos="7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Member of the Advisory Board, Glycotope GmbH, Berlin, Germany</w:t>
      </w:r>
    </w:p>
    <w:p>
      <w:pPr>
        <w:spacing w:after="0" w:line="213" w:lineRule="exact"/>
        <w:rPr>
          <w:rFonts w:ascii="Arial" w:cs="Arial" w:eastAsia="Arial" w:hAnsi="Arial"/>
          <w:sz w:val="19"/>
          <w:szCs w:val="19"/>
          <w:color w:val="auto"/>
        </w:rPr>
      </w:pPr>
    </w:p>
    <w:p>
      <w:pPr>
        <w:ind w:left="700" w:hanging="315"/>
        <w:spacing w:after="0"/>
        <w:tabs>
          <w:tab w:leader="none" w:pos="700" w:val="left"/>
        </w:tabs>
        <w:numPr>
          <w:ilvl w:val="0"/>
          <w:numId w:val="40"/>
        </w:numPr>
        <w:rPr>
          <w:rFonts w:ascii="Arial" w:cs="Arial" w:eastAsia="Arial" w:hAnsi="Arial"/>
          <w:sz w:val="21"/>
          <w:szCs w:val="21"/>
          <w:color w:val="auto"/>
        </w:rPr>
      </w:pPr>
      <w:r>
        <w:rPr>
          <w:rFonts w:ascii="Arial" w:cs="Arial" w:eastAsia="Arial" w:hAnsi="Arial"/>
          <w:sz w:val="21"/>
          <w:szCs w:val="21"/>
          <w:color w:val="auto"/>
        </w:rPr>
        <w:t>Member of the Advisory Board, Movinga GmbH, Berlin, Germany</w:t>
      </w:r>
    </w:p>
    <w:p>
      <w:pPr>
        <w:spacing w:after="0" w:line="190" w:lineRule="exact"/>
        <w:rPr>
          <w:rFonts w:ascii="Arial" w:cs="Arial" w:eastAsia="Arial" w:hAnsi="Arial"/>
          <w:sz w:val="21"/>
          <w:szCs w:val="21"/>
          <w:color w:val="auto"/>
        </w:rPr>
      </w:pPr>
    </w:p>
    <w:p>
      <w:pPr>
        <w:ind w:left="700" w:hanging="315"/>
        <w:spacing w:after="0"/>
        <w:tabs>
          <w:tab w:leader="none" w:pos="7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Member of the Advisory Board, OQmented GmbH, Itzehoe, 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9499"/>
          </w:cols>
          <w:pgMar w:left="960" w:top="1440" w:right="1440" w:bottom="1440" w:gutter="0" w:footer="0" w:header="0"/>
        </w:sectPr>
      </w:pPr>
    </w:p>
    <w:bookmarkStart w:id="45" w:name="page46"/>
    <w:bookmarkEnd w:id="45"/>
    <w:p>
      <w:pPr>
        <w:spacing w:after="0" w:line="387" w:lineRule="exact"/>
        <w:rPr>
          <w:sz w:val="20"/>
          <w:szCs w:val="20"/>
          <w:color w:val="auto"/>
        </w:rPr>
      </w:pPr>
    </w:p>
    <w:p>
      <w:pPr>
        <w:ind w:left="640" w:hanging="632"/>
        <w:spacing w:after="0"/>
        <w:tabs>
          <w:tab w:leader="none" w:pos="64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Remuneration System for the Members of the Supervisory Board of BioNTech SE (Agenda Item 9)</w:t>
      </w:r>
    </w:p>
    <w:p>
      <w:pPr>
        <w:spacing w:after="0" w:line="206" w:lineRule="exact"/>
        <w:rPr>
          <w:sz w:val="20"/>
          <w:szCs w:val="20"/>
          <w:color w:val="auto"/>
        </w:rPr>
      </w:pPr>
    </w:p>
    <w:p>
      <w:pPr>
        <w:ind w:left="640" w:hanging="637"/>
        <w:spacing w:after="0" w:line="235" w:lineRule="auto"/>
        <w:tabs>
          <w:tab w:leader="none" w:pos="62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22"/>
          <w:szCs w:val="22"/>
          <w:b w:val="1"/>
          <w:bCs w:val="1"/>
          <w:color w:val="auto"/>
        </w:rPr>
        <w:t>Extract from the Articles of Association of BioNTech SE and Proposed New Regulation on Supervisory Board Remuneration</w:t>
      </w:r>
    </w:p>
    <w:p>
      <w:pPr>
        <w:spacing w:after="0" w:line="159" w:lineRule="exact"/>
        <w:rPr>
          <w:sz w:val="20"/>
          <w:szCs w:val="20"/>
          <w:color w:val="auto"/>
        </w:rPr>
      </w:pPr>
    </w:p>
    <w:p>
      <w:pPr>
        <w:jc w:val="both"/>
        <w:ind w:left="640" w:right="20"/>
        <w:spacing w:after="0" w:line="232" w:lineRule="auto"/>
        <w:rPr>
          <w:sz w:val="20"/>
          <w:szCs w:val="20"/>
          <w:color w:val="auto"/>
        </w:rPr>
      </w:pPr>
      <w:r>
        <w:rPr>
          <w:rFonts w:ascii="Arial" w:cs="Arial" w:eastAsia="Arial" w:hAnsi="Arial"/>
          <w:sz w:val="22"/>
          <w:szCs w:val="22"/>
          <w:color w:val="auto"/>
        </w:rPr>
        <w:t>The currently applicable regulation on the remuneration of the members of the Company's Supervisory Board in Sec. 9 para. 6 of the Articles of Association reads as follows:</w:t>
      </w:r>
    </w:p>
    <w:p>
      <w:pPr>
        <w:spacing w:after="0" w:line="159" w:lineRule="exact"/>
        <w:rPr>
          <w:sz w:val="20"/>
          <w:szCs w:val="20"/>
          <w:color w:val="auto"/>
        </w:rPr>
      </w:pPr>
    </w:p>
    <w:p>
      <w:pPr>
        <w:jc w:val="both"/>
        <w:ind w:left="640"/>
        <w:spacing w:after="0" w:line="219" w:lineRule="auto"/>
        <w:rPr>
          <w:sz w:val="20"/>
          <w:szCs w:val="20"/>
          <w:color w:val="auto"/>
        </w:rPr>
      </w:pPr>
      <w:r>
        <w:rPr>
          <w:rFonts w:ascii="Arial" w:cs="Arial" w:eastAsia="Arial" w:hAnsi="Arial"/>
          <w:sz w:val="21"/>
          <w:szCs w:val="21"/>
          <w:i w:val="1"/>
          <w:iCs w:val="1"/>
          <w:color w:val="auto"/>
        </w:rPr>
        <w:t>"In addition to reimbursement of their expenses, the members of the Supervisory Board shall receive annual compensation of EUR 70,000, the Chair three times this amount and the Vice Chair one and a half times this amount. The Chair of the Audit Committee shall receive an additional annual compensation of EUR 30,000. The respective Chair of another committee shall receive an additional annual compensation of EUR 10,000. Members of the Supervisory Board who are only members of the Supervisory Board for part of the financial year or who chair or vice-chair the Supervisory Board or the Audit Committee or another committee shall receive the respective compensation on a pro-rata basis. The same applies insofar as this regulation or this regulation in a specific version is only in force during part of the financial year. If the reimbursement of expenses or the compensation is subject to value added tax, the value added tax shall be paid in addition. In its own interest, the Company shall maintain appropriate D&amp;O liability insurance for its corporate bodies and management, which shall also include the members of the Supervisory Board and be co-insured at the expense of the Company."</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The proposed amendment to Sec. 9 para. 6 of the Articles of Association reads as follows:</w:t>
      </w:r>
    </w:p>
    <w:p>
      <w:pPr>
        <w:spacing w:after="0" w:line="179" w:lineRule="exact"/>
        <w:rPr>
          <w:sz w:val="20"/>
          <w:szCs w:val="20"/>
          <w:color w:val="auto"/>
        </w:rPr>
      </w:pPr>
    </w:p>
    <w:p>
      <w:pPr>
        <w:jc w:val="both"/>
        <w:ind w:left="640"/>
        <w:spacing w:after="0" w:line="219" w:lineRule="auto"/>
        <w:rPr>
          <w:sz w:val="20"/>
          <w:szCs w:val="20"/>
          <w:color w:val="auto"/>
        </w:rPr>
      </w:pPr>
      <w:r>
        <w:rPr>
          <w:rFonts w:ascii="Arial" w:cs="Arial" w:eastAsia="Arial" w:hAnsi="Arial"/>
          <w:sz w:val="21"/>
          <w:szCs w:val="21"/>
          <w:i w:val="1"/>
          <w:iCs w:val="1"/>
          <w:color w:val="auto"/>
        </w:rPr>
        <w:t>“In addition to reimbursement of their expenses, the members of the Supervisory Board shall receive annual compensation of EUR 70,000, the Chair three times this amount and the Vice Chair one and a half times this amount. The Chair of the Audit Committee shall receive an additional annual compensation of EUR 30,000. The respective Chair of another committee shall receive an additional annual compensation of EUR 15,000. An ordinary committee member receives an additional annual remuneration of EUR 5,000 per committee. Members of the Supervisory Board who are only members of the Supervisory Board for part of the financial year or who chair or vice-chair the Supervisory Board or the Audit Committee or another committee shall receive the respective compensation on a pro-rata basis. The same applies insofar as this regulation or this regulation in a specific version is only in force during part of the financial year. If the reimbursement of expenses or the compensation is subject to value added tax, the value added tax shall be paid in addition. In its own interest, the Company shall maintain appropriate D&amp;O liability insurance for its corporate bodies and management, which shall also include the members of the Supervisory Board and be co-insured at the expense of the Company.”</w:t>
      </w:r>
    </w:p>
    <w:p>
      <w:pPr>
        <w:spacing w:after="0" w:line="26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Objective of Supervisory Board Remuneration and Relation to Corporate Strategy</w:t>
      </w:r>
    </w:p>
    <w:p>
      <w:pPr>
        <w:spacing w:after="0" w:line="185" w:lineRule="exact"/>
        <w:rPr>
          <w:sz w:val="20"/>
          <w:szCs w:val="20"/>
          <w:color w:val="auto"/>
        </w:rPr>
      </w:pPr>
    </w:p>
    <w:p>
      <w:pPr>
        <w:jc w:val="both"/>
        <w:ind w:left="640"/>
        <w:spacing w:after="0" w:line="226" w:lineRule="auto"/>
        <w:rPr>
          <w:sz w:val="20"/>
          <w:szCs w:val="20"/>
          <w:color w:val="auto"/>
        </w:rPr>
      </w:pPr>
      <w:r>
        <w:rPr>
          <w:rFonts w:ascii="Arial" w:cs="Arial" w:eastAsia="Arial" w:hAnsi="Arial"/>
          <w:sz w:val="21"/>
          <w:szCs w:val="21"/>
          <w:color w:val="auto"/>
        </w:rPr>
        <w:t>The system for the remuneration of the members of the Supervisory Board is based on the legal requirements and takes into account the recommendations of the German Corporate Governance Code. The remuneration of the members of the Supervisory Board shall be balanced overall and shall be commensurate with the responsibilities and tasks of the members of the Supervisory Board and the situation of the Company, also taking into account the remuneration regulations of other comparable listed companies. At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46" w:name="page47"/>
    <w:bookmarkEnd w:id="46"/>
    <w:p>
      <w:pPr>
        <w:spacing w:after="0" w:line="69" w:lineRule="exact"/>
        <w:rPr>
          <w:sz w:val="20"/>
          <w:szCs w:val="20"/>
          <w:color w:val="auto"/>
        </w:rPr>
      </w:pPr>
    </w:p>
    <w:p>
      <w:pPr>
        <w:jc w:val="both"/>
        <w:ind w:left="640"/>
        <w:spacing w:after="0" w:line="257" w:lineRule="auto"/>
        <w:rPr>
          <w:sz w:val="20"/>
          <w:szCs w:val="20"/>
          <w:color w:val="auto"/>
        </w:rPr>
      </w:pPr>
      <w:r>
        <w:rPr>
          <w:rFonts w:ascii="Arial" w:cs="Arial" w:eastAsia="Arial" w:hAnsi="Arial"/>
          <w:sz w:val="19"/>
          <w:szCs w:val="19"/>
          <w:color w:val="auto"/>
        </w:rPr>
        <w:t>time, it shall make the assumption of a mandate as Supervisory Board member or chair of the Supervisory Board or a committee or as a member of a committee appear sufficiently attractive in order to be able to attract and retain outstanding mandate holders. This is a prerequisite for the best possible supervision and advice to the Management Board, which in turn make a significant contribution to a successful business strategy and the long-term success of the Company.</w:t>
      </w:r>
    </w:p>
    <w:p>
      <w:pPr>
        <w:spacing w:after="0" w:line="24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9"/>
          <w:szCs w:val="19"/>
          <w:b w:val="1"/>
          <w:bCs w:val="1"/>
          <w:color w:val="auto"/>
        </w:rPr>
        <w:t>Components, Amount and Structure of the Supervisory Board Remuneration</w:t>
      </w:r>
    </w:p>
    <w:p>
      <w:pPr>
        <w:spacing w:after="0" w:line="185" w:lineRule="exact"/>
        <w:rPr>
          <w:sz w:val="20"/>
          <w:szCs w:val="20"/>
          <w:color w:val="auto"/>
        </w:rPr>
      </w:pPr>
    </w:p>
    <w:p>
      <w:pPr>
        <w:jc w:val="both"/>
        <w:ind w:left="640"/>
        <w:spacing w:after="0" w:line="219" w:lineRule="auto"/>
        <w:rPr>
          <w:sz w:val="20"/>
          <w:szCs w:val="20"/>
          <w:color w:val="auto"/>
        </w:rPr>
      </w:pPr>
      <w:r>
        <w:rPr>
          <w:rFonts w:ascii="Arial" w:cs="Arial" w:eastAsia="Arial" w:hAnsi="Arial"/>
          <w:sz w:val="21"/>
          <w:szCs w:val="21"/>
          <w:color w:val="auto"/>
        </w:rPr>
        <w:t>The members of the Supervisory Board shall continue to receive a purely fixed remuneration to strengthen the independence of the Supervisory Board, to enable an objective and neutral performance of the advisory and supervisory function as well as independent personnel and remuneration decisions. This also corresponds to recommendation G.18 of the German Corporate Governance Code, according to which the remuneration of the Supervisory Board should consist of a fixed remuneration. In accordance with the recommendation of the German Corporate Governance Code, the higher time expenditure of the Chair and Deputy Chair of the Supervisory Board as well as the Chair and members of committees shall be appropriately taken into account by means of a corresponding additional remuneration. The annual basic remuneration for a member of the Supervisory Board is currently EUR 70,000 and shall remain unchanged. The Chair of the Supervisory Board shall receive three times the basic remuneration of an ordinary member of the Supervisory Board, his deputy one and a half times. The Chair of the Audit Committee shall additionally receive an annual remuneration of EUR 30,000. The respective Chair of another committee shall additionally receive an annual remuneration of EUR 15,000. An ordinary committee member shall receive an additional annual remuneration of EUR 5,000 per committee.</w:t>
      </w:r>
    </w:p>
    <w:p>
      <w:pPr>
        <w:spacing w:after="0" w:line="159" w:lineRule="exact"/>
        <w:rPr>
          <w:sz w:val="20"/>
          <w:szCs w:val="20"/>
          <w:color w:val="auto"/>
        </w:rPr>
      </w:pPr>
    </w:p>
    <w:p>
      <w:pPr>
        <w:jc w:val="both"/>
        <w:ind w:left="640"/>
        <w:spacing w:after="0" w:line="218" w:lineRule="auto"/>
        <w:rPr>
          <w:sz w:val="20"/>
          <w:szCs w:val="20"/>
          <w:color w:val="auto"/>
        </w:rPr>
      </w:pPr>
      <w:r>
        <w:rPr>
          <w:rFonts w:ascii="Arial" w:cs="Arial" w:eastAsia="Arial" w:hAnsi="Arial"/>
          <w:sz w:val="22"/>
          <w:szCs w:val="22"/>
          <w:color w:val="auto"/>
        </w:rPr>
        <w:t>Members of the Supervisory Board who are only members of the Supervisory Board for part of the financial year or who chair, or deputy chair the Supervisory Board, the Audit Committee or another committee shall receive the respective remuneration pro rata temporis. The same shall apply if this regulation or this regulation in a specific version is only in force during part of the financial year.</w:t>
      </w:r>
    </w:p>
    <w:p>
      <w:pPr>
        <w:spacing w:after="0" w:line="161" w:lineRule="exact"/>
        <w:rPr>
          <w:sz w:val="20"/>
          <w:szCs w:val="20"/>
          <w:color w:val="auto"/>
        </w:rPr>
      </w:pPr>
    </w:p>
    <w:p>
      <w:pPr>
        <w:jc w:val="both"/>
        <w:ind w:left="640"/>
        <w:spacing w:after="0" w:line="257" w:lineRule="auto"/>
        <w:rPr>
          <w:sz w:val="20"/>
          <w:szCs w:val="20"/>
          <w:color w:val="auto"/>
        </w:rPr>
      </w:pPr>
      <w:r>
        <w:rPr>
          <w:rFonts w:ascii="Arial" w:cs="Arial" w:eastAsia="Arial" w:hAnsi="Arial"/>
          <w:sz w:val="19"/>
          <w:szCs w:val="19"/>
          <w:color w:val="auto"/>
        </w:rPr>
        <w:t>Insofar as the reimbursement of expenses or the remuneration is subject to value added tax, the Company shall additionally reimburse the value added tax. Furthermore, the members of the Supervisory Board are included in a pecuniary damage liability insurance policy for members of executive bodies, which is maintained by the Company in the interest of the Company at an appropriate amount. The premiums for this are paid by the Company.</w:t>
      </w:r>
    </w:p>
    <w:p>
      <w:pPr>
        <w:spacing w:after="0" w:line="24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9"/>
          <w:szCs w:val="19"/>
          <w:b w:val="1"/>
          <w:bCs w:val="1"/>
          <w:color w:val="auto"/>
        </w:rPr>
        <w:t>Determination and Procedure for Review of Supervisory Board remuneration</w:t>
      </w:r>
    </w:p>
    <w:p>
      <w:pPr>
        <w:spacing w:after="0" w:line="185" w:lineRule="exact"/>
        <w:rPr>
          <w:sz w:val="20"/>
          <w:szCs w:val="20"/>
          <w:color w:val="auto"/>
        </w:rPr>
      </w:pPr>
    </w:p>
    <w:p>
      <w:pPr>
        <w:jc w:val="both"/>
        <w:ind w:left="640"/>
        <w:spacing w:after="0" w:line="247" w:lineRule="auto"/>
        <w:rPr>
          <w:sz w:val="20"/>
          <w:szCs w:val="20"/>
          <w:color w:val="auto"/>
        </w:rPr>
      </w:pPr>
      <w:r>
        <w:rPr>
          <w:rFonts w:ascii="Arial" w:cs="Arial" w:eastAsia="Arial" w:hAnsi="Arial"/>
          <w:sz w:val="19"/>
          <w:szCs w:val="19"/>
          <w:color w:val="auto"/>
        </w:rPr>
        <w:t>The regulations on remuneration as well as the remuneration system shall be regularly reviewed by the Supervisory Board regarding their appropriateness, whereby external remuneration experts may also be consulted. At least every four years and in the event of proposals to change the remuneration regulations, the Annual General Meeting shall pass a resolution on the remuneration of the members of the Supervisory Board. The Annual General Meeting may confirm the respective existing system of Supervisory Board remuneration or pass a resolution to amend it. Corresponding resolution proposals to the Annual General Meeting are submitted by the Management Board and the Supervisory Board in accordance with the legally regulated division of responsibilities, so that there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47" w:name="page48"/>
    <w:bookmarkEnd w:id="47"/>
    <w:p>
      <w:pPr>
        <w:spacing w:after="0" w:line="6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mutual control between the two bodies. The decision on the final structure of the remuneration system is assigned to the Annual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580"/>
          </w:cols>
          <w:pgMar w:left="960" w:top="1440" w:right="359" w:bottom="1440" w:gutter="0" w:footer="0" w:header="0"/>
        </w:sectPr>
      </w:pPr>
    </w:p>
    <w:bookmarkStart w:id="48" w:name="page49"/>
    <w:bookmarkEnd w:id="48"/>
    <w:p>
      <w:pPr>
        <w:spacing w:after="0" w:line="387" w:lineRule="exact"/>
        <w:rPr>
          <w:sz w:val="20"/>
          <w:szCs w:val="20"/>
          <w:color w:val="auto"/>
        </w:rPr>
      </w:pPr>
    </w:p>
    <w:p>
      <w:pPr>
        <w:ind w:left="640" w:hanging="632"/>
        <w:spacing w:after="0"/>
        <w:tabs>
          <w:tab w:leader="none" w:pos="64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Further Details</w:t>
      </w:r>
    </w:p>
    <w:p>
      <w:pPr>
        <w:spacing w:after="0" w:line="185" w:lineRule="exact"/>
        <w:rPr>
          <w:rFonts w:ascii="Arial" w:cs="Arial" w:eastAsia="Arial" w:hAnsi="Arial"/>
          <w:sz w:val="22"/>
          <w:szCs w:val="22"/>
          <w:b w:val="1"/>
          <w:bCs w:val="1"/>
          <w:color w:val="auto"/>
        </w:rPr>
      </w:pPr>
    </w:p>
    <w:p>
      <w:pPr>
        <w:jc w:val="both"/>
        <w:ind w:left="640"/>
        <w:spacing w:after="0" w:line="268" w:lineRule="auto"/>
        <w:rPr>
          <w:rFonts w:ascii="Arial" w:cs="Arial" w:eastAsia="Arial" w:hAnsi="Arial"/>
          <w:sz w:val="22"/>
          <w:szCs w:val="22"/>
          <w:b w:val="1"/>
          <w:bCs w:val="1"/>
          <w:color w:val="auto"/>
        </w:rPr>
      </w:pPr>
      <w:r>
        <w:rPr>
          <w:rFonts w:ascii="Arial" w:cs="Arial" w:eastAsia="Arial" w:hAnsi="Arial"/>
          <w:sz w:val="19"/>
          <w:szCs w:val="19"/>
          <w:color w:val="auto"/>
        </w:rPr>
        <w:t>The Company's Management Board, with the approval of the Supervisory Board, has decided in accordance with Sec. 1 para. 2 of the COVID-19 Act that, against the background of the ongoing pandemic, the Annual General Meeting will again be held this year as a virtual Annual General Meeting without the physical presence of shareholders or their proxies.</w:t>
      </w:r>
    </w:p>
    <w:p>
      <w:pPr>
        <w:spacing w:after="0" w:line="234" w:lineRule="exact"/>
        <w:rPr>
          <w:rFonts w:ascii="Arial" w:cs="Arial" w:eastAsia="Arial" w:hAnsi="Arial"/>
          <w:sz w:val="22"/>
          <w:szCs w:val="22"/>
          <w:b w:val="1"/>
          <w:bCs w:val="1"/>
          <w:color w:val="auto"/>
        </w:rPr>
      </w:pPr>
    </w:p>
    <w:p>
      <w:pPr>
        <w:ind w:left="64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Investor Portal</w:t>
      </w:r>
    </w:p>
    <w:p>
      <w:pPr>
        <w:spacing w:after="0" w:line="185" w:lineRule="exact"/>
        <w:rPr>
          <w:sz w:val="20"/>
          <w:szCs w:val="20"/>
          <w:color w:val="auto"/>
        </w:rPr>
      </w:pPr>
    </w:p>
    <w:p>
      <w:pPr>
        <w:jc w:val="both"/>
        <w:ind w:left="640"/>
        <w:spacing w:after="0" w:line="223" w:lineRule="auto"/>
        <w:rPr>
          <w:sz w:val="20"/>
          <w:szCs w:val="20"/>
          <w:color w:val="auto"/>
        </w:rPr>
      </w:pPr>
      <w:r>
        <w:rPr>
          <w:rFonts w:ascii="Arial" w:cs="Arial" w:eastAsia="Arial" w:hAnsi="Arial"/>
          <w:sz w:val="22"/>
          <w:szCs w:val="22"/>
          <w:color w:val="auto"/>
        </w:rPr>
        <w:t>To enable our shareholders and their proxies to register for the Annual General Meeting, grant proxy and vote on the resolutions to be passed by the Annual General Meeting, we have set up an investor portal, which can be accessed via our website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https://investors.biontech.de/agm</w:t>
      </w:r>
    </w:p>
    <w:p>
      <w:pPr>
        <w:spacing w:after="0" w:line="173" w:lineRule="exact"/>
        <w:rPr>
          <w:sz w:val="20"/>
          <w:szCs w:val="20"/>
          <w:color w:val="auto"/>
        </w:rPr>
      </w:pPr>
    </w:p>
    <w:p>
      <w:pPr>
        <w:jc w:val="both"/>
        <w:ind w:left="640"/>
        <w:spacing w:after="0" w:line="235"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Investor Portal</w:t>
      </w:r>
      <w:r>
        <w:rPr>
          <w:rFonts w:ascii="Arial" w:cs="Arial" w:eastAsia="Arial" w:hAnsi="Arial"/>
          <w:sz w:val="22"/>
          <w:szCs w:val="22"/>
          <w:color w:val="auto"/>
        </w:rPr>
        <w:t>"). In addition, the Annual General Meeting will be broadcast via a website which is also accessible at the above-mentioned website.</w:t>
      </w:r>
    </w:p>
    <w:p>
      <w:pPr>
        <w:spacing w:after="0" w:line="159" w:lineRule="exact"/>
        <w:rPr>
          <w:sz w:val="20"/>
          <w:szCs w:val="20"/>
          <w:color w:val="auto"/>
        </w:rPr>
      </w:pPr>
    </w:p>
    <w:p>
      <w:pPr>
        <w:jc w:val="both"/>
        <w:ind w:left="640"/>
        <w:spacing w:after="0" w:line="298" w:lineRule="auto"/>
        <w:rPr>
          <w:sz w:val="20"/>
          <w:szCs w:val="20"/>
          <w:color w:val="auto"/>
        </w:rPr>
      </w:pPr>
      <w:r>
        <w:rPr>
          <w:rFonts w:ascii="Arial" w:cs="Arial" w:eastAsia="Arial" w:hAnsi="Arial"/>
          <w:sz w:val="19"/>
          <w:szCs w:val="19"/>
          <w:color w:val="auto"/>
        </w:rPr>
        <w:t>To access the Investor Portal, shareholders and proxies require access authorization. Shareholders registered in the share register will receive the necessary information together with the registration documents for the Annual General Meeting.</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We kindly refer our ADS holders to the section "ADS Holders" further below in this information.</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Requirements for Participation in the Virtual Annual General Meeting and the Exercise of Voting Rights</w:t>
      </w:r>
    </w:p>
    <w:p>
      <w:pPr>
        <w:spacing w:after="0" w:line="197" w:lineRule="exact"/>
        <w:rPr>
          <w:sz w:val="20"/>
          <w:szCs w:val="20"/>
          <w:color w:val="auto"/>
        </w:rPr>
      </w:pPr>
    </w:p>
    <w:p>
      <w:pPr>
        <w:jc w:val="both"/>
        <w:ind w:left="640"/>
        <w:spacing w:after="0" w:line="222" w:lineRule="auto"/>
        <w:rPr>
          <w:sz w:val="20"/>
          <w:szCs w:val="20"/>
          <w:color w:val="auto"/>
        </w:rPr>
      </w:pPr>
      <w:r>
        <w:rPr>
          <w:rFonts w:ascii="Arial" w:cs="Arial" w:eastAsia="Arial" w:hAnsi="Arial"/>
          <w:sz w:val="21"/>
          <w:szCs w:val="21"/>
          <w:color w:val="auto"/>
        </w:rPr>
        <w:t>Shareholders are entitled to exercise their shareholder rights (also by proxy) who have registered in due time and whose shares are entered in the share register at the end of the registration deadline, i.e., on Wednesday, 25 May 2022, 24:00 hours (CEST). After this time and until the end of the Annual General Meeting, no further entries will be made in the share register for technical reasons (so-called "write stop"). Therefore, the registration status of the share register on the day of the virtual Annual General Meeting corresponds to the status at the end of the registration deadline, Wednesday, 25 May 2022, 24:00 hours (CEST) ("</w:t>
      </w:r>
      <w:r>
        <w:rPr>
          <w:rFonts w:ascii="Arial" w:cs="Arial" w:eastAsia="Arial" w:hAnsi="Arial"/>
          <w:sz w:val="21"/>
          <w:szCs w:val="21"/>
          <w:b w:val="1"/>
          <w:bCs w:val="1"/>
          <w:color w:val="auto"/>
        </w:rPr>
        <w:t>technical record date</w:t>
      </w:r>
      <w:r>
        <w:rPr>
          <w:rFonts w:ascii="Arial" w:cs="Arial" w:eastAsia="Arial" w:hAnsi="Arial"/>
          <w:sz w:val="21"/>
          <w:szCs w:val="21"/>
          <w:color w:val="auto"/>
        </w:rPr>
        <w:t>"). The trading of the shares is not restricted due to the write stop, the shares are not blocked.</w:t>
      </w:r>
    </w:p>
    <w:p>
      <w:pPr>
        <w:spacing w:after="0" w:line="158" w:lineRule="exact"/>
        <w:rPr>
          <w:sz w:val="20"/>
          <w:szCs w:val="20"/>
          <w:color w:val="auto"/>
        </w:rPr>
      </w:pPr>
    </w:p>
    <w:p>
      <w:pPr>
        <w:jc w:val="both"/>
        <w:ind w:left="640"/>
        <w:spacing w:after="0" w:line="235" w:lineRule="auto"/>
        <w:rPr>
          <w:sz w:val="20"/>
          <w:szCs w:val="20"/>
          <w:color w:val="auto"/>
        </w:rPr>
      </w:pPr>
      <w:r>
        <w:rPr>
          <w:rFonts w:ascii="Arial" w:cs="Arial" w:eastAsia="Arial" w:hAnsi="Arial"/>
          <w:sz w:val="22"/>
          <w:szCs w:val="22"/>
          <w:color w:val="auto"/>
        </w:rPr>
        <w:t xml:space="preserve">The registration for participation in the Annual General Meeting must be received at the latest by </w:t>
      </w:r>
      <w:r>
        <w:rPr>
          <w:rFonts w:ascii="Arial" w:cs="Arial" w:eastAsia="Arial" w:hAnsi="Arial"/>
          <w:sz w:val="22"/>
          <w:szCs w:val="22"/>
          <w:b w:val="1"/>
          <w:bCs w:val="1"/>
          <w:color w:val="auto"/>
        </w:rPr>
        <w:t>Wednesday, 25 May</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2022, 24:00 (CEST) </w:t>
      </w:r>
      <w:r>
        <w:rPr>
          <w:rFonts w:ascii="Arial" w:cs="Arial" w:eastAsia="Arial" w:hAnsi="Arial"/>
          <w:sz w:val="22"/>
          <w:szCs w:val="22"/>
          <w:color w:val="auto"/>
        </w:rPr>
        <w:t>at the following address:</w:t>
      </w:r>
    </w:p>
    <w:p>
      <w:pPr>
        <w:spacing w:after="0" w:line="140"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BioNTech SE</w:t>
      </w:r>
    </w:p>
    <w:p>
      <w:pPr>
        <w:ind w:left="1300"/>
        <w:spacing w:after="0" w:line="204" w:lineRule="auto"/>
        <w:rPr>
          <w:sz w:val="20"/>
          <w:szCs w:val="20"/>
          <w:color w:val="auto"/>
        </w:rPr>
      </w:pPr>
      <w:r>
        <w:rPr>
          <w:rFonts w:ascii="Arial" w:cs="Arial" w:eastAsia="Arial" w:hAnsi="Arial"/>
          <w:sz w:val="22"/>
          <w:szCs w:val="22"/>
          <w:color w:val="auto"/>
        </w:rPr>
        <w:t>c/o Computershare Operations Center</w:t>
      </w:r>
    </w:p>
    <w:p>
      <w:pPr>
        <w:ind w:left="1300"/>
        <w:spacing w:after="0" w:line="205" w:lineRule="auto"/>
        <w:rPr>
          <w:sz w:val="20"/>
          <w:szCs w:val="20"/>
          <w:color w:val="auto"/>
        </w:rPr>
      </w:pPr>
      <w:r>
        <w:rPr>
          <w:rFonts w:ascii="Arial" w:cs="Arial" w:eastAsia="Arial" w:hAnsi="Arial"/>
          <w:sz w:val="22"/>
          <w:szCs w:val="22"/>
          <w:color w:val="auto"/>
        </w:rPr>
        <w:t>80249 München</w:t>
      </w:r>
    </w:p>
    <w:p>
      <w:pPr>
        <w:ind w:left="1300"/>
        <w:spacing w:after="0" w:line="205" w:lineRule="auto"/>
        <w:rPr>
          <w:sz w:val="20"/>
          <w:szCs w:val="20"/>
          <w:color w:val="auto"/>
        </w:rPr>
      </w:pPr>
      <w:r>
        <w:rPr>
          <w:rFonts w:ascii="Arial" w:cs="Arial" w:eastAsia="Arial" w:hAnsi="Arial"/>
          <w:sz w:val="22"/>
          <w:szCs w:val="22"/>
          <w:color w:val="auto"/>
        </w:rPr>
        <w:t>Deutschland</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anmeldestelle@computershare.de</w:t>
      </w:r>
    </w:p>
    <w:p>
      <w:pPr>
        <w:spacing w:after="0" w:line="161" w:lineRule="exact"/>
        <w:rPr>
          <w:sz w:val="20"/>
          <w:szCs w:val="20"/>
          <w:color w:val="auto"/>
        </w:rPr>
      </w:pPr>
    </w:p>
    <w:p>
      <w:pPr>
        <w:ind w:left="640" w:right="20"/>
        <w:spacing w:after="0" w:line="232" w:lineRule="auto"/>
        <w:rPr>
          <w:sz w:val="20"/>
          <w:szCs w:val="20"/>
          <w:color w:val="auto"/>
        </w:rPr>
      </w:pPr>
      <w:r>
        <w:rPr>
          <w:rFonts w:ascii="Arial" w:cs="Arial" w:eastAsia="Arial" w:hAnsi="Arial"/>
          <w:sz w:val="22"/>
          <w:szCs w:val="22"/>
          <w:color w:val="auto"/>
        </w:rPr>
        <w:t>or electronically within the above-mentioned registration period using the password-protected Investor Portal via the following website of the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https://investors.biontech.de/agm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49" w:name="page50"/>
    <w:bookmarkEnd w:id="49"/>
    <w:p>
      <w:pPr>
        <w:spacing w:after="0" w:line="69" w:lineRule="exact"/>
        <w:rPr>
          <w:sz w:val="20"/>
          <w:szCs w:val="20"/>
          <w:color w:val="auto"/>
        </w:rPr>
      </w:pPr>
    </w:p>
    <w:p>
      <w:pPr>
        <w:jc w:val="both"/>
        <w:ind w:right="20"/>
        <w:spacing w:after="0" w:line="232" w:lineRule="auto"/>
        <w:rPr>
          <w:sz w:val="20"/>
          <w:szCs w:val="20"/>
          <w:color w:val="auto"/>
        </w:rPr>
      </w:pPr>
      <w:r>
        <w:rPr>
          <w:rFonts w:ascii="Arial" w:cs="Arial" w:eastAsia="Arial" w:hAnsi="Arial"/>
          <w:sz w:val="22"/>
          <w:szCs w:val="22"/>
          <w:color w:val="auto"/>
        </w:rPr>
        <w:t>To facilitate the registration, registration documents will be sent to shareholders who are registered in the Company's share register no later than 0:00 a.m. (CEST) on Wednesday, 11 May 2022.</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Access authorization is required to use the password-protected Investor Portal. Shareholders who are registered in the Company's share register no later than Wednesday, 11 May 2022, 0:00 a.m. (CEST), will be sent their individual access data together with the registration documents for the virtual Annual General Meeting. After receipt of the registration documents, the Company will offer its shareholders the opportunity to register online via the Company's investor portal at</w:t>
      </w:r>
    </w:p>
    <w:p>
      <w:pPr>
        <w:spacing w:after="0" w:line="144"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https://investors.biontech.de/agm</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to register for the virtual Annual General Meeting.</w:t>
      </w:r>
    </w:p>
    <w:p>
      <w:pPr>
        <w:spacing w:after="0" w:line="179" w:lineRule="exact"/>
        <w:rPr>
          <w:sz w:val="20"/>
          <w:szCs w:val="20"/>
          <w:color w:val="auto"/>
        </w:rPr>
      </w:pPr>
    </w:p>
    <w:p>
      <w:pPr>
        <w:jc w:val="both"/>
        <w:ind w:right="20"/>
        <w:spacing w:after="0" w:line="223" w:lineRule="auto"/>
        <w:rPr>
          <w:sz w:val="20"/>
          <w:szCs w:val="20"/>
          <w:color w:val="auto"/>
        </w:rPr>
      </w:pPr>
      <w:r>
        <w:rPr>
          <w:rFonts w:ascii="Arial" w:cs="Arial" w:eastAsia="Arial" w:hAnsi="Arial"/>
          <w:sz w:val="22"/>
          <w:szCs w:val="22"/>
          <w:color w:val="auto"/>
        </w:rPr>
        <w:t>After the registration documents have been sent, shareholders entered in the share register may register for the virtual Annual General Meeting by the registration deadline on 25 May 2022, 24:00 hours (CEST) using the registration options provided elsewhere (to the above-mentioned address or e-mail address).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by Electronic Postal Vote</w:t>
      </w:r>
    </w:p>
    <w:p>
      <w:pPr>
        <w:spacing w:after="0" w:line="185"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Shareholders or their proxies may cast their votes by electronic absentee ballot by way of electronic communication, even without attending the virtual Annual General Meeting, using the Investor Portal on the Company's website at https://investors.biontech.de/agm in accordance with the procedures provided for that purpose. This possibility of electronic postal voting is available until the beginning of the voting in the virtual Annual General Meeting on 1 June 2022. The same applies to a revocation or a change of the voting by electronic absentee ballot. In this case, the above-mentioned requirements for participation in the virtual Annual General Meeting and the exercise of voting rights must also be met.</w:t>
      </w:r>
    </w:p>
    <w:p>
      <w:pPr>
        <w:spacing w:after="0" w:line="164"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If an individual vote is held on an agenda item without this having been communicated in advance of the virtual Annual General Meeting, an absentee vote cast on this agenda item shall also count in total as an absentee vote for each item of the individual vote.</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Authorized intermediaries, shareholders' associations and proxy advisors or other persons treated as such pursuant to Sec.</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135 para. 8 of the Stock Corporation Act may also use electronic postal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Procedure for Voting by Proxies Appointed by the Company</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To exercise the voting right within the framework of the virtual Annual General Meeting, the Company also offers shareholders and their proxies the possibility to authorize proxies appointed by the Company who are bound by instructions. In this case, the above-mentioned requirements for participation in the virtual Annual General Meeting and the exercise of voting rights must also be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600"/>
          </w:cols>
          <w:pgMar w:left="960" w:top="1440" w:right="339" w:bottom="1440" w:gutter="0" w:footer="0" w:header="0"/>
        </w:sectPr>
      </w:pPr>
    </w:p>
    <w:bookmarkStart w:id="50" w:name="page51"/>
    <w:bookmarkEnd w:id="50"/>
    <w:p>
      <w:pPr>
        <w:spacing w:after="0" w:line="6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A form that can be used for granting power of attorney and issuing instructions to the proxies appointed by the Company will be sent to the shareholders together with the registration documents for the virtual Annual General Meeting.</w:t>
      </w:r>
    </w:p>
    <w:p>
      <w:pPr>
        <w:spacing w:after="0" w:line="105"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 xml:space="preserve">The granting of powers of attorney and instructions to the proxies appointed by the Company (as well as, if applicable, an amendment and revocation of granted powers of attorney and instructions) may be made by post or by e-mail </w:t>
      </w:r>
      <w:r>
        <w:rPr>
          <w:rFonts w:ascii="Arial" w:cs="Arial" w:eastAsia="Arial" w:hAnsi="Arial"/>
          <w:sz w:val="22"/>
          <w:szCs w:val="22"/>
          <w:b w:val="1"/>
          <w:bCs w:val="1"/>
          <w:color w:val="auto"/>
        </w:rPr>
        <w:t>no later</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than Tuesday, 31 May 2022, 12:00 noon (CEST) </w:t>
      </w:r>
      <w:r>
        <w:rPr>
          <w:rFonts w:ascii="Arial" w:cs="Arial" w:eastAsia="Arial" w:hAnsi="Arial"/>
          <w:sz w:val="22"/>
          <w:szCs w:val="22"/>
          <w:color w:val="auto"/>
        </w:rPr>
        <w:t>(time of receipt) to:</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BioNTech SE</w:t>
      </w:r>
    </w:p>
    <w:p>
      <w:pPr>
        <w:ind w:left="660"/>
        <w:spacing w:after="0" w:line="204" w:lineRule="auto"/>
        <w:rPr>
          <w:sz w:val="20"/>
          <w:szCs w:val="20"/>
          <w:color w:val="auto"/>
        </w:rPr>
      </w:pPr>
      <w:r>
        <w:rPr>
          <w:rFonts w:ascii="Arial" w:cs="Arial" w:eastAsia="Arial" w:hAnsi="Arial"/>
          <w:sz w:val="22"/>
          <w:szCs w:val="22"/>
          <w:color w:val="auto"/>
        </w:rPr>
        <w:t>c/o Computershare Operations Center</w:t>
      </w:r>
    </w:p>
    <w:p>
      <w:pPr>
        <w:ind w:left="660"/>
        <w:spacing w:after="0" w:line="205" w:lineRule="auto"/>
        <w:rPr>
          <w:sz w:val="20"/>
          <w:szCs w:val="20"/>
          <w:color w:val="auto"/>
        </w:rPr>
      </w:pPr>
      <w:r>
        <w:rPr>
          <w:rFonts w:ascii="Arial" w:cs="Arial" w:eastAsia="Arial" w:hAnsi="Arial"/>
          <w:sz w:val="22"/>
          <w:szCs w:val="22"/>
          <w:color w:val="auto"/>
        </w:rPr>
        <w:t>80249 München</w:t>
      </w:r>
    </w:p>
    <w:p>
      <w:pPr>
        <w:ind w:left="660"/>
        <w:spacing w:after="0" w:line="205" w:lineRule="auto"/>
        <w:rPr>
          <w:sz w:val="20"/>
          <w:szCs w:val="20"/>
          <w:color w:val="auto"/>
        </w:rPr>
      </w:pPr>
      <w:r>
        <w:rPr>
          <w:rFonts w:ascii="Arial" w:cs="Arial" w:eastAsia="Arial" w:hAnsi="Arial"/>
          <w:sz w:val="22"/>
          <w:szCs w:val="22"/>
          <w:color w:val="auto"/>
        </w:rPr>
        <w:t>Deutschland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anmeldestelle@computershare.de</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In addition, power of attorney and instructions to the proxies appointed by the Company may be issued electronically using the password-protected Investor Portal on the Company's website at https://investors.biontech.de/agm. This possibility of granting a power of attorney and issuing instructions to the proxies nominated by the Company is available until the beginning of voting in the virtual Annual General Meeting on Wednesday, 1 June 2022. Even in the case of a written authorization and instruction of the proxies by means of the form sent with the registration documents, an amendment to a vote is still possible after the expiry of the above-mentioned deadline via the Investor Portal until the beginning of voting in the virtual Annual General Meeting.</w:t>
      </w:r>
    </w:p>
    <w:p>
      <w:pPr>
        <w:spacing w:after="0" w:line="154"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For a revocation of the granting of a power of attorney to the proxies appointed by the Company or the amendment of instructions, the above-mentioned information on the possibilities of transmission and the deadlines shall apply accordingly.</w:t>
      </w:r>
    </w:p>
    <w:p>
      <w:pPr>
        <w:spacing w:after="0" w:line="159"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If the proxies nominated by the Company are authorized, they must in any case be given instructions on how to exercise the voting right. The proxies of the Company are obliged to vote in accordance with the instructions given to them. The proxies appointed by the Company shall not accept any powers of attorney to file objections against resolutions of the Annual General Meeting, to exercise the right to ask questions or to file motions.</w:t>
      </w:r>
    </w:p>
    <w:p>
      <w:pPr>
        <w:spacing w:after="0" w:line="158"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Should an individual vote be held on an agenda item without this having been communicated in advance of the virtual Annual General Meeting, an instruction on this agenda item as a whole shall also be deemed to be a corresponding instruction for each item of the individual vote.</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Procedure for Voting by Other Proxies</w:t>
      </w:r>
    </w:p>
    <w:p>
      <w:pPr>
        <w:spacing w:after="0" w:line="185"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Shareholders may have their voting rights exercised by a proxy, such as a credit institution or other intermediary, a shareholders' association, a proxy advisor, or any other person. In this case, the above-mentioned requirements for participation in the virtual Annual General Meeting and the exercise of the voting right must also be fulfilled.</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If neither a credit institution or another intermediary nor a shareholders' association or any other person or association of persons equivalent to an intermediary pursuant to Sec. 135 para. 8 of the German Stock Corporation Act is authorized, the granting and revocation of the proxy as well as the proof of authorization vis-à-vis the Company shall require text form; furthermore, the granting and revocation of the proxy may also be effected electronically by using the Investor Portal.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600"/>
          </w:cols>
          <w:pgMar w:left="960" w:top="1440" w:right="339" w:bottom="1440" w:gutter="0" w:footer="0" w:header="0"/>
        </w:sectPr>
      </w:pPr>
    </w:p>
    <w:bookmarkStart w:id="51" w:name="page52"/>
    <w:bookmarkEnd w:id="51"/>
    <w:p>
      <w:pPr>
        <w:spacing w:after="0" w:line="69"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Intermediaries, shareholders' associations, proxy advisors and other persons with equal status pursuant to Sec.135 para. 8 of the German Stock Corporation Act may provide for different regulations for their own authorization. Sec. 135 of the German Stock Corporation Act provides, among other things, that the power of attorney be granted to a specific proxy and be verifiably recorded by the proxy. The proxy declaration must also be complete and may only contain declarations related to the exercise of voting rights. Shareholders who wish to authorize an intermediary, a shareholders' association, a proxy advisor, or any other equivalent person pursuant to Sec. 135 para. 8 of the German Stock Corporation Act are therefore advised to consult with the person to be authorized in good time on the procedure for granting proxy and the form of proxy that may be required.</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If the shareholder authorizes more than one person, the Company may reject one or more of them.</w:t>
      </w:r>
    </w:p>
    <w:p>
      <w:pPr>
        <w:spacing w:after="0" w:line="179"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A form that can be used to grant a proxy will be sent to the shareholders together with the registration documents for the virtual Annual General Meeting.</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Further Information on the Exercise of Voting Rights</w:t>
      </w:r>
    </w:p>
    <w:p>
      <w:pPr>
        <w:spacing w:after="0" w:line="185"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If voting rights are granted in due time both in text form and electronically via the Investor Portal by means of a power of attorney and, if applicable, instructions to the proxies of the Company or a credit institution, a shareholders' association, a voting rights advisor and other intermediary or equivalent pursuant to Sec. 135 of the German Stock Corporation Act, only the declarations made electronically via the Investor Portal shall be considered binding, irrespective of the time of receipt.</w:t>
      </w:r>
    </w:p>
    <w:p>
      <w:pPr>
        <w:spacing w:after="0" w:line="158"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If voting rights are granted in due time by several means (letter, e-mail or electronically via the Investor Portal) by proxy and instructions to the proxies of the Company, the processing shall be subordinate to the declarations in the Investor Portal but shall have priority over the declarations made by other means. The following order applies to these declarations: 1. by e-mail, 2. by letter.</w:t>
      </w:r>
    </w:p>
    <w:p>
      <w:pPr>
        <w:spacing w:after="0" w:line="161"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A power of attorney granted in text form and, if applicable, instructions to the proxies of the Company shall have priority over a power of attorney granted in text form and, if applicable, instructions to a credit institution, a shareholders' association, a voting rights advisor and other intermediary or equivalent pursuant to Sec. 135 of the German Stock Corporation Act.</w:t>
      </w:r>
    </w:p>
    <w:p>
      <w:pPr>
        <w:spacing w:after="0" w:line="161"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If a credit institution, a shareholders' association, a voting rights advisor and other intermediary or equivalent pursuant to Sec. 135 of the German Stock Corporation Act is not prepared to act as proxy, the proxies of the Company shall be authorized to act as proxies in accordance with the instructions.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The last revocation of a declaration received in due time shall be decisive.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ADS Holders</w:t>
      </w:r>
    </w:p>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ADS holders will be able to participate in the Annual General Meeting by means of video and audio transmission, which will be available via the website</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https://investors.biontech.de/agm.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600"/>
          </w:cols>
          <w:pgMar w:left="960" w:top="1440" w:right="339" w:bottom="1440" w:gutter="0" w:footer="0" w:header="0"/>
        </w:sectPr>
      </w:pPr>
    </w:p>
    <w:bookmarkStart w:id="52" w:name="page53"/>
    <w:bookmarkEnd w:id="52"/>
    <w:p>
      <w:pPr>
        <w:spacing w:after="0" w:line="6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Depositary, The Bank of New York Mellon (the "</w:t>
      </w:r>
      <w:r>
        <w:rPr>
          <w:rFonts w:ascii="Arial" w:cs="Arial" w:eastAsia="Arial" w:hAnsi="Arial"/>
          <w:sz w:val="19"/>
          <w:szCs w:val="19"/>
          <w:b w:val="1"/>
          <w:bCs w:val="1"/>
          <w:color w:val="auto"/>
        </w:rPr>
        <w:t>Depositary</w:t>
      </w:r>
      <w:r>
        <w:rPr>
          <w:rFonts w:ascii="Arial" w:cs="Arial" w:eastAsia="Arial" w:hAnsi="Arial"/>
          <w:sz w:val="19"/>
          <w:szCs w:val="19"/>
          <w:color w:val="auto"/>
        </w:rPr>
        <w:t xml:space="preserve">"), will make this information available to eligible ADS holders from the U.S. record date of </w:t>
      </w:r>
      <w:r>
        <w:rPr>
          <w:rFonts w:ascii="Arial" w:cs="Arial" w:eastAsia="Arial" w:hAnsi="Arial"/>
          <w:sz w:val="19"/>
          <w:szCs w:val="19"/>
          <w:b w:val="1"/>
          <w:bCs w:val="1"/>
          <w:color w:val="auto"/>
        </w:rPr>
        <w:t>Wednesday, 27 April 2022</w:t>
      </w:r>
      <w:r>
        <w:rPr>
          <w:rFonts w:ascii="Arial" w:cs="Arial" w:eastAsia="Arial" w:hAnsi="Arial"/>
          <w:sz w:val="19"/>
          <w:szCs w:val="19"/>
          <w:color w:val="auto"/>
        </w:rPr>
        <w:t xml:space="preserve">. Please note that ADS holders will not be able to vote on the agenda items at the Annual General Meeting during the video and audio broadcast on </w:t>
      </w:r>
      <w:r>
        <w:rPr>
          <w:rFonts w:ascii="Arial" w:cs="Arial" w:eastAsia="Arial" w:hAnsi="Arial"/>
          <w:sz w:val="19"/>
          <w:szCs w:val="19"/>
          <w:b w:val="1"/>
          <w:bCs w:val="1"/>
          <w:color w:val="auto"/>
        </w:rPr>
        <w:t>Wednesday, 1 June 2022</w:t>
      </w:r>
      <w:r>
        <w:rPr>
          <w:rFonts w:ascii="Arial" w:cs="Arial" w:eastAsia="Arial" w:hAnsi="Arial"/>
          <w:sz w:val="19"/>
          <w:szCs w:val="19"/>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21"/>
          <w:szCs w:val="21"/>
          <w:color w:val="auto"/>
        </w:rPr>
        <w:t>Registered and beneficial ADS holders will have the opportunity to ask questions on agenda items by e-mail from</w:t>
      </w:r>
    </w:p>
    <w:p>
      <w:pPr>
        <w:spacing w:after="0"/>
        <w:rPr>
          <w:sz w:val="20"/>
          <w:szCs w:val="20"/>
          <w:color w:val="auto"/>
        </w:rPr>
      </w:pPr>
      <w:r>
        <w:rPr>
          <w:rFonts w:ascii="Arial" w:cs="Arial" w:eastAsia="Arial" w:hAnsi="Arial"/>
          <w:sz w:val="22"/>
          <w:szCs w:val="22"/>
          <w:b w:val="1"/>
          <w:bCs w:val="1"/>
          <w:color w:val="auto"/>
        </w:rPr>
        <w:t>Tuesday, 10 May 2022</w:t>
      </w:r>
      <w:r>
        <w:rPr>
          <w:rFonts w:ascii="Arial" w:cs="Arial" w:eastAsia="Arial" w:hAnsi="Arial"/>
          <w:sz w:val="22"/>
          <w:szCs w:val="22"/>
          <w:color w:val="auto"/>
        </w:rPr>
        <w:t>. Questions must be submitted via the following e-mail address: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HV@biontech.de</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Any questions must be submitted no later than one day before the Annual General Meeting, i.e., </w:t>
      </w:r>
      <w:r>
        <w:rPr>
          <w:rFonts w:ascii="Arial" w:cs="Arial" w:eastAsia="Arial" w:hAnsi="Arial"/>
          <w:sz w:val="19"/>
          <w:szCs w:val="19"/>
          <w:b w:val="1"/>
          <w:bCs w:val="1"/>
          <w:color w:val="auto"/>
        </w:rPr>
        <w:t>by midnight (CEST) on</w:t>
      </w:r>
      <w:r>
        <w:rPr>
          <w:rFonts w:ascii="Arial" w:cs="Arial" w:eastAsia="Arial" w:hAnsi="Arial"/>
          <w:sz w:val="19"/>
          <w:szCs w:val="19"/>
          <w:color w:val="auto"/>
        </w:rPr>
        <w:t xml:space="preserve"> </w:t>
      </w:r>
      <w:r>
        <w:rPr>
          <w:rFonts w:ascii="Arial" w:cs="Arial" w:eastAsia="Arial" w:hAnsi="Arial"/>
          <w:sz w:val="19"/>
          <w:szCs w:val="19"/>
          <w:b w:val="1"/>
          <w:bCs w:val="1"/>
          <w:color w:val="auto"/>
        </w:rPr>
        <w:t>Monday, 30 May 2022</w:t>
      </w:r>
      <w:r>
        <w:rPr>
          <w:rFonts w:ascii="Arial" w:cs="Arial" w:eastAsia="Arial" w:hAnsi="Arial"/>
          <w:sz w:val="19"/>
          <w:szCs w:val="19"/>
          <w:color w:val="auto"/>
        </w:rPr>
        <w:t>. After the expiry of the above-mentioned deadline, no more questions may be submitted. The</w:t>
      </w:r>
      <w:r>
        <w:rPr>
          <w:rFonts w:ascii="Arial" w:cs="Arial" w:eastAsia="Arial" w:hAnsi="Arial"/>
          <w:sz w:val="19"/>
          <w:szCs w:val="19"/>
          <w:b w:val="1"/>
          <w:bCs w:val="1"/>
          <w:color w:val="auto"/>
        </w:rPr>
        <w:t xml:space="preserve"> </w:t>
      </w:r>
      <w:r>
        <w:rPr>
          <w:rFonts w:ascii="Arial" w:cs="Arial" w:eastAsia="Arial" w:hAnsi="Arial"/>
          <w:sz w:val="19"/>
          <w:szCs w:val="19"/>
          <w:color w:val="auto"/>
        </w:rPr>
        <w:t>Management Board shall decide how to answer the questions at its own dutiful discretion. It is intended to name the questioners in the course of answering the questions, unless they have expressly objected to being named.</w:t>
      </w:r>
    </w:p>
    <w:p>
      <w:pPr>
        <w:spacing w:after="0" w:line="143"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 xml:space="preserve">Subject to the additional requirements of the Deposit Agreement in respect of American Depositary Shares and to the extent that the relevant beneficial ADS holder complies with the requirements set out in a separate notice, beneficial ADS holders may give voting instructions to their respective banks or brokers holding their ADSs. The relevant banks or brokers will forward the voting instructions to the Depositary (or an entity designated by the Depositary) by </w:t>
      </w:r>
      <w:r>
        <w:rPr>
          <w:rFonts w:ascii="Arial" w:cs="Arial" w:eastAsia="Arial" w:hAnsi="Arial"/>
          <w:sz w:val="21"/>
          <w:szCs w:val="21"/>
          <w:b w:val="1"/>
          <w:bCs w:val="1"/>
          <w:color w:val="auto"/>
        </w:rPr>
        <w:t>Monday, 23</w:t>
      </w:r>
      <w:r>
        <w:rPr>
          <w:rFonts w:ascii="Arial" w:cs="Arial" w:eastAsia="Arial" w:hAnsi="Arial"/>
          <w:sz w:val="21"/>
          <w:szCs w:val="21"/>
          <w:color w:val="auto"/>
        </w:rPr>
        <w:t xml:space="preserve"> </w:t>
      </w:r>
      <w:r>
        <w:rPr>
          <w:rFonts w:ascii="Arial" w:cs="Arial" w:eastAsia="Arial" w:hAnsi="Arial"/>
          <w:sz w:val="21"/>
          <w:szCs w:val="21"/>
          <w:b w:val="1"/>
          <w:bCs w:val="1"/>
          <w:color w:val="auto"/>
        </w:rPr>
        <w:t>May 2022</w:t>
      </w:r>
      <w:r>
        <w:rPr>
          <w:rFonts w:ascii="Arial" w:cs="Arial" w:eastAsia="Arial" w:hAnsi="Arial"/>
          <w:sz w:val="21"/>
          <w:szCs w:val="21"/>
          <w:color w:val="auto"/>
        </w:rPr>
        <w:t>. The Depositary (or the entity designated by the Depositary) will then exercise the voting rights of the shares in</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subject to the relevant American Depositary Shares in accordance with the relevant instruction. The details of the exercise of the right of the beneficial ADS holders to exercise the voting rights by the Depositary (or by the entity designated by the Depositary) will be communicated to the beneficial ADS holders by the Depositary through their respective banks or brokers holding their ADSs.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For questions regarding the exercise of voting rights, registered ADS holders may contact:</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BNY Mellon Shareowner Services (shrrelations@cpushareownerservices.com; telephone: +1 201 680 6825 and toll free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from within the United States of America: +1 888 269 2377).</w:t>
      </w:r>
    </w:p>
    <w:p>
      <w:pPr>
        <w:spacing w:after="0" w:line="155" w:lineRule="exact"/>
        <w:rPr>
          <w:sz w:val="20"/>
          <w:szCs w:val="20"/>
          <w:color w:val="auto"/>
        </w:rPr>
      </w:pPr>
    </w:p>
    <w:p>
      <w:pPr>
        <w:jc w:val="both"/>
        <w:spacing w:after="0" w:line="220" w:lineRule="auto"/>
        <w:rPr>
          <w:sz w:val="20"/>
          <w:szCs w:val="20"/>
          <w:color w:val="auto"/>
        </w:rPr>
      </w:pPr>
      <w:r>
        <w:rPr>
          <w:rFonts w:ascii="Arial" w:cs="Arial" w:eastAsia="Arial" w:hAnsi="Arial"/>
          <w:sz w:val="22"/>
          <w:szCs w:val="22"/>
          <w:color w:val="auto"/>
        </w:rPr>
        <w:t xml:space="preserve">If a beneficial ADS holder holds American Depositary Shares on the U.S. record date of </w:t>
      </w:r>
      <w:r>
        <w:rPr>
          <w:rFonts w:ascii="Arial" w:cs="Arial" w:eastAsia="Arial" w:hAnsi="Arial"/>
          <w:sz w:val="22"/>
          <w:szCs w:val="22"/>
          <w:b w:val="1"/>
          <w:bCs w:val="1"/>
          <w:color w:val="auto"/>
        </w:rPr>
        <w:t>Wednesday, 27 April 2022</w:t>
      </w:r>
      <w:r>
        <w:rPr>
          <w:rFonts w:ascii="Arial" w:cs="Arial" w:eastAsia="Arial" w:hAnsi="Arial"/>
          <w:sz w:val="22"/>
          <w:szCs w:val="22"/>
          <w:color w:val="auto"/>
        </w:rPr>
        <w:t xml:space="preserve"> through a bank, broker or nominee, the AGM papers, including the ADS proxy card, will be sent to the address of the beneficial ADS holder provided by the bank, broker or nominee. Beneficial ADS holders should contact their respective banks or brokers for their voting instructions and if they have any questions.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Shareholders' Rights</w:t>
      </w:r>
    </w:p>
    <w:p>
      <w:pPr>
        <w:spacing w:after="0" w:line="185" w:lineRule="exact"/>
        <w:rPr>
          <w:sz w:val="20"/>
          <w:szCs w:val="20"/>
          <w:color w:val="auto"/>
        </w:rPr>
      </w:pPr>
    </w:p>
    <w:p>
      <w:pPr>
        <w:ind w:left="640" w:hanging="634"/>
        <w:spacing w:after="0" w:line="232" w:lineRule="auto"/>
        <w:tabs>
          <w:tab w:leader="none" w:pos="629" w:val="left"/>
        </w:tabs>
        <w:numPr>
          <w:ilvl w:val="0"/>
          <w:numId w:val="43"/>
        </w:numPr>
        <w:rPr>
          <w:rFonts w:ascii="Arial" w:cs="Arial" w:eastAsia="Arial" w:hAnsi="Arial"/>
          <w:sz w:val="22"/>
          <w:szCs w:val="22"/>
          <w:color w:val="auto"/>
        </w:rPr>
      </w:pPr>
      <w:r>
        <w:rPr>
          <w:rFonts w:ascii="Arial" w:cs="Arial" w:eastAsia="Arial" w:hAnsi="Arial"/>
          <w:sz w:val="22"/>
          <w:szCs w:val="22"/>
          <w:color w:val="auto"/>
        </w:rPr>
        <w:t>Request for additions to the agenda pursuant to Art. 56 sentence 2 and sentence 3 SE Regulation, Sec. 50 para. 2 SEAG, Sec. 122 para. 2 of the German Stock Corporation Act.</w:t>
      </w:r>
    </w:p>
    <w:p>
      <w:pPr>
        <w:spacing w:after="0" w:line="158" w:lineRule="exact"/>
        <w:rPr>
          <w:rFonts w:ascii="Arial" w:cs="Arial" w:eastAsia="Arial" w:hAnsi="Arial"/>
          <w:sz w:val="22"/>
          <w:szCs w:val="22"/>
          <w:color w:val="auto"/>
        </w:rPr>
      </w:pPr>
    </w:p>
    <w:p>
      <w:pPr>
        <w:ind w:left="640"/>
        <w:spacing w:after="0" w:line="232" w:lineRule="auto"/>
        <w:rPr>
          <w:rFonts w:ascii="Arial" w:cs="Arial" w:eastAsia="Arial" w:hAnsi="Arial"/>
          <w:sz w:val="22"/>
          <w:szCs w:val="22"/>
          <w:color w:val="auto"/>
        </w:rPr>
      </w:pPr>
      <w:r>
        <w:rPr>
          <w:rFonts w:ascii="Arial" w:cs="Arial" w:eastAsia="Arial" w:hAnsi="Arial"/>
          <w:sz w:val="22"/>
          <w:szCs w:val="22"/>
          <w:color w:val="auto"/>
        </w:rPr>
        <w:t>Shareholders whose shares alone or together amount to at least 5% of the share capital or at least the pro rata amount of 500,000 euros (equivalent to 500,000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600"/>
          </w:cols>
          <w:pgMar w:left="960" w:top="1440" w:right="339" w:bottom="1440" w:gutter="0" w:footer="0" w:header="0"/>
        </w:sectPr>
      </w:pPr>
    </w:p>
    <w:bookmarkStart w:id="53" w:name="page54"/>
    <w:bookmarkEnd w:id="53"/>
    <w:p>
      <w:pPr>
        <w:spacing w:after="0" w:line="69" w:lineRule="exact"/>
        <w:rPr>
          <w:sz w:val="20"/>
          <w:szCs w:val="20"/>
          <w:color w:val="auto"/>
        </w:rPr>
      </w:pPr>
    </w:p>
    <w:p>
      <w:pPr>
        <w:ind w:left="634"/>
        <w:spacing w:after="0"/>
        <w:rPr>
          <w:sz w:val="20"/>
          <w:szCs w:val="20"/>
          <w:color w:val="auto"/>
        </w:rPr>
      </w:pPr>
      <w:r>
        <w:rPr>
          <w:rFonts w:ascii="Arial" w:cs="Arial" w:eastAsia="Arial" w:hAnsi="Arial"/>
          <w:sz w:val="22"/>
          <w:szCs w:val="22"/>
          <w:color w:val="auto"/>
        </w:rPr>
        <w:t>shares) of the share capital may request that items be added to the agenda and published.</w:t>
      </w:r>
    </w:p>
    <w:p>
      <w:pPr>
        <w:spacing w:after="0" w:line="179" w:lineRule="exact"/>
        <w:rPr>
          <w:sz w:val="20"/>
          <w:szCs w:val="20"/>
          <w:color w:val="auto"/>
        </w:rPr>
      </w:pPr>
    </w:p>
    <w:p>
      <w:pPr>
        <w:jc w:val="both"/>
        <w:ind w:left="634"/>
        <w:spacing w:after="0" w:line="257" w:lineRule="auto"/>
        <w:rPr>
          <w:sz w:val="20"/>
          <w:szCs w:val="20"/>
          <w:color w:val="auto"/>
        </w:rPr>
      </w:pPr>
      <w:r>
        <w:rPr>
          <w:rFonts w:ascii="Arial" w:cs="Arial" w:eastAsia="Arial" w:hAnsi="Arial"/>
          <w:sz w:val="19"/>
          <w:szCs w:val="19"/>
          <w:color w:val="auto"/>
        </w:rPr>
        <w:t xml:space="preserve">The request must be addressed to the Company in writing, and each new item on the agenda must be accompanied by a statement of reasons or a draft resolution. The request for an addition to the agenda may also relate to an item for discussion without a resolution. The request must be received by the Company no later than </w:t>
      </w:r>
      <w:r>
        <w:rPr>
          <w:rFonts w:ascii="Arial" w:cs="Arial" w:eastAsia="Arial" w:hAnsi="Arial"/>
          <w:sz w:val="19"/>
          <w:szCs w:val="19"/>
          <w:b w:val="1"/>
          <w:bCs w:val="1"/>
          <w:color w:val="auto"/>
        </w:rPr>
        <w:t>7 May 2022,</w:t>
      </w:r>
      <w:r>
        <w:rPr>
          <w:rFonts w:ascii="Arial" w:cs="Arial" w:eastAsia="Arial" w:hAnsi="Arial"/>
          <w:sz w:val="19"/>
          <w:szCs w:val="19"/>
          <w:color w:val="auto"/>
        </w:rPr>
        <w:t xml:space="preserve"> </w:t>
      </w:r>
      <w:r>
        <w:rPr>
          <w:rFonts w:ascii="Arial" w:cs="Arial" w:eastAsia="Arial" w:hAnsi="Arial"/>
          <w:sz w:val="19"/>
          <w:szCs w:val="19"/>
          <w:b w:val="1"/>
          <w:bCs w:val="1"/>
          <w:color w:val="auto"/>
        </w:rPr>
        <w:t>24:00 CEST</w:t>
      </w:r>
      <w:r>
        <w:rPr>
          <w:rFonts w:ascii="Arial" w:cs="Arial" w:eastAsia="Arial" w:hAnsi="Arial"/>
          <w:sz w:val="19"/>
          <w:szCs w:val="19"/>
          <w:color w:val="auto"/>
        </w:rPr>
        <w:t>. Such request should be sent to the following postal address:</w:t>
      </w:r>
    </w:p>
    <w:p>
      <w:pPr>
        <w:spacing w:after="0" w:line="125" w:lineRule="exact"/>
        <w:rPr>
          <w:sz w:val="20"/>
          <w:szCs w:val="20"/>
          <w:color w:val="auto"/>
        </w:rPr>
      </w:pPr>
    </w:p>
    <w:p>
      <w:pPr>
        <w:ind w:left="634"/>
        <w:spacing w:after="0"/>
        <w:rPr>
          <w:sz w:val="20"/>
          <w:szCs w:val="20"/>
          <w:color w:val="auto"/>
        </w:rPr>
      </w:pPr>
      <w:r>
        <w:rPr>
          <w:rFonts w:ascii="Arial" w:cs="Arial" w:eastAsia="Arial" w:hAnsi="Arial"/>
          <w:sz w:val="22"/>
          <w:szCs w:val="22"/>
          <w:color w:val="auto"/>
        </w:rPr>
        <w:t>BioNTech SE – Management Board (Vorstand)</w:t>
      </w:r>
    </w:p>
    <w:p>
      <w:pPr>
        <w:ind w:left="634"/>
        <w:spacing w:after="0" w:line="204" w:lineRule="auto"/>
        <w:rPr>
          <w:sz w:val="20"/>
          <w:szCs w:val="20"/>
          <w:color w:val="auto"/>
        </w:rPr>
      </w:pPr>
      <w:r>
        <w:rPr>
          <w:rFonts w:ascii="Arial" w:cs="Arial" w:eastAsia="Arial" w:hAnsi="Arial"/>
          <w:sz w:val="22"/>
          <w:szCs w:val="22"/>
          <w:color w:val="auto"/>
        </w:rPr>
        <w:t>An der Goldgrube 12</w:t>
      </w:r>
    </w:p>
    <w:p>
      <w:pPr>
        <w:ind w:left="634"/>
        <w:spacing w:after="0" w:line="205" w:lineRule="auto"/>
        <w:rPr>
          <w:sz w:val="20"/>
          <w:szCs w:val="20"/>
          <w:color w:val="auto"/>
        </w:rPr>
      </w:pPr>
      <w:r>
        <w:rPr>
          <w:rFonts w:ascii="Arial" w:cs="Arial" w:eastAsia="Arial" w:hAnsi="Arial"/>
          <w:sz w:val="22"/>
          <w:szCs w:val="22"/>
          <w:color w:val="auto"/>
        </w:rPr>
        <w:t>55131 Mainz</w:t>
      </w:r>
    </w:p>
    <w:p>
      <w:pPr>
        <w:spacing w:after="0" w:line="1" w:lineRule="exact"/>
        <w:rPr>
          <w:sz w:val="20"/>
          <w:szCs w:val="20"/>
          <w:color w:val="auto"/>
        </w:rPr>
      </w:pPr>
    </w:p>
    <w:p>
      <w:pPr>
        <w:ind w:left="634"/>
        <w:spacing w:after="0"/>
        <w:rPr>
          <w:sz w:val="20"/>
          <w:szCs w:val="20"/>
          <w:color w:val="auto"/>
        </w:rPr>
      </w:pPr>
      <w:r>
        <w:rPr>
          <w:rFonts w:ascii="Arial" w:cs="Arial" w:eastAsia="Arial" w:hAnsi="Arial"/>
          <w:sz w:val="22"/>
          <w:szCs w:val="22"/>
          <w:color w:val="auto"/>
        </w:rPr>
        <w:t>Germany</w:t>
      </w:r>
    </w:p>
    <w:p>
      <w:pPr>
        <w:spacing w:after="0" w:line="161" w:lineRule="exact"/>
        <w:rPr>
          <w:sz w:val="20"/>
          <w:szCs w:val="20"/>
          <w:color w:val="auto"/>
        </w:rPr>
      </w:pPr>
    </w:p>
    <w:p>
      <w:pPr>
        <w:jc w:val="both"/>
        <w:ind w:left="634"/>
        <w:spacing w:after="0" w:line="234" w:lineRule="auto"/>
        <w:rPr>
          <w:sz w:val="20"/>
          <w:szCs w:val="20"/>
          <w:color w:val="auto"/>
        </w:rPr>
      </w:pPr>
      <w:r>
        <w:rPr>
          <w:rFonts w:ascii="Arial" w:cs="Arial" w:eastAsia="Arial" w:hAnsi="Arial"/>
          <w:sz w:val="21"/>
          <w:szCs w:val="21"/>
          <w:color w:val="auto"/>
        </w:rPr>
        <w:t>Additions to the agenda, which are to be announced, will be published in the Federal Gazette without delay after receipt of the request, unless they have already been announced with the convening of the Annual General Meeting. They will also be published on the Investor Portal (see above under "Investor Portal").</w:t>
      </w:r>
    </w:p>
    <w:p>
      <w:pPr>
        <w:spacing w:after="0" w:line="158" w:lineRule="exact"/>
        <w:rPr>
          <w:sz w:val="20"/>
          <w:szCs w:val="20"/>
          <w:color w:val="auto"/>
        </w:rPr>
      </w:pPr>
    </w:p>
    <w:p>
      <w:pPr>
        <w:jc w:val="both"/>
        <w:ind w:left="634"/>
        <w:spacing w:after="0" w:line="218" w:lineRule="auto"/>
        <w:rPr>
          <w:sz w:val="20"/>
          <w:szCs w:val="20"/>
          <w:color w:val="auto"/>
        </w:rPr>
      </w:pPr>
      <w:r>
        <w:rPr>
          <w:rFonts w:ascii="Arial" w:cs="Arial" w:eastAsia="Arial" w:hAnsi="Arial"/>
          <w:sz w:val="22"/>
          <w:szCs w:val="22"/>
          <w:color w:val="auto"/>
        </w:rPr>
        <w:t>If requests for additions to the agenda are to be published in accordance with the above explanations, any proposed resolutions attached thereto shall be treated in the general meeting as if they had been submitted orally in the Annual General Meeting if the shareholder making the request has duly registered for the virtual Annual General Meeting and is entered in the Company's share register.</w:t>
      </w:r>
    </w:p>
    <w:p>
      <w:pPr>
        <w:spacing w:after="0" w:line="161" w:lineRule="exact"/>
        <w:rPr>
          <w:sz w:val="20"/>
          <w:szCs w:val="20"/>
          <w:color w:val="auto"/>
        </w:rPr>
      </w:pPr>
    </w:p>
    <w:p>
      <w:pPr>
        <w:ind w:left="634" w:right="20" w:hanging="634"/>
        <w:spacing w:after="0" w:line="298" w:lineRule="auto"/>
        <w:tabs>
          <w:tab w:leader="none" w:pos="621" w:val="left"/>
        </w:tabs>
        <w:numPr>
          <w:ilvl w:val="0"/>
          <w:numId w:val="44"/>
        </w:numPr>
        <w:rPr>
          <w:rFonts w:ascii="Arial" w:cs="Arial" w:eastAsia="Arial" w:hAnsi="Arial"/>
          <w:sz w:val="19"/>
          <w:szCs w:val="19"/>
          <w:color w:val="auto"/>
        </w:rPr>
      </w:pPr>
      <w:r>
        <w:rPr>
          <w:rFonts w:ascii="Arial" w:cs="Arial" w:eastAsia="Arial" w:hAnsi="Arial"/>
          <w:sz w:val="19"/>
          <w:szCs w:val="19"/>
          <w:color w:val="auto"/>
        </w:rPr>
        <w:t>Countermotions and election proposals by shareholders pursuant to Art. 53 SE Regulation, Sec. 126 para. 1, Sec. 127 of the German Stock Corporation Act in conjunction with Art. 2 § 1 para. 2 sentence 3 COVID-19 Act.</w:t>
      </w:r>
    </w:p>
    <w:p>
      <w:pPr>
        <w:spacing w:after="0" w:line="105" w:lineRule="exact"/>
        <w:rPr>
          <w:rFonts w:ascii="Arial" w:cs="Arial" w:eastAsia="Arial" w:hAnsi="Arial"/>
          <w:sz w:val="19"/>
          <w:szCs w:val="19"/>
          <w:color w:val="auto"/>
        </w:rPr>
      </w:pPr>
    </w:p>
    <w:p>
      <w:pPr>
        <w:jc w:val="both"/>
        <w:ind w:left="634"/>
        <w:spacing w:after="0" w:line="252" w:lineRule="auto"/>
        <w:rPr>
          <w:rFonts w:ascii="Arial" w:cs="Arial" w:eastAsia="Arial" w:hAnsi="Arial"/>
          <w:sz w:val="19"/>
          <w:szCs w:val="19"/>
          <w:color w:val="auto"/>
        </w:rPr>
      </w:pPr>
      <w:r>
        <w:rPr>
          <w:rFonts w:ascii="Arial" w:cs="Arial" w:eastAsia="Arial" w:hAnsi="Arial"/>
          <w:sz w:val="19"/>
          <w:szCs w:val="19"/>
          <w:color w:val="auto"/>
        </w:rPr>
        <w:t xml:space="preserve">Pursuant to Sec. 126 para. 1 of the German Stock Corporation Act, every shareholder is entitled to submit countermotions to resolutions proposed by the Management Board and the Supervisory Board on items on the agenda. The same applies to countermotions to election proposals for the election of Supervisory Board members and auditors (Sec. 127 of the German Stock Corporation Act). Countermotions and election proposals by shareholders must be submitted by </w:t>
      </w:r>
      <w:r>
        <w:rPr>
          <w:rFonts w:ascii="Arial" w:cs="Arial" w:eastAsia="Arial" w:hAnsi="Arial"/>
          <w:sz w:val="19"/>
          <w:szCs w:val="19"/>
          <w:b w:val="1"/>
          <w:bCs w:val="1"/>
          <w:color w:val="auto"/>
        </w:rPr>
        <w:t>Tuesday, 17 May 2022, 24:00 (CEST)</w:t>
      </w:r>
      <w:r>
        <w:rPr>
          <w:rFonts w:ascii="Arial" w:cs="Arial" w:eastAsia="Arial" w:hAnsi="Arial"/>
          <w:sz w:val="19"/>
          <w:szCs w:val="19"/>
          <w:color w:val="auto"/>
        </w:rPr>
        <w:t xml:space="preserve"> exclusively to:</w:t>
      </w:r>
    </w:p>
    <w:p>
      <w:pPr>
        <w:spacing w:after="0" w:line="148" w:lineRule="exact"/>
        <w:rPr>
          <w:rFonts w:ascii="Arial" w:cs="Arial" w:eastAsia="Arial" w:hAnsi="Arial"/>
          <w:sz w:val="19"/>
          <w:szCs w:val="19"/>
          <w:color w:val="auto"/>
        </w:rPr>
      </w:pPr>
    </w:p>
    <w:p>
      <w:pPr>
        <w:ind w:left="634" w:right="8120"/>
        <w:spacing w:after="0" w:line="216" w:lineRule="auto"/>
        <w:rPr>
          <w:rFonts w:ascii="Arial" w:cs="Arial" w:eastAsia="Arial" w:hAnsi="Arial"/>
          <w:sz w:val="19"/>
          <w:szCs w:val="19"/>
          <w:color w:val="auto"/>
        </w:rPr>
      </w:pPr>
      <w:r>
        <w:rPr>
          <w:rFonts w:ascii="Arial" w:cs="Arial" w:eastAsia="Arial" w:hAnsi="Arial"/>
          <w:sz w:val="22"/>
          <w:szCs w:val="22"/>
          <w:color w:val="auto"/>
        </w:rPr>
        <w:t>BioNTech SE Investor Relations An der Goldgrube 12 55131 Mainz Germany</w:t>
      </w:r>
    </w:p>
    <w:p>
      <w:pPr>
        <w:spacing w:after="0" w:line="157" w:lineRule="exact"/>
        <w:rPr>
          <w:rFonts w:ascii="Arial" w:cs="Arial" w:eastAsia="Arial" w:hAnsi="Arial"/>
          <w:sz w:val="19"/>
          <w:szCs w:val="19"/>
          <w:color w:val="auto"/>
        </w:rPr>
      </w:pPr>
    </w:p>
    <w:p>
      <w:pPr>
        <w:ind w:left="634"/>
        <w:spacing w:after="0"/>
        <w:rPr>
          <w:rFonts w:ascii="Arial" w:cs="Arial" w:eastAsia="Arial" w:hAnsi="Arial"/>
          <w:sz w:val="19"/>
          <w:szCs w:val="19"/>
          <w:color w:val="auto"/>
        </w:rPr>
      </w:pPr>
      <w:r>
        <w:rPr>
          <w:rFonts w:ascii="Arial" w:cs="Arial" w:eastAsia="Arial" w:hAnsi="Arial"/>
          <w:sz w:val="22"/>
          <w:szCs w:val="22"/>
          <w:color w:val="auto"/>
        </w:rPr>
        <w:t>or by e-mail to: HV@biontech.de</w:t>
      </w:r>
    </w:p>
    <w:p>
      <w:pPr>
        <w:spacing w:after="0" w:line="173" w:lineRule="exact"/>
        <w:rPr>
          <w:rFonts w:ascii="Arial" w:cs="Arial" w:eastAsia="Arial" w:hAnsi="Arial"/>
          <w:sz w:val="19"/>
          <w:szCs w:val="19"/>
          <w:color w:val="auto"/>
        </w:rPr>
      </w:pPr>
    </w:p>
    <w:p>
      <w:pPr>
        <w:jc w:val="both"/>
        <w:ind w:left="634"/>
        <w:spacing w:after="0" w:line="254" w:lineRule="auto"/>
        <w:rPr>
          <w:rFonts w:ascii="Arial" w:cs="Arial" w:eastAsia="Arial" w:hAnsi="Arial"/>
          <w:sz w:val="19"/>
          <w:szCs w:val="19"/>
          <w:color w:val="auto"/>
        </w:rPr>
      </w:pPr>
      <w:r>
        <w:rPr>
          <w:rFonts w:ascii="Arial" w:cs="Arial" w:eastAsia="Arial" w:hAnsi="Arial"/>
          <w:sz w:val="19"/>
          <w:szCs w:val="19"/>
          <w:color w:val="auto"/>
        </w:rPr>
        <w:t xml:space="preserve">Countermotions and election proposals received in due time, i.e., by </w:t>
      </w:r>
      <w:r>
        <w:rPr>
          <w:rFonts w:ascii="Arial" w:cs="Arial" w:eastAsia="Arial" w:hAnsi="Arial"/>
          <w:sz w:val="19"/>
          <w:szCs w:val="19"/>
          <w:b w:val="1"/>
          <w:bCs w:val="1"/>
          <w:color w:val="auto"/>
        </w:rPr>
        <w:t>Tuesday, 17 May 2022, 24:00 (CEST)</w:t>
      </w:r>
      <w:r>
        <w:rPr>
          <w:rFonts w:ascii="Arial" w:cs="Arial" w:eastAsia="Arial" w:hAnsi="Arial"/>
          <w:sz w:val="19"/>
          <w:szCs w:val="19"/>
          <w:color w:val="auto"/>
        </w:rPr>
        <w:t>, at the above address and to be made available will be made available to the other shareholders on the Company's website at https://investors.biontech.de/agm, including the name of the shareholder and any grounds for the motion. Any statements by the administration will also be published on this website. The Company may refrain from making a countermotion and its grounds available if one of the grounds for exclusion pursuant to Sec. 126 para. 2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894"/>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594"/>
          </w:cols>
          <w:pgMar w:left="966" w:top="1440" w:right="339" w:bottom="1440" w:gutter="0" w:footer="0" w:header="0"/>
        </w:sectPr>
      </w:pPr>
    </w:p>
    <w:bookmarkStart w:id="54" w:name="page55"/>
    <w:bookmarkEnd w:id="54"/>
    <w:p>
      <w:pPr>
        <w:spacing w:after="0" w:line="69" w:lineRule="exact"/>
        <w:rPr>
          <w:sz w:val="20"/>
          <w:szCs w:val="20"/>
          <w:color w:val="auto"/>
        </w:rPr>
      </w:pPr>
    </w:p>
    <w:p>
      <w:pPr>
        <w:jc w:val="both"/>
        <w:ind w:left="634"/>
        <w:spacing w:after="0" w:line="223" w:lineRule="auto"/>
        <w:rPr>
          <w:sz w:val="20"/>
          <w:szCs w:val="20"/>
          <w:color w:val="auto"/>
        </w:rPr>
      </w:pPr>
      <w:r>
        <w:rPr>
          <w:rFonts w:ascii="Arial" w:cs="Arial" w:eastAsia="Arial" w:hAnsi="Arial"/>
          <w:sz w:val="22"/>
          <w:szCs w:val="22"/>
          <w:color w:val="auto"/>
        </w:rPr>
        <w:t>German Stock Corporation Act applies, e.g. because the countermotion would lead to a resolution of the Annual General Meeting that is contrary to the law or the Articles of Association. A statement of the grounds for a countermotion need not be made available if it exceeds 5,000 characters in total.</w:t>
      </w:r>
    </w:p>
    <w:p>
      <w:pPr>
        <w:spacing w:after="0" w:line="159" w:lineRule="exact"/>
        <w:rPr>
          <w:sz w:val="20"/>
          <w:szCs w:val="20"/>
          <w:color w:val="auto"/>
        </w:rPr>
      </w:pPr>
    </w:p>
    <w:p>
      <w:pPr>
        <w:jc w:val="both"/>
        <w:ind w:left="634"/>
        <w:spacing w:after="0" w:line="222" w:lineRule="auto"/>
        <w:rPr>
          <w:sz w:val="20"/>
          <w:szCs w:val="20"/>
          <w:color w:val="auto"/>
        </w:rPr>
      </w:pPr>
      <w:r>
        <w:rPr>
          <w:rFonts w:ascii="Arial" w:cs="Arial" w:eastAsia="Arial" w:hAnsi="Arial"/>
          <w:sz w:val="21"/>
          <w:szCs w:val="21"/>
          <w:color w:val="auto"/>
        </w:rPr>
        <w:t>Shareholders shall also be entitled to submit nominations for the election of Supervisory Board members or auditors. The above provision on countermotions shall apply to them mutatis mutandis, with the proviso that the election proposal need not be substantiated. Beyond the above-mentioned exclusions of Sec. 126 section 2 of the German Stock Corporation Act, the nomination need not be made available if the nomination does not contain the name, profession, and place of residence of the Supervisory Board members or auditor proposed for election and, in the case of nominations for the election of Supervisory Board members, does not include the membership in other statutory supervisory boards.</w:t>
      </w:r>
    </w:p>
    <w:p>
      <w:pPr>
        <w:spacing w:after="0" w:line="164" w:lineRule="exact"/>
        <w:rPr>
          <w:sz w:val="20"/>
          <w:szCs w:val="20"/>
          <w:color w:val="auto"/>
        </w:rPr>
      </w:pPr>
    </w:p>
    <w:p>
      <w:pPr>
        <w:jc w:val="both"/>
        <w:ind w:left="634"/>
        <w:spacing w:after="0" w:line="257" w:lineRule="auto"/>
        <w:rPr>
          <w:sz w:val="20"/>
          <w:szCs w:val="20"/>
          <w:color w:val="auto"/>
        </w:rPr>
      </w:pPr>
      <w:r>
        <w:rPr>
          <w:rFonts w:ascii="Arial" w:cs="Arial" w:eastAsia="Arial" w:hAnsi="Arial"/>
          <w:sz w:val="19"/>
          <w:szCs w:val="19"/>
          <w:color w:val="auto"/>
        </w:rPr>
        <w:t>No motions may be submitted during the virtual general meeting. A countermotion to be made accessible pursuant to Sec. 126 of the German Stock Corporation Act or an election proposal to be made accessible pursuant to Sec. 127 of the German Stock Corporation Act shall be considered as having been submitted during the virtual Annual General Meeting if the shareholder submitting the motion has duly registered for the Annual General Meeting.</w:t>
      </w:r>
    </w:p>
    <w:p>
      <w:pPr>
        <w:spacing w:after="0" w:line="144" w:lineRule="exact"/>
        <w:rPr>
          <w:sz w:val="20"/>
          <w:szCs w:val="20"/>
          <w:color w:val="auto"/>
        </w:rPr>
      </w:pPr>
    </w:p>
    <w:p>
      <w:pPr>
        <w:ind w:left="634" w:hanging="634"/>
        <w:spacing w:after="0" w:line="247" w:lineRule="auto"/>
        <w:tabs>
          <w:tab w:leader="none" w:pos="623" w:val="left"/>
        </w:tabs>
        <w:numPr>
          <w:ilvl w:val="0"/>
          <w:numId w:val="45"/>
        </w:numPr>
        <w:rPr>
          <w:rFonts w:ascii="Arial" w:cs="Arial" w:eastAsia="Arial" w:hAnsi="Arial"/>
          <w:sz w:val="21"/>
          <w:szCs w:val="21"/>
          <w:color w:val="auto"/>
        </w:rPr>
      </w:pPr>
      <w:r>
        <w:rPr>
          <w:rFonts w:ascii="Arial" w:cs="Arial" w:eastAsia="Arial" w:hAnsi="Arial"/>
          <w:sz w:val="21"/>
          <w:szCs w:val="21"/>
          <w:color w:val="auto"/>
        </w:rPr>
        <w:t>Shareholders' right to ask questions pursuant to Art. 53 SE Regulation, Sec. 131 para. 1 of the German Stock Corporation Act in conjunction with Art. 2 § 1 para. 2 sentence 1 no. 3, sentence 2 COVID-19 Act</w:t>
      </w:r>
    </w:p>
    <w:p>
      <w:pPr>
        <w:spacing w:after="0" w:line="150" w:lineRule="exact"/>
        <w:rPr>
          <w:rFonts w:ascii="Arial" w:cs="Arial" w:eastAsia="Arial" w:hAnsi="Arial"/>
          <w:sz w:val="21"/>
          <w:szCs w:val="21"/>
          <w:color w:val="auto"/>
        </w:rPr>
      </w:pPr>
    </w:p>
    <w:p>
      <w:pPr>
        <w:jc w:val="both"/>
        <w:ind w:left="634"/>
        <w:spacing w:after="0" w:line="220" w:lineRule="auto"/>
        <w:rPr>
          <w:rFonts w:ascii="Arial" w:cs="Arial" w:eastAsia="Arial" w:hAnsi="Arial"/>
          <w:sz w:val="21"/>
          <w:szCs w:val="21"/>
          <w:color w:val="auto"/>
        </w:rPr>
      </w:pPr>
      <w:r>
        <w:rPr>
          <w:rFonts w:ascii="Arial" w:cs="Arial" w:eastAsia="Arial" w:hAnsi="Arial"/>
          <w:sz w:val="21"/>
          <w:szCs w:val="21"/>
          <w:color w:val="auto"/>
        </w:rPr>
        <w:t xml:space="preserve">The shareholders' right to information pursuant to Sec. 131 para. 1 of the German Stock Corporation Act is restricted in the case of a virtual general meeting pursuant to Art. 2 § 1 para. 2 COVID-19 Act. Accordingly, shareholders only have the right to ask questions by way of electronic communication (Art. 2 § 1 para. 2 sentence 1 no. 3 COVID-19 Act). The Management Board may also stipulate that questions must be submitted no later than one day before the Annual General Meeting (Art. 2 § 1 para. 2 sentence 2, half sentence 2 COVID-19 Act). The Management Board of BioNTech SE has made use of this option with the consent of the Supervisory Board. Duly registered shareholders have the right to ask questions by means of electronic communication (cf. Art. 2 § 1 para. 2 sentence 1 no. 3 COVID-19 Act). Any questions must be submitted no later than one day prior to the Annual General Meeting, i.e., no later than </w:t>
      </w:r>
      <w:r>
        <w:rPr>
          <w:rFonts w:ascii="Arial" w:cs="Arial" w:eastAsia="Arial" w:hAnsi="Arial"/>
          <w:sz w:val="21"/>
          <w:szCs w:val="21"/>
          <w:b w:val="1"/>
          <w:bCs w:val="1"/>
          <w:color w:val="auto"/>
        </w:rPr>
        <w:t>Monday, 30 May 2022, 24:00 (CEST)</w:t>
      </w:r>
      <w:r>
        <w:rPr>
          <w:rFonts w:ascii="Arial" w:cs="Arial" w:eastAsia="Arial" w:hAnsi="Arial"/>
          <w:sz w:val="21"/>
          <w:szCs w:val="21"/>
          <w:color w:val="auto"/>
        </w:rPr>
        <w:t>, using the Investor Portal on the Company's website at</w:t>
      </w:r>
    </w:p>
    <w:p>
      <w:pPr>
        <w:spacing w:after="0" w:line="162" w:lineRule="exact"/>
        <w:rPr>
          <w:rFonts w:ascii="Arial" w:cs="Arial" w:eastAsia="Arial" w:hAnsi="Arial"/>
          <w:sz w:val="21"/>
          <w:szCs w:val="21"/>
          <w:color w:val="auto"/>
        </w:rPr>
      </w:pPr>
    </w:p>
    <w:p>
      <w:pPr>
        <w:ind w:left="634"/>
        <w:spacing w:after="0"/>
        <w:rPr>
          <w:rFonts w:ascii="Arial" w:cs="Arial" w:eastAsia="Arial" w:hAnsi="Arial"/>
          <w:sz w:val="21"/>
          <w:szCs w:val="21"/>
          <w:color w:val="auto"/>
        </w:rPr>
      </w:pPr>
      <w:r>
        <w:rPr>
          <w:rFonts w:ascii="Arial" w:cs="Arial" w:eastAsia="Arial" w:hAnsi="Arial"/>
          <w:sz w:val="22"/>
          <w:szCs w:val="22"/>
          <w:color w:val="auto"/>
        </w:rPr>
        <w:t>https://investors.biontech.de/agm</w:t>
      </w:r>
    </w:p>
    <w:p>
      <w:pPr>
        <w:spacing w:after="0" w:line="179" w:lineRule="exact"/>
        <w:rPr>
          <w:rFonts w:ascii="Arial" w:cs="Arial" w:eastAsia="Arial" w:hAnsi="Arial"/>
          <w:sz w:val="21"/>
          <w:szCs w:val="21"/>
          <w:color w:val="auto"/>
        </w:rPr>
      </w:pPr>
    </w:p>
    <w:p>
      <w:pPr>
        <w:jc w:val="both"/>
        <w:ind w:left="634"/>
        <w:spacing w:after="0" w:line="223" w:lineRule="auto"/>
        <w:rPr>
          <w:rFonts w:ascii="Arial" w:cs="Arial" w:eastAsia="Arial" w:hAnsi="Arial"/>
          <w:sz w:val="21"/>
          <w:szCs w:val="21"/>
          <w:color w:val="auto"/>
        </w:rPr>
      </w:pPr>
      <w:r>
        <w:rPr>
          <w:rFonts w:ascii="Arial" w:cs="Arial" w:eastAsia="Arial" w:hAnsi="Arial"/>
          <w:sz w:val="22"/>
          <w:szCs w:val="22"/>
          <w:color w:val="auto"/>
        </w:rPr>
        <w:t>Questions submitted after the above-mentioned deadline or in a language other than German will not be considered. It is intended to name the questioners in the context of answering the questions unless they have expressly objected to being named.</w:t>
      </w:r>
    </w:p>
    <w:p>
      <w:pPr>
        <w:spacing w:after="0" w:line="158" w:lineRule="exact"/>
        <w:rPr>
          <w:rFonts w:ascii="Arial" w:cs="Arial" w:eastAsia="Arial" w:hAnsi="Arial"/>
          <w:sz w:val="21"/>
          <w:szCs w:val="21"/>
          <w:color w:val="auto"/>
        </w:rPr>
      </w:pPr>
    </w:p>
    <w:p>
      <w:pPr>
        <w:ind w:left="634"/>
        <w:spacing w:after="0" w:line="232" w:lineRule="auto"/>
        <w:rPr>
          <w:rFonts w:ascii="Arial" w:cs="Arial" w:eastAsia="Arial" w:hAnsi="Arial"/>
          <w:sz w:val="21"/>
          <w:szCs w:val="21"/>
          <w:color w:val="auto"/>
        </w:rPr>
      </w:pPr>
      <w:r>
        <w:rPr>
          <w:rFonts w:ascii="Arial" w:cs="Arial" w:eastAsia="Arial" w:hAnsi="Arial"/>
          <w:sz w:val="22"/>
          <w:szCs w:val="22"/>
          <w:color w:val="auto"/>
        </w:rPr>
        <w:t>Pursuant to Art. 2 § 1 para. 2 sentence 2, half sentence 1 of the COVID-19 Act, the Management Board decides how to answer questions at its own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894"/>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594"/>
          </w:cols>
          <w:pgMar w:left="966" w:top="1440" w:right="339" w:bottom="1440" w:gutter="0" w:footer="0" w:header="0"/>
        </w:sectPr>
      </w:pPr>
    </w:p>
    <w:bookmarkStart w:id="55" w:name="page56"/>
    <w:bookmarkEnd w:id="55"/>
    <w:p>
      <w:pPr>
        <w:spacing w:after="0" w:line="69" w:lineRule="exact"/>
        <w:rPr>
          <w:sz w:val="20"/>
          <w:szCs w:val="20"/>
          <w:color w:val="auto"/>
        </w:rPr>
      </w:pPr>
    </w:p>
    <w:p>
      <w:pPr>
        <w:ind w:left="640" w:hanging="634"/>
        <w:spacing w:after="0"/>
        <w:tabs>
          <w:tab w:leader="none" w:pos="6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Right to object to resolutions of the Annual General Meeting</w:t>
      </w:r>
    </w:p>
    <w:p>
      <w:pPr>
        <w:spacing w:after="0" w:line="179" w:lineRule="exact"/>
        <w:rPr>
          <w:rFonts w:ascii="Arial" w:cs="Arial" w:eastAsia="Arial" w:hAnsi="Arial"/>
          <w:sz w:val="22"/>
          <w:szCs w:val="22"/>
          <w:color w:val="auto"/>
        </w:rPr>
      </w:pPr>
    </w:p>
    <w:p>
      <w:pPr>
        <w:ind w:left="640"/>
        <w:spacing w:after="0" w:line="232" w:lineRule="auto"/>
        <w:rPr>
          <w:rFonts w:ascii="Arial" w:cs="Arial" w:eastAsia="Arial" w:hAnsi="Arial"/>
          <w:sz w:val="22"/>
          <w:szCs w:val="22"/>
          <w:color w:val="auto"/>
        </w:rPr>
      </w:pPr>
      <w:r>
        <w:rPr>
          <w:rFonts w:ascii="Arial" w:cs="Arial" w:eastAsia="Arial" w:hAnsi="Arial"/>
          <w:sz w:val="22"/>
          <w:szCs w:val="22"/>
          <w:color w:val="auto"/>
        </w:rPr>
        <w:t>Shareholders who have exercised their voting rights themselves or through a proxy may - again themselves or through a proxy - object to resolutions via the Investor Portal at</w:t>
      </w:r>
    </w:p>
    <w:p>
      <w:pPr>
        <w:spacing w:after="0" w:line="158" w:lineRule="exact"/>
        <w:rPr>
          <w:rFonts w:ascii="Arial" w:cs="Arial" w:eastAsia="Arial" w:hAnsi="Arial"/>
          <w:sz w:val="22"/>
          <w:szCs w:val="22"/>
          <w:color w:val="auto"/>
        </w:rPr>
      </w:pPr>
    </w:p>
    <w:p>
      <w:pPr>
        <w:ind w:left="640"/>
        <w:spacing w:after="0"/>
        <w:rPr>
          <w:rFonts w:ascii="Arial" w:cs="Arial" w:eastAsia="Arial" w:hAnsi="Arial"/>
          <w:sz w:val="22"/>
          <w:szCs w:val="22"/>
          <w:color w:val="auto"/>
        </w:rPr>
      </w:pPr>
      <w:r>
        <w:rPr>
          <w:rFonts w:ascii="Arial" w:cs="Arial" w:eastAsia="Arial" w:hAnsi="Arial"/>
          <w:sz w:val="22"/>
          <w:szCs w:val="22"/>
          <w:color w:val="auto"/>
        </w:rPr>
        <w:t>https://investors.biontech.de/agm</w:t>
      </w:r>
    </w:p>
    <w:p>
      <w:pPr>
        <w:spacing w:after="0" w:line="179" w:lineRule="exact"/>
        <w:rPr>
          <w:rFonts w:ascii="Arial" w:cs="Arial" w:eastAsia="Arial" w:hAnsi="Arial"/>
          <w:sz w:val="22"/>
          <w:szCs w:val="22"/>
          <w:color w:val="auto"/>
        </w:rPr>
      </w:pPr>
    </w:p>
    <w:p>
      <w:pPr>
        <w:jc w:val="both"/>
        <w:ind w:left="640"/>
        <w:spacing w:after="0" w:line="218" w:lineRule="auto"/>
        <w:rPr>
          <w:rFonts w:ascii="Arial" w:cs="Arial" w:eastAsia="Arial" w:hAnsi="Arial"/>
          <w:sz w:val="22"/>
          <w:szCs w:val="22"/>
          <w:color w:val="auto"/>
        </w:rPr>
      </w:pPr>
      <w:r>
        <w:rPr>
          <w:rFonts w:ascii="Arial" w:cs="Arial" w:eastAsia="Arial" w:hAnsi="Arial"/>
          <w:sz w:val="22"/>
          <w:szCs w:val="22"/>
          <w:color w:val="auto"/>
        </w:rPr>
        <w:t>and thus, in deviation from Sec. 245 para. 1 of the German Stock Corporation Act without physically attending the Annual General Meeting, file an objection for the record of the notary public against any resolution adopted by the Annual General Meeting (Art. 2 § 1 para. 2 sentence 1 no. 4 of the COVID-19 Act). The objection may be lodged from the beginning of the Annual General Meeting until its end.</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color w:val="auto"/>
        </w:rPr>
        <w:t>Further explanations of shareholders' rights can also be found on the Internet at " https://investors.biontech.de/agm".</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Number of Shares and Voting Rights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At the time of convening this Annual General Meeting, the share capital of the Company is divided into 246,807,808 no-par value registered shares. Each share carries one vote. At the time of convening the Annual General Meeting, the Company holds 3,788,592 treasury shares. It is not entitled to any rights from these. The total number of shares with participation and voting rights at the time of convening the Annual General Meeting is therefore 243,019,216.</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Availability of Information</w:t>
      </w:r>
    </w:p>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information pursuant to Sec. 124a of the German Stock Corporation Act shall be published on the Company's website at the latest from the time of convening the meeting at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https://investors.biontech.de/agm</w:t>
      </w:r>
    </w:p>
    <w:p>
      <w:pPr>
        <w:spacing w:after="0" w:line="179"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at the latest. The information pursuant to Sec. 125 of the German Stock Corporation Act in conjunction with the Implementing Regulation (EU) 2018/1212 is also available there.</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on Data Protection</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Company processes personal data of the shareholders (name and surname, address, e-mail address, number of shares, type of shareholding) and possibly also personal data of the shareholders' representatives and the ADS holders in its capacity as controller and on the basis of the applicable data protection laws. The shares of the Company are registered shares. The processing of personal data is legally necessary for the proper preparation and execution of the virtual general meeting, the exercise of the shareholders' voting rights, the possibility of following the virtual general meeting by means of electronic connection and the maintenance of the share register.</w:t>
      </w:r>
    </w:p>
    <w:p>
      <w:pPr>
        <w:spacing w:after="0" w:line="152"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legal basis for the processing is Art. 6 para. 1 sentence 1 lit. c) of the General Data Protection Regulation in conjunction with Sections 67, 118 et seq. of the German Data Protection Act and in conjunction with. Art. 2 para. 1 COVID-19 Act. If the shareholders, shareholder representatives and ADS holders do not provide their personal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600"/>
          </w:cols>
          <w:pgMar w:left="960" w:top="1440" w:right="339" w:bottom="1440" w:gutter="0" w:footer="0" w:header="0"/>
        </w:sectPr>
      </w:pPr>
    </w:p>
    <w:bookmarkStart w:id="56" w:name="page57"/>
    <w:bookmarkEnd w:id="56"/>
    <w:p>
      <w:pPr>
        <w:spacing w:after="0" w:line="69" w:lineRule="exact"/>
        <w:rPr>
          <w:sz w:val="20"/>
          <w:szCs w:val="20"/>
          <w:color w:val="auto"/>
        </w:rPr>
      </w:pPr>
    </w:p>
    <w:p>
      <w:pPr>
        <w:jc w:val="both"/>
        <w:ind w:left="640"/>
        <w:spacing w:after="0" w:line="268" w:lineRule="auto"/>
        <w:rPr>
          <w:sz w:val="20"/>
          <w:szCs w:val="20"/>
          <w:color w:val="auto"/>
        </w:rPr>
      </w:pPr>
      <w:r>
        <w:rPr>
          <w:rFonts w:ascii="Arial" w:cs="Arial" w:eastAsia="Arial" w:hAnsi="Arial"/>
          <w:sz w:val="19"/>
          <w:szCs w:val="19"/>
          <w:color w:val="auto"/>
        </w:rPr>
        <w:t>themselves, BioNTech SE usually receives it from the shareholder's custodian bank or from the depositary. Insofar as the processing of personal data is necessary for organizational reasons for the implementation of the virtual Annual General Meeting, the legal basis for this is Art. 6 para. 1 sentence 1 lit. f) of the General Data Protection Regulation.</w:t>
      </w:r>
    </w:p>
    <w:p>
      <w:pPr>
        <w:spacing w:after="0" w:line="132" w:lineRule="exact"/>
        <w:rPr>
          <w:sz w:val="20"/>
          <w:szCs w:val="20"/>
          <w:color w:val="auto"/>
        </w:rPr>
      </w:pPr>
    </w:p>
    <w:p>
      <w:pPr>
        <w:jc w:val="both"/>
        <w:ind w:left="640"/>
        <w:spacing w:after="0" w:line="216" w:lineRule="auto"/>
        <w:rPr>
          <w:sz w:val="20"/>
          <w:szCs w:val="20"/>
          <w:color w:val="auto"/>
        </w:rPr>
      </w:pPr>
      <w:r>
        <w:rPr>
          <w:rFonts w:ascii="Arial" w:cs="Arial" w:eastAsia="Arial" w:hAnsi="Arial"/>
          <w:sz w:val="22"/>
          <w:szCs w:val="22"/>
          <w:color w:val="auto"/>
        </w:rPr>
        <w:t>The service providers commissioned by the Company for the purpose of organizing the virtual Annual General Meeting process the personal data of the shareholders exclusively in accordance with the instructions of BioNTech SE and only insofar as this is necessary for the performance of the commissioned service. All employees of the Company and the employees of the commissioned service providers who have access to and/or process personal data of the shareholders are obliged to treat this data confidentially.</w:t>
      </w:r>
    </w:p>
    <w:p>
      <w:pPr>
        <w:spacing w:after="0" w:line="158" w:lineRule="exact"/>
        <w:rPr>
          <w:sz w:val="20"/>
          <w:szCs w:val="20"/>
          <w:color w:val="auto"/>
        </w:rPr>
      </w:pPr>
    </w:p>
    <w:p>
      <w:pPr>
        <w:jc w:val="both"/>
        <w:ind w:left="640"/>
        <w:spacing w:after="0" w:line="268" w:lineRule="auto"/>
        <w:rPr>
          <w:sz w:val="20"/>
          <w:szCs w:val="20"/>
          <w:color w:val="auto"/>
        </w:rPr>
      </w:pPr>
      <w:r>
        <w:rPr>
          <w:rFonts w:ascii="Arial" w:cs="Arial" w:eastAsia="Arial" w:hAnsi="Arial"/>
          <w:sz w:val="19"/>
          <w:szCs w:val="19"/>
          <w:color w:val="auto"/>
        </w:rPr>
        <w:t>The Company deletes shareholders' personal data in accordance with the law, in particular when the personal data is no longer necessary for the original purposes for which it was collected or processed, the data is no longer required in connection with any administrative or judicial proceedings and there is no legal obligation to retain the data.</w:t>
      </w:r>
    </w:p>
    <w:p>
      <w:pPr>
        <w:spacing w:after="0" w:line="132" w:lineRule="exact"/>
        <w:rPr>
          <w:sz w:val="20"/>
          <w:szCs w:val="20"/>
          <w:color w:val="auto"/>
        </w:rPr>
      </w:pPr>
    </w:p>
    <w:p>
      <w:pPr>
        <w:jc w:val="both"/>
        <w:ind w:left="640"/>
        <w:spacing w:after="0" w:line="216" w:lineRule="auto"/>
        <w:rPr>
          <w:sz w:val="20"/>
          <w:szCs w:val="20"/>
          <w:color w:val="auto"/>
        </w:rPr>
      </w:pPr>
      <w:r>
        <w:rPr>
          <w:rFonts w:ascii="Arial" w:cs="Arial" w:eastAsia="Arial" w:hAnsi="Arial"/>
          <w:sz w:val="22"/>
          <w:szCs w:val="22"/>
          <w:color w:val="auto"/>
        </w:rPr>
        <w:t>In addition, personal data of shareholders or shareholder representatives who exercise their voting rights and follow the virtual Annual General Meeting by means of electronic connection can be viewed by other shareholders, shareholder representatives and ADS holders, in particular, via the legally required list of participants (Sec. 129 of the German Stock Corporation Act). This also applies to questions that shareholders or shareholder representatives may have asked in advance.</w:t>
      </w:r>
    </w:p>
    <w:p>
      <w:pPr>
        <w:spacing w:after="0" w:line="158" w:lineRule="exact"/>
        <w:rPr>
          <w:sz w:val="20"/>
          <w:szCs w:val="20"/>
          <w:color w:val="auto"/>
        </w:rPr>
      </w:pPr>
    </w:p>
    <w:p>
      <w:pPr>
        <w:jc w:val="both"/>
        <w:ind w:left="640"/>
        <w:spacing w:after="0" w:line="212" w:lineRule="auto"/>
        <w:rPr>
          <w:sz w:val="20"/>
          <w:szCs w:val="20"/>
          <w:color w:val="auto"/>
        </w:rPr>
      </w:pPr>
      <w:r>
        <w:rPr>
          <w:rFonts w:ascii="Arial" w:cs="Arial" w:eastAsia="Arial" w:hAnsi="Arial"/>
          <w:sz w:val="22"/>
          <w:szCs w:val="22"/>
          <w:color w:val="auto"/>
        </w:rPr>
        <w:t>Subject to the legal requirements, data subjects have the right to obtain information about their personal data processed and to request the rectification or deletion of their personal data or the restriction of processing. In addition, data subjects have the right to lodge a complaint with the supervisory authorities. Insofar as the legal basis for the processing of personal data is Art. 6 (1) sentence 1 lit. f) of the General Data Protection Regulation, the data subjects also have the right to object under the statutory conditions. For comments and queries regarding the processing of personal data, the company's data protection officer can be reached at the contact information available at "https://biontech.de/de/data-privacy-policy".</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Video and audio transmission of the entire Annual General Meeting</w:t>
      </w:r>
    </w:p>
    <w:p>
      <w:pPr>
        <w:spacing w:after="0" w:line="185" w:lineRule="exact"/>
        <w:rPr>
          <w:sz w:val="20"/>
          <w:szCs w:val="20"/>
          <w:color w:val="auto"/>
        </w:rPr>
      </w:pPr>
    </w:p>
    <w:p>
      <w:pPr>
        <w:jc w:val="both"/>
        <w:ind w:left="640"/>
        <w:spacing w:after="0" w:line="298" w:lineRule="auto"/>
        <w:rPr>
          <w:sz w:val="20"/>
          <w:szCs w:val="20"/>
          <w:color w:val="auto"/>
        </w:rPr>
      </w:pPr>
      <w:r>
        <w:rPr>
          <w:rFonts w:ascii="Arial" w:cs="Arial" w:eastAsia="Arial" w:hAnsi="Arial"/>
          <w:sz w:val="19"/>
          <w:szCs w:val="19"/>
          <w:color w:val="auto"/>
        </w:rPr>
        <w:t xml:space="preserve">All shareholders of the Company, ADS holders and the interested public can follow the entire Annual General Meeting on </w:t>
      </w:r>
      <w:r>
        <w:rPr>
          <w:rFonts w:ascii="Arial" w:cs="Arial" w:eastAsia="Arial" w:hAnsi="Arial"/>
          <w:sz w:val="19"/>
          <w:szCs w:val="19"/>
          <w:b w:val="1"/>
          <w:bCs w:val="1"/>
          <w:color w:val="auto"/>
        </w:rPr>
        <w:t xml:space="preserve">Wednesday, 1 June 2022, from 2:00 p.m. (CEST) </w:t>
      </w:r>
      <w:r>
        <w:rPr>
          <w:rFonts w:ascii="Arial" w:cs="Arial" w:eastAsia="Arial" w:hAnsi="Arial"/>
          <w:sz w:val="19"/>
          <w:szCs w:val="19"/>
          <w:color w:val="auto"/>
        </w:rPr>
        <w:t>on the Internet at " https://investors.biontech.de/agm".</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Mainz, April 2022</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BioNTech SE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The Management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upperLetter"/>
      <w:start w:val="9"/>
    </w:lvl>
  </w:abstractNum>
  <w:abstractNum w:abstractNumId="1">
    <w:nsid w:val="75A2A8D4"/>
    <w:multiLevelType w:val="hybridMultilevel"/>
    <w:lvl w:ilvl="0">
      <w:lvlJc w:val="left"/>
      <w:lvlText w:val="%1."/>
      <w:numFmt w:val="decimal"/>
      <w:start w:val="1"/>
    </w:lvl>
  </w:abstractNum>
  <w:abstractNum w:abstractNumId="2">
    <w:nsid w:val="8EDBDAB"/>
    <w:multiLevelType w:val="hybridMultilevel"/>
    <w:lvl w:ilvl="0">
      <w:lvlJc w:val="left"/>
      <w:lvlText w:val="1"/>
      <w:numFmt w:val="bullet"/>
      <w:start w:val="1"/>
    </w:lvl>
  </w:abstractNum>
  <w:abstractNum w:abstractNumId="3">
    <w:nsid w:val="79838CB2"/>
    <w:multiLevelType w:val="hybridMultilevel"/>
    <w:lvl w:ilvl="0">
      <w:lvlJc w:val="left"/>
      <w:lvlText w:val="%1."/>
      <w:numFmt w:val="decimal"/>
      <w:start w:val="2"/>
    </w:lvl>
  </w:abstractNum>
  <w:abstractNum w:abstractNumId="4">
    <w:nsid w:val="4353D0CD"/>
    <w:multiLevelType w:val="hybridMultilevel"/>
    <w:lvl w:ilvl="0">
      <w:lvlJc w:val="left"/>
      <w:lvlText w:val="%1."/>
      <w:numFmt w:val="decimal"/>
      <w:start w:val="3"/>
    </w:lvl>
  </w:abstractNum>
  <w:abstractNum w:abstractNumId="5">
    <w:nsid w:val="B03E0C6"/>
    <w:multiLevelType w:val="hybridMultilevel"/>
    <w:lvl w:ilvl="0">
      <w:lvlJc w:val="left"/>
      <w:lvlText w:val="%1."/>
      <w:numFmt w:val="decimal"/>
      <w:start w:val="6"/>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1."/>
      <w:numFmt w:val="decimal"/>
      <w:start w:val="9"/>
    </w:lvl>
  </w:abstractNum>
  <w:abstractNum w:abstractNumId="8">
    <w:nsid w:val="71F32454"/>
    <w:multiLevelType w:val="hybridMultilevel"/>
    <w:lvl w:ilvl="0">
      <w:lvlJc w:val="left"/>
      <w:lvlText w:val="%1."/>
      <w:numFmt w:val="decimal"/>
      <w:start w:val="10"/>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1."/>
      <w:numFmt w:val="upperLetter"/>
      <w:start w:val="35"/>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upperLetter"/>
      <w:start w:val="1"/>
    </w:lvl>
  </w:abstractNum>
  <w:abstractNum w:abstractNumId="13">
    <w:nsid w:val="8138641"/>
    <w:multiLevelType w:val="hybridMultilevel"/>
    <w:lvl w:ilvl="0">
      <w:lvlJc w:val="left"/>
      <w:lvlText w:val="%1."/>
      <w:numFmt w:val="upperLetter"/>
      <w:start w:val="3"/>
    </w:lvl>
  </w:abstractNum>
  <w:abstractNum w:abstractNumId="14">
    <w:nsid w:val="1E7FF521"/>
    <w:multiLevelType w:val="hybridMultilevel"/>
    <w:lvl w:ilvl="0">
      <w:lvlJc w:val="left"/>
      <w:lvlText w:val="%1."/>
      <w:numFmt w:val="upperLetter"/>
      <w:start w:val="4"/>
    </w:lvl>
  </w:abstractNum>
  <w:abstractNum w:abstractNumId="15">
    <w:nsid w:val="7C3DBD3D"/>
    <w:multiLevelType w:val="hybridMultilevel"/>
    <w:lvl w:ilvl="0">
      <w:lvlJc w:val="left"/>
      <w:lvlText w:val="%1."/>
      <w:numFmt w:val="decimal"/>
      <w:start w:val="2"/>
    </w:lvl>
  </w:abstractNum>
  <w:abstractNum w:abstractNumId="16">
    <w:nsid w:val="737B8DDC"/>
    <w:multiLevelType w:val="hybridMultilevel"/>
    <w:lvl w:ilvl="0">
      <w:lvlJc w:val="left"/>
      <w:lvlText w:val="%1."/>
      <w:numFmt w:val="decimal"/>
      <w:start w:val="3"/>
    </w:lvl>
    <w:lvl w:ilvl="1">
      <w:lvlJc w:val="left"/>
      <w:lvlText w:val="•"/>
      <w:numFmt w:val="bullet"/>
      <w:start w:val="1"/>
    </w:lvl>
  </w:abstractNum>
  <w:abstractNum w:abstractNumId="17">
    <w:nsid w:val="6CEAF087"/>
    <w:multiLevelType w:val="hybridMultilevel"/>
    <w:lvl w:ilvl="0">
      <w:lvlJc w:val="left"/>
      <w:lvlText w:val="%1."/>
      <w:numFmt w:val="decimal"/>
      <w:start w:val="5"/>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decimal"/>
      <w:start w:val="6"/>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6"/>
    </w:lvl>
  </w:abstractNum>
  <w:abstractNum w:abstractNumId="26">
    <w:nsid w:val="3804823E"/>
    <w:multiLevelType w:val="hybridMultilevel"/>
    <w:lvl w:ilvl="0">
      <w:lvlJc w:val="left"/>
      <w:lvlText w:val="%1."/>
      <w:numFmt w:val="upperLetter"/>
      <w:start w:val="5"/>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3"/>
    </w:lvl>
  </w:abstractNum>
  <w:abstractNum w:abstractNumId="29">
    <w:nsid w:val="5C482A97"/>
    <w:multiLevelType w:val="hybridMultilevel"/>
    <w:lvl w:ilvl="0">
      <w:lvlJc w:val="left"/>
      <w:lvlText w:val="%1."/>
      <w:numFmt w:val="upperLetter"/>
      <w:start w:val="6"/>
    </w:lvl>
  </w:abstractNum>
  <w:abstractNum w:abstractNumId="30">
    <w:nsid w:val="2463B9EA"/>
    <w:multiLevelType w:val="hybridMultilevel"/>
    <w:lvl w:ilvl="0">
      <w:lvlJc w:val="left"/>
      <w:lvlText w:val="%1."/>
      <w:numFmt w:val="decimal"/>
      <w:start w:val="2"/>
    </w:lvl>
    <w:lvl w:ilvl="1">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decimal"/>
      <w:start w:val="3"/>
    </w:lvl>
  </w:abstractNum>
  <w:abstractNum w:abstractNumId="41">
    <w:nsid w:val="725A06FB"/>
    <w:multiLevelType w:val="hybridMultilevel"/>
    <w:lvl w:ilvl="0">
      <w:lvlJc w:val="left"/>
      <w:lvlText w:val="%1."/>
      <w:numFmt w:val="upperLetter"/>
      <w:start w:val="61"/>
    </w:lvl>
  </w:abstractNum>
  <w:abstractNum w:abstractNumId="42">
    <w:nsid w:val="2CD89A32"/>
    <w:multiLevelType w:val="hybridMultilevel"/>
    <w:lvl w:ilvl="0">
      <w:lvlJc w:val="left"/>
      <w:lvlText w:val="%1)"/>
      <w:numFmt w:val="lowerLetter"/>
      <w:start w:val="1"/>
    </w:lvl>
  </w:abstractNum>
  <w:abstractNum w:abstractNumId="43">
    <w:nsid w:val="57E4CCAF"/>
    <w:multiLevelType w:val="hybridMultilevel"/>
    <w:lvl w:ilvl="0">
      <w:lvlJc w:val="left"/>
      <w:lvlText w:val="%1)"/>
      <w:numFmt w:val="lowerLetter"/>
      <w:start w:val="2"/>
    </w:lvl>
  </w:abstractNum>
  <w:abstractNum w:abstractNumId="44">
    <w:nsid w:val="7A6D8D3C"/>
    <w:multiLevelType w:val="hybridMultilevel"/>
    <w:lvl w:ilvl="0">
      <w:lvlJc w:val="left"/>
      <w:lvlText w:val="%1)"/>
      <w:numFmt w:val="lowerLetter"/>
      <w:start w:val="3"/>
    </w:lvl>
  </w:abstractNum>
  <w:abstractNum w:abstractNumId="45">
    <w:nsid w:val="4B588F54"/>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2022-04-21T05:12:03Z</dcterms:created>
  <dcterms:modified xsi:type="dcterms:W3CDTF">2022-04-21T05:12:03Z</dcterms:modified>
</cp:coreProperties>
</file>